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4CCC">
      <w:pPr>
        <w:jc w:val="center"/>
        <w:rPr>
          <w:rFonts w:hint="eastAsia" w:ascii="宋体" w:hAnsi="宋体" w:eastAsia="宋体" w:cs="宋体"/>
          <w:b/>
          <w:color w:val="auto"/>
          <w:sz w:val="56"/>
          <w:szCs w:val="56"/>
          <w:lang w:eastAsia="zh-CN"/>
        </w:rPr>
      </w:pPr>
      <w:bookmarkStart w:id="0" w:name="_Toc500469677"/>
      <w:bookmarkStart w:id="1" w:name="OLE_LINK5"/>
      <w:r>
        <w:rPr>
          <w:rFonts w:hint="eastAsia"/>
          <w:b/>
          <w:bCs/>
          <w:color w:val="auto"/>
          <w:sz w:val="56"/>
          <w:szCs w:val="56"/>
          <w:lang w:eastAsia="zh-CN"/>
        </w:rPr>
        <w:t>中致远工程管理咨询有限公司</w:t>
      </w:r>
    </w:p>
    <w:p w14:paraId="00486344">
      <w:pPr>
        <w:keepNext w:val="0"/>
        <w:keepLines w:val="0"/>
        <w:pageBreakBefore w:val="0"/>
        <w:widowControl w:val="0"/>
        <w:kinsoku/>
        <w:wordWrap/>
        <w:overflowPunct/>
        <w:topLinePunct w:val="0"/>
        <w:autoSpaceDE w:val="0"/>
        <w:autoSpaceDN w:val="0"/>
        <w:bidi w:val="0"/>
        <w:adjustRightInd/>
        <w:snapToGrid/>
        <w:spacing w:before="468" w:beforeLines="150" w:after="2313" w:afterLines="850" w:line="740" w:lineRule="exact"/>
        <w:jc w:val="center"/>
        <w:textAlignment w:val="auto"/>
        <w:rPr>
          <w:rFonts w:hint="default" w:ascii="Times New Roman" w:hAnsi="Times New Roman" w:eastAsia="宋体" w:cs="Times New Roman"/>
          <w:color w:val="000000" w:themeColor="text1"/>
          <w:spacing w:val="28"/>
          <w:sz w:val="48"/>
          <w:szCs w:val="48"/>
          <w:highlight w:val="none"/>
          <w14:textFill>
            <w14:solidFill>
              <w14:schemeClr w14:val="tx1"/>
            </w14:solidFill>
          </w14:textFill>
        </w:rPr>
      </w:pPr>
      <w:r>
        <w:rPr>
          <w:rFonts w:hint="default" w:ascii="Times New Roman" w:hAnsi="Times New Roman" w:eastAsia="宋体" w:cs="Times New Roman"/>
          <w:color w:val="000000" w:themeColor="text1"/>
          <w:spacing w:val="28"/>
          <w:sz w:val="48"/>
          <w:szCs w:val="4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205740</wp:posOffset>
                </wp:positionV>
                <wp:extent cx="5760085" cy="8890"/>
                <wp:effectExtent l="0" t="31750" r="12065" b="35560"/>
                <wp:wrapNone/>
                <wp:docPr id="2" name="直接连接符 2"/>
                <wp:cNvGraphicFramePr/>
                <a:graphic xmlns:a="http://schemas.openxmlformats.org/drawingml/2006/main">
                  <a:graphicData uri="http://schemas.microsoft.com/office/word/2010/wordprocessingShape">
                    <wps:wsp>
                      <wps:cNvCnPr/>
                      <wps:spPr>
                        <a:xfrm>
                          <a:off x="0" y="0"/>
                          <a:ext cx="5760085" cy="8890"/>
                        </a:xfrm>
                        <a:prstGeom prst="line">
                          <a:avLst/>
                        </a:prstGeom>
                        <a:ln w="63500" cap="flat" cmpd="thinThick">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5pt;margin-top:16.2pt;height:0.7pt;width:453.55pt;z-index:251660288;mso-width-relative:page;mso-height-relative:page;" filled="f" stroked="t" coordsize="21600,21600" o:gfxdata="UEsDBAoAAAAAAIdO4kAAAAAAAAAAAAAAAAAEAAAAZHJzL1BLAwQUAAAACACHTuJAO7x/tNcAAAAI&#10;AQAADwAAAGRycy9kb3ducmV2LnhtbE2PTU7DMBCF90jcwRokdtRuE0GbxqlSJDZFCCgcwI2HJMIe&#10;h9htw+0ZVrCan/f05ptyM3knTjjGPpCG+UyBQGqC7anV8P72cLMEEZMha1wg1PCNETbV5UVpChvO&#10;9IqnfWoFh1AsjIYupaGQMjYdehNnYUBi7SOM3iQex1ba0Zw53Du5UOpWetMTX+jMgPcdNp/7o9fw&#10;goPb7VS7rZ9d/vRY13Y7fSWtr6/mag0i4ZT+zPCLz+hQMdMhHMlG4TRkdxk7uS5yEKyv8pybAy+y&#10;JciqlP8fqH4AUEsDBBQAAAAIAIdO4kCVf1Mj/gEAAO4DAAAOAAAAZHJzL2Uyb0RvYy54bWytU0uO&#10;EzEQ3SNxB8t70p2ghNBKZxYThg2CSAwHqPiTtvBPtpNOLsEFkNjBiiV7bsNwDMrukIFhkwW9cJdd&#10;5Vf1XpUXVwejyV6EqJxt6XhUUyIsc1zZbUvf3d48mVMSE1gO2lnR0qOI9Gr5+NGi942YuM5pLgJB&#10;EBub3re0S8k3VRVZJwzEkfPColO6YCDhNmwrHqBHdKOrSV3Pqt4F7oNjIkY8XQ1OekIMlwA6KRUT&#10;K8d2Rtg0oAahISGl2Ckf6bJUK6Vg6Y2UUSSiW4pMU1kxCdqbvFbLBTTbAL5T7FQCXFLCA04GlMWk&#10;Z6gVJCC7oP6BMooFF51MI+ZMNRApiiCLcf1Am7cdeFG4oNTRn0WP/w+Wvd6vA1G8pRNKLBhs+N3H&#10;bz8+fP75/ROud1+/kEkWqfexwdhruw6nXfTrkBkfZDD5j1zIoQh7PAsrDokwPJw+m9X1fEoJQ998&#10;/rzoXt3f9SGml8IZko2WamUzbWhg/yomzIehv0Pysbakb+ns6bTGNjLAIZTYfDSNRyKpU/YW2/m+&#10;QESnFb9RWueLMWw31zqQPeRxKF8mh/B/heVcK4jdEFdcw6B0AvgLy0k6ehTK4vuguRIjOCVa4HPK&#10;FgJCk0DpSyIxtbZYQdZ3UDRbG8eP2JadD2rboSDjUmX24BiUek8jm+fsz31Bun+m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vH+01wAAAAgBAAAPAAAAAAAAAAEAIAAAACIAAABkcnMvZG93bnJl&#10;di54bWxQSwECFAAUAAAACACHTuJAlX9TI/4BAADuAwAADgAAAAAAAAABACAAAAAmAQAAZHJzL2Uy&#10;b0RvYy54bWxQSwUGAAAAAAYABgBZAQAAlgUAAAAA&#10;">
                <v:fill on="f" focussize="0,0"/>
                <v:stroke weight="5pt" color="#000000 [3213]" linestyle="thinThick" joinstyle="round"/>
                <v:imagedata o:title=""/>
                <o:lock v:ext="edit" aspectratio="f"/>
              </v:line>
            </w:pict>
          </mc:Fallback>
        </mc:AlternateContent>
      </w:r>
    </w:p>
    <w:bookmarkEnd w:id="0"/>
    <w:bookmarkEnd w:id="1"/>
    <w:p w14:paraId="7F79DA3C">
      <w:pPr>
        <w:spacing w:before="236" w:line="193" w:lineRule="auto"/>
        <w:ind w:left="3127"/>
        <w:outlineLvl w:val="0"/>
        <w:rPr>
          <w:rFonts w:hint="eastAsia" w:ascii="仿宋" w:hAnsi="仿宋" w:eastAsia="仿宋" w:cs="仿宋"/>
          <w:b/>
          <w:bCs/>
          <w:color w:val="auto"/>
          <w:sz w:val="55"/>
          <w:szCs w:val="55"/>
          <w:lang w:eastAsia="zh-CN"/>
        </w:rPr>
      </w:pPr>
      <w:bookmarkStart w:id="2" w:name="_Toc8130"/>
      <w:bookmarkStart w:id="3" w:name="_Toc40365160"/>
      <w:bookmarkStart w:id="4" w:name="_Toc4860"/>
      <w:bookmarkStart w:id="5" w:name="_Toc20771"/>
      <w:bookmarkStart w:id="6" w:name="_Toc7916"/>
      <w:bookmarkStart w:id="7" w:name="_Toc10409"/>
      <w:bookmarkStart w:id="8" w:name="_Toc23225"/>
      <w:bookmarkStart w:id="9" w:name="_Toc500469678"/>
      <w:bookmarkStart w:id="10" w:name="_Toc500469571"/>
      <w:r>
        <w:rPr>
          <w:rFonts w:hint="eastAsia" w:ascii="仿宋" w:hAnsi="仿宋" w:eastAsia="仿宋" w:cs="仿宋"/>
          <w:b/>
          <w:bCs/>
          <w:color w:val="auto"/>
          <w:spacing w:val="-3"/>
          <w:sz w:val="55"/>
          <w:szCs w:val="55"/>
          <w:lang w:eastAsia="zh-CN"/>
        </w:rPr>
        <w:t>竞争性磋商文件</w:t>
      </w:r>
      <w:bookmarkEnd w:id="2"/>
    </w:p>
    <w:p w14:paraId="73BB32A5">
      <w:pPr>
        <w:spacing w:before="320" w:line="221" w:lineRule="auto"/>
        <w:ind w:left="3620"/>
        <w:outlineLvl w:val="0"/>
        <w:rPr>
          <w:rFonts w:hint="eastAsia" w:ascii="仿宋" w:hAnsi="仿宋" w:eastAsia="仿宋" w:cs="仿宋"/>
          <w:color w:val="auto"/>
          <w:sz w:val="28"/>
          <w:szCs w:val="28"/>
          <w:lang w:eastAsia="zh-CN"/>
        </w:rPr>
      </w:pPr>
      <w:bookmarkStart w:id="11" w:name="_Toc25966"/>
      <w:r>
        <w:rPr>
          <w:rFonts w:hint="eastAsia" w:ascii="仿宋" w:hAnsi="仿宋" w:eastAsia="仿宋" w:cs="仿宋"/>
          <w:color w:val="auto"/>
          <w:spacing w:val="-2"/>
          <w:sz w:val="28"/>
          <w:szCs w:val="28"/>
          <w:lang w:eastAsia="zh-CN"/>
        </w:rPr>
        <w:t>（全流程电子化评标）</w:t>
      </w:r>
      <w:bookmarkEnd w:id="11"/>
    </w:p>
    <w:p w14:paraId="1003ED5F">
      <w:pPr>
        <w:spacing w:line="313" w:lineRule="auto"/>
        <w:rPr>
          <w:rFonts w:hint="eastAsia" w:ascii="仿宋" w:hAnsi="仿宋" w:eastAsia="仿宋" w:cs="仿宋"/>
          <w:color w:val="auto"/>
          <w:lang w:eastAsia="zh-CN"/>
        </w:rPr>
      </w:pPr>
    </w:p>
    <w:p w14:paraId="3E1970F3">
      <w:pPr>
        <w:spacing w:line="313" w:lineRule="auto"/>
        <w:rPr>
          <w:rFonts w:hint="eastAsia" w:ascii="仿宋" w:hAnsi="仿宋" w:eastAsia="仿宋" w:cs="仿宋"/>
          <w:color w:val="auto"/>
          <w:lang w:eastAsia="zh-CN"/>
        </w:rPr>
      </w:pPr>
    </w:p>
    <w:p w14:paraId="214474C3">
      <w:pPr>
        <w:spacing w:line="313" w:lineRule="auto"/>
        <w:rPr>
          <w:rFonts w:hint="eastAsia" w:ascii="仿宋" w:hAnsi="仿宋" w:eastAsia="仿宋" w:cs="仿宋"/>
          <w:color w:val="auto"/>
          <w:lang w:eastAsia="zh-CN"/>
        </w:rPr>
      </w:pPr>
    </w:p>
    <w:p w14:paraId="217FC726">
      <w:pPr>
        <w:spacing w:line="313" w:lineRule="auto"/>
        <w:rPr>
          <w:rFonts w:hint="eastAsia" w:ascii="仿宋" w:hAnsi="仿宋" w:eastAsia="仿宋" w:cs="仿宋"/>
          <w:color w:val="auto"/>
          <w:lang w:eastAsia="zh-CN"/>
        </w:rPr>
      </w:pPr>
    </w:p>
    <w:p w14:paraId="3B809CF5">
      <w:pPr>
        <w:spacing w:line="313" w:lineRule="auto"/>
        <w:rPr>
          <w:rFonts w:hint="eastAsia" w:ascii="仿宋" w:hAnsi="仿宋" w:eastAsia="仿宋" w:cs="仿宋"/>
          <w:color w:val="auto"/>
          <w:lang w:eastAsia="zh-CN"/>
        </w:rPr>
      </w:pPr>
    </w:p>
    <w:p w14:paraId="515218F6">
      <w:pPr>
        <w:spacing w:line="313" w:lineRule="auto"/>
        <w:rPr>
          <w:rFonts w:hint="eastAsia" w:ascii="仿宋" w:hAnsi="仿宋" w:eastAsia="仿宋" w:cs="仿宋"/>
          <w:color w:val="auto"/>
          <w:lang w:eastAsia="zh-CN"/>
        </w:rPr>
      </w:pPr>
    </w:p>
    <w:p w14:paraId="2EF95B7D">
      <w:pPr>
        <w:pStyle w:val="19"/>
        <w:widowControl/>
        <w:kinsoku w:val="0"/>
        <w:adjustRightInd w:val="0"/>
        <w:snapToGrid w:val="0"/>
        <w:spacing w:before="100" w:line="540" w:lineRule="exact"/>
        <w:ind w:left="2403" w:leftChars="347" w:hanging="1640" w:hangingChars="500"/>
        <w:textAlignment w:val="baseline"/>
        <w:rPr>
          <w:rFonts w:hint="eastAsia" w:ascii="仿宋" w:hAnsi="仿宋" w:eastAsia="仿宋" w:cs="仿宋"/>
          <w:snapToGrid w:val="0"/>
          <w:color w:val="auto"/>
          <w:spacing w:val="9"/>
          <w:sz w:val="31"/>
          <w:szCs w:val="31"/>
          <w:lang w:val="en-US" w:eastAsia="zh-CN" w:bidi="ar-SA"/>
        </w:rPr>
      </w:pPr>
      <w:r>
        <w:rPr>
          <w:rFonts w:hint="eastAsia" w:ascii="仿宋" w:hAnsi="仿宋" w:eastAsia="仿宋" w:cs="仿宋"/>
          <w:snapToGrid w:val="0"/>
          <w:color w:val="auto"/>
          <w:spacing w:val="9"/>
          <w:sz w:val="31"/>
          <w:szCs w:val="31"/>
          <w:lang w:val="en-US" w:eastAsia="zh-CN" w:bidi="ar-SA"/>
        </w:rPr>
        <w:t xml:space="preserve">项目名称：金秀瑶族自治县桐木镇耕地提质改造（旱改水）修复项目  </w:t>
      </w:r>
    </w:p>
    <w:p w14:paraId="77D52FE5">
      <w:pPr>
        <w:pStyle w:val="19"/>
        <w:widowControl/>
        <w:kinsoku w:val="0"/>
        <w:adjustRightInd w:val="0"/>
        <w:snapToGrid w:val="0"/>
        <w:spacing w:before="100" w:line="540" w:lineRule="exact"/>
        <w:textAlignment w:val="baseline"/>
        <w:rPr>
          <w:rFonts w:hint="eastAsia" w:ascii="仿宋" w:hAnsi="仿宋" w:eastAsia="仿宋" w:cs="仿宋"/>
          <w:snapToGrid w:val="0"/>
          <w:color w:val="auto"/>
          <w:spacing w:val="9"/>
          <w:sz w:val="31"/>
          <w:szCs w:val="31"/>
          <w:highlight w:val="none"/>
          <w:lang w:val="en-US" w:eastAsia="zh-CN" w:bidi="ar-SA"/>
        </w:rPr>
      </w:pPr>
    </w:p>
    <w:p w14:paraId="7B4FDF06">
      <w:pPr>
        <w:pStyle w:val="19"/>
        <w:widowControl/>
        <w:kinsoku w:val="0"/>
        <w:adjustRightInd w:val="0"/>
        <w:snapToGrid w:val="0"/>
        <w:spacing w:before="100" w:line="540" w:lineRule="exact"/>
        <w:ind w:left="2403" w:leftChars="347" w:hanging="1640" w:hangingChars="500"/>
        <w:textAlignment w:val="baseline"/>
        <w:rPr>
          <w:rFonts w:hint="eastAsia" w:ascii="仿宋" w:hAnsi="仿宋" w:eastAsia="仿宋" w:cs="仿宋"/>
          <w:snapToGrid w:val="0"/>
          <w:color w:val="auto"/>
          <w:spacing w:val="9"/>
          <w:sz w:val="31"/>
          <w:szCs w:val="31"/>
          <w:highlight w:val="none"/>
          <w:lang w:val="en-US" w:eastAsia="zh-CN" w:bidi="ar-SA"/>
        </w:rPr>
      </w:pPr>
      <w:r>
        <w:rPr>
          <w:rFonts w:hint="eastAsia" w:ascii="仿宋" w:hAnsi="仿宋" w:eastAsia="仿宋" w:cs="仿宋"/>
          <w:snapToGrid w:val="0"/>
          <w:color w:val="auto"/>
          <w:spacing w:val="9"/>
          <w:sz w:val="31"/>
          <w:szCs w:val="31"/>
          <w:highlight w:val="none"/>
          <w:lang w:val="en-US" w:eastAsia="zh-CN" w:bidi="ar-SA"/>
        </w:rPr>
        <w:t>项目编号： LBZC2025-C2-240038-ZZYG</w:t>
      </w:r>
    </w:p>
    <w:p w14:paraId="03704082">
      <w:pPr>
        <w:pStyle w:val="19"/>
        <w:widowControl/>
        <w:kinsoku w:val="0"/>
        <w:adjustRightInd w:val="0"/>
        <w:snapToGrid w:val="0"/>
        <w:spacing w:before="100" w:line="540" w:lineRule="exact"/>
        <w:ind w:left="2403" w:leftChars="347" w:hanging="1640" w:hangingChars="500"/>
        <w:textAlignment w:val="baseline"/>
        <w:rPr>
          <w:rFonts w:hint="eastAsia" w:ascii="仿宋" w:hAnsi="仿宋" w:eastAsia="仿宋" w:cs="仿宋"/>
          <w:snapToGrid w:val="0"/>
          <w:color w:val="auto"/>
          <w:spacing w:val="9"/>
          <w:sz w:val="31"/>
          <w:szCs w:val="31"/>
          <w:lang w:val="en-US" w:eastAsia="zh-CN" w:bidi="ar-SA"/>
        </w:rPr>
      </w:pPr>
    </w:p>
    <w:p w14:paraId="6DAFCD52">
      <w:pPr>
        <w:pStyle w:val="19"/>
        <w:widowControl/>
        <w:kinsoku w:val="0"/>
        <w:adjustRightInd w:val="0"/>
        <w:snapToGrid w:val="0"/>
        <w:spacing w:before="100" w:line="540" w:lineRule="exact"/>
        <w:textAlignment w:val="baseline"/>
        <w:rPr>
          <w:rFonts w:hint="eastAsia" w:ascii="仿宋" w:hAnsi="仿宋" w:eastAsia="仿宋" w:cs="仿宋"/>
          <w:snapToGrid w:val="0"/>
          <w:color w:val="auto"/>
          <w:spacing w:val="9"/>
          <w:sz w:val="31"/>
          <w:szCs w:val="31"/>
          <w:lang w:val="en-US" w:eastAsia="zh-CN" w:bidi="ar-SA"/>
        </w:rPr>
      </w:pPr>
      <w:r>
        <w:rPr>
          <w:rFonts w:hint="default" w:ascii="Times New Roman" w:hAnsi="Times New Roman" w:eastAsia="宋体" w:cs="Times New Roman"/>
          <w:color w:val="000000" w:themeColor="text1"/>
          <w:spacing w:val="28"/>
          <w:sz w:val="48"/>
          <w:szCs w:val="48"/>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124460</wp:posOffset>
                </wp:positionH>
                <wp:positionV relativeFrom="paragraph">
                  <wp:posOffset>219710</wp:posOffset>
                </wp:positionV>
                <wp:extent cx="5760085" cy="8890"/>
                <wp:effectExtent l="0" t="31750" r="12065" b="35560"/>
                <wp:wrapNone/>
                <wp:docPr id="11" name="直接连接符 11"/>
                <wp:cNvGraphicFramePr/>
                <a:graphic xmlns:a="http://schemas.openxmlformats.org/drawingml/2006/main">
                  <a:graphicData uri="http://schemas.microsoft.com/office/word/2010/wordprocessingShape">
                    <wps:wsp>
                      <wps:cNvCnPr/>
                      <wps:spPr>
                        <a:xfrm>
                          <a:off x="0" y="0"/>
                          <a:ext cx="5760085" cy="8890"/>
                        </a:xfrm>
                        <a:prstGeom prst="line">
                          <a:avLst/>
                        </a:prstGeom>
                        <a:ln w="63500" cap="flat" cmpd="thinThick">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pt;margin-top:17.3pt;height:0.7pt;width:453.55pt;z-index:251670528;mso-width-relative:page;mso-height-relative:page;" filled="f" stroked="t" coordsize="21600,21600" o:gfxdata="UEsDBAoAAAAAAIdO4kAAAAAAAAAAAAAAAAAEAAAAZHJzL1BLAwQUAAAACACHTuJAK+Xz7NcAAAAI&#10;AQAADwAAAGRycy9kb3ducmV2LnhtbE2PwU7DMBBE70j9B2srcaN2SxVoiFOllbgUIaDwAW68JBH2&#10;Oo3dNvw9ywlOq9kZzb4t1qN34oxD7AJpmM8UCKQ62I4aDR/vjzf3IGIyZI0LhBq+McK6nFwVJrfh&#10;Qm943qdGcAnF3GhoU+pzKWPdojdxFnok9j7D4E1iOTTSDubC5d7JhVKZ9KYjvtCaHrct1l/7k9fw&#10;ir3b7VSzqV7c8vmpquxmPCatr6dz9QAi4Zj+wvCLz+hQMtMhnMhG4VivMk5quF3yZH+1yO5AHHiR&#10;KZBlIf8/UP4AUEsDBBQAAAAIAIdO4kB2jfel/wEAAPADAAAOAAAAZHJzL2Uyb0RvYy54bWytU0uO&#10;EzEQ3SNxB8t70p1BCaGVziwmDBsEkRgOUPEnbeGfbCedXIILILGDFUv23IbhGJTdmcwwbLKgF+6y&#10;q/yq3qvy/HJvNNmJEJWzLR2PakqEZY4ru2nph5vrZzNKYgLLQTsrWnoQkV4unj6Z974RF65zmotA&#10;EMTGpvct7VLyTVVF1gkDceS8sOiULhhIuA2bigfoEd3o6qKup1XvAvfBMREjni4HJz0ihnMAnZSK&#10;iaVjWyNsGlCD0JCQUuyUj3RRqpVSsPROyigS0S1FpqmsmATtdV6rxRyaTQDfKXYsAc4p4REnA8pi&#10;0hPUEhKQbVD/QBnFgotOphFzphqIFEWQxbh+pM37DrwoXFDq6E+ix/8Hy97uVoEojpMwpsSCwY7f&#10;fv7x69PX3z+/4Hr7/RtBD8rU+9hg9JVdheMu+lXInPcymPxHNmRfpD2cpBX7RBgeTl5M63o2oYSh&#10;bzZ7WZSv7u/6ENNr4QzJRku1spk4NLB7ExPmw9C7kHysLelbOn0+qbGRDHAMJbYfTeORSuqUvcGG&#10;fiwQ0WnFr5XW+WIMm/WVDmQHeSDKl8kh/F9hOdcSYjfEFdcwKp0A/spykg4elbL4QmiuxAhOiRb4&#10;oLKFgNAkUPqcSEytLVaQ9R0Uzdba8QM2ZuuD2nQoSGlBicFBKPUehzZP2sN9Qbp/qI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z7NcAAAAIAQAADwAAAAAAAAABACAAAAAiAAAAZHJzL2Rvd25y&#10;ZXYueG1sUEsBAhQAFAAAAAgAh07iQHaN96X/AQAA8AMAAA4AAAAAAAAAAQAgAAAAJgEAAGRycy9l&#10;Mm9Eb2MueG1sUEsFBgAAAAAGAAYAWQEAAJcFAAAAAA==&#10;">
                <v:fill on="f" focussize="0,0"/>
                <v:stroke weight="5pt" color="#000000 [3213]" linestyle="thinThick" joinstyle="round"/>
                <v:imagedata o:title=""/>
                <o:lock v:ext="edit" aspectratio="f"/>
              </v:line>
            </w:pict>
          </mc:Fallback>
        </mc:AlternateContent>
      </w:r>
    </w:p>
    <w:p w14:paraId="12FC4881">
      <w:pPr>
        <w:pStyle w:val="19"/>
        <w:widowControl/>
        <w:kinsoku w:val="0"/>
        <w:adjustRightInd w:val="0"/>
        <w:snapToGrid w:val="0"/>
        <w:spacing w:before="100" w:line="540" w:lineRule="exact"/>
        <w:ind w:left="2403" w:leftChars="347" w:hanging="1640" w:hangingChars="500"/>
        <w:textAlignment w:val="baseline"/>
        <w:rPr>
          <w:rFonts w:hint="eastAsia" w:ascii="仿宋" w:hAnsi="仿宋" w:eastAsia="仿宋" w:cs="仿宋"/>
          <w:snapToGrid w:val="0"/>
          <w:color w:val="auto"/>
          <w:spacing w:val="9"/>
          <w:sz w:val="31"/>
          <w:szCs w:val="31"/>
          <w:lang w:val="en-US" w:eastAsia="zh-CN" w:bidi="ar-SA"/>
        </w:rPr>
      </w:pPr>
      <w:r>
        <w:rPr>
          <w:rFonts w:hint="eastAsia" w:ascii="仿宋" w:hAnsi="仿宋" w:eastAsia="仿宋" w:cs="仿宋"/>
          <w:snapToGrid w:val="0"/>
          <w:color w:val="auto"/>
          <w:spacing w:val="9"/>
          <w:sz w:val="31"/>
          <w:szCs w:val="31"/>
          <w:lang w:val="en-US" w:eastAsia="zh-CN" w:bidi="ar-SA"/>
        </w:rPr>
        <w:t>采 购 人：金秀瑶族自治县桐木镇人民政府</w:t>
      </w:r>
    </w:p>
    <w:p w14:paraId="1D46DE28">
      <w:pPr>
        <w:pStyle w:val="19"/>
        <w:widowControl/>
        <w:kinsoku w:val="0"/>
        <w:adjustRightInd w:val="0"/>
        <w:snapToGrid w:val="0"/>
        <w:spacing w:before="100" w:line="540" w:lineRule="exact"/>
        <w:ind w:left="2403" w:leftChars="347" w:hanging="1640" w:hangingChars="500"/>
        <w:textAlignment w:val="baseline"/>
        <w:rPr>
          <w:rFonts w:hint="eastAsia" w:ascii="仿宋" w:hAnsi="仿宋" w:eastAsia="仿宋" w:cs="仿宋"/>
          <w:snapToGrid w:val="0"/>
          <w:color w:val="auto"/>
          <w:spacing w:val="9"/>
          <w:sz w:val="31"/>
          <w:szCs w:val="31"/>
          <w:lang w:val="en-US" w:eastAsia="zh-CN" w:bidi="ar-SA"/>
        </w:rPr>
      </w:pPr>
      <w:r>
        <w:rPr>
          <w:rFonts w:hint="eastAsia" w:ascii="仿宋" w:hAnsi="仿宋" w:eastAsia="仿宋" w:cs="仿宋"/>
          <w:snapToGrid w:val="0"/>
          <w:color w:val="auto"/>
          <w:spacing w:val="9"/>
          <w:sz w:val="31"/>
          <w:szCs w:val="31"/>
          <w:lang w:val="en-US" w:eastAsia="zh-CN" w:bidi="ar-SA"/>
        </w:rPr>
        <w:t>采购代理机构：中致远工程管理咨询有限公司</w:t>
      </w:r>
    </w:p>
    <w:p w14:paraId="5D37C118">
      <w:pPr>
        <w:spacing w:line="253" w:lineRule="auto"/>
        <w:rPr>
          <w:rFonts w:hint="eastAsia" w:ascii="仿宋" w:hAnsi="仿宋" w:eastAsia="仿宋" w:cs="仿宋"/>
          <w:color w:val="auto"/>
          <w:lang w:eastAsia="zh-CN"/>
        </w:rPr>
      </w:pPr>
    </w:p>
    <w:p w14:paraId="62329AC2">
      <w:pPr>
        <w:pStyle w:val="19"/>
        <w:widowControl/>
        <w:kinsoku w:val="0"/>
        <w:adjustRightInd w:val="0"/>
        <w:snapToGrid w:val="0"/>
        <w:spacing w:before="100" w:line="540" w:lineRule="exact"/>
        <w:ind w:left="2303" w:leftChars="1047" w:firstLine="984" w:firstLineChars="300"/>
        <w:textAlignment w:val="baseline"/>
        <w:rPr>
          <w:rFonts w:hint="eastAsia" w:ascii="仿宋" w:hAnsi="仿宋" w:eastAsia="仿宋" w:cs="仿宋"/>
          <w:snapToGrid w:val="0"/>
          <w:color w:val="auto"/>
          <w:spacing w:val="9"/>
          <w:sz w:val="31"/>
          <w:szCs w:val="31"/>
          <w:lang w:val="en-US" w:eastAsia="zh-CN" w:bidi="ar-SA"/>
        </w:rPr>
      </w:pPr>
      <w:r>
        <w:rPr>
          <w:rFonts w:hint="eastAsia" w:ascii="仿宋" w:hAnsi="仿宋" w:eastAsia="仿宋" w:cs="仿宋"/>
          <w:snapToGrid w:val="0"/>
          <w:color w:val="auto"/>
          <w:spacing w:val="9"/>
          <w:sz w:val="31"/>
          <w:szCs w:val="31"/>
          <w:lang w:val="en-US" w:eastAsia="zh-CN" w:bidi="ar-SA"/>
        </w:rPr>
        <w:t xml:space="preserve">2025年6月 </w:t>
      </w:r>
    </w:p>
    <w:p w14:paraId="6D763A76">
      <w:pPr>
        <w:spacing w:line="228" w:lineRule="auto"/>
        <w:rPr>
          <w:rFonts w:hint="eastAsia" w:ascii="仿宋" w:hAnsi="仿宋" w:eastAsia="仿宋" w:cs="仿宋"/>
          <w:color w:val="auto"/>
        </w:rPr>
        <w:sectPr>
          <w:footerReference r:id="rId3" w:type="default"/>
          <w:pgSz w:w="11910" w:h="16840"/>
          <w:pgMar w:top="1431" w:right="1786" w:bottom="688" w:left="963" w:header="0" w:footer="525" w:gutter="0"/>
          <w:cols w:space="720" w:num="1"/>
        </w:sectPr>
      </w:pPr>
    </w:p>
    <w:p w14:paraId="555DD948">
      <w:pPr>
        <w:pStyle w:val="19"/>
        <w:keepNext w:val="0"/>
        <w:keepLines w:val="0"/>
        <w:pageBreakBefore w:val="0"/>
        <w:widowControl w:val="0"/>
        <w:kinsoku/>
        <w:wordWrap/>
        <w:overflowPunct/>
        <w:topLinePunct w:val="0"/>
        <w:autoSpaceDE w:val="0"/>
        <w:autoSpaceDN w:val="0"/>
        <w:bidi w:val="0"/>
        <w:adjustRightInd/>
        <w:snapToGrid/>
        <w:spacing w:after="361" w:afterLines="100" w:line="740" w:lineRule="exact"/>
        <w:jc w:val="center"/>
        <w:textAlignment w:val="auto"/>
        <w:outlineLvl w:val="0"/>
        <w:rPr>
          <w:rFonts w:hint="eastAsia" w:ascii="Times New Roman" w:hAnsi="Times New Roman" w:cs="Times New Roman"/>
          <w:b/>
          <w:bCs/>
          <w:color w:val="000000" w:themeColor="text1"/>
          <w:sz w:val="48"/>
          <w:szCs w:val="48"/>
          <w:highlight w:val="none"/>
          <w14:textFill>
            <w14:solidFill>
              <w14:schemeClr w14:val="tx1"/>
            </w14:solidFill>
          </w14:textFill>
        </w:rPr>
      </w:pPr>
      <w:r>
        <w:rPr>
          <w:rFonts w:hint="eastAsia" w:ascii="Times New Roman" w:hAnsi="Times New Roman" w:cs="Times New Roman"/>
          <w:b/>
          <w:bCs/>
          <w:color w:val="000000" w:themeColor="text1"/>
          <w:sz w:val="48"/>
          <w:szCs w:val="48"/>
          <w:highlight w:val="none"/>
          <w14:textFill>
            <w14:solidFill>
              <w14:schemeClr w14:val="tx1"/>
            </w14:solidFill>
          </w14:textFill>
        </w:rPr>
        <w:t>目</w:t>
      </w:r>
      <w:r>
        <w:rPr>
          <w:rFonts w:hint="eastAsia" w:ascii="Times New Roman" w:hAnsi="Times New Roman" w:cs="Times New Roman"/>
          <w:b/>
          <w:bCs/>
          <w:color w:val="000000" w:themeColor="text1"/>
          <w:sz w:val="48"/>
          <w:szCs w:val="48"/>
          <w:highlight w:val="none"/>
          <w:lang w:val="en-US" w:eastAsia="zh-CN"/>
          <w14:textFill>
            <w14:solidFill>
              <w14:schemeClr w14:val="tx1"/>
            </w14:solidFill>
          </w14:textFill>
        </w:rPr>
        <w:t xml:space="preserve">          </w:t>
      </w:r>
      <w:r>
        <w:rPr>
          <w:rFonts w:hint="eastAsia" w:ascii="Times New Roman" w:hAnsi="Times New Roman" w:cs="Times New Roman"/>
          <w:b/>
          <w:bCs/>
          <w:color w:val="000000" w:themeColor="text1"/>
          <w:sz w:val="48"/>
          <w:szCs w:val="48"/>
          <w:highlight w:val="none"/>
          <w14:textFill>
            <w14:solidFill>
              <w14:schemeClr w14:val="tx1"/>
            </w14:solidFill>
          </w14:textFill>
        </w:rPr>
        <w:t>录</w:t>
      </w:r>
      <w:bookmarkEnd w:id="3"/>
      <w:bookmarkEnd w:id="4"/>
      <w:bookmarkEnd w:id="5"/>
      <w:bookmarkEnd w:id="6"/>
      <w:bookmarkEnd w:id="7"/>
      <w:bookmarkEnd w:id="8"/>
    </w:p>
    <w:p w14:paraId="5F762C78">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TOC \o "1-3" \h \u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_Toc12165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第一章</w:t>
      </w:r>
      <w:r>
        <w:rPr>
          <w:rFonts w:hint="default"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竞争性磋商公告</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_Toc12165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3</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02A96821">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_Toc1098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第</w:t>
      </w:r>
      <w:r>
        <w:rPr>
          <w:rFonts w:hint="default" w:ascii="Times New Roman" w:hAnsi="Times New Roman" w:eastAsia="宋体" w:cs="Times New Roman"/>
          <w:b/>
          <w:bCs w:val="0"/>
          <w:color w:val="000000" w:themeColor="text1"/>
          <w:sz w:val="32"/>
          <w:szCs w:val="32"/>
          <w:highlight w:val="none"/>
          <w:lang w:eastAsia="zh-CN"/>
          <w14:textFill>
            <w14:solidFill>
              <w14:schemeClr w14:val="tx1"/>
            </w14:solidFill>
          </w14:textFill>
        </w:rPr>
        <w:t>二</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章  供应商须知</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_Toc1098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7</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4E525F05">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_Toc13900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供应商须知前附表</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_Toc13900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7</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480BCA45">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_Toc30172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供应商须知</w:t>
      </w:r>
      <w:r>
        <w:rPr>
          <w:rFonts w:hint="default" w:ascii="Times New Roman" w:hAnsi="Times New Roman" w:eastAsia="宋体" w:cs="Times New Roman"/>
          <w:b w:val="0"/>
          <w:bCs/>
          <w:color w:val="000000" w:themeColor="text1"/>
          <w:sz w:val="32"/>
          <w:szCs w:val="32"/>
          <w:highlight w:val="none"/>
          <w:lang w:eastAsia="zh-CN"/>
          <w14:textFill>
            <w14:solidFill>
              <w14:schemeClr w14:val="tx1"/>
            </w14:solidFill>
          </w14:textFill>
        </w:rPr>
        <w:t>正文</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_Toc30172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13</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0EF0E1F6">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_Toc25529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一、总则</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_Toc25529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13</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5D2B9409">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_Toc23415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二、</w:t>
      </w:r>
      <w:r>
        <w:rPr>
          <w:rFonts w:hint="default" w:ascii="Times New Roman" w:hAnsi="Times New Roman" w:eastAsia="宋体" w:cs="Times New Roman"/>
          <w:b w:val="0"/>
          <w:bCs/>
          <w:color w:val="000000" w:themeColor="text1"/>
          <w:sz w:val="32"/>
          <w:szCs w:val="32"/>
          <w:highlight w:val="none"/>
          <w:lang w:eastAsia="zh-CN"/>
          <w14:textFill>
            <w14:solidFill>
              <w14:schemeClr w14:val="tx1"/>
            </w14:solidFill>
          </w14:textFill>
        </w:rPr>
        <w:t>竞争性磋商文件</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_Toc23415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15</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4CD2647A">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_Toc15467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三、</w:t>
      </w:r>
      <w:r>
        <w:rPr>
          <w:rFonts w:hint="default" w:ascii="Times New Roman" w:hAnsi="Times New Roman" w:eastAsia="宋体" w:cs="Times New Roman"/>
          <w:b w:val="0"/>
          <w:bCs/>
          <w:color w:val="000000" w:themeColor="text1"/>
          <w:sz w:val="32"/>
          <w:szCs w:val="32"/>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的编制</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_Toc15467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16</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6A00DC71">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val="0"/>
          <w:bCs/>
          <w:color w:val="000000" w:themeColor="text1"/>
          <w:sz w:val="32"/>
          <w:szCs w:val="32"/>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_Toc23663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四、评审及磋商</w:t>
      </w:r>
      <w:r>
        <w:rPr>
          <w:rFonts w:hint="default" w:ascii="Times New Roman" w:hAnsi="Times New Roman" w:eastAsia="宋体" w:cs="Times New Roman"/>
          <w:b w:val="0"/>
          <w:bCs/>
          <w:color w:val="000000" w:themeColor="text1"/>
          <w:sz w:val="32"/>
          <w:szCs w:val="32"/>
          <w14:textFill>
            <w14:solidFill>
              <w14:schemeClr w14:val="tx1"/>
            </w14:solidFill>
          </w14:textFill>
        </w:rPr>
        <w:tab/>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14:textFill>
            <w14:solidFill>
              <w14:schemeClr w14:val="tx1"/>
            </w14:solidFill>
          </w14:textFill>
        </w:rPr>
        <w:instrText xml:space="preserve"> PAGEREF _Toc23663 \h </w:instrTex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14:textFill>
            <w14:solidFill>
              <w14:schemeClr w14:val="tx1"/>
            </w14:solidFill>
          </w14:textFill>
        </w:rPr>
        <w:t>20</w:t>
      </w:r>
      <w:r>
        <w:rPr>
          <w:rFonts w:hint="default" w:ascii="Times New Roman" w:hAnsi="Times New Roman" w:eastAsia="宋体"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279E09A3">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_Toc8565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kern w:val="44"/>
          <w:sz w:val="32"/>
          <w:szCs w:val="32"/>
          <w:highlight w:val="none"/>
          <w:lang w:val="en-US" w:bidi="ar-SA"/>
          <w14:textFill>
            <w14:solidFill>
              <w14:schemeClr w14:val="tx1"/>
            </w14:solidFill>
          </w14:textFill>
        </w:rPr>
        <w:t>第三章  采购需求</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_Toc8565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27</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6266620D">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_Toc23073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lang w:val="en-US"/>
          <w14:textFill>
            <w14:solidFill>
              <w14:schemeClr w14:val="tx1"/>
            </w14:solidFill>
          </w14:textFill>
        </w:rPr>
        <w:t>第</w:t>
      </w:r>
      <w:r>
        <w:rPr>
          <w:rFonts w:hint="default"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宋体" w:cs="Times New Roman"/>
          <w:b/>
          <w:bCs w:val="0"/>
          <w:color w:val="000000" w:themeColor="text1"/>
          <w:sz w:val="32"/>
          <w:szCs w:val="32"/>
          <w:highlight w:val="none"/>
          <w:lang w:val="en-US"/>
          <w14:textFill>
            <w14:solidFill>
              <w14:schemeClr w14:val="tx1"/>
            </w14:solidFill>
          </w14:textFill>
        </w:rPr>
        <w:t xml:space="preserve">章  </w:t>
      </w:r>
      <w:r>
        <w:rPr>
          <w:rFonts w:hint="default"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t>评审程序、评审方法和评审标准</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_Toc23073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30</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4250D0D5">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_Toc2234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第</w:t>
      </w:r>
      <w:r>
        <w:rPr>
          <w:rFonts w:hint="default" w:ascii="Times New Roman" w:hAnsi="Times New Roman" w:eastAsia="宋体" w:cs="Times New Roman"/>
          <w:b/>
          <w:bCs w:val="0"/>
          <w:color w:val="000000" w:themeColor="text1"/>
          <w:sz w:val="32"/>
          <w:szCs w:val="32"/>
          <w:highlight w:val="none"/>
          <w:lang w:eastAsia="zh-CN"/>
          <w14:textFill>
            <w14:solidFill>
              <w14:schemeClr w14:val="tx1"/>
            </w14:solidFill>
          </w14:textFill>
        </w:rPr>
        <w:t>五</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章</w:t>
      </w:r>
      <w:r>
        <w:rPr>
          <w:rFonts w:hint="default" w:ascii="Times New Roman" w:hAnsi="Times New Roman" w:eastAsia="宋体" w:cs="Times New Roman"/>
          <w:b/>
          <w:bCs w:val="0"/>
          <w:color w:val="000000" w:themeColor="text1"/>
          <w:sz w:val="32"/>
          <w:szCs w:val="32"/>
          <w:highlight w:val="none"/>
          <w:lang w:val="en-US"/>
          <w14:textFill>
            <w14:solidFill>
              <w14:schemeClr w14:val="tx1"/>
            </w14:solidFill>
          </w14:textFill>
        </w:rPr>
        <w:t xml:space="preserve">  </w:t>
      </w:r>
      <w:r>
        <w:rPr>
          <w:rFonts w:hint="default"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t>响应文件</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格式</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_Toc2234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40</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6443C956">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_Toc18806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第</w:t>
      </w:r>
      <w:r>
        <w:rPr>
          <w:rFonts w:hint="default" w:ascii="Times New Roman" w:hAnsi="Times New Roman" w:eastAsia="宋体" w:cs="Times New Roman"/>
          <w:b/>
          <w:bCs w:val="0"/>
          <w:color w:val="000000" w:themeColor="text1"/>
          <w:sz w:val="32"/>
          <w:szCs w:val="32"/>
          <w:highlight w:val="none"/>
          <w:lang w:eastAsia="zh-CN"/>
          <w14:textFill>
            <w14:solidFill>
              <w14:schemeClr w14:val="tx1"/>
            </w14:solidFill>
          </w14:textFill>
        </w:rPr>
        <w:t>六</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章</w:t>
      </w:r>
      <w:r>
        <w:rPr>
          <w:rFonts w:hint="default" w:ascii="Times New Roman" w:hAnsi="Times New Roman" w:eastAsia="宋体" w:cs="Times New Roman"/>
          <w:b/>
          <w:bCs w:val="0"/>
          <w:color w:val="000000" w:themeColor="text1"/>
          <w:sz w:val="32"/>
          <w:szCs w:val="32"/>
          <w:highlight w:val="none"/>
          <w:lang w:val="en-US"/>
          <w14:textFill>
            <w14:solidFill>
              <w14:schemeClr w14:val="tx1"/>
            </w14:solidFill>
          </w14:textFill>
        </w:rPr>
        <w:t xml:space="preserve">  </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工程量清单及图纸（另册）</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_Toc18806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79</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3EE30C57">
      <w:pPr>
        <w:pStyle w:val="32"/>
        <w:keepNext w:val="0"/>
        <w:keepLines w:val="0"/>
        <w:pageBreakBefore w:val="0"/>
        <w:widowControl w:val="0"/>
        <w:tabs>
          <w:tab w:val="right" w:leader="dot" w:pos="8782"/>
        </w:tabs>
        <w:kinsoku/>
        <w:wordWrap/>
        <w:overflowPunct/>
        <w:topLinePunct w:val="0"/>
        <w:autoSpaceDE w:val="0"/>
        <w:autoSpaceDN w:val="0"/>
        <w:bidi w:val="0"/>
        <w:adjustRightInd/>
        <w:snapToGrid/>
        <w:spacing w:before="0" w:line="790" w:lineRule="exact"/>
        <w:textAlignment w:val="auto"/>
        <w:rPr>
          <w:rFonts w:hint="default" w:ascii="Times New Roman" w:hAnsi="Times New Roman" w:eastAsia="宋体" w:cs="Times New Roman"/>
          <w:b/>
          <w:bCs w:val="0"/>
          <w:color w:val="000000" w:themeColor="text1"/>
          <w:sz w:val="32"/>
          <w:szCs w:val="32"/>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instrText xml:space="preserve"> HYPERLINK \l _Toc26583 </w:instrTex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第</w:t>
      </w:r>
      <w:r>
        <w:rPr>
          <w:rFonts w:hint="default" w:ascii="Times New Roman" w:hAnsi="Times New Roman" w:eastAsia="宋体" w:cs="Times New Roman"/>
          <w:b/>
          <w:bCs w:val="0"/>
          <w:color w:val="000000" w:themeColor="text1"/>
          <w:sz w:val="32"/>
          <w:szCs w:val="32"/>
          <w:highlight w:val="none"/>
          <w:lang w:eastAsia="zh-CN"/>
          <w14:textFill>
            <w14:solidFill>
              <w14:schemeClr w14:val="tx1"/>
            </w14:solidFill>
          </w14:textFill>
        </w:rPr>
        <w:t>七</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章</w:t>
      </w:r>
      <w:r>
        <w:rPr>
          <w:rFonts w:hint="default" w:ascii="Times New Roman" w:hAnsi="Times New Roman" w:eastAsia="宋体" w:cs="Times New Roman"/>
          <w:b/>
          <w:bCs w:val="0"/>
          <w:color w:val="000000" w:themeColor="text1"/>
          <w:sz w:val="32"/>
          <w:szCs w:val="32"/>
          <w:highlight w:val="none"/>
          <w:lang w:val="en-US"/>
          <w14:textFill>
            <w14:solidFill>
              <w14:schemeClr w14:val="tx1"/>
            </w14:solidFill>
          </w14:textFill>
        </w:rPr>
        <w:t xml:space="preserve"> </w:t>
      </w:r>
      <w:r>
        <w:rPr>
          <w:rFonts w:hint="eastAsia"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t>合同条款及格式</w:t>
      </w:r>
      <w:r>
        <w:rPr>
          <w:rFonts w:hint="default" w:ascii="Times New Roman" w:hAnsi="Times New Roman" w:eastAsia="宋体" w:cs="Times New Roman"/>
          <w:b/>
          <w:bCs w:val="0"/>
          <w:color w:val="000000" w:themeColor="text1"/>
          <w:sz w:val="32"/>
          <w:szCs w:val="32"/>
          <w14:textFill>
            <w14:solidFill>
              <w14:schemeClr w14:val="tx1"/>
            </w14:solidFill>
          </w14:textFill>
        </w:rPr>
        <w:tab/>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begin"/>
      </w:r>
      <w:r>
        <w:rPr>
          <w:rFonts w:hint="default" w:ascii="Times New Roman" w:hAnsi="Times New Roman" w:eastAsia="宋体" w:cs="Times New Roman"/>
          <w:b/>
          <w:bCs w:val="0"/>
          <w:color w:val="000000" w:themeColor="text1"/>
          <w:sz w:val="32"/>
          <w:szCs w:val="32"/>
          <w14:textFill>
            <w14:solidFill>
              <w14:schemeClr w14:val="tx1"/>
            </w14:solidFill>
          </w14:textFill>
        </w:rPr>
        <w:instrText xml:space="preserve"> PAGEREF _Toc26583 \h </w:instrTex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b/>
          <w:bCs w:val="0"/>
          <w:color w:val="000000" w:themeColor="text1"/>
          <w:sz w:val="32"/>
          <w:szCs w:val="32"/>
          <w14:textFill>
            <w14:solidFill>
              <w14:schemeClr w14:val="tx1"/>
            </w14:solidFill>
          </w14:textFill>
        </w:rPr>
        <w:t>80</w:t>
      </w:r>
      <w:r>
        <w:rPr>
          <w:rFonts w:hint="default" w:ascii="Times New Roman" w:hAnsi="Times New Roman" w:eastAsia="宋体" w:cs="Times New Roman"/>
          <w:b/>
          <w:bCs w:val="0"/>
          <w:color w:val="000000" w:themeColor="text1"/>
          <w:sz w:val="32"/>
          <w:szCs w:val="32"/>
          <w14:textFill>
            <w14:solidFill>
              <w14:schemeClr w14:val="tx1"/>
            </w14:solidFill>
          </w14:textFill>
        </w:rPr>
        <w:fldChar w:fldCharType="end"/>
      </w: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p>
    <w:p w14:paraId="3B74854E">
      <w:pPr>
        <w:pStyle w:val="32"/>
        <w:keepNext w:val="0"/>
        <w:keepLines w:val="0"/>
        <w:pageBreakBefore w:val="0"/>
        <w:widowControl w:val="0"/>
        <w:tabs>
          <w:tab w:val="right" w:leader="dot" w:pos="8906"/>
        </w:tabs>
        <w:kinsoku/>
        <w:wordWrap/>
        <w:overflowPunct/>
        <w:topLinePunct w:val="0"/>
        <w:autoSpaceDE w:val="0"/>
        <w:autoSpaceDN w:val="0"/>
        <w:bidi w:val="0"/>
        <w:adjustRightInd/>
        <w:snapToGrid/>
        <w:spacing w:before="0" w:after="541" w:afterLines="150" w:line="790" w:lineRule="exact"/>
        <w:ind w:left="0" w:leftChars="0" w:firstLine="0" w:firstLineChars="0"/>
        <w:jc w:val="center"/>
        <w:textAlignment w:val="auto"/>
        <w:outlineLvl w:val="0"/>
        <w:rPr>
          <w:rFonts w:hint="default" w:ascii="Times New Roman" w:hAnsi="Times New Roman" w:eastAsia="宋体" w:cs="Times New Roman"/>
          <w:b/>
          <w:bCs w:val="0"/>
          <w:color w:val="000000" w:themeColor="text1"/>
          <w:sz w:val="32"/>
          <w:szCs w:val="32"/>
          <w:highlight w:val="none"/>
          <w14:textFill>
            <w14:solidFill>
              <w14:schemeClr w14:val="tx1"/>
            </w14:solidFill>
          </w14:textFill>
        </w:rPr>
      </w:pPr>
      <w:r>
        <w:rPr>
          <w:rFonts w:hint="default" w:ascii="Times New Roman" w:hAnsi="Times New Roman" w:eastAsia="宋体" w:cs="Times New Roman"/>
          <w:b/>
          <w:bCs w:val="0"/>
          <w:color w:val="000000" w:themeColor="text1"/>
          <w:sz w:val="32"/>
          <w:szCs w:val="32"/>
          <w:highlight w:val="none"/>
          <w14:textFill>
            <w14:solidFill>
              <w14:schemeClr w14:val="tx1"/>
            </w14:solidFill>
          </w14:textFill>
        </w:rPr>
        <w:fldChar w:fldCharType="end"/>
      </w:r>
      <w:bookmarkStart w:id="12" w:name="_Toc8070"/>
      <w:bookmarkStart w:id="13" w:name="_Toc12165"/>
    </w:p>
    <w:p w14:paraId="138CF403">
      <w:pPr>
        <w:pStyle w:val="32"/>
        <w:keepNext w:val="0"/>
        <w:keepLines w:val="0"/>
        <w:pageBreakBefore w:val="0"/>
        <w:widowControl w:val="0"/>
        <w:tabs>
          <w:tab w:val="right" w:leader="dot" w:pos="8906"/>
        </w:tabs>
        <w:kinsoku/>
        <w:wordWrap/>
        <w:overflowPunct/>
        <w:topLinePunct w:val="0"/>
        <w:autoSpaceDE w:val="0"/>
        <w:autoSpaceDN w:val="0"/>
        <w:bidi w:val="0"/>
        <w:adjustRightInd/>
        <w:snapToGrid/>
        <w:spacing w:before="0" w:after="541" w:afterLines="150" w:line="790" w:lineRule="exact"/>
        <w:ind w:left="0" w:leftChars="0" w:firstLine="0" w:firstLineChars="0"/>
        <w:jc w:val="center"/>
        <w:textAlignment w:val="auto"/>
        <w:outlineLvl w:val="0"/>
        <w:rPr>
          <w:rFonts w:hint="default" w:ascii="Times New Roman" w:hAnsi="Times New Roman" w:eastAsia="宋体" w:cs="Times New Roman"/>
          <w:b/>
          <w:bCs w:val="0"/>
          <w:color w:val="000000" w:themeColor="text1"/>
          <w:sz w:val="32"/>
          <w:szCs w:val="32"/>
          <w:highlight w:val="none"/>
          <w14:textFill>
            <w14:solidFill>
              <w14:schemeClr w14:val="tx1"/>
            </w14:solidFill>
          </w14:textFill>
        </w:rPr>
      </w:pPr>
    </w:p>
    <w:p w14:paraId="526CB81C">
      <w:pPr>
        <w:pStyle w:val="32"/>
        <w:keepNext w:val="0"/>
        <w:keepLines w:val="0"/>
        <w:pageBreakBefore w:val="0"/>
        <w:widowControl w:val="0"/>
        <w:tabs>
          <w:tab w:val="right" w:leader="dot" w:pos="8906"/>
        </w:tabs>
        <w:kinsoku/>
        <w:wordWrap/>
        <w:overflowPunct/>
        <w:topLinePunct w:val="0"/>
        <w:autoSpaceDE w:val="0"/>
        <w:autoSpaceDN w:val="0"/>
        <w:bidi w:val="0"/>
        <w:adjustRightInd/>
        <w:snapToGrid/>
        <w:spacing w:before="0" w:after="361" w:afterLines="100" w:line="570" w:lineRule="exact"/>
        <w:ind w:left="227" w:firstLine="1807" w:firstLineChars="500"/>
        <w:jc w:val="both"/>
        <w:textAlignment w:val="auto"/>
        <w:outlineLvl w:val="0"/>
        <w:rPr>
          <w:rFonts w:hint="eastAsia" w:ascii="黑体" w:hAnsi="黑体" w:eastAsia="黑体" w:cs="黑体"/>
          <w:b/>
          <w:bCs/>
          <w:color w:val="000000" w:themeColor="text1"/>
          <w:sz w:val="36"/>
          <w:szCs w:val="36"/>
          <w:highlight w:val="none"/>
          <w14:textFill>
            <w14:solidFill>
              <w14:schemeClr w14:val="tx1"/>
            </w14:solidFill>
          </w14:textFill>
        </w:rPr>
      </w:pPr>
    </w:p>
    <w:p w14:paraId="66178CF3">
      <w:pPr>
        <w:pStyle w:val="32"/>
        <w:keepNext w:val="0"/>
        <w:keepLines w:val="0"/>
        <w:pageBreakBefore w:val="0"/>
        <w:widowControl w:val="0"/>
        <w:tabs>
          <w:tab w:val="right" w:leader="dot" w:pos="8906"/>
        </w:tabs>
        <w:kinsoku/>
        <w:wordWrap/>
        <w:overflowPunct/>
        <w:topLinePunct w:val="0"/>
        <w:autoSpaceDE w:val="0"/>
        <w:autoSpaceDN w:val="0"/>
        <w:bidi w:val="0"/>
        <w:adjustRightInd/>
        <w:snapToGrid/>
        <w:spacing w:before="0" w:after="361" w:afterLines="100" w:line="570" w:lineRule="exact"/>
        <w:ind w:left="227" w:firstLine="1807" w:firstLineChars="500"/>
        <w:jc w:val="both"/>
        <w:textAlignment w:val="auto"/>
        <w:outlineLvl w:val="0"/>
        <w:rPr>
          <w:rFonts w:hint="eastAsia" w:ascii="黑体" w:hAnsi="黑体" w:eastAsia="黑体" w:cs="黑体"/>
          <w:b/>
          <w:bCs/>
          <w:color w:val="000000" w:themeColor="text1"/>
          <w:sz w:val="36"/>
          <w:szCs w:val="36"/>
          <w:highlight w:val="none"/>
          <w14:textFill>
            <w14:solidFill>
              <w14:schemeClr w14:val="tx1"/>
            </w14:solidFill>
          </w14:textFill>
        </w:rPr>
      </w:pPr>
      <w:r>
        <w:rPr>
          <w:rFonts w:hint="eastAsia" w:ascii="黑体" w:hAnsi="黑体" w:eastAsia="黑体" w:cs="黑体"/>
          <w:b/>
          <w:bCs/>
          <w:color w:val="000000" w:themeColor="text1"/>
          <w:sz w:val="36"/>
          <w:szCs w:val="36"/>
          <w:highlight w:val="none"/>
          <w14:textFill>
            <w14:solidFill>
              <w14:schemeClr w14:val="tx1"/>
            </w14:solidFill>
          </w14:textFill>
        </w:rPr>
        <w:t>第一章</w:t>
      </w:r>
      <w:r>
        <w:rPr>
          <w:rFonts w:hint="eastAsia" w:ascii="黑体" w:hAnsi="黑体" w:eastAsia="黑体" w:cs="黑体"/>
          <w:b/>
          <w:bCs/>
          <w:color w:val="000000" w:themeColor="text1"/>
          <w:sz w:val="36"/>
          <w:szCs w:val="36"/>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竞争性磋商公告</w:t>
      </w:r>
      <w:bookmarkEnd w:id="12"/>
      <w:bookmarkEnd w:id="13"/>
    </w:p>
    <w:p w14:paraId="2C0F317A">
      <w:pPr>
        <w:keepNext w:val="0"/>
        <w:keepLines w:val="0"/>
        <w:pageBreakBefore w:val="0"/>
        <w:widowControl/>
        <w:suppressLineNumbers w:val="0"/>
        <w:kinsoku/>
        <w:wordWrap/>
        <w:overflowPunct/>
        <w:topLinePunct w:val="0"/>
        <w:autoSpaceDE w:val="0"/>
        <w:autoSpaceDN w:val="0"/>
        <w:bidi w:val="0"/>
        <w:adjustRightInd/>
        <w:snapToGrid/>
        <w:spacing w:after="625" w:afterLines="200" w:line="550" w:lineRule="exact"/>
        <w:jc w:val="center"/>
        <w:textAlignment w:val="auto"/>
        <w:outlineLvl w:val="0"/>
        <w:rPr>
          <w:rFonts w:hint="default" w:ascii="Times New Roman" w:hAnsi="Times New Roman" w:eastAsia="宋体" w:cs="Times New Roman"/>
          <w:b/>
          <w:bCs/>
          <w:color w:val="000000" w:themeColor="text1"/>
          <w:sz w:val="24"/>
          <w:szCs w:val="24"/>
          <w:highlight w:val="none"/>
          <w:lang w:val="en-US"/>
          <w14:textFill>
            <w14:solidFill>
              <w14:schemeClr w14:val="tx1"/>
            </w14:solidFill>
          </w14:textFill>
        </w:rPr>
      </w:pPr>
      <w:bookmarkStart w:id="14" w:name="_Toc1324"/>
      <w:bookmarkStart w:id="15" w:name="OLE_LINK52"/>
      <w:bookmarkStart w:id="16" w:name="OLE_LINK47"/>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中致远工程管理咨询有限公司</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关于</w:t>
      </w:r>
      <w:bookmarkStart w:id="17" w:name="_Toc23187"/>
      <w:r>
        <w:rPr>
          <w:rFonts w:hint="eastAsia" w:ascii="Times New Roman" w:hAnsi="Times New Roman" w:cs="Times New Roman"/>
          <w:b/>
          <w:bCs/>
          <w:color w:val="000000" w:themeColor="text1"/>
          <w:kern w:val="0"/>
          <w:sz w:val="24"/>
          <w:szCs w:val="24"/>
          <w:highlight w:val="none"/>
          <w:lang w:val="en-US" w:eastAsia="zh-CN" w:bidi="ar"/>
          <w14:textFill>
            <w14:solidFill>
              <w14:schemeClr w14:val="tx1"/>
            </w14:solidFill>
          </w14:textFill>
        </w:rPr>
        <w:t>金秀瑶族自治县桐木镇耕地提质改造（旱改水）修复项目</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LBZC2025-C2-240038-ZZYG</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）竞争性磋商公告</w:t>
      </w:r>
      <w:bookmarkEnd w:id="9"/>
      <w:bookmarkEnd w:id="10"/>
      <w:bookmarkEnd w:id="14"/>
      <w:bookmarkEnd w:id="17"/>
    </w:p>
    <w:bookmarkEnd w:id="15"/>
    <w:p w14:paraId="090DCA1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beforeAutospacing="0" w:afterAutospacing="0" w:line="460" w:lineRule="exact"/>
        <w:ind w:firstLine="420" w:firstLineChars="200"/>
        <w:textAlignment w:val="auto"/>
        <w:rPr>
          <w:rFonts w:hint="default" w:ascii="Times New Roman" w:hAnsi="Times New Roman" w:eastAsia="宋体" w:cs="Times New Roman"/>
          <w:bCs/>
          <w:i w:val="0"/>
          <w:i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i w:val="0"/>
          <w:iCs w:val="0"/>
          <w:color w:val="000000" w:themeColor="text1"/>
          <w:spacing w:val="0"/>
          <w:sz w:val="21"/>
          <w:szCs w:val="21"/>
          <w:highlight w:val="none"/>
          <w14:textFill>
            <w14:solidFill>
              <w14:schemeClr w14:val="tx1"/>
            </w14:solidFill>
          </w14:textFill>
        </w:rPr>
        <w:t>项目概况</w:t>
      </w:r>
    </w:p>
    <w:p w14:paraId="31211356">
      <w:pPr>
        <w:keepNext w:val="0"/>
        <w:keepLines w:val="0"/>
        <w:pageBreakBefore w:val="0"/>
        <w:widowControl w:val="0"/>
        <w:pBdr>
          <w:top w:val="single" w:color="auto" w:sz="4" w:space="1"/>
          <w:left w:val="single" w:color="auto" w:sz="4" w:space="4"/>
          <w:bottom w:val="single" w:color="auto" w:sz="4" w:space="1"/>
          <w:right w:val="single" w:color="auto" w:sz="4" w:space="4"/>
        </w:pBdr>
        <w:kinsoku w:val="0"/>
        <w:wordWrap/>
        <w:overflowPunct w:val="0"/>
        <w:topLinePunct w:val="0"/>
        <w:autoSpaceDE/>
        <w:autoSpaceDN/>
        <w:bidi w:val="0"/>
        <w:adjustRightInd/>
        <w:snapToGrid/>
        <w:spacing w:beforeAutospacing="0" w:afterAutospacing="0" w:line="460" w:lineRule="exact"/>
        <w:ind w:firstLine="420" w:firstLineChars="200"/>
        <w:textAlignment w:val="auto"/>
        <w:rPr>
          <w:rFonts w:hint="default" w:ascii="Times New Roman" w:hAnsi="Times New Roman" w:eastAsia="宋体" w:cs="Times New Roman"/>
          <w:bCs/>
          <w:i w:val="0"/>
          <w:iCs w:val="0"/>
          <w:color w:val="auto"/>
          <w:spacing w:val="0"/>
          <w:sz w:val="21"/>
          <w:szCs w:val="21"/>
          <w:highlight w:val="none"/>
        </w:rPr>
      </w:pPr>
      <w:r>
        <w:rPr>
          <w:rFonts w:hint="eastAsia" w:ascii="Times New Roman" w:hAnsi="Times New Roman" w:cs="Times New Roman"/>
          <w:bCs/>
          <w:i w:val="0"/>
          <w:iCs w:val="0"/>
          <w:color w:val="000000" w:themeColor="text1"/>
          <w:spacing w:val="0"/>
          <w:sz w:val="21"/>
          <w:szCs w:val="21"/>
          <w:highlight w:val="none"/>
          <w:lang w:val="en-US" w:eastAsia="zh-CN"/>
          <w14:textFill>
            <w14:solidFill>
              <w14:schemeClr w14:val="tx1"/>
            </w14:solidFill>
          </w14:textFill>
        </w:rPr>
        <w:t>金秀瑶族自治县桐木镇耕地提质改造（旱改水）修复项目</w:t>
      </w:r>
      <w:r>
        <w:rPr>
          <w:rFonts w:hint="default" w:ascii="Times New Roman" w:hAnsi="Times New Roman" w:eastAsia="宋体" w:cs="Times New Roman"/>
          <w:bCs/>
          <w:i w:val="0"/>
          <w:iCs w:val="0"/>
          <w:color w:val="auto"/>
          <w:spacing w:val="0"/>
          <w:sz w:val="21"/>
          <w:szCs w:val="21"/>
          <w:highlight w:val="none"/>
        </w:rPr>
        <w:t>的潜在供应商应在</w:t>
      </w:r>
      <w:r>
        <w:rPr>
          <w:rFonts w:hint="default" w:ascii="Times New Roman" w:hAnsi="Times New Roman" w:eastAsia="宋体" w:cs="Times New Roman"/>
          <w:bCs/>
          <w:i w:val="0"/>
          <w:iCs w:val="0"/>
          <w:color w:val="auto"/>
          <w:spacing w:val="0"/>
          <w:sz w:val="21"/>
          <w:szCs w:val="21"/>
          <w:highlight w:val="none"/>
          <w:lang w:eastAsia="zh-CN"/>
        </w:rPr>
        <w:t>广西政府采购云平台（https://www.gcy.zfcg.gxzf.gov.cn/）</w:t>
      </w:r>
      <w:r>
        <w:rPr>
          <w:rFonts w:hint="default" w:ascii="Times New Roman" w:hAnsi="Times New Roman" w:eastAsia="宋体" w:cs="Times New Roman"/>
          <w:bCs/>
          <w:i w:val="0"/>
          <w:iCs w:val="0"/>
          <w:color w:val="auto"/>
          <w:spacing w:val="0"/>
          <w:sz w:val="21"/>
          <w:szCs w:val="21"/>
          <w:highlight w:val="none"/>
        </w:rPr>
        <w:t>获取</w:t>
      </w:r>
      <w:r>
        <w:rPr>
          <w:rFonts w:hint="default" w:ascii="Times New Roman" w:hAnsi="Times New Roman" w:eastAsia="宋体" w:cs="Times New Roman"/>
          <w:bCs/>
          <w:i w:val="0"/>
          <w:iCs w:val="0"/>
          <w:color w:val="auto"/>
          <w:spacing w:val="0"/>
          <w:sz w:val="21"/>
          <w:szCs w:val="21"/>
          <w:highlight w:val="none"/>
          <w:lang w:eastAsia="zh-CN"/>
        </w:rPr>
        <w:t>竞争性磋商</w:t>
      </w:r>
      <w:r>
        <w:rPr>
          <w:rFonts w:hint="default" w:ascii="Times New Roman" w:hAnsi="Times New Roman" w:eastAsia="宋体" w:cs="Times New Roman"/>
          <w:bCs/>
          <w:i w:val="0"/>
          <w:iCs w:val="0"/>
          <w:color w:val="auto"/>
          <w:spacing w:val="0"/>
          <w:sz w:val="21"/>
          <w:szCs w:val="21"/>
          <w:highlight w:val="none"/>
        </w:rPr>
        <w:t>文件，并于202</w:t>
      </w:r>
      <w:r>
        <w:rPr>
          <w:rFonts w:hint="eastAsia" w:ascii="Times New Roman" w:hAnsi="Times New Roman" w:cs="Times New Roman"/>
          <w:bCs/>
          <w:i w:val="0"/>
          <w:iCs w:val="0"/>
          <w:color w:val="auto"/>
          <w:spacing w:val="0"/>
          <w:sz w:val="21"/>
          <w:szCs w:val="21"/>
          <w:highlight w:val="none"/>
          <w:lang w:val="en-US" w:eastAsia="zh-CN"/>
        </w:rPr>
        <w:t>5</w:t>
      </w:r>
      <w:r>
        <w:rPr>
          <w:rFonts w:hint="default" w:ascii="Times New Roman" w:hAnsi="Times New Roman" w:eastAsia="宋体" w:cs="Times New Roman"/>
          <w:bCs/>
          <w:i w:val="0"/>
          <w:iCs w:val="0"/>
          <w:color w:val="auto"/>
          <w:spacing w:val="0"/>
          <w:sz w:val="21"/>
          <w:szCs w:val="21"/>
          <w:highlight w:val="none"/>
        </w:rPr>
        <w:t>年</w:t>
      </w:r>
      <w:r>
        <w:rPr>
          <w:rFonts w:hint="eastAsia" w:ascii="Times New Roman" w:hAnsi="Times New Roman" w:cs="Times New Roman"/>
          <w:bCs/>
          <w:i w:val="0"/>
          <w:iCs w:val="0"/>
          <w:color w:val="auto"/>
          <w:spacing w:val="0"/>
          <w:sz w:val="21"/>
          <w:szCs w:val="21"/>
          <w:highlight w:val="none"/>
          <w:lang w:val="en-US" w:eastAsia="zh-CN"/>
        </w:rPr>
        <w:t>7</w:t>
      </w:r>
      <w:r>
        <w:rPr>
          <w:rFonts w:hint="default" w:ascii="Times New Roman" w:hAnsi="Times New Roman" w:eastAsia="宋体" w:cs="Times New Roman"/>
          <w:bCs/>
          <w:i w:val="0"/>
          <w:iCs w:val="0"/>
          <w:color w:val="auto"/>
          <w:spacing w:val="0"/>
          <w:sz w:val="21"/>
          <w:szCs w:val="21"/>
          <w:highlight w:val="none"/>
        </w:rPr>
        <w:t>月</w:t>
      </w:r>
      <w:r>
        <w:rPr>
          <w:rFonts w:hint="eastAsia" w:ascii="Times New Roman" w:hAnsi="Times New Roman" w:cs="Times New Roman"/>
          <w:bCs/>
          <w:i w:val="0"/>
          <w:iCs w:val="0"/>
          <w:color w:val="auto"/>
          <w:spacing w:val="0"/>
          <w:sz w:val="21"/>
          <w:szCs w:val="21"/>
          <w:highlight w:val="none"/>
          <w:lang w:val="en-US" w:eastAsia="zh-CN"/>
        </w:rPr>
        <w:t>7</w:t>
      </w:r>
      <w:r>
        <w:rPr>
          <w:rFonts w:hint="default" w:ascii="Times New Roman" w:hAnsi="Times New Roman" w:eastAsia="宋体" w:cs="Times New Roman"/>
          <w:bCs/>
          <w:i w:val="0"/>
          <w:iCs w:val="0"/>
          <w:color w:val="auto"/>
          <w:spacing w:val="0"/>
          <w:sz w:val="21"/>
          <w:szCs w:val="21"/>
          <w:highlight w:val="none"/>
        </w:rPr>
        <w:t>日</w:t>
      </w:r>
      <w:r>
        <w:rPr>
          <w:rFonts w:hint="default" w:ascii="Times New Roman" w:hAnsi="Times New Roman" w:eastAsia="宋体" w:cs="Times New Roman"/>
          <w:bCs/>
          <w:i w:val="0"/>
          <w:iCs w:val="0"/>
          <w:color w:val="auto"/>
          <w:spacing w:val="0"/>
          <w:sz w:val="21"/>
          <w:szCs w:val="21"/>
          <w:highlight w:val="none"/>
          <w:lang w:val="en-US" w:eastAsia="zh-CN"/>
        </w:rPr>
        <w:t xml:space="preserve"> </w:t>
      </w:r>
      <w:r>
        <w:rPr>
          <w:rFonts w:hint="default" w:ascii="Times New Roman" w:hAnsi="Times New Roman" w:eastAsia="宋体" w:cs="Times New Roman"/>
          <w:bCs/>
          <w:color w:val="auto"/>
          <w:spacing w:val="0"/>
          <w:sz w:val="21"/>
          <w:szCs w:val="21"/>
          <w:highlight w:val="none"/>
          <w:u w:val="none"/>
          <w:lang w:val="en-US" w:eastAsia="zh-CN"/>
        </w:rPr>
        <w:t>10:00</w:t>
      </w:r>
      <w:r>
        <w:rPr>
          <w:rFonts w:hint="default" w:ascii="Times New Roman" w:hAnsi="Times New Roman" w:eastAsia="宋体" w:cs="Times New Roman"/>
          <w:bCs/>
          <w:i w:val="0"/>
          <w:iCs w:val="0"/>
          <w:color w:val="auto"/>
          <w:spacing w:val="0"/>
          <w:sz w:val="21"/>
          <w:szCs w:val="21"/>
          <w:highlight w:val="none"/>
        </w:rPr>
        <w:t>（北京时间）前提交</w:t>
      </w:r>
      <w:r>
        <w:rPr>
          <w:rFonts w:hint="default" w:ascii="Times New Roman" w:hAnsi="Times New Roman" w:eastAsia="宋体" w:cs="Times New Roman"/>
          <w:bCs/>
          <w:i w:val="0"/>
          <w:iCs w:val="0"/>
          <w:color w:val="auto"/>
          <w:spacing w:val="0"/>
          <w:sz w:val="21"/>
          <w:szCs w:val="21"/>
          <w:highlight w:val="none"/>
          <w:lang w:eastAsia="zh-CN"/>
        </w:rPr>
        <w:t>响应文件</w:t>
      </w:r>
      <w:r>
        <w:rPr>
          <w:rFonts w:hint="default" w:ascii="Times New Roman" w:hAnsi="Times New Roman" w:eastAsia="宋体" w:cs="Times New Roman"/>
          <w:bCs/>
          <w:i w:val="0"/>
          <w:iCs w:val="0"/>
          <w:color w:val="auto"/>
          <w:spacing w:val="0"/>
          <w:sz w:val="21"/>
          <w:szCs w:val="21"/>
          <w:highlight w:val="none"/>
        </w:rPr>
        <w:t>。</w:t>
      </w:r>
    </w:p>
    <w:p w14:paraId="1C749852">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firstLine="422" w:firstLineChars="200"/>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一、</w:t>
      </w:r>
      <w:r>
        <w:rPr>
          <w:rFonts w:hint="default" w:ascii="Times New Roman" w:hAnsi="Times New Roman" w:eastAsia="宋体" w:cs="Times New Roman"/>
          <w:b/>
          <w:color w:val="auto"/>
          <w:sz w:val="21"/>
          <w:szCs w:val="21"/>
          <w:highlight w:val="none"/>
          <w:lang w:eastAsia="zh-CN"/>
        </w:rPr>
        <w:t>项目基本情况</w:t>
      </w:r>
    </w:p>
    <w:p w14:paraId="27DB28F7">
      <w:pPr>
        <w:keepNext w:val="0"/>
        <w:keepLines w:val="0"/>
        <w:pageBreakBefore w:val="0"/>
        <w:kinsoku/>
        <w:wordWrap/>
        <w:overflowPunct/>
        <w:topLinePunct w:val="0"/>
        <w:bidi w:val="0"/>
        <w:adjustRightInd/>
        <w:snapToGrid/>
        <w:spacing w:beforeAutospacing="0" w:afterAutospacing="0" w:line="460" w:lineRule="exact"/>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项目编号</w:t>
      </w:r>
      <w:r>
        <w:rPr>
          <w:rFonts w:hint="default" w:ascii="Times New Roman" w:hAnsi="Times New Roman" w:eastAsia="宋体" w:cs="Times New Roman"/>
          <w:bCs/>
          <w:color w:val="auto"/>
          <w:sz w:val="21"/>
          <w:szCs w:val="21"/>
          <w:highlight w:val="none"/>
          <w:lang w:eastAsia="zh-CN"/>
        </w:rPr>
        <w:t>：LBZC2025-C2-240038-ZZYG</w:t>
      </w:r>
    </w:p>
    <w:p w14:paraId="38E94027">
      <w:pPr>
        <w:pStyle w:val="19"/>
        <w:keepNext w:val="0"/>
        <w:keepLines w:val="0"/>
        <w:pageBreakBefore w:val="0"/>
        <w:kinsoku/>
        <w:wordWrap/>
        <w:overflowPunct/>
        <w:topLinePunct w:val="0"/>
        <w:bidi w:val="0"/>
        <w:adjustRightInd/>
        <w:snapToGrid/>
        <w:spacing w:beforeAutospacing="0" w:afterAutospacing="0" w:line="46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项目名称</w:t>
      </w:r>
      <w:r>
        <w:rPr>
          <w:rFonts w:hint="default" w:ascii="Times New Roman" w:hAnsi="Times New Roman" w:eastAsia="宋体" w:cs="Times New Roman"/>
          <w:bCs/>
          <w:color w:val="auto"/>
          <w:sz w:val="21"/>
          <w:szCs w:val="21"/>
          <w:highlight w:val="none"/>
          <w:lang w:eastAsia="zh-CN"/>
        </w:rPr>
        <w:t>：</w:t>
      </w:r>
      <w:r>
        <w:rPr>
          <w:rFonts w:hint="eastAsia" w:ascii="Times New Roman" w:hAnsi="Times New Roman" w:cs="Times New Roman"/>
          <w:bCs/>
          <w:color w:val="auto"/>
          <w:sz w:val="21"/>
          <w:szCs w:val="21"/>
          <w:highlight w:val="none"/>
          <w:lang w:eastAsia="zh-CN"/>
        </w:rPr>
        <w:t>金秀瑶族自治县桐木镇耕地提质改造（旱改水）修复项目</w:t>
      </w:r>
    </w:p>
    <w:p w14:paraId="1EDDCF9D">
      <w:pPr>
        <w:pStyle w:val="19"/>
        <w:keepNext w:val="0"/>
        <w:keepLines w:val="0"/>
        <w:pageBreakBefore w:val="0"/>
        <w:widowControl w:val="0"/>
        <w:kinsoku/>
        <w:wordWrap/>
        <w:overflowPunct/>
        <w:topLinePunct w:val="0"/>
        <w:bidi w:val="0"/>
        <w:adjustRightInd/>
        <w:snapToGrid/>
        <w:spacing w:beforeAutospacing="0" w:afterAutospacing="0" w:line="460" w:lineRule="exact"/>
        <w:ind w:right="266" w:firstLine="420" w:firstLineChars="200"/>
        <w:jc w:val="both"/>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采购方式</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竞争性磋商</w:t>
      </w:r>
    </w:p>
    <w:p w14:paraId="3442252C">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default" w:ascii="Times New Roman" w:hAnsi="Times New Roman" w:eastAsia="宋体" w:cs="Times New Roman"/>
          <w:i w:val="0"/>
          <w:iCs w:val="0"/>
          <w:caps w:val="0"/>
          <w:color w:val="000000" w:themeColor="text1"/>
          <w:spacing w:val="0"/>
          <w:sz w:val="21"/>
          <w:szCs w:val="21"/>
          <w:highlight w:val="none"/>
          <w:shd w:val="clear" w:color="auto" w:fill="FFFFFF"/>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预算金额：</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796,607.69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元</w:t>
      </w:r>
    </w:p>
    <w:p w14:paraId="6A480F9E">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最高限价</w:t>
      </w:r>
      <w:r>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796,607.69</w:t>
      </w:r>
      <w:r>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t>元</w:t>
      </w:r>
    </w:p>
    <w:p w14:paraId="3C3A8089">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460" w:lineRule="exact"/>
        <w:ind w:right="0" w:firstLine="420" w:firstLineChars="200"/>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采购需求：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本工程为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金秀瑶族自治县桐木镇耕地提质改造（旱改水）修复项目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。工程地点位于金秀瑶族自治县桐木镇。本项目主要内容：（1）土地平整12084.50㎡;土地配肥12084.50㎡。（2）渠道清淤646米，新建渠道6米。（3）新建挡墙32米。（4）地力培肥12084.50㎡。</w:t>
      </w:r>
      <w:r>
        <w:rPr>
          <w:rFonts w:hint="default" w:ascii="Times New Roman" w:hAnsi="Times New Roman" w:eastAsia="宋体" w:cs="Times New Roman"/>
          <w:color w:val="auto"/>
          <w:sz w:val="21"/>
          <w:szCs w:val="21"/>
          <w:highlight w:val="none"/>
          <w:lang w:val="zh-CN" w:eastAsia="zh-CN"/>
        </w:rPr>
        <w:t>如需进一步了解详细内容，详见竞争性磋商文件</w:t>
      </w:r>
      <w:r>
        <w:rPr>
          <w:rFonts w:hint="eastAsia" w:ascii="Times New Roman" w:hAnsi="Times New Roman" w:cs="Times New Roman"/>
          <w:color w:val="auto"/>
          <w:sz w:val="21"/>
          <w:szCs w:val="21"/>
          <w:highlight w:val="none"/>
          <w:lang w:val="zh-CN" w:eastAsia="zh-CN"/>
        </w:rPr>
        <w:t>和</w:t>
      </w:r>
      <w:r>
        <w:rPr>
          <w:rFonts w:hint="default" w:ascii="Times New Roman" w:hAnsi="Times New Roman" w:eastAsia="宋体" w:cs="Times New Roman"/>
          <w:color w:val="auto"/>
          <w:sz w:val="21"/>
          <w:szCs w:val="21"/>
          <w:highlight w:val="none"/>
          <w:lang w:val="zh-CN" w:eastAsia="zh-CN"/>
        </w:rPr>
        <w:t>施工图纸和</w:t>
      </w:r>
      <w:r>
        <w:rPr>
          <w:rFonts w:hint="eastAsia" w:ascii="Times New Roman" w:hAnsi="Times New Roman"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工程量清单。</w:t>
      </w:r>
    </w:p>
    <w:p w14:paraId="71720A5B">
      <w:pPr>
        <w:pStyle w:val="19"/>
        <w:keepNext w:val="0"/>
        <w:keepLines w:val="0"/>
        <w:pageBreakBefore w:val="0"/>
        <w:widowControl w:val="0"/>
        <w:kinsoku/>
        <w:wordWrap/>
        <w:overflowPunct/>
        <w:topLinePunct w:val="0"/>
        <w:autoSpaceDE w:val="0"/>
        <w:autoSpaceDN w:val="0"/>
        <w:bidi w:val="0"/>
        <w:adjustRightInd/>
        <w:snapToGrid/>
        <w:spacing w:line="460" w:lineRule="exact"/>
        <w:ind w:right="44" w:rightChars="2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合同履行期限</w:t>
      </w:r>
      <w:r>
        <w:rPr>
          <w:rFonts w:hint="default" w:ascii="Times New Roman" w:hAnsi="Times New Roman" w:eastAsia="宋体" w:cs="Times New Roman"/>
          <w:color w:val="auto"/>
          <w:sz w:val="21"/>
          <w:szCs w:val="21"/>
          <w:highlight w:val="none"/>
          <w:lang w:eastAsia="zh-CN"/>
        </w:rPr>
        <w:t>（工期）</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90日历天</w:t>
      </w:r>
      <w:r>
        <w:rPr>
          <w:rFonts w:hint="default" w:ascii="Times New Roman" w:hAnsi="Times New Roman" w:eastAsia="宋体" w:cs="Times New Roman"/>
          <w:color w:val="auto"/>
          <w:sz w:val="21"/>
          <w:szCs w:val="21"/>
          <w:highlight w:val="none"/>
          <w:lang w:val="en-US" w:eastAsia="zh-CN"/>
        </w:rPr>
        <w:t>。</w:t>
      </w:r>
    </w:p>
    <w:p w14:paraId="32A753CF">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textAlignment w:val="auto"/>
        <w:rPr>
          <w:rFonts w:hint="default" w:ascii="Times New Roman" w:hAnsi="Times New Roman" w:eastAsia="宋体" w:cs="Times New Roman"/>
          <w:i w:val="0"/>
          <w:iCs w:val="0"/>
          <w:color w:val="auto"/>
          <w:sz w:val="21"/>
          <w:szCs w:val="21"/>
          <w:highlight w:val="none"/>
          <w:lang w:eastAsia="zh-CN"/>
        </w:rPr>
      </w:pPr>
      <w:r>
        <w:rPr>
          <w:rFonts w:hint="default" w:ascii="Times New Roman" w:hAnsi="Times New Roman" w:eastAsia="宋体" w:cs="Times New Roman"/>
          <w:i w:val="0"/>
          <w:iCs w:val="0"/>
          <w:color w:val="auto"/>
          <w:sz w:val="21"/>
          <w:szCs w:val="21"/>
          <w:highlight w:val="none"/>
        </w:rPr>
        <w:t>本项目</w:t>
      </w:r>
      <w:r>
        <w:rPr>
          <w:rFonts w:hint="default" w:ascii="Times New Roman" w:hAnsi="Times New Roman" w:eastAsia="宋体" w:cs="Times New Roman"/>
          <w:i w:val="0"/>
          <w:iCs w:val="0"/>
          <w:color w:val="auto"/>
          <w:sz w:val="21"/>
          <w:szCs w:val="21"/>
          <w:highlight w:val="none"/>
          <w:lang w:eastAsia="zh-CN"/>
        </w:rPr>
        <w:t>不</w:t>
      </w:r>
      <w:r>
        <w:rPr>
          <w:rFonts w:hint="default" w:ascii="Times New Roman" w:hAnsi="Times New Roman" w:eastAsia="宋体" w:cs="Times New Roman"/>
          <w:i w:val="0"/>
          <w:iCs w:val="0"/>
          <w:color w:val="auto"/>
          <w:sz w:val="21"/>
          <w:szCs w:val="21"/>
          <w:highlight w:val="none"/>
        </w:rPr>
        <w:t>接受联合体</w:t>
      </w:r>
      <w:r>
        <w:rPr>
          <w:rFonts w:hint="default" w:ascii="Times New Roman" w:hAnsi="Times New Roman" w:eastAsia="宋体" w:cs="Times New Roman"/>
          <w:i w:val="0"/>
          <w:iCs w:val="0"/>
          <w:color w:val="auto"/>
          <w:sz w:val="21"/>
          <w:szCs w:val="21"/>
          <w:highlight w:val="none"/>
          <w:lang w:eastAsia="zh-CN"/>
        </w:rPr>
        <w:t>竞标。</w:t>
      </w:r>
    </w:p>
    <w:p w14:paraId="42423BCC">
      <w:pPr>
        <w:pStyle w:val="3"/>
        <w:keepNext w:val="0"/>
        <w:keepLines w:val="0"/>
        <w:pageBreakBefore w:val="0"/>
        <w:widowControl w:val="0"/>
        <w:kinsoku/>
        <w:wordWrap/>
        <w:overflowPunct/>
        <w:topLinePunct w:val="0"/>
        <w:autoSpaceDE/>
        <w:autoSpaceDN/>
        <w:bidi w:val="0"/>
        <w:adjustRightInd/>
        <w:spacing w:beforeAutospacing="0" w:afterAutospacing="0" w:line="460" w:lineRule="exact"/>
        <w:ind w:firstLine="422" w:firstLineChars="200"/>
        <w:jc w:val="both"/>
        <w:textAlignment w:val="auto"/>
        <w:rPr>
          <w:rFonts w:hint="default" w:ascii="Times New Roman" w:hAnsi="Times New Roman" w:eastAsia="宋体" w:cs="Times New Roman"/>
          <w:bCs w:val="0"/>
          <w:i w:val="0"/>
          <w:iCs w:val="0"/>
          <w:color w:val="auto"/>
          <w:sz w:val="21"/>
          <w:szCs w:val="21"/>
          <w:highlight w:val="none"/>
        </w:rPr>
      </w:pPr>
      <w:bookmarkStart w:id="18" w:name="_Toc15876"/>
      <w:bookmarkStart w:id="19" w:name="_Toc28359090"/>
      <w:bookmarkStart w:id="20" w:name="_Toc44229879"/>
      <w:bookmarkStart w:id="21" w:name="_Toc35393799"/>
      <w:bookmarkStart w:id="22" w:name="_Toc6758"/>
      <w:bookmarkStart w:id="23" w:name="_Toc4042"/>
      <w:bookmarkStart w:id="24" w:name="_Toc35393630"/>
      <w:bookmarkStart w:id="25" w:name="_Toc18154"/>
      <w:bookmarkStart w:id="26" w:name="_Toc13349"/>
      <w:bookmarkStart w:id="27" w:name="_Toc10570"/>
      <w:bookmarkStart w:id="28" w:name="_Toc28359013"/>
      <w:r>
        <w:rPr>
          <w:rFonts w:hint="default" w:ascii="Times New Roman" w:hAnsi="Times New Roman" w:eastAsia="宋体" w:cs="Times New Roman"/>
          <w:bCs w:val="0"/>
          <w:i w:val="0"/>
          <w:iCs w:val="0"/>
          <w:color w:val="auto"/>
          <w:sz w:val="21"/>
          <w:szCs w:val="21"/>
          <w:highlight w:val="none"/>
        </w:rPr>
        <w:t>二、</w:t>
      </w:r>
      <w:r>
        <w:rPr>
          <w:rFonts w:hint="default" w:ascii="Times New Roman" w:hAnsi="Times New Roman" w:eastAsia="宋体" w:cs="Times New Roman"/>
          <w:bCs w:val="0"/>
          <w:i w:val="0"/>
          <w:iCs w:val="0"/>
          <w:color w:val="auto"/>
          <w:sz w:val="21"/>
          <w:szCs w:val="21"/>
          <w:highlight w:val="none"/>
          <w:lang w:eastAsia="zh-CN"/>
        </w:rPr>
        <w:t>申请人的资格要求</w:t>
      </w:r>
      <w:r>
        <w:rPr>
          <w:rFonts w:hint="default" w:ascii="Times New Roman" w:hAnsi="Times New Roman" w:eastAsia="宋体" w:cs="Times New Roman"/>
          <w:bCs w:val="0"/>
          <w:i w:val="0"/>
          <w:iCs w:val="0"/>
          <w:color w:val="auto"/>
          <w:sz w:val="21"/>
          <w:szCs w:val="21"/>
          <w:highlight w:val="none"/>
        </w:rPr>
        <w:t>：</w:t>
      </w:r>
      <w:bookmarkEnd w:id="18"/>
      <w:bookmarkEnd w:id="19"/>
      <w:bookmarkEnd w:id="20"/>
      <w:bookmarkEnd w:id="21"/>
      <w:bookmarkEnd w:id="22"/>
      <w:bookmarkEnd w:id="23"/>
      <w:bookmarkEnd w:id="24"/>
      <w:bookmarkEnd w:id="25"/>
      <w:bookmarkEnd w:id="26"/>
      <w:bookmarkEnd w:id="27"/>
      <w:bookmarkEnd w:id="28"/>
    </w:p>
    <w:p w14:paraId="1E0266BA">
      <w:pPr>
        <w:keepNext w:val="0"/>
        <w:keepLines w:val="0"/>
        <w:pageBreakBefore w:val="0"/>
        <w:widowControl w:val="0"/>
        <w:kinsoku/>
        <w:wordWrap/>
        <w:overflowPunct/>
        <w:topLinePunct w:val="0"/>
        <w:autoSpaceDE/>
        <w:autoSpaceDN/>
        <w:bidi w:val="0"/>
        <w:adjustRightInd/>
        <w:spacing w:beforeAutospacing="0" w:afterAutospacing="0" w:line="460" w:lineRule="exact"/>
        <w:ind w:firstLine="420" w:firstLineChars="200"/>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sz w:val="21"/>
          <w:szCs w:val="21"/>
          <w:highlight w:val="none"/>
        </w:rPr>
        <w:t>1.满足《中华人民共和国政府采购法》第二十二条规定；</w:t>
      </w:r>
    </w:p>
    <w:p w14:paraId="676C8FDA">
      <w:pPr>
        <w:keepNext w:val="0"/>
        <w:keepLines w:val="0"/>
        <w:pageBreakBefore w:val="0"/>
        <w:widowControl w:val="0"/>
        <w:kinsoku/>
        <w:wordWrap/>
        <w:overflowPunct/>
        <w:topLinePunct w:val="0"/>
        <w:autoSpaceDE/>
        <w:autoSpaceDN/>
        <w:bidi w:val="0"/>
        <w:adjustRightInd/>
        <w:spacing w:beforeAutospacing="0" w:afterAutospacing="0" w:line="46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sz w:val="21"/>
          <w:szCs w:val="21"/>
          <w:highlight w:val="none"/>
        </w:rPr>
        <w:t>2.落实政府采购政策需</w:t>
      </w:r>
      <w:bookmarkStart w:id="29" w:name="OLE_LINK25"/>
      <w:r>
        <w:rPr>
          <w:rFonts w:hint="default" w:ascii="Times New Roman" w:hAnsi="Times New Roman" w:eastAsia="宋体" w:cs="Times New Roman"/>
          <w:i w:val="0"/>
          <w:iCs w:val="0"/>
          <w:color w:val="auto"/>
          <w:sz w:val="21"/>
          <w:szCs w:val="21"/>
          <w:highlight w:val="none"/>
        </w:rPr>
        <w:t>满足的资格要</w:t>
      </w:r>
      <w:bookmarkStart w:id="30" w:name="OLE_LINK3"/>
      <w:r>
        <w:rPr>
          <w:rFonts w:hint="default" w:ascii="Times New Roman" w:hAnsi="Times New Roman" w:eastAsia="宋体" w:cs="Times New Roman"/>
          <w:i w:val="0"/>
          <w:iCs w:val="0"/>
          <w:color w:val="auto"/>
          <w:sz w:val="21"/>
          <w:szCs w:val="21"/>
          <w:highlight w:val="none"/>
        </w:rPr>
        <w:t>求：</w:t>
      </w:r>
      <w:bookmarkStart w:id="31" w:name="OLE_LINK1"/>
      <w:r>
        <w:rPr>
          <w:color w:val="auto"/>
          <w:sz w:val="21"/>
          <w:szCs w:val="21"/>
          <w:highlight w:val="none"/>
        </w:rPr>
        <w:t>本项目为专门面向中小企业采购的项目，供应商为中型企业或小型企业或微型企业或监狱企业或残疾人福利企业</w:t>
      </w:r>
      <w:bookmarkEnd w:id="31"/>
      <w:r>
        <w:rPr>
          <w:rFonts w:hint="default" w:ascii="Times New Roman" w:hAnsi="Times New Roman" w:eastAsia="宋体" w:cs="Times New Roman"/>
          <w:color w:val="auto"/>
          <w:sz w:val="21"/>
          <w:szCs w:val="21"/>
          <w:highlight w:val="none"/>
          <w:lang w:eastAsia="zh-CN"/>
        </w:rPr>
        <w:t>；</w:t>
      </w:r>
    </w:p>
    <w:bookmarkEnd w:id="30"/>
    <w:p w14:paraId="43849A90">
      <w:pPr>
        <w:keepNext w:val="0"/>
        <w:keepLines w:val="0"/>
        <w:pageBreakBefore w:val="0"/>
        <w:widowControl w:val="0"/>
        <w:kinsoku/>
        <w:wordWrap/>
        <w:overflowPunct/>
        <w:topLinePunct w:val="0"/>
        <w:autoSpaceDE w:val="0"/>
        <w:autoSpaceDN/>
        <w:bidi w:val="0"/>
        <w:adjustRightInd/>
        <w:snapToGrid/>
        <w:spacing w:line="460" w:lineRule="exact"/>
        <w:ind w:firstLine="420" w:firstLineChars="200"/>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i w:val="0"/>
          <w:iCs w:val="0"/>
          <w:color w:val="auto"/>
          <w:sz w:val="21"/>
          <w:szCs w:val="21"/>
          <w:highlight w:val="none"/>
        </w:rPr>
        <w:t>3.本项目的特定资格要求：</w:t>
      </w:r>
      <w:r>
        <w:rPr>
          <w:rFonts w:hint="default" w:ascii="Times New Roman" w:hAnsi="Times New Roman" w:eastAsia="宋体" w:cs="Times New Roman"/>
          <w:i w:val="0"/>
          <w:iCs w:val="0"/>
          <w:color w:val="auto"/>
          <w:sz w:val="21"/>
          <w:szCs w:val="21"/>
          <w:highlight w:val="none"/>
          <w:lang w:val="en-US" w:eastAsia="zh-CN"/>
        </w:rPr>
        <w:t>具备独立的法人资格，具有</w:t>
      </w:r>
      <w:r>
        <w:rPr>
          <w:rFonts w:hint="default" w:ascii="Times New Roman" w:hAnsi="Times New Roman" w:eastAsia="宋体" w:cs="Times New Roman"/>
          <w:i w:val="0"/>
          <w:iCs w:val="0"/>
          <w:color w:val="auto"/>
          <w:sz w:val="21"/>
          <w:szCs w:val="21"/>
          <w:highlight w:val="none"/>
        </w:rPr>
        <w:t>建设行政主管部门颁发的</w:t>
      </w:r>
      <w:r>
        <w:rPr>
          <w:rFonts w:hint="default" w:ascii="Times New Roman" w:hAnsi="Times New Roman" w:eastAsia="宋体" w:cs="Times New Roman"/>
          <w:i w:val="0"/>
          <w:iCs w:val="0"/>
          <w:color w:val="auto"/>
          <w:sz w:val="21"/>
          <w:szCs w:val="21"/>
          <w:highlight w:val="none"/>
          <w:lang w:val="en-US" w:eastAsia="zh-CN"/>
        </w:rPr>
        <w:t>水利水电工程施工总承包</w:t>
      </w:r>
      <w:r>
        <w:rPr>
          <w:rFonts w:hint="default" w:ascii="Times New Roman" w:hAnsi="Times New Roman" w:eastAsia="宋体" w:cs="Times New Roman"/>
          <w:i w:val="0"/>
          <w:iCs w:val="0"/>
          <w:color w:val="auto"/>
          <w:sz w:val="21"/>
          <w:szCs w:val="21"/>
          <w:highlight w:val="none"/>
        </w:rPr>
        <w:t>叁级</w:t>
      </w:r>
      <w:r>
        <w:rPr>
          <w:rFonts w:hint="default" w:ascii="Times New Roman" w:hAnsi="Times New Roman" w:eastAsia="宋体" w:cs="Times New Roman"/>
          <w:i w:val="0"/>
          <w:iCs w:val="0"/>
          <w:color w:val="auto"/>
          <w:sz w:val="21"/>
          <w:szCs w:val="21"/>
          <w:highlight w:val="none"/>
          <w:lang w:eastAsia="zh-CN"/>
        </w:rPr>
        <w:t>及</w:t>
      </w:r>
      <w:r>
        <w:rPr>
          <w:rFonts w:hint="default" w:ascii="Times New Roman" w:hAnsi="Times New Roman" w:eastAsia="宋体" w:cs="Times New Roman"/>
          <w:i w:val="0"/>
          <w:iCs w:val="0"/>
          <w:color w:val="auto"/>
          <w:sz w:val="21"/>
          <w:szCs w:val="21"/>
          <w:highlight w:val="none"/>
        </w:rPr>
        <w:t>以上资质</w:t>
      </w:r>
      <w:r>
        <w:rPr>
          <w:rFonts w:hint="eastAsia" w:ascii="Times New Roman" w:hAnsi="Times New Roman" w:eastAsia="宋体" w:cs="Times New Roman"/>
          <w:i w:val="0"/>
          <w:iCs w:val="0"/>
          <w:color w:val="auto"/>
          <w:sz w:val="21"/>
          <w:szCs w:val="21"/>
          <w:highlight w:val="none"/>
          <w:lang w:val="en-US" w:eastAsia="zh-CN"/>
        </w:rPr>
        <w:t>，</w:t>
      </w:r>
      <w:r>
        <w:rPr>
          <w:rFonts w:hint="default" w:ascii="Times New Roman" w:hAnsi="Times New Roman" w:eastAsia="宋体" w:cs="Times New Roman"/>
          <w:i w:val="0"/>
          <w:iCs w:val="0"/>
          <w:color w:val="auto"/>
          <w:sz w:val="21"/>
          <w:szCs w:val="21"/>
          <w:highlight w:val="none"/>
          <w:lang w:val="en-US" w:eastAsia="zh-CN"/>
        </w:rPr>
        <w:t>具有省级及以上建设行政主管部门颁发的安全生</w:t>
      </w:r>
      <w:bookmarkEnd w:id="29"/>
      <w:r>
        <w:rPr>
          <w:rFonts w:hint="default" w:ascii="Times New Roman" w:hAnsi="Times New Roman" w:eastAsia="宋体" w:cs="Times New Roman"/>
          <w:i w:val="0"/>
          <w:iCs w:val="0"/>
          <w:color w:val="auto"/>
          <w:sz w:val="21"/>
          <w:szCs w:val="21"/>
          <w:highlight w:val="none"/>
          <w:lang w:val="en-US" w:eastAsia="zh-CN"/>
        </w:rPr>
        <w:t xml:space="preserve">产许可证； </w:t>
      </w:r>
      <w:r>
        <w:rPr>
          <w:rFonts w:hint="default" w:ascii="Times New Roman" w:hAnsi="Times New Roman" w:eastAsia="宋体" w:cs="Times New Roman"/>
          <w:i w:val="0"/>
          <w:iCs w:val="0"/>
          <w:color w:val="auto"/>
          <w:sz w:val="21"/>
          <w:szCs w:val="21"/>
          <w:highlight w:val="none"/>
        </w:rPr>
        <w:t>拟投入本项目的</w:t>
      </w:r>
      <w:r>
        <w:rPr>
          <w:rFonts w:hint="default" w:ascii="Times New Roman" w:hAnsi="Times New Roman" w:eastAsia="宋体" w:cs="Times New Roman"/>
          <w:i w:val="0"/>
          <w:iCs w:val="0"/>
          <w:color w:val="auto"/>
          <w:sz w:val="21"/>
          <w:szCs w:val="21"/>
          <w:highlight w:val="none"/>
          <w:lang w:val="en-US" w:eastAsia="zh-CN"/>
        </w:rPr>
        <w:t>项目经理</w:t>
      </w:r>
      <w:r>
        <w:rPr>
          <w:rFonts w:hint="eastAsia" w:ascii="Times New Roman" w:hAnsi="Times New Roman" w:eastAsia="宋体" w:cs="Times New Roman"/>
          <w:i w:val="0"/>
          <w:iCs w:val="0"/>
          <w:color w:val="auto"/>
          <w:sz w:val="21"/>
          <w:szCs w:val="21"/>
          <w:highlight w:val="none"/>
          <w:lang w:val="en-US" w:eastAsia="zh-CN"/>
        </w:rPr>
        <w:t>具有</w:t>
      </w:r>
      <w:r>
        <w:rPr>
          <w:rFonts w:hint="default" w:ascii="Times New Roman" w:hAnsi="Times New Roman" w:eastAsia="宋体" w:cs="Times New Roman"/>
          <w:i w:val="0"/>
          <w:iCs w:val="0"/>
          <w:color w:val="auto"/>
          <w:sz w:val="21"/>
          <w:szCs w:val="21"/>
          <w:highlight w:val="none"/>
          <w:lang w:val="en-US" w:eastAsia="zh-CN"/>
        </w:rPr>
        <w:t>水利水电工程类专业贰级</w:t>
      </w:r>
      <w:r>
        <w:rPr>
          <w:rFonts w:hint="eastAsia" w:ascii="Times New Roman" w:hAnsi="Times New Roman" w:eastAsia="宋体" w:cs="Times New Roman"/>
          <w:i w:val="0"/>
          <w:iCs w:val="0"/>
          <w:color w:val="auto"/>
          <w:sz w:val="21"/>
          <w:szCs w:val="21"/>
          <w:highlight w:val="none"/>
          <w:lang w:val="en-US" w:eastAsia="zh-CN"/>
        </w:rPr>
        <w:t>及</w:t>
      </w:r>
      <w:r>
        <w:rPr>
          <w:rFonts w:hint="default" w:ascii="Times New Roman" w:hAnsi="Times New Roman" w:eastAsia="宋体" w:cs="Times New Roman"/>
          <w:i w:val="0"/>
          <w:iCs w:val="0"/>
          <w:color w:val="auto"/>
          <w:sz w:val="21"/>
          <w:szCs w:val="21"/>
          <w:highlight w:val="none"/>
          <w:lang w:val="en-US" w:eastAsia="zh-CN"/>
        </w:rPr>
        <w:t>以上建造师注册证书</w:t>
      </w:r>
      <w:r>
        <w:rPr>
          <w:rFonts w:hint="eastAsia" w:ascii="Times New Roman" w:hAnsi="Times New Roman" w:eastAsia="宋体" w:cs="Times New Roman"/>
          <w:i w:val="0"/>
          <w:iCs w:val="0"/>
          <w:color w:val="auto"/>
          <w:sz w:val="21"/>
          <w:szCs w:val="21"/>
          <w:highlight w:val="none"/>
          <w:lang w:val="en-US" w:eastAsia="zh-CN"/>
        </w:rPr>
        <w:t>，具有</w:t>
      </w:r>
      <w:r>
        <w:rPr>
          <w:rFonts w:hint="default" w:ascii="Times New Roman" w:hAnsi="Times New Roman" w:eastAsia="宋体" w:cs="Times New Roman"/>
          <w:i w:val="0"/>
          <w:iCs w:val="0"/>
          <w:color w:val="auto"/>
          <w:sz w:val="21"/>
          <w:szCs w:val="21"/>
          <w:highlight w:val="none"/>
          <w:lang w:val="en-US" w:eastAsia="zh-CN"/>
        </w:rPr>
        <w:t>省级或省级以上水行政主管部门或其授权部门（机构）颁发的 B 类安全生产考核合格证书；</w:t>
      </w:r>
    </w:p>
    <w:p w14:paraId="79FAC665">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420"/>
        <w:jc w:val="left"/>
        <w:textAlignment w:val="auto"/>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t>；</w:t>
      </w:r>
    </w:p>
    <w:p w14:paraId="6564454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对在“信用中国”网站（www.creditchina.gov.cn）、中国政府采购网（www.ccgp.gov.cn）被列入失信被执行人、重大税收违法失信主体、政府采购严重违法失信行为记录名单及其他不符合《中华人民共和</w:t>
      </w:r>
      <w:r>
        <w:rPr>
          <w:rFonts w:hint="default" w:ascii="Times New Roman" w:hAnsi="Times New Roman" w:eastAsia="宋体" w:cs="Times New Roman"/>
          <w:color w:val="auto"/>
          <w:sz w:val="21"/>
          <w:szCs w:val="21"/>
          <w:highlight w:val="none"/>
        </w:rPr>
        <w:t>国政府采购法》第二十二条规定条件的供应商，不得参与政府采购活动。</w:t>
      </w:r>
    </w:p>
    <w:p w14:paraId="6C994F36">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2" w:firstLineChars="200"/>
        <w:jc w:val="left"/>
        <w:textAlignment w:val="auto"/>
        <w:rPr>
          <w:rFonts w:hint="default" w:ascii="Times New Roman" w:hAnsi="Times New Roman" w:eastAsia="宋体" w:cs="Times New Roman"/>
          <w:bCs w:val="0"/>
          <w:i w:val="0"/>
          <w:iCs w:val="0"/>
          <w:color w:val="auto"/>
          <w:sz w:val="21"/>
          <w:szCs w:val="21"/>
          <w:highlight w:val="none"/>
        </w:rPr>
      </w:pPr>
      <w:bookmarkStart w:id="32" w:name="_Toc23474"/>
      <w:bookmarkStart w:id="33" w:name="_Toc8086"/>
      <w:bookmarkStart w:id="34" w:name="_Toc6011"/>
      <w:bookmarkStart w:id="35" w:name="_Toc26705"/>
      <w:bookmarkStart w:id="36" w:name="_Toc29701"/>
      <w:bookmarkStart w:id="37" w:name="_Toc16991"/>
      <w:r>
        <w:rPr>
          <w:rFonts w:hint="default" w:ascii="Times New Roman" w:hAnsi="Times New Roman" w:eastAsia="宋体" w:cs="Times New Roman"/>
          <w:bCs w:val="0"/>
          <w:i w:val="0"/>
          <w:iCs w:val="0"/>
          <w:color w:val="auto"/>
          <w:sz w:val="21"/>
          <w:szCs w:val="21"/>
          <w:highlight w:val="none"/>
        </w:rPr>
        <w:t>三、获取</w:t>
      </w:r>
      <w:bookmarkEnd w:id="32"/>
      <w:bookmarkEnd w:id="33"/>
      <w:bookmarkEnd w:id="34"/>
      <w:bookmarkEnd w:id="35"/>
      <w:bookmarkEnd w:id="36"/>
      <w:r>
        <w:rPr>
          <w:rFonts w:hint="default" w:ascii="Times New Roman" w:hAnsi="Times New Roman" w:eastAsia="宋体" w:cs="Times New Roman"/>
          <w:bCs w:val="0"/>
          <w:i w:val="0"/>
          <w:iCs w:val="0"/>
          <w:color w:val="auto"/>
          <w:sz w:val="21"/>
          <w:szCs w:val="21"/>
          <w:highlight w:val="none"/>
        </w:rPr>
        <w:t>竞争性磋商文件</w:t>
      </w:r>
      <w:bookmarkEnd w:id="37"/>
    </w:p>
    <w:p w14:paraId="25A70BB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i w:val="0"/>
          <w:iCs w:val="0"/>
          <w:color w:val="auto"/>
          <w:kern w:val="0"/>
          <w:sz w:val="21"/>
          <w:szCs w:val="21"/>
          <w:highlight w:val="none"/>
        </w:rPr>
        <w:t>时间：</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bCs/>
          <w:i w:val="0"/>
          <w:iCs w:val="0"/>
          <w:color w:val="auto"/>
          <w:spacing w:val="0"/>
          <w:sz w:val="21"/>
          <w:szCs w:val="21"/>
          <w:highlight w:val="none"/>
        </w:rPr>
        <w:t>年</w:t>
      </w:r>
      <w:r>
        <w:rPr>
          <w:rFonts w:hint="eastAsia" w:ascii="Times New Roman" w:hAnsi="Times New Roman" w:cs="Times New Roman"/>
          <w:bCs/>
          <w:i w:val="0"/>
          <w:iCs w:val="0"/>
          <w:color w:val="auto"/>
          <w:spacing w:val="0"/>
          <w:sz w:val="21"/>
          <w:szCs w:val="21"/>
          <w:highlight w:val="none"/>
          <w:lang w:val="en-US" w:eastAsia="zh-CN"/>
        </w:rPr>
        <w:t xml:space="preserve">  6</w:t>
      </w:r>
      <w:r>
        <w:rPr>
          <w:rFonts w:hint="default" w:ascii="Times New Roman" w:hAnsi="Times New Roman" w:eastAsia="宋体" w:cs="Times New Roman"/>
          <w:bCs/>
          <w:i w:val="0"/>
          <w:iCs w:val="0"/>
          <w:color w:val="auto"/>
          <w:spacing w:val="0"/>
          <w:sz w:val="21"/>
          <w:szCs w:val="21"/>
          <w:highlight w:val="none"/>
        </w:rPr>
        <w:t>月</w:t>
      </w:r>
      <w:r>
        <w:rPr>
          <w:rFonts w:hint="eastAsia" w:ascii="Times New Roman" w:hAnsi="Times New Roman" w:cs="Times New Roman"/>
          <w:bCs/>
          <w:i w:val="0"/>
          <w:iCs w:val="0"/>
          <w:color w:val="auto"/>
          <w:spacing w:val="0"/>
          <w:sz w:val="21"/>
          <w:szCs w:val="21"/>
          <w:highlight w:val="none"/>
          <w:lang w:val="en-US" w:eastAsia="zh-CN"/>
        </w:rPr>
        <w:t>26</w:t>
      </w:r>
      <w:r>
        <w:rPr>
          <w:rFonts w:hint="default" w:ascii="Times New Roman" w:hAnsi="Times New Roman" w:eastAsia="宋体" w:cs="Times New Roman"/>
          <w:bCs/>
          <w:i w:val="0"/>
          <w:iCs w:val="0"/>
          <w:color w:val="auto"/>
          <w:spacing w:val="0"/>
          <w:sz w:val="21"/>
          <w:szCs w:val="21"/>
          <w:highlight w:val="none"/>
        </w:rPr>
        <w:t>日</w:t>
      </w:r>
      <w:r>
        <w:rPr>
          <w:rFonts w:hint="default" w:ascii="Times New Roman" w:hAnsi="Times New Roman" w:eastAsia="宋体" w:cs="Times New Roman"/>
          <w:bCs/>
          <w:color w:val="auto"/>
          <w:kern w:val="0"/>
          <w:sz w:val="21"/>
          <w:szCs w:val="21"/>
          <w:highlight w:val="none"/>
        </w:rPr>
        <w:t>至</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bCs/>
          <w:i w:val="0"/>
          <w:iCs w:val="0"/>
          <w:color w:val="auto"/>
          <w:spacing w:val="0"/>
          <w:sz w:val="21"/>
          <w:szCs w:val="21"/>
          <w:highlight w:val="none"/>
        </w:rPr>
        <w:t>年</w:t>
      </w:r>
      <w:r>
        <w:rPr>
          <w:rFonts w:hint="eastAsia" w:ascii="Times New Roman" w:hAnsi="Times New Roman" w:cs="Times New Roman"/>
          <w:bCs/>
          <w:i w:val="0"/>
          <w:iCs w:val="0"/>
          <w:color w:val="auto"/>
          <w:spacing w:val="0"/>
          <w:sz w:val="21"/>
          <w:szCs w:val="21"/>
          <w:highlight w:val="none"/>
          <w:lang w:val="en-US" w:eastAsia="zh-CN"/>
        </w:rPr>
        <w:t xml:space="preserve">7 </w:t>
      </w:r>
      <w:r>
        <w:rPr>
          <w:rFonts w:hint="default" w:ascii="Times New Roman" w:hAnsi="Times New Roman" w:eastAsia="宋体" w:cs="Times New Roman"/>
          <w:bCs/>
          <w:i w:val="0"/>
          <w:iCs w:val="0"/>
          <w:color w:val="auto"/>
          <w:spacing w:val="0"/>
          <w:sz w:val="21"/>
          <w:szCs w:val="21"/>
          <w:highlight w:val="none"/>
        </w:rPr>
        <w:t>月</w:t>
      </w:r>
      <w:r>
        <w:rPr>
          <w:rFonts w:hint="eastAsia" w:ascii="Times New Roman" w:hAnsi="Times New Roman" w:cs="Times New Roman"/>
          <w:bCs/>
          <w:i w:val="0"/>
          <w:iCs w:val="0"/>
          <w:color w:val="auto"/>
          <w:spacing w:val="0"/>
          <w:sz w:val="21"/>
          <w:szCs w:val="21"/>
          <w:highlight w:val="none"/>
          <w:lang w:val="en-US" w:eastAsia="zh-CN"/>
        </w:rPr>
        <w:t>3</w:t>
      </w:r>
      <w:r>
        <w:rPr>
          <w:rFonts w:hint="default" w:ascii="Times New Roman" w:hAnsi="Times New Roman" w:eastAsia="宋体" w:cs="Times New Roman"/>
          <w:bCs/>
          <w:i w:val="0"/>
          <w:iCs w:val="0"/>
          <w:color w:val="auto"/>
          <w:spacing w:val="0"/>
          <w:sz w:val="21"/>
          <w:szCs w:val="21"/>
          <w:highlight w:val="none"/>
        </w:rPr>
        <w:t>日</w:t>
      </w:r>
      <w:r>
        <w:rPr>
          <w:rFonts w:hint="default" w:ascii="Times New Roman" w:hAnsi="Times New Roman" w:eastAsia="宋体" w:cs="Times New Roman"/>
          <w:bCs/>
          <w:color w:val="auto"/>
          <w:kern w:val="0"/>
          <w:sz w:val="21"/>
          <w:szCs w:val="21"/>
          <w:highlight w:val="none"/>
        </w:rPr>
        <w:t>，每天上午</w:t>
      </w:r>
      <w:r>
        <w:rPr>
          <w:rFonts w:hint="default" w:ascii="Times New Roman" w:hAnsi="Times New Roman" w:eastAsia="宋体" w:cs="Times New Roman"/>
          <w:bCs/>
          <w:color w:val="auto"/>
          <w:kern w:val="0"/>
          <w:sz w:val="21"/>
          <w:szCs w:val="21"/>
          <w:highlight w:val="none"/>
          <w:lang w:val="en-US" w:eastAsia="zh-CN"/>
        </w:rPr>
        <w:t>8</w:t>
      </w:r>
      <w:r>
        <w:rPr>
          <w:rFonts w:hint="default" w:ascii="Times New Roman" w:hAnsi="Times New Roman" w:eastAsia="宋体" w:cs="Times New Roman"/>
          <w:bCs/>
          <w:color w:val="auto"/>
          <w:kern w:val="0"/>
          <w:sz w:val="21"/>
          <w:szCs w:val="21"/>
          <w:highlight w:val="none"/>
        </w:rPr>
        <w:t>:00至12:00，下午</w:t>
      </w:r>
      <w:r>
        <w:rPr>
          <w:rFonts w:hint="default" w:ascii="Times New Roman" w:hAnsi="Times New Roman" w:eastAsia="宋体" w:cs="Times New Roman"/>
          <w:bCs/>
          <w:color w:val="auto"/>
          <w:kern w:val="0"/>
          <w:sz w:val="21"/>
          <w:szCs w:val="21"/>
          <w:highlight w:val="none"/>
          <w:lang w:val="en-US" w:eastAsia="zh-CN"/>
        </w:rPr>
        <w:t>15</w:t>
      </w:r>
      <w:r>
        <w:rPr>
          <w:rFonts w:hint="default" w:ascii="Times New Roman" w:hAnsi="Times New Roman" w:eastAsia="宋体" w:cs="Times New Roman"/>
          <w:bCs/>
          <w:color w:val="auto"/>
          <w:kern w:val="0"/>
          <w:sz w:val="21"/>
          <w:szCs w:val="21"/>
          <w:highlight w:val="none"/>
        </w:rPr>
        <w:t>:00至</w:t>
      </w:r>
      <w:r>
        <w:rPr>
          <w:rFonts w:hint="default" w:ascii="Times New Roman" w:hAnsi="Times New Roman" w:eastAsia="宋体" w:cs="Times New Roman"/>
          <w:bCs/>
          <w:color w:val="auto"/>
          <w:kern w:val="0"/>
          <w:sz w:val="21"/>
          <w:szCs w:val="21"/>
          <w:highlight w:val="none"/>
          <w:lang w:val="en-US" w:eastAsia="zh-CN"/>
        </w:rPr>
        <w:t>18</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00</w:t>
      </w:r>
      <w:r>
        <w:rPr>
          <w:rFonts w:hint="default" w:ascii="Times New Roman" w:hAnsi="Times New Roman" w:eastAsia="宋体" w:cs="Times New Roman"/>
          <w:bCs/>
          <w:color w:val="auto"/>
          <w:kern w:val="0"/>
          <w:sz w:val="21"/>
          <w:szCs w:val="21"/>
          <w:highlight w:val="none"/>
        </w:rPr>
        <w:t>（北京时间，法定节假日除外）</w:t>
      </w:r>
    </w:p>
    <w:p w14:paraId="48078B0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0"/>
          <w:sz w:val="21"/>
          <w:szCs w:val="21"/>
          <w:highlight w:val="none"/>
        </w:rPr>
        <w:t>地点</w:t>
      </w:r>
      <w:r>
        <w:rPr>
          <w:rFonts w:hint="default" w:ascii="Times New Roman" w:hAnsi="Times New Roman" w:eastAsia="宋体" w:cs="Times New Roman"/>
          <w:bCs/>
          <w:color w:val="auto"/>
          <w:kern w:val="0"/>
          <w:sz w:val="21"/>
          <w:szCs w:val="21"/>
          <w:highlight w:val="none"/>
          <w:lang w:eastAsia="zh-CN"/>
        </w:rPr>
        <w:t>（网址）</w:t>
      </w:r>
      <w:r>
        <w:rPr>
          <w:rFonts w:hint="default" w:ascii="Times New Roman" w:hAnsi="Times New Roman" w:eastAsia="宋体" w:cs="Times New Roman"/>
          <w:bCs/>
          <w:color w:val="auto"/>
          <w:kern w:val="0"/>
          <w:sz w:val="21"/>
          <w:szCs w:val="21"/>
          <w:highlight w:val="none"/>
        </w:rPr>
        <w:t>：</w:t>
      </w:r>
      <w:bookmarkStart w:id="38" w:name="OLE_LINK55"/>
      <w:r>
        <w:rPr>
          <w:rFonts w:hint="default" w:ascii="Times New Roman" w:hAnsi="Times New Roman" w:eastAsia="宋体" w:cs="Times New Roman"/>
          <w:color w:val="auto"/>
          <w:sz w:val="21"/>
          <w:szCs w:val="21"/>
          <w:highlight w:val="none"/>
        </w:rPr>
        <w:t>广西政府采购云平台（https://www.gcy.zfcg.gxzf.gov.cn/）线上获取</w:t>
      </w:r>
      <w:bookmarkEnd w:id="38"/>
    </w:p>
    <w:p w14:paraId="6AAED03F">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方式：</w:t>
      </w:r>
      <w:bookmarkStart w:id="39" w:name="OLE_LINK54"/>
      <w:r>
        <w:rPr>
          <w:rFonts w:hint="default" w:ascii="Times New Roman" w:hAnsi="Times New Roman" w:eastAsia="宋体" w:cs="Times New Roman"/>
          <w:i w:val="0"/>
          <w:iCs w:val="0"/>
          <w:color w:val="auto"/>
          <w:sz w:val="21"/>
          <w:szCs w:val="21"/>
          <w:highlight w:val="none"/>
          <w:lang w:val="en-US" w:eastAsia="zh-CN"/>
        </w:rPr>
        <w:t>网上下载。本项目不发放纸质文件，潜在供应商需使用账号登录或者使用CA登录广西政府采购云平台（https://www.gcy.zfcg.gxzf.gov.cn/）下载竞争性磋商文件，响应文件制作需要基于广西政府采购云平台（https://www.gcy.zfcg.gxzf.gov.cn/）获取的竞争性磋商文件编制。</w:t>
      </w:r>
    </w:p>
    <w:bookmarkEnd w:id="39"/>
    <w:p w14:paraId="244D6C8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0"/>
          <w:sz w:val="21"/>
          <w:szCs w:val="21"/>
          <w:highlight w:val="none"/>
        </w:rPr>
        <w:t>售价</w:t>
      </w:r>
      <w:r>
        <w:rPr>
          <w:rFonts w:hint="default" w:ascii="Times New Roman" w:hAnsi="Times New Roman" w:eastAsia="宋体" w:cs="Times New Roman"/>
          <w:bCs/>
          <w:color w:val="auto"/>
          <w:kern w:val="0"/>
          <w:sz w:val="21"/>
          <w:szCs w:val="21"/>
          <w:highlight w:val="none"/>
          <w:lang w:eastAsia="zh-CN"/>
        </w:rPr>
        <w:t>（元）</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 xml:space="preserve">元 </w:t>
      </w:r>
    </w:p>
    <w:p w14:paraId="3AB88464">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2" w:firstLineChars="200"/>
        <w:jc w:val="left"/>
        <w:textAlignment w:val="auto"/>
        <w:rPr>
          <w:rFonts w:hint="default" w:ascii="Times New Roman" w:hAnsi="Times New Roman" w:eastAsia="宋体" w:cs="Times New Roman"/>
          <w:bCs w:val="0"/>
          <w:i w:val="0"/>
          <w:iCs w:val="0"/>
          <w:color w:val="auto"/>
          <w:sz w:val="21"/>
          <w:szCs w:val="21"/>
          <w:highlight w:val="none"/>
        </w:rPr>
      </w:pPr>
      <w:bookmarkStart w:id="40" w:name="_Toc15552"/>
      <w:bookmarkStart w:id="41" w:name="_Toc16301"/>
      <w:bookmarkStart w:id="42" w:name="_Toc8332"/>
      <w:bookmarkStart w:id="43" w:name="_Toc16276"/>
      <w:bookmarkStart w:id="44" w:name="_Toc13987"/>
      <w:bookmarkStart w:id="45" w:name="_Toc1393"/>
      <w:r>
        <w:rPr>
          <w:rFonts w:hint="default" w:ascii="Times New Roman" w:hAnsi="Times New Roman" w:eastAsia="宋体" w:cs="Times New Roman"/>
          <w:bCs w:val="0"/>
          <w:i w:val="0"/>
          <w:iCs w:val="0"/>
          <w:color w:val="auto"/>
          <w:sz w:val="21"/>
          <w:szCs w:val="21"/>
          <w:highlight w:val="none"/>
        </w:rPr>
        <w:t>四、响应文件提交</w:t>
      </w:r>
      <w:bookmarkEnd w:id="40"/>
      <w:bookmarkEnd w:id="41"/>
      <w:bookmarkEnd w:id="42"/>
      <w:bookmarkEnd w:id="43"/>
      <w:bookmarkEnd w:id="44"/>
      <w:bookmarkEnd w:id="45"/>
    </w:p>
    <w:p w14:paraId="1D28B39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bookmarkStart w:id="46" w:name="_Toc35393633"/>
      <w:bookmarkStart w:id="47" w:name="_Toc28359093"/>
      <w:bookmarkStart w:id="48" w:name="_Toc44229882"/>
      <w:bookmarkStart w:id="49" w:name="_Toc28359016"/>
      <w:bookmarkStart w:id="50" w:name="_Toc35393802"/>
      <w:r>
        <w:rPr>
          <w:rFonts w:hint="default" w:ascii="Times New Roman" w:hAnsi="Times New Roman" w:eastAsia="宋体" w:cs="Times New Roman"/>
          <w:color w:val="auto"/>
          <w:sz w:val="21"/>
          <w:szCs w:val="21"/>
          <w:highlight w:val="none"/>
        </w:rPr>
        <w:t>截止时间</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bCs/>
          <w:i w:val="0"/>
          <w:iCs w:val="0"/>
          <w:color w:val="auto"/>
          <w:spacing w:val="0"/>
          <w:sz w:val="21"/>
          <w:szCs w:val="21"/>
          <w:highlight w:val="none"/>
        </w:rPr>
        <w:t>年</w:t>
      </w:r>
      <w:r>
        <w:rPr>
          <w:rFonts w:hint="eastAsia" w:ascii="Times New Roman" w:hAnsi="Times New Roman" w:cs="Times New Roman"/>
          <w:bCs/>
          <w:i w:val="0"/>
          <w:iCs w:val="0"/>
          <w:color w:val="auto"/>
          <w:spacing w:val="0"/>
          <w:sz w:val="21"/>
          <w:szCs w:val="21"/>
          <w:highlight w:val="none"/>
          <w:lang w:val="en-US" w:eastAsia="zh-CN"/>
        </w:rPr>
        <w:t xml:space="preserve"> 7</w:t>
      </w:r>
      <w:r>
        <w:rPr>
          <w:rFonts w:hint="default" w:ascii="Times New Roman" w:hAnsi="Times New Roman" w:eastAsia="宋体" w:cs="Times New Roman"/>
          <w:bCs/>
          <w:i w:val="0"/>
          <w:iCs w:val="0"/>
          <w:color w:val="auto"/>
          <w:spacing w:val="0"/>
          <w:sz w:val="21"/>
          <w:szCs w:val="21"/>
          <w:highlight w:val="none"/>
        </w:rPr>
        <w:t>月</w:t>
      </w:r>
      <w:r>
        <w:rPr>
          <w:rFonts w:hint="eastAsia" w:ascii="Times New Roman" w:hAnsi="Times New Roman" w:cs="Times New Roman"/>
          <w:bCs/>
          <w:i w:val="0"/>
          <w:iCs w:val="0"/>
          <w:color w:val="auto"/>
          <w:spacing w:val="0"/>
          <w:sz w:val="21"/>
          <w:szCs w:val="21"/>
          <w:highlight w:val="none"/>
          <w:lang w:val="en-US" w:eastAsia="zh-CN"/>
        </w:rPr>
        <w:t>7</w:t>
      </w:r>
      <w:r>
        <w:rPr>
          <w:rFonts w:hint="default" w:ascii="Times New Roman" w:hAnsi="Times New Roman" w:eastAsia="宋体" w:cs="Times New Roman"/>
          <w:bCs/>
          <w:i w:val="0"/>
          <w:iCs w:val="0"/>
          <w:color w:val="auto"/>
          <w:spacing w:val="0"/>
          <w:sz w:val="21"/>
          <w:szCs w:val="21"/>
          <w:highlight w:val="none"/>
        </w:rPr>
        <w:t>日</w:t>
      </w:r>
      <w:r>
        <w:rPr>
          <w:rFonts w:hint="default" w:ascii="Times New Roman" w:hAnsi="Times New Roman" w:eastAsia="宋体" w:cs="Times New Roman"/>
          <w:color w:val="auto"/>
          <w:kern w:val="0"/>
          <w:sz w:val="21"/>
          <w:szCs w:val="21"/>
          <w:highlight w:val="none"/>
          <w:lang w:val="en-US" w:eastAsia="zh-CN" w:bidi="ar"/>
        </w:rPr>
        <w:t>10:00（北京时间）</w:t>
      </w:r>
    </w:p>
    <w:p w14:paraId="53E1A7E0">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地点（网址）：</w:t>
      </w:r>
      <w:r>
        <w:rPr>
          <w:rFonts w:hint="default" w:ascii="Times New Roman" w:hAnsi="Times New Roman" w:eastAsia="宋体" w:cs="Times New Roman"/>
          <w:b w:val="0"/>
          <w:bCs w:val="0"/>
          <w:color w:val="auto"/>
          <w:sz w:val="21"/>
          <w:szCs w:val="21"/>
          <w:highlight w:val="none"/>
          <w:u w:val="none"/>
          <w:lang w:val="en-US" w:eastAsia="zh-CN" w:bidi="zh-CN"/>
        </w:rPr>
        <w:t>广西政府采购云平台（https://www.gcy.zfcg.gxzf.gov.cn/）</w:t>
      </w:r>
    </w:p>
    <w:p w14:paraId="0EE9CAEC">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2" w:firstLineChars="200"/>
        <w:jc w:val="left"/>
        <w:textAlignment w:val="auto"/>
        <w:rPr>
          <w:rFonts w:hint="default" w:ascii="Times New Roman" w:hAnsi="Times New Roman" w:eastAsia="宋体" w:cs="Times New Roman"/>
          <w:bCs w:val="0"/>
          <w:i w:val="0"/>
          <w:iCs w:val="0"/>
          <w:color w:val="auto"/>
          <w:sz w:val="21"/>
          <w:szCs w:val="21"/>
          <w:highlight w:val="none"/>
        </w:rPr>
      </w:pPr>
      <w:bookmarkStart w:id="51" w:name="_Toc29160"/>
      <w:bookmarkStart w:id="52" w:name="_Toc24128"/>
      <w:bookmarkStart w:id="53" w:name="_Toc30065"/>
      <w:bookmarkStart w:id="54" w:name="_Toc25485"/>
      <w:bookmarkStart w:id="55" w:name="_Toc21448"/>
      <w:bookmarkStart w:id="56" w:name="_Toc16597"/>
      <w:r>
        <w:rPr>
          <w:rFonts w:hint="default" w:ascii="Times New Roman" w:hAnsi="Times New Roman" w:eastAsia="宋体" w:cs="Times New Roman"/>
          <w:bCs w:val="0"/>
          <w:i w:val="0"/>
          <w:iCs w:val="0"/>
          <w:color w:val="auto"/>
          <w:sz w:val="21"/>
          <w:szCs w:val="21"/>
          <w:highlight w:val="none"/>
        </w:rPr>
        <w:t>五、</w:t>
      </w:r>
      <w:r>
        <w:rPr>
          <w:rFonts w:hint="default" w:ascii="Times New Roman" w:hAnsi="Times New Roman" w:eastAsia="宋体" w:cs="Times New Roman"/>
          <w:bCs w:val="0"/>
          <w:i w:val="0"/>
          <w:iCs w:val="0"/>
          <w:color w:val="auto"/>
          <w:sz w:val="21"/>
          <w:szCs w:val="21"/>
          <w:highlight w:val="none"/>
          <w:lang w:eastAsia="zh-CN"/>
        </w:rPr>
        <w:t>响应文件</w:t>
      </w:r>
      <w:r>
        <w:rPr>
          <w:rFonts w:hint="default" w:ascii="Times New Roman" w:hAnsi="Times New Roman" w:eastAsia="宋体" w:cs="Times New Roman"/>
          <w:bCs w:val="0"/>
          <w:i w:val="0"/>
          <w:iCs w:val="0"/>
          <w:color w:val="auto"/>
          <w:sz w:val="21"/>
          <w:szCs w:val="21"/>
          <w:highlight w:val="none"/>
        </w:rPr>
        <w:t>开启</w:t>
      </w:r>
      <w:bookmarkEnd w:id="46"/>
      <w:bookmarkEnd w:id="47"/>
      <w:bookmarkEnd w:id="48"/>
      <w:bookmarkEnd w:id="49"/>
      <w:bookmarkEnd w:id="50"/>
      <w:bookmarkEnd w:id="51"/>
      <w:bookmarkEnd w:id="52"/>
      <w:bookmarkEnd w:id="53"/>
      <w:bookmarkEnd w:id="54"/>
      <w:bookmarkEnd w:id="55"/>
      <w:bookmarkEnd w:id="56"/>
    </w:p>
    <w:p w14:paraId="43A04F82">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firstLine="420" w:firstLineChars="2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开启时间：</w:t>
      </w:r>
      <w:r>
        <w:rPr>
          <w:rFonts w:hint="default" w:ascii="Times New Roman" w:hAnsi="Times New Roman" w:eastAsia="宋体" w:cs="Times New Roman"/>
          <w:color w:val="auto"/>
          <w:sz w:val="21"/>
          <w:szCs w:val="21"/>
          <w:highlight w:val="none"/>
          <w:lang w:eastAsia="zh-CN"/>
        </w:rPr>
        <w:t>202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bCs/>
          <w:i w:val="0"/>
          <w:iCs w:val="0"/>
          <w:color w:val="auto"/>
          <w:spacing w:val="0"/>
          <w:sz w:val="21"/>
          <w:szCs w:val="21"/>
          <w:highlight w:val="none"/>
        </w:rPr>
        <w:t>年</w:t>
      </w:r>
      <w:r>
        <w:rPr>
          <w:rFonts w:hint="eastAsia" w:ascii="Times New Roman" w:hAnsi="Times New Roman" w:cs="Times New Roman"/>
          <w:bCs/>
          <w:i w:val="0"/>
          <w:iCs w:val="0"/>
          <w:color w:val="auto"/>
          <w:spacing w:val="0"/>
          <w:sz w:val="21"/>
          <w:szCs w:val="21"/>
          <w:highlight w:val="none"/>
          <w:lang w:val="en-US" w:eastAsia="zh-CN"/>
        </w:rPr>
        <w:t xml:space="preserve"> 7</w:t>
      </w:r>
      <w:r>
        <w:rPr>
          <w:rFonts w:hint="default" w:ascii="Times New Roman" w:hAnsi="Times New Roman" w:eastAsia="宋体" w:cs="Times New Roman"/>
          <w:bCs/>
          <w:i w:val="0"/>
          <w:iCs w:val="0"/>
          <w:color w:val="auto"/>
          <w:spacing w:val="0"/>
          <w:sz w:val="21"/>
          <w:szCs w:val="21"/>
          <w:highlight w:val="none"/>
        </w:rPr>
        <w:t>月</w:t>
      </w:r>
      <w:r>
        <w:rPr>
          <w:rFonts w:hint="eastAsia" w:ascii="Times New Roman" w:hAnsi="Times New Roman" w:cs="Times New Roman"/>
          <w:bCs/>
          <w:i w:val="0"/>
          <w:iCs w:val="0"/>
          <w:color w:val="auto"/>
          <w:spacing w:val="0"/>
          <w:sz w:val="21"/>
          <w:szCs w:val="21"/>
          <w:highlight w:val="none"/>
          <w:lang w:val="en-US" w:eastAsia="zh-CN"/>
        </w:rPr>
        <w:t>7</w:t>
      </w:r>
      <w:r>
        <w:rPr>
          <w:rFonts w:hint="default" w:ascii="Times New Roman" w:hAnsi="Times New Roman" w:eastAsia="宋体" w:cs="Times New Roman"/>
          <w:bCs/>
          <w:i w:val="0"/>
          <w:iCs w:val="0"/>
          <w:color w:val="auto"/>
          <w:spacing w:val="0"/>
          <w:sz w:val="21"/>
          <w:szCs w:val="21"/>
          <w:highlight w:val="none"/>
        </w:rPr>
        <w:t>日</w:t>
      </w:r>
      <w:r>
        <w:rPr>
          <w:rFonts w:hint="default" w:ascii="Times New Roman" w:hAnsi="Times New Roman" w:eastAsia="宋体" w:cs="Times New Roman"/>
          <w:color w:val="auto"/>
          <w:kern w:val="0"/>
          <w:sz w:val="21"/>
          <w:szCs w:val="21"/>
          <w:highlight w:val="none"/>
          <w:lang w:val="en-US" w:eastAsia="zh-CN" w:bidi="ar"/>
        </w:rPr>
        <w:t xml:space="preserve"> 10:00（北京时间）</w:t>
      </w:r>
    </w:p>
    <w:p w14:paraId="19270D8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auto"/>
          <w:kern w:val="0"/>
          <w:sz w:val="21"/>
          <w:szCs w:val="21"/>
          <w:highlight w:val="none"/>
          <w:lang w:val="en-US" w:eastAsia="zh-CN" w:bidi="ar"/>
        </w:rPr>
        <w:t>地点：</w:t>
      </w:r>
      <w:r>
        <w:rPr>
          <w:rFonts w:hint="default" w:ascii="Times New Roman" w:hAnsi="Times New Roman" w:eastAsia="宋体" w:cs="Times New Roman"/>
          <w:color w:val="auto"/>
          <w:sz w:val="21"/>
          <w:szCs w:val="21"/>
          <w:highlight w:val="none"/>
          <w:lang w:val="en-US" w:eastAsia="zh-CN"/>
        </w:rPr>
        <w:t>来宾市公共资源交易中心（广西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来宾市红水河大道331号市政务服务中心3楼）/广西政府采购云平台（https://www.gcy.zfcg.gxzf.gov.cn/）</w:t>
      </w:r>
    </w:p>
    <w:p w14:paraId="3EC03EE6">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2" w:firstLineChars="200"/>
        <w:jc w:val="left"/>
        <w:textAlignment w:val="auto"/>
        <w:rPr>
          <w:rFonts w:hint="default" w:ascii="Times New Roman" w:hAnsi="Times New Roman" w:eastAsia="宋体" w:cs="Times New Roman"/>
          <w:bCs w:val="0"/>
          <w:i w:val="0"/>
          <w:iCs w:val="0"/>
          <w:color w:val="000000" w:themeColor="text1"/>
          <w:sz w:val="21"/>
          <w:szCs w:val="21"/>
          <w:highlight w:val="none"/>
          <w14:textFill>
            <w14:solidFill>
              <w14:schemeClr w14:val="tx1"/>
            </w14:solidFill>
          </w14:textFill>
        </w:rPr>
      </w:pPr>
      <w:bookmarkStart w:id="57" w:name="_Toc28359094"/>
      <w:bookmarkStart w:id="58" w:name="_Toc12925"/>
      <w:bookmarkStart w:id="59" w:name="_Toc1528"/>
      <w:bookmarkStart w:id="60" w:name="_Toc29833"/>
      <w:bookmarkStart w:id="61" w:name="_Toc28359017"/>
      <w:bookmarkStart w:id="62" w:name="_Toc35393634"/>
      <w:bookmarkStart w:id="63" w:name="_Toc44229883"/>
      <w:bookmarkStart w:id="64" w:name="_Toc15511"/>
      <w:bookmarkStart w:id="65" w:name="_Toc35393803"/>
      <w:bookmarkStart w:id="66" w:name="_Toc24972"/>
      <w:bookmarkStart w:id="67" w:name="_Toc24130"/>
      <w:r>
        <w:rPr>
          <w:rFonts w:hint="default" w:ascii="Times New Roman" w:hAnsi="Times New Roman" w:eastAsia="宋体" w:cs="Times New Roman"/>
          <w:bCs w:val="0"/>
          <w:i w:val="0"/>
          <w:iCs w:val="0"/>
          <w:color w:val="000000" w:themeColor="text1"/>
          <w:sz w:val="21"/>
          <w:szCs w:val="21"/>
          <w:highlight w:val="none"/>
          <w14:textFill>
            <w14:solidFill>
              <w14:schemeClr w14:val="tx1"/>
            </w14:solidFill>
          </w14:textFill>
        </w:rPr>
        <w:t>六、公告期限</w:t>
      </w:r>
      <w:bookmarkEnd w:id="57"/>
      <w:bookmarkEnd w:id="58"/>
      <w:bookmarkEnd w:id="59"/>
      <w:bookmarkEnd w:id="60"/>
      <w:bookmarkEnd w:id="61"/>
      <w:bookmarkEnd w:id="62"/>
      <w:bookmarkEnd w:id="63"/>
      <w:bookmarkEnd w:id="64"/>
      <w:bookmarkEnd w:id="65"/>
      <w:bookmarkEnd w:id="66"/>
      <w:bookmarkEnd w:id="67"/>
    </w:p>
    <w:p w14:paraId="06583AD8">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i w:val="0"/>
          <w:i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highlight w:val="none"/>
          <w14:textFill>
            <w14:solidFill>
              <w14:schemeClr w14:val="tx1"/>
            </w14:solidFill>
          </w14:textFill>
        </w:rPr>
        <w:t>自本公告发布之日起</w:t>
      </w:r>
      <w:r>
        <w:rPr>
          <w:rFonts w:hint="eastAsia" w:ascii="Times New Roman" w:hAnsi="Times New Roman" w:cs="Times New Roman"/>
          <w:i w:val="0"/>
          <w:iCs w:val="0"/>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eastAsia="宋体" w:cs="Times New Roman"/>
          <w:i w:val="0"/>
          <w:iCs w:val="0"/>
          <w:color w:val="000000" w:themeColor="text1"/>
          <w:kern w:val="0"/>
          <w:sz w:val="21"/>
          <w:szCs w:val="21"/>
          <w:highlight w:val="none"/>
          <w14:textFill>
            <w14:solidFill>
              <w14:schemeClr w14:val="tx1"/>
            </w14:solidFill>
          </w14:textFill>
        </w:rPr>
        <w:t>个工作日。</w:t>
      </w:r>
    </w:p>
    <w:p w14:paraId="1B1CFB0C">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22" w:firstLineChars="200"/>
        <w:jc w:val="left"/>
        <w:textAlignment w:val="auto"/>
        <w:rPr>
          <w:rFonts w:hint="default" w:ascii="Times New Roman" w:hAnsi="Times New Roman" w:eastAsia="宋体" w:cs="Times New Roman"/>
          <w:bCs w:val="0"/>
          <w:i w:val="0"/>
          <w:iCs w:val="0"/>
          <w:color w:val="000000" w:themeColor="text1"/>
          <w:sz w:val="21"/>
          <w:szCs w:val="21"/>
          <w:highlight w:val="none"/>
          <w14:textFill>
            <w14:solidFill>
              <w14:schemeClr w14:val="tx1"/>
            </w14:solidFill>
          </w14:textFill>
        </w:rPr>
      </w:pPr>
      <w:bookmarkStart w:id="68" w:name="_Toc35393804"/>
      <w:bookmarkStart w:id="69" w:name="_Toc15394"/>
      <w:bookmarkStart w:id="70" w:name="_Toc1575"/>
      <w:bookmarkStart w:id="71" w:name="_Toc17983"/>
      <w:bookmarkStart w:id="72" w:name="_Toc27169"/>
      <w:bookmarkStart w:id="73" w:name="_Toc29736"/>
      <w:bookmarkStart w:id="74" w:name="_Toc44229884"/>
      <w:bookmarkStart w:id="75" w:name="_Toc11769"/>
      <w:bookmarkStart w:id="76" w:name="_Toc35393635"/>
      <w:r>
        <w:rPr>
          <w:rFonts w:hint="default" w:ascii="Times New Roman" w:hAnsi="Times New Roman" w:eastAsia="宋体" w:cs="Times New Roman"/>
          <w:bCs w:val="0"/>
          <w:i w:val="0"/>
          <w:iCs w:val="0"/>
          <w:color w:val="000000" w:themeColor="text1"/>
          <w:sz w:val="21"/>
          <w:szCs w:val="21"/>
          <w:highlight w:val="none"/>
          <w14:textFill>
            <w14:solidFill>
              <w14:schemeClr w14:val="tx1"/>
            </w14:solidFill>
          </w14:textFill>
        </w:rPr>
        <w:t>七、其他补充事宜</w:t>
      </w:r>
      <w:bookmarkEnd w:id="68"/>
      <w:bookmarkEnd w:id="69"/>
      <w:bookmarkEnd w:id="70"/>
      <w:bookmarkEnd w:id="71"/>
      <w:bookmarkEnd w:id="72"/>
      <w:bookmarkEnd w:id="73"/>
      <w:bookmarkEnd w:id="74"/>
      <w:bookmarkEnd w:id="75"/>
      <w:bookmarkEnd w:id="76"/>
    </w:p>
    <w:p w14:paraId="25D804FD">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bookmarkStart w:id="77" w:name="OLE_LINK48"/>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1.网上查询地址 </w:t>
      </w:r>
    </w:p>
    <w:p w14:paraId="0F245D0C">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78" w:name="OLE_LINK53"/>
      <w:r>
        <w:rPr>
          <w:rFonts w:hint="default" w:ascii="Times New Roman" w:hAnsi="Times New Roman" w:eastAsia="宋体" w:cs="Times New Roman"/>
          <w:color w:val="000000" w:themeColor="text1"/>
          <w:spacing w:val="0"/>
          <w:sz w:val="21"/>
          <w:szCs w:val="21"/>
          <w:highlight w:val="none"/>
          <w:u w:val="none"/>
          <w:lang w:val="en-US" w:eastAsia="zh-CN" w:bidi="ar"/>
          <w14:textFill>
            <w14:solidFill>
              <w14:schemeClr w14:val="tx1"/>
            </w14:solidFill>
          </w14:textFill>
        </w:rPr>
        <w:t>http://www.ccgp.gov.cn/</w:t>
      </w:r>
      <w:r>
        <w:rPr>
          <w:rFonts w:hint="default" w:ascii="Times New Roman" w:hAnsi="Times New Roman" w:eastAsia="宋体" w:cs="Times New Roman"/>
          <w:color w:val="000000" w:themeColor="text1"/>
          <w:spacing w:val="0"/>
          <w:kern w:val="0"/>
          <w:sz w:val="21"/>
          <w:szCs w:val="21"/>
          <w:highlight w:val="none"/>
          <w:u w:val="none"/>
          <w14:textFill>
            <w14:solidFill>
              <w14:schemeClr w14:val="tx1"/>
            </w14:solidFill>
          </w14:textFill>
        </w:rPr>
        <w:t>（中国政府采购网）、</w:t>
      </w:r>
      <w:r>
        <w:rPr>
          <w:rFonts w:hint="default" w:ascii="Times New Roman" w:hAnsi="Times New Roman" w:eastAsia="宋体" w:cs="Times New Roman"/>
          <w:color w:val="000000" w:themeColor="text1"/>
          <w:spacing w:val="0"/>
          <w:sz w:val="21"/>
          <w:szCs w:val="21"/>
          <w:highlight w:val="none"/>
          <w:u w:val="none"/>
          <w:lang w:bidi="ar"/>
          <w14:textFill>
            <w14:solidFill>
              <w14:schemeClr w14:val="tx1"/>
            </w14:solidFill>
          </w14:textFill>
        </w:rPr>
        <w:t>http://www.ccgp-guangxi.gov.cn/</w:t>
      </w:r>
      <w:r>
        <w:rPr>
          <w:rFonts w:hint="default" w:ascii="Times New Roman" w:hAnsi="Times New Roman" w:eastAsia="宋体" w:cs="Times New Roman"/>
          <w:color w:val="000000" w:themeColor="text1"/>
          <w:spacing w:val="0"/>
          <w:kern w:val="0"/>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u w:val="none"/>
          <w:lang w:bidi="ar"/>
          <w14:textFill>
            <w14:solidFill>
              <w14:schemeClr w14:val="tx1"/>
            </w14:solidFill>
          </w14:textFill>
        </w:rPr>
        <w:t>广西政府采购网/广西政府购买服务信息平台</w:t>
      </w:r>
      <w:r>
        <w:rPr>
          <w:rFonts w:hint="default" w:ascii="Times New Roman" w:hAnsi="Times New Roman" w:eastAsia="宋体" w:cs="Times New Roman"/>
          <w:color w:val="000000" w:themeColor="text1"/>
          <w:spacing w:val="0"/>
          <w:sz w:val="21"/>
          <w:szCs w:val="21"/>
          <w:highlight w:val="none"/>
          <w:u w:val="none"/>
          <w:lang w:val="en-US" w:eastAsia="zh-CN" w:bidi="ar"/>
          <w14:textFill>
            <w14:solidFill>
              <w14:schemeClr w14:val="tx1"/>
            </w14:solidFill>
          </w14:textFill>
        </w:rPr>
        <w:t>/中国政府采购网广西分网</w:t>
      </w:r>
      <w:r>
        <w:rPr>
          <w:rFonts w:hint="default" w:ascii="Times New Roman" w:hAnsi="Times New Roman" w:eastAsia="宋体" w:cs="Times New Roman"/>
          <w:color w:val="000000" w:themeColor="text1"/>
          <w:spacing w:val="0"/>
          <w:kern w:val="0"/>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http://ggzy.jgswj.gxzf.gov.cn/（全国公共资源交易平台（广西•来宾））</w:t>
      </w:r>
      <w:r>
        <w:rPr>
          <w:rStyle w:val="50"/>
          <w:rFonts w:hint="default" w:ascii="Times New Roman" w:hAnsi="Times New Roman" w:eastAsia="宋体" w:cs="Times New Roman"/>
          <w:color w:val="000000" w:themeColor="text1"/>
          <w:kern w:val="0"/>
          <w:sz w:val="21"/>
          <w:szCs w:val="21"/>
          <w:highlight w:val="none"/>
          <w:u w:val="none"/>
          <w14:textFill>
            <w14:solidFill>
              <w14:schemeClr w14:val="tx1"/>
            </w14:solidFill>
          </w14:textFill>
        </w:rPr>
        <w:t>。</w:t>
      </w:r>
      <w:bookmarkEnd w:id="78"/>
    </w:p>
    <w:p w14:paraId="1E407C12">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jc w:val="left"/>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2.本项目需要落实的政府采购政策 </w:t>
      </w:r>
    </w:p>
    <w:p w14:paraId="2787FB9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关于印发《政府采购促进中小企业发展管理办法》的通知（财库〔2020〕46号）、</w:t>
      </w:r>
      <w:r>
        <w:rPr>
          <w:rFonts w:hint="default" w:ascii="Times New Roman" w:hAnsi="Times New Roman" w:eastAsia="宋体" w:cs="Times New Roman"/>
          <w:bCs/>
          <w:color w:val="000000" w:themeColor="text1"/>
          <w:sz w:val="21"/>
          <w:szCs w:val="21"/>
          <w:highlight w:val="none"/>
          <w:lang w:val="zh-CN"/>
          <w14:textFill>
            <w14:solidFill>
              <w14:schemeClr w14:val="tx1"/>
            </w14:solidFill>
          </w14:textFill>
        </w:rPr>
        <w:t>《广西壮族自治区财政厅关于持续优化政府采购营商环境推动高质量发展的通知》（桂财采〔2024〕55号）</w:t>
      </w:r>
      <w:r>
        <w:rPr>
          <w:rFonts w:hint="default" w:ascii="Times New Roman" w:hAnsi="Times New Roman" w:eastAsia="宋体" w:cs="Times New Roman"/>
          <w:bCs/>
          <w:color w:val="000000" w:themeColor="text1"/>
          <w:sz w:val="21"/>
          <w:szCs w:val="21"/>
          <w:highlight w:val="none"/>
          <w14:textFill>
            <w14:solidFill>
              <w14:schemeClr w14:val="tx1"/>
            </w14:solidFill>
          </w14:textFill>
        </w:rPr>
        <w:t>；《财政部 司法部关于政府采购支持监狱企业发展有关问题的通知》（财库〔2014〕68号）；《关于促进残疾人就业政府采购政策的通知》（财库〔2017〕141号）</w:t>
      </w:r>
      <w:r>
        <w:rPr>
          <w:rFonts w:hint="default" w:ascii="Times New Roman" w:hAnsi="Times New Roman" w:eastAsia="宋体" w:cs="Times New Roman"/>
          <w:bCs/>
          <w:color w:val="000000" w:themeColor="text1"/>
          <w:sz w:val="21"/>
          <w:szCs w:val="21"/>
          <w:highlight w:val="none"/>
          <w:lang w:val="zh-CN"/>
          <w14:textFill>
            <w14:solidFill>
              <w14:schemeClr w14:val="tx1"/>
            </w14:solidFill>
          </w14:textFill>
        </w:rPr>
        <w:t>。</w:t>
      </w:r>
    </w:p>
    <w:p w14:paraId="588ED4E6">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420" w:firstLineChars="200"/>
        <w:jc w:val="both"/>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 xml:space="preserve">3.在线投标响应（电子投标）说明 </w:t>
      </w:r>
    </w:p>
    <w:p w14:paraId="2A7B0DA6">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6"/>
          <w:sz w:val="21"/>
          <w:szCs w:val="21"/>
          <w:highlight w:val="none"/>
          <w14:textFill>
            <w14:solidFill>
              <w14:schemeClr w14:val="tx1"/>
            </w14:solidFill>
          </w14:textFill>
        </w:rPr>
        <w:t>本项目为全流程电子化项目，通过广西政府采购云平台（https://www.gcy.zfcg.gxzf.gov.cn/）</w:t>
      </w:r>
      <w:r>
        <w:rPr>
          <w:rFonts w:hint="default" w:ascii="Times New Roman" w:hAnsi="Times New Roman" w:eastAsia="宋体" w:cs="Times New Roman"/>
          <w:color w:val="000000" w:themeColor="text1"/>
          <w:sz w:val="21"/>
          <w:szCs w:val="21"/>
          <w:highlight w:val="none"/>
          <w14:textFill>
            <w14:solidFill>
              <w14:schemeClr w14:val="tx1"/>
            </w14:solidFill>
          </w14:textFill>
        </w:rPr>
        <w:t>实行在线电子响应，供应商应先安装“政采云电子交易客户端”（请自行前往广西政府采购云平台进行下载），并按照本项目竞争性磋商文件和广西政府采购云平台的要求编制、加密后在竞标截止时间前通过网络上传至广西政府采购云平台，供应商在广西政府采购云平台提交响应文件时，请填写参加远程开标活动经办人联系方式。</w:t>
      </w:r>
    </w:p>
    <w:p w14:paraId="2BFED3AA">
      <w:pPr>
        <w:keepNext w:val="0"/>
        <w:keepLines w:val="0"/>
        <w:pageBreakBefore w:val="0"/>
        <w:widowControl/>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（2）未进行网上注册并办理数字证书（CA认证）的</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供应商</w:t>
      </w:r>
      <w:r>
        <w:rPr>
          <w:rFonts w:hint="default" w:ascii="Times New Roman" w:hAnsi="Times New Roman" w:eastAsia="宋体" w:cs="Times New Roman"/>
          <w:color w:val="000000" w:themeColor="text1"/>
          <w:sz w:val="21"/>
          <w:szCs w:val="21"/>
          <w:highlight w:val="none"/>
          <w14:textFill>
            <w14:solidFill>
              <w14:schemeClr w14:val="tx1"/>
            </w14:solidFill>
          </w14:textFill>
        </w:rPr>
        <w:t>将无法参与本项目政府采购活动，潜在供应商应当在竞标截止时间前，完成电子交易平台上的CA数字证书办理及响应文件的提交。完成CA数字证书办理预计7日左右，供应商只需办理其中一家CA数字证书及签章，建议各供应商抓紧时间办理。</w:t>
      </w:r>
    </w:p>
    <w:p w14:paraId="1B5372A5">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为确保网上操作合法、有效和安全，请供应商确保在电子投标过程中能够对相关数据电文进行加密和使用电子签章，妥善保管CA数字证书并使用有效的CA数字证书参与整个招标活动。</w:t>
      </w:r>
    </w:p>
    <w:p w14:paraId="43C514FF">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（4）CA证书在线解密：供应商竞标时，需携带制作响应文件时用来加密的有效数字证书（CA认证）登录广西政府采购云平台电子开标大厅现场按规定时间对加密的响应文件进行解密，否则后果自负。</w:t>
      </w:r>
    </w:p>
    <w:p w14:paraId="5889DABD">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bookmarkStart w:id="79" w:name="OLE_LINK4"/>
      <w:r>
        <w:rPr>
          <w:rFonts w:hint="default" w:ascii="Times New Roman" w:hAnsi="Times New Roman" w:eastAsia="宋体" w:cs="Times New Roman"/>
          <w:color w:val="000000" w:themeColor="text1"/>
          <w:spacing w:val="-28"/>
          <w:sz w:val="21"/>
          <w:szCs w:val="21"/>
          <w:highlight w:val="none"/>
          <w14:textFill>
            <w14:solidFill>
              <w14:schemeClr w14:val="tx1"/>
            </w14:solidFill>
          </w14:textFill>
        </w:rPr>
        <w:t>若对项目采购电子交易系统操作有疑问，可登录广西政府采购云平台（https://www.gcy.zfcg.gxzf.gov.cn/）</w:t>
      </w:r>
      <w:bookmarkEnd w:id="79"/>
      <w:r>
        <w:rPr>
          <w:rFonts w:hint="default" w:ascii="Times New Roman" w:hAnsi="Times New Roman" w:eastAsia="宋体" w:cs="Times New Roman"/>
          <w:color w:val="000000" w:themeColor="text1"/>
          <w:sz w:val="21"/>
          <w:szCs w:val="21"/>
          <w:highlight w:val="none"/>
          <w14:textFill>
            <w14:solidFill>
              <w14:schemeClr w14:val="tx1"/>
            </w14:solidFill>
          </w14:textFill>
        </w:rPr>
        <w:t>，点击右侧咨询小采，获取采小蜜智能服务管家帮助，或拨打政采云服务热线95763（服务时间：工作日8:00-20:00）获取热线服务帮助。</w:t>
      </w:r>
    </w:p>
    <w:p w14:paraId="2FD3FF58">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注：供应商应当在竞标截止时间前完成响应文件的上传、递交，竞标截止时间前可以补充、修改或者撤回响应文件。补充或者修改响应文件的，应当先行撤回原文件，补充、修改后重新上传、递交。竞标截止时间前未完成上传、递交的，视为撤回响应文件。竞标截止时间以后上传递交的响应文件广西政府采购云平台将予以拒收。</w:t>
      </w:r>
    </w:p>
    <w:p w14:paraId="44F77C4D">
      <w:pPr>
        <w:keepNext w:val="0"/>
        <w:keepLines w:val="0"/>
        <w:pageBreakBefore w:val="0"/>
        <w:widowControl/>
        <w:kinsoku/>
        <w:wordWrap/>
        <w:overflowPunct/>
        <w:topLinePunct w:val="0"/>
        <w:autoSpaceDE/>
        <w:autoSpaceDN/>
        <w:bidi w:val="0"/>
        <w:adjustRightInd/>
        <w:snapToGrid/>
        <w:spacing w:line="480" w:lineRule="exact"/>
        <w:ind w:left="440" w:leftChars="200"/>
        <w:textAlignment w:val="auto"/>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监督部门</w:t>
      </w:r>
    </w:p>
    <w:p w14:paraId="6630616B">
      <w:pPr>
        <w:keepNext w:val="0"/>
        <w:keepLines w:val="0"/>
        <w:pageBreakBefore w:val="0"/>
        <w:widowControl/>
        <w:kinsoku/>
        <w:wordWrap/>
        <w:overflowPunct/>
        <w:topLinePunct w:val="0"/>
        <w:autoSpaceDE/>
        <w:autoSpaceDN/>
        <w:bidi w:val="0"/>
        <w:adjustRightInd/>
        <w:snapToGrid/>
        <w:spacing w:line="480" w:lineRule="exact"/>
        <w:ind w:left="440" w:leftChars="200"/>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名称：</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金秀瑶族自治县财政局</w:t>
      </w:r>
    </w:p>
    <w:p w14:paraId="1A2252B5">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b/>
          <w:bCs/>
          <w:i w:val="0"/>
          <w:i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联系电话：</w:t>
      </w:r>
      <w:r>
        <w:rPr>
          <w:rFonts w:hint="default" w:ascii="Times New Roman" w:hAnsi="Times New Roman" w:eastAsia="宋体" w:cs="Times New Roman"/>
          <w:color w:val="000000" w:themeColor="text1"/>
          <w:kern w:val="2"/>
          <w:sz w:val="21"/>
          <w:szCs w:val="21"/>
          <w:highlight w:val="none"/>
          <w:u w:val="none"/>
          <w:lang w:val="en-US" w:eastAsia="zh-CN" w:bidi="ar-SA"/>
          <w14:textFill>
            <w14:solidFill>
              <w14:schemeClr w14:val="tx1"/>
            </w14:solidFill>
          </w14:textFill>
        </w:rPr>
        <w:t>0772-6215667</w:t>
      </w:r>
    </w:p>
    <w:bookmarkEnd w:id="77"/>
    <w:p w14:paraId="194B5192">
      <w:pPr>
        <w:keepNext w:val="0"/>
        <w:keepLines w:val="0"/>
        <w:pageBreakBefore w:val="0"/>
        <w:widowControl w:val="0"/>
        <w:kinsoku/>
        <w:wordWrap/>
        <w:overflowPunct/>
        <w:topLinePunct w:val="0"/>
        <w:autoSpaceDE/>
        <w:autoSpaceDN/>
        <w:bidi w:val="0"/>
        <w:adjustRightInd/>
        <w:snapToGrid/>
        <w:spacing w:line="530" w:lineRule="exact"/>
        <w:ind w:firstLine="422" w:firstLineChars="200"/>
        <w:textAlignment w:val="auto"/>
        <w:rPr>
          <w:rFonts w:hint="default" w:ascii="Times New Roman" w:hAnsi="Times New Roman" w:eastAsia="宋体" w:cs="Times New Roman"/>
          <w:b/>
          <w:bCs/>
          <w:i w:val="0"/>
          <w:i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i w:val="0"/>
          <w:iCs w:val="0"/>
          <w:color w:val="000000" w:themeColor="text1"/>
          <w:kern w:val="2"/>
          <w:sz w:val="21"/>
          <w:szCs w:val="21"/>
          <w:highlight w:val="none"/>
          <w:lang w:val="en-US" w:eastAsia="zh-CN" w:bidi="ar-SA"/>
          <w14:textFill>
            <w14:solidFill>
              <w14:schemeClr w14:val="tx1"/>
            </w14:solidFill>
          </w14:textFill>
        </w:rPr>
        <w:t>八、凡对本次采购提出询问，请按以下方式联系</w:t>
      </w:r>
    </w:p>
    <w:p w14:paraId="36B0F85C">
      <w:pPr>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default" w:ascii="Times New Roman" w:hAnsi="Times New Roman" w:eastAsia="宋体" w:cs="Times New Roman"/>
          <w:i w:val="0"/>
          <w:iCs w:val="0"/>
          <w:color w:val="000000" w:themeColor="text1"/>
          <w:kern w:val="0"/>
          <w:sz w:val="21"/>
          <w:szCs w:val="21"/>
          <w:highlight w:val="none"/>
          <w:u w:val="none"/>
          <w14:textFill>
            <w14:solidFill>
              <w14:schemeClr w14:val="tx1"/>
            </w14:solidFill>
          </w14:textFill>
        </w:rPr>
      </w:pPr>
      <w:bookmarkStart w:id="80" w:name="_Toc35393806"/>
      <w:bookmarkStart w:id="81" w:name="_Toc35393637"/>
      <w:bookmarkStart w:id="82" w:name="_Toc28359096"/>
      <w:bookmarkStart w:id="83" w:name="_Toc28359019"/>
      <w:r>
        <w:rPr>
          <w:rFonts w:hint="default" w:ascii="Times New Roman" w:hAnsi="Times New Roman" w:eastAsia="宋体" w:cs="Times New Roman"/>
          <w:i w:val="0"/>
          <w:iCs w:val="0"/>
          <w:color w:val="000000" w:themeColor="text1"/>
          <w:kern w:val="0"/>
          <w:sz w:val="21"/>
          <w:szCs w:val="21"/>
          <w:highlight w:val="none"/>
          <w:u w:val="none"/>
          <w14:textFill>
            <w14:solidFill>
              <w14:schemeClr w14:val="tx1"/>
            </w14:solidFill>
          </w14:textFill>
        </w:rPr>
        <w:t>1.采购人信息</w:t>
      </w:r>
      <w:bookmarkEnd w:id="80"/>
      <w:bookmarkEnd w:id="81"/>
      <w:bookmarkEnd w:id="82"/>
      <w:bookmarkEnd w:id="83"/>
    </w:p>
    <w:p w14:paraId="70B06492">
      <w:pPr>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bookmarkStart w:id="84" w:name="OLE_LINK20"/>
      <w:bookmarkStart w:id="85" w:name="OLE_LINK26"/>
      <w: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t>名    称：金秀瑶族自治县桐木镇人民政府</w:t>
      </w:r>
    </w:p>
    <w:p w14:paraId="106EC596">
      <w:pPr>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t>地    址：来宾市金秀瑶族自治县桐木镇雅文路128号</w:t>
      </w:r>
    </w:p>
    <w:p w14:paraId="098B53A8">
      <w:pPr>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u w:val="none"/>
          <w:lang w:val="en-US" w:eastAsia="zh-CN"/>
          <w14:textFill>
            <w14:solidFill>
              <w14:schemeClr w14:val="tx1"/>
            </w14:solidFill>
          </w14:textFill>
        </w:rPr>
        <w:t xml:space="preserve">联 系 人：闭工        联系方式：0772-6351399 </w:t>
      </w:r>
    </w:p>
    <w:bookmarkEnd w:id="84"/>
    <w:p w14:paraId="0C028072">
      <w:pPr>
        <w:keepNext w:val="0"/>
        <w:keepLines w:val="0"/>
        <w:pageBreakBefore w:val="0"/>
        <w:widowControl w:val="0"/>
        <w:kinsoku/>
        <w:wordWrap/>
        <w:overflowPunct/>
        <w:topLinePunct w:val="0"/>
        <w:autoSpaceDE/>
        <w:autoSpaceDN/>
        <w:bidi w:val="0"/>
        <w:adjustRightInd/>
        <w:snapToGrid/>
        <w:spacing w:line="530" w:lineRule="exact"/>
        <w:ind w:firstLine="424" w:firstLineChars="202"/>
        <w:jc w:val="left"/>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2.采购代理机构信息</w:t>
      </w:r>
    </w:p>
    <w:p w14:paraId="00992A2B">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firstLine="420" w:firstLineChars="200"/>
        <w:jc w:val="left"/>
        <w:textAlignment w:val="auto"/>
        <w:rPr>
          <w:rFonts w:hint="default" w:ascii="Times New Roman" w:hAnsi="Times New Roman" w:eastAsia="宋体" w:cs="Times New Roman"/>
          <w:b w:val="0"/>
          <w:bCs w:val="0"/>
          <w:color w:val="000000" w:themeColor="text1"/>
          <w:sz w:val="21"/>
          <w:szCs w:val="21"/>
          <w:highlight w:val="none"/>
          <w:u w:val="none"/>
          <w:lang w:val="zh-CN" w:eastAsia="zh-CN" w:bidi="zh-CN"/>
          <w14:textFill>
            <w14:solidFill>
              <w14:schemeClr w14:val="tx1"/>
            </w14:solidFill>
          </w14:textFill>
        </w:rPr>
      </w:pPr>
      <w:bookmarkStart w:id="86" w:name="_Toc28359010"/>
      <w:bookmarkStart w:id="87" w:name="_Toc28359087"/>
      <w:r>
        <w:rPr>
          <w:rFonts w:hint="default" w:ascii="Times New Roman" w:hAnsi="Times New Roman" w:eastAsia="宋体" w:cs="Times New Roman"/>
          <w:b w:val="0"/>
          <w:bCs w:val="0"/>
          <w:color w:val="000000" w:themeColor="text1"/>
          <w:sz w:val="21"/>
          <w:szCs w:val="21"/>
          <w:highlight w:val="none"/>
          <w:u w:val="none"/>
          <w:lang w:val="zh-CN" w:eastAsia="zh-CN" w:bidi="zh-CN"/>
          <w14:textFill>
            <w14:solidFill>
              <w14:schemeClr w14:val="tx1"/>
            </w14:solidFill>
          </w14:textFill>
        </w:rPr>
        <w:t>名称：</w:t>
      </w:r>
      <w:bookmarkEnd w:id="85"/>
      <w:r>
        <w:rPr>
          <w:rFonts w:hint="eastAsia" w:ascii="Times New Roman" w:hAnsi="Times New Roman" w:eastAsia="宋体" w:cs="Times New Roman"/>
          <w:b w:val="0"/>
          <w:bCs w:val="0"/>
          <w:color w:val="000000" w:themeColor="text1"/>
          <w:sz w:val="21"/>
          <w:szCs w:val="21"/>
          <w:highlight w:val="none"/>
          <w:u w:val="none"/>
          <w:lang w:val="zh-CN" w:eastAsia="zh-CN" w:bidi="zh-CN"/>
          <w14:textFill>
            <w14:solidFill>
              <w14:schemeClr w14:val="tx1"/>
            </w14:solidFill>
          </w14:textFill>
        </w:rPr>
        <w:t>中致远工程管理咨询有限公司</w:t>
      </w:r>
    </w:p>
    <w:p w14:paraId="34B033DA">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firstLine="420" w:firstLineChars="200"/>
        <w:jc w:val="left"/>
        <w:textAlignment w:val="auto"/>
        <w:rPr>
          <w:rFonts w:hint="default" w:ascii="Times New Roman" w:hAnsi="Times New Roman" w:eastAsia="宋体" w:cs="Times New Roman"/>
          <w:b w:val="0"/>
          <w:bCs w:val="0"/>
          <w:color w:val="000000" w:themeColor="text1"/>
          <w:sz w:val="21"/>
          <w:szCs w:val="21"/>
          <w:highlight w:val="none"/>
          <w:u w:val="none"/>
          <w:lang w:val="zh-CN" w:eastAsia="zh-CN" w:bidi="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zh-CN" w:eastAsia="zh-CN" w:bidi="zh-CN"/>
          <w14:textFill>
            <w14:solidFill>
              <w14:schemeClr w14:val="tx1"/>
            </w14:solidFill>
          </w14:textFill>
        </w:rPr>
        <w:t>地址：成都市金牛区金科南路169号1栋10层1016号</w:t>
      </w:r>
    </w:p>
    <w:p w14:paraId="0CF1C538">
      <w:pPr>
        <w:pStyle w:val="5"/>
        <w:keepNext w:val="0"/>
        <w:keepLines w:val="0"/>
        <w:pageBreakBefore w:val="0"/>
        <w:widowControl w:val="0"/>
        <w:kinsoku/>
        <w:wordWrap/>
        <w:overflowPunct/>
        <w:topLinePunct w:val="0"/>
        <w:autoSpaceDE/>
        <w:autoSpaceDN/>
        <w:bidi w:val="0"/>
        <w:adjustRightInd/>
        <w:snapToGrid/>
        <w:spacing w:after="0" w:line="530" w:lineRule="exact"/>
        <w:ind w:left="0" w:leftChars="0" w:firstLine="420" w:firstLineChars="200"/>
        <w:jc w:val="left"/>
        <w:textAlignment w:val="auto"/>
        <w:rPr>
          <w:rFonts w:hint="default" w:ascii="Times New Roman" w:hAnsi="Times New Roman" w:eastAsia="宋体" w:cs="Times New Roman"/>
          <w:b w:val="0"/>
          <w:bCs/>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0"/>
          <w:sz w:val="21"/>
          <w:szCs w:val="21"/>
          <w:highlight w:val="none"/>
          <w:u w:val="none"/>
          <w:lang w:val="en-US" w:eastAsia="zh-CN" w:bidi="ar-SA"/>
          <w14:textFill>
            <w14:solidFill>
              <w14:schemeClr w14:val="tx1"/>
            </w14:solidFill>
          </w14:textFill>
        </w:rPr>
        <w:t>联系人：冯</w:t>
      </w:r>
      <w:r>
        <w:rPr>
          <w:rFonts w:hint="eastAsia" w:ascii="Times New Roman" w:hAnsi="Times New Roman" w:eastAsia="宋体" w:cs="Times New Roman"/>
          <w:b w:val="0"/>
          <w:bCs/>
          <w:color w:val="000000" w:themeColor="text1"/>
          <w:kern w:val="0"/>
          <w:sz w:val="21"/>
          <w:szCs w:val="21"/>
          <w:highlight w:val="none"/>
          <w:u w:val="none"/>
          <w:lang w:val="en-US" w:eastAsia="zh-CN" w:bidi="ar-SA"/>
          <w14:textFill>
            <w14:solidFill>
              <w14:schemeClr w14:val="tx1"/>
            </w14:solidFill>
          </w14:textFill>
        </w:rPr>
        <w:t>工</w:t>
      </w:r>
    </w:p>
    <w:p w14:paraId="3234E202">
      <w:pPr>
        <w:keepNext w:val="0"/>
        <w:keepLines w:val="0"/>
        <w:pageBreakBefore w:val="0"/>
        <w:widowControl w:val="0"/>
        <w:kinsoku/>
        <w:wordWrap/>
        <w:overflowPunct/>
        <w:topLinePunct w:val="0"/>
        <w:autoSpaceDE/>
        <w:autoSpaceDN/>
        <w:bidi w:val="0"/>
        <w:adjustRightInd/>
        <w:snapToGrid/>
        <w:spacing w:line="530" w:lineRule="exact"/>
        <w:ind w:firstLine="424" w:firstLineChars="202"/>
        <w:jc w:val="left"/>
        <w:textAlignment w:val="auto"/>
        <w:rPr>
          <w:rFonts w:hint="eastAsia" w:ascii="Times New Roman" w:hAnsi="Times New Roman" w:eastAsia="宋体" w:cs="Times New Roman"/>
          <w:bCs/>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联系</w:t>
      </w: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电话</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：13768933267</w:t>
      </w:r>
    </w:p>
    <w:p w14:paraId="009FE329">
      <w:pPr>
        <w:keepNext w:val="0"/>
        <w:keepLines w:val="0"/>
        <w:pageBreakBefore w:val="0"/>
        <w:widowControl w:val="0"/>
        <w:kinsoku/>
        <w:wordWrap/>
        <w:overflowPunct/>
        <w:topLinePunct w:val="0"/>
        <w:autoSpaceDE/>
        <w:autoSpaceDN/>
        <w:bidi w:val="0"/>
        <w:adjustRightInd/>
        <w:snapToGrid/>
        <w:spacing w:line="530" w:lineRule="exact"/>
        <w:ind w:firstLine="424" w:firstLineChars="202"/>
        <w:jc w:val="left"/>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3.项目联系方式</w:t>
      </w:r>
      <w:bookmarkEnd w:id="86"/>
      <w:bookmarkEnd w:id="87"/>
    </w:p>
    <w:p w14:paraId="6523B4E7">
      <w:pPr>
        <w:pStyle w:val="25"/>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项目联系人：</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冯工</w:t>
      </w:r>
    </w:p>
    <w:p w14:paraId="451795FA">
      <w:pPr>
        <w:keepNext w:val="0"/>
        <w:keepLines w:val="0"/>
        <w:pageBreakBefore w:val="0"/>
        <w:widowControl w:val="0"/>
        <w:kinsoku/>
        <w:wordWrap/>
        <w:overflowPunct/>
        <w:topLinePunct w:val="0"/>
        <w:autoSpaceDE/>
        <w:autoSpaceDN/>
        <w:bidi w:val="0"/>
        <w:adjustRightInd/>
        <w:snapToGrid/>
        <w:spacing w:line="530" w:lineRule="exact"/>
        <w:ind w:firstLine="420" w:firstLineChars="200"/>
        <w:jc w:val="left"/>
        <w:textAlignment w:val="auto"/>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联系</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电话：13768933267</w:t>
      </w:r>
    </w:p>
    <w:p w14:paraId="58A24E4A">
      <w:pPr>
        <w:keepNext w:val="0"/>
        <w:keepLines w:val="0"/>
        <w:pageBreakBefore w:val="0"/>
        <w:kinsoku/>
        <w:wordWrap/>
        <w:overflowPunct/>
        <w:topLinePunct w:val="0"/>
        <w:bidi w:val="0"/>
        <w:adjustRightInd/>
        <w:snapToGrid/>
        <w:spacing w:line="40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5E9021BE">
      <w:pPr>
        <w:keepNext w:val="0"/>
        <w:keepLines w:val="0"/>
        <w:pageBreakBefore w:val="0"/>
        <w:kinsoku/>
        <w:wordWrap/>
        <w:overflowPunct/>
        <w:topLinePunct w:val="0"/>
        <w:bidi w:val="0"/>
        <w:adjustRightInd/>
        <w:snapToGrid/>
        <w:spacing w:line="404" w:lineRule="exact"/>
        <w:ind w:firstLine="420" w:firstLineChars="200"/>
        <w:jc w:val="left"/>
        <w:textAlignment w:val="auto"/>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u w:val="none"/>
          <w14:textFill>
            <w14:solidFill>
              <w14:schemeClr w14:val="tx1"/>
            </w14:solidFill>
          </w14:textFill>
        </w:rPr>
        <w:t>　　　</w:t>
      </w:r>
    </w:p>
    <w:p w14:paraId="4987F63B">
      <w:pPr>
        <w:keepNext w:val="0"/>
        <w:keepLines w:val="0"/>
        <w:pageBreakBefore w:val="0"/>
        <w:widowControl w:val="0"/>
        <w:kinsoku/>
        <w:wordWrap/>
        <w:overflowPunct/>
        <w:topLinePunct w:val="0"/>
        <w:autoSpaceDE/>
        <w:autoSpaceDN/>
        <w:bidi w:val="0"/>
        <w:adjustRightInd w:val="0"/>
        <w:snapToGrid/>
        <w:spacing w:line="700" w:lineRule="exact"/>
        <w:ind w:firstLine="630" w:firstLineChars="300"/>
        <w:textAlignment w:val="baseline"/>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bookmarkStart w:id="88" w:name="OLE_LINK60"/>
      <w:r>
        <w:rPr>
          <w:rFonts w:hint="default" w:ascii="Times New Roman" w:hAnsi="Times New Roman" w:cs="Times New Roman"/>
          <w:b/>
          <w:bCs/>
          <w:color w:val="000000" w:themeColor="text1"/>
          <w:sz w:val="21"/>
          <w:szCs w:val="21"/>
          <w:highlight w:val="none"/>
          <w14:textFill>
            <w14:solidFill>
              <w14:schemeClr w14:val="tx1"/>
            </w14:solidFill>
          </w14:textFill>
        </w:rPr>
        <w:t>采购人：金秀瑶族自</w:t>
      </w:r>
      <w:r>
        <w:rPr>
          <w:rFonts w:hint="default" w:ascii="Times New Roman" w:hAnsi="Times New Roman" w:cs="Times New Roman"/>
          <w:b/>
          <w:bCs/>
          <w:color w:val="auto"/>
          <w:sz w:val="21"/>
          <w:szCs w:val="21"/>
          <w:highlight w:val="none"/>
        </w:rPr>
        <w:t>治县桐木镇人民政府</w:t>
      </w:r>
    </w:p>
    <w:p w14:paraId="5E720A96">
      <w:pPr>
        <w:keepNext w:val="0"/>
        <w:keepLines w:val="0"/>
        <w:pageBreakBefore w:val="0"/>
        <w:widowControl w:val="0"/>
        <w:kinsoku/>
        <w:wordWrap/>
        <w:overflowPunct/>
        <w:topLinePunct w:val="0"/>
        <w:autoSpaceDE/>
        <w:autoSpaceDN/>
        <w:bidi w:val="0"/>
        <w:adjustRightInd w:val="0"/>
        <w:snapToGrid/>
        <w:spacing w:line="700" w:lineRule="exact"/>
        <w:ind w:firstLine="3162" w:firstLineChars="1500"/>
        <w:textAlignment w:val="baseline"/>
        <w:rPr>
          <w:rFonts w:hint="eastAsia"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rPr>
        <w:t>采购代理机构：</w:t>
      </w:r>
      <w:r>
        <w:rPr>
          <w:rFonts w:hint="eastAsia" w:ascii="Times New Roman" w:hAnsi="Times New Roman" w:cs="Times New Roman"/>
          <w:b/>
          <w:bCs/>
          <w:color w:val="auto"/>
          <w:sz w:val="21"/>
          <w:szCs w:val="21"/>
          <w:highlight w:val="none"/>
          <w:lang w:eastAsia="zh-CN"/>
        </w:rPr>
        <w:t>中致远工程管理咨询有限公司</w:t>
      </w:r>
    </w:p>
    <w:p w14:paraId="0EA55951">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0"/>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bookmarkStart w:id="89" w:name="_Toc16070"/>
      <w:bookmarkStart w:id="90" w:name="_Toc2212"/>
      <w:bookmarkStart w:id="91" w:name="_Toc29960"/>
      <w:bookmarkStart w:id="92" w:name="_Toc26764"/>
      <w:r>
        <w:rPr>
          <w:rFonts w:hint="default" w:ascii="Times New Roman" w:hAnsi="Times New Roman" w:eastAsia="宋体" w:cs="Times New Roman"/>
          <w:b/>
          <w:bCs/>
          <w:color w:val="auto"/>
          <w:kern w:val="2"/>
          <w:sz w:val="21"/>
          <w:szCs w:val="21"/>
          <w:highlight w:val="none"/>
          <w:lang w:val="en-US" w:eastAsia="zh-CN" w:bidi="ar-SA"/>
        </w:rPr>
        <w:t>202</w:t>
      </w:r>
      <w:r>
        <w:rPr>
          <w:rFonts w:hint="eastAsia" w:ascii="Times New Roman" w:hAnsi="Times New Roman" w:eastAsia="宋体" w:cs="Times New Roman"/>
          <w:b/>
          <w:bCs/>
          <w:color w:val="auto"/>
          <w:kern w:val="2"/>
          <w:sz w:val="21"/>
          <w:szCs w:val="21"/>
          <w:highlight w:val="none"/>
          <w:lang w:val="en-US" w:eastAsia="zh-CN" w:bidi="ar-SA"/>
        </w:rPr>
        <w:t>5</w:t>
      </w:r>
      <w:r>
        <w:rPr>
          <w:rFonts w:hint="default" w:ascii="Times New Roman" w:hAnsi="Times New Roman" w:eastAsia="宋体" w:cs="Times New Roman"/>
          <w:b/>
          <w:bCs/>
          <w:color w:val="auto"/>
          <w:kern w:val="2"/>
          <w:sz w:val="21"/>
          <w:szCs w:val="21"/>
          <w:highlight w:val="none"/>
          <w:lang w:val="en-US" w:eastAsia="zh-CN" w:bidi="ar-SA"/>
        </w:rPr>
        <w:t>年</w:t>
      </w:r>
      <w:r>
        <w:rPr>
          <w:rFonts w:hint="eastAsia" w:ascii="Times New Roman" w:hAnsi="Times New Roman" w:eastAsia="宋体" w:cs="Times New Roman"/>
          <w:b/>
          <w:bCs/>
          <w:color w:val="auto"/>
          <w:kern w:val="2"/>
          <w:sz w:val="21"/>
          <w:szCs w:val="21"/>
          <w:highlight w:val="none"/>
          <w:lang w:val="en-US" w:eastAsia="zh-CN" w:bidi="ar-SA"/>
        </w:rPr>
        <w:t xml:space="preserve"> 6</w:t>
      </w:r>
      <w:r>
        <w:rPr>
          <w:rFonts w:hint="default" w:ascii="Times New Roman" w:hAnsi="Times New Roman" w:eastAsia="宋体" w:cs="Times New Roman"/>
          <w:b/>
          <w:bCs/>
          <w:color w:val="auto"/>
          <w:kern w:val="2"/>
          <w:sz w:val="21"/>
          <w:szCs w:val="21"/>
          <w:highlight w:val="none"/>
          <w:lang w:val="en-US" w:eastAsia="zh-CN" w:bidi="ar-SA"/>
        </w:rPr>
        <w:t>月</w:t>
      </w:r>
      <w:r>
        <w:rPr>
          <w:rFonts w:hint="eastAsia" w:ascii="Times New Roman" w:hAnsi="Times New Roman" w:eastAsia="宋体" w:cs="Times New Roman"/>
          <w:b/>
          <w:bCs/>
          <w:color w:val="auto"/>
          <w:kern w:val="2"/>
          <w:sz w:val="21"/>
          <w:szCs w:val="21"/>
          <w:highlight w:val="none"/>
          <w:lang w:val="en-US" w:eastAsia="zh-CN" w:bidi="ar-SA"/>
        </w:rPr>
        <w:t>26</w:t>
      </w:r>
      <w:r>
        <w:rPr>
          <w:rFonts w:hint="default" w:ascii="Times New Roman" w:hAnsi="Times New Roman" w:eastAsia="宋体" w:cs="Times New Roman"/>
          <w:b/>
          <w:bCs/>
          <w:color w:val="auto"/>
          <w:kern w:val="2"/>
          <w:sz w:val="21"/>
          <w:szCs w:val="21"/>
          <w:highlight w:val="none"/>
          <w:lang w:val="en-US" w:eastAsia="zh-CN" w:bidi="ar-SA"/>
        </w:rPr>
        <w:t>日</w:t>
      </w:r>
      <w:bookmarkEnd w:id="88"/>
      <w:bookmarkEnd w:id="89"/>
      <w:bookmarkEnd w:id="90"/>
      <w:bookmarkEnd w:id="91"/>
      <w:bookmarkEnd w:id="92"/>
    </w:p>
    <w:bookmarkEnd w:id="16"/>
    <w:p w14:paraId="01CAEF96">
      <w:pPr>
        <w:keepNext w:val="0"/>
        <w:keepLines w:val="0"/>
        <w:pageBreakBefore w:val="0"/>
        <w:widowControl w:val="0"/>
        <w:tabs>
          <w:tab w:val="left" w:pos="4299"/>
        </w:tabs>
        <w:kinsoku/>
        <w:wordWrap/>
        <w:overflowPunct/>
        <w:topLinePunct w:val="0"/>
        <w:autoSpaceDE w:val="0"/>
        <w:autoSpaceDN w:val="0"/>
        <w:bidi w:val="0"/>
        <w:adjustRightInd/>
        <w:snapToGrid/>
        <w:spacing w:line="700" w:lineRule="exact"/>
        <w:jc w:val="both"/>
        <w:textAlignment w:val="auto"/>
        <w:outlineLvl w:val="0"/>
        <w:rPr>
          <w:rFonts w:hint="eastAsia" w:ascii="黑体" w:eastAsia="黑体"/>
          <w:b/>
          <w:color w:val="000000" w:themeColor="text1"/>
          <w:sz w:val="36"/>
          <w:highlight w:val="none"/>
          <w14:textFill>
            <w14:solidFill>
              <w14:schemeClr w14:val="tx1"/>
            </w14:solidFill>
          </w14:textFill>
        </w:rPr>
      </w:pPr>
      <w:bookmarkStart w:id="93" w:name="_Toc500469572"/>
      <w:bookmarkStart w:id="94" w:name="_Toc500469679"/>
    </w:p>
    <w:p w14:paraId="4624A3D9">
      <w:pPr>
        <w:keepNext w:val="0"/>
        <w:keepLines w:val="0"/>
        <w:pageBreakBefore w:val="0"/>
        <w:widowControl w:val="0"/>
        <w:tabs>
          <w:tab w:val="left" w:pos="4299"/>
        </w:tabs>
        <w:kinsoku/>
        <w:wordWrap/>
        <w:overflowPunct/>
        <w:topLinePunct w:val="0"/>
        <w:autoSpaceDE w:val="0"/>
        <w:autoSpaceDN w:val="0"/>
        <w:bidi w:val="0"/>
        <w:adjustRightInd/>
        <w:snapToGrid/>
        <w:spacing w:line="700" w:lineRule="exact"/>
        <w:jc w:val="both"/>
        <w:textAlignment w:val="auto"/>
        <w:outlineLvl w:val="0"/>
        <w:rPr>
          <w:rFonts w:hint="eastAsia" w:ascii="黑体" w:eastAsia="黑体"/>
          <w:b/>
          <w:color w:val="000000" w:themeColor="text1"/>
          <w:sz w:val="36"/>
          <w:highlight w:val="none"/>
          <w14:textFill>
            <w14:solidFill>
              <w14:schemeClr w14:val="tx1"/>
            </w14:solidFill>
          </w14:textFill>
        </w:rPr>
      </w:pPr>
    </w:p>
    <w:p w14:paraId="6F3CA679">
      <w:pPr>
        <w:keepNext w:val="0"/>
        <w:keepLines w:val="0"/>
        <w:pageBreakBefore w:val="0"/>
        <w:widowControl w:val="0"/>
        <w:tabs>
          <w:tab w:val="left" w:pos="4299"/>
        </w:tabs>
        <w:kinsoku/>
        <w:wordWrap/>
        <w:overflowPunct/>
        <w:topLinePunct w:val="0"/>
        <w:autoSpaceDE w:val="0"/>
        <w:autoSpaceDN w:val="0"/>
        <w:bidi w:val="0"/>
        <w:adjustRightInd/>
        <w:snapToGrid/>
        <w:spacing w:line="700" w:lineRule="exact"/>
        <w:jc w:val="both"/>
        <w:textAlignment w:val="auto"/>
        <w:outlineLvl w:val="0"/>
        <w:rPr>
          <w:rFonts w:hint="eastAsia" w:ascii="黑体" w:eastAsia="黑体"/>
          <w:b/>
          <w:color w:val="000000" w:themeColor="text1"/>
          <w:sz w:val="36"/>
          <w:highlight w:val="none"/>
          <w14:textFill>
            <w14:solidFill>
              <w14:schemeClr w14:val="tx1"/>
            </w14:solidFill>
          </w14:textFill>
        </w:rPr>
      </w:pPr>
    </w:p>
    <w:p w14:paraId="08118969">
      <w:pPr>
        <w:keepNext w:val="0"/>
        <w:keepLines w:val="0"/>
        <w:pageBreakBefore w:val="0"/>
        <w:widowControl w:val="0"/>
        <w:tabs>
          <w:tab w:val="left" w:pos="4299"/>
        </w:tabs>
        <w:kinsoku/>
        <w:wordWrap/>
        <w:overflowPunct/>
        <w:topLinePunct w:val="0"/>
        <w:autoSpaceDE w:val="0"/>
        <w:autoSpaceDN w:val="0"/>
        <w:bidi w:val="0"/>
        <w:adjustRightInd/>
        <w:snapToGrid/>
        <w:spacing w:line="700" w:lineRule="exact"/>
        <w:jc w:val="both"/>
        <w:textAlignment w:val="auto"/>
        <w:outlineLvl w:val="0"/>
        <w:rPr>
          <w:rFonts w:hint="eastAsia" w:ascii="黑体" w:eastAsia="黑体"/>
          <w:b/>
          <w:color w:val="000000" w:themeColor="text1"/>
          <w:sz w:val="36"/>
          <w:highlight w:val="none"/>
          <w14:textFill>
            <w14:solidFill>
              <w14:schemeClr w14:val="tx1"/>
            </w14:solidFill>
          </w14:textFill>
        </w:rPr>
      </w:pPr>
    </w:p>
    <w:p w14:paraId="2F63080F">
      <w:pPr>
        <w:keepNext w:val="0"/>
        <w:keepLines w:val="0"/>
        <w:pageBreakBefore w:val="0"/>
        <w:widowControl w:val="0"/>
        <w:tabs>
          <w:tab w:val="left" w:pos="4299"/>
        </w:tabs>
        <w:kinsoku/>
        <w:wordWrap/>
        <w:overflowPunct/>
        <w:topLinePunct w:val="0"/>
        <w:autoSpaceDE w:val="0"/>
        <w:autoSpaceDN w:val="0"/>
        <w:bidi w:val="0"/>
        <w:adjustRightInd/>
        <w:snapToGrid/>
        <w:spacing w:line="700" w:lineRule="exact"/>
        <w:jc w:val="both"/>
        <w:textAlignment w:val="auto"/>
        <w:outlineLvl w:val="0"/>
        <w:rPr>
          <w:rFonts w:hint="eastAsia" w:ascii="黑体" w:eastAsia="黑体"/>
          <w:b/>
          <w:color w:val="000000" w:themeColor="text1"/>
          <w:sz w:val="36"/>
          <w:highlight w:val="none"/>
          <w14:textFill>
            <w14:solidFill>
              <w14:schemeClr w14:val="tx1"/>
            </w14:solidFill>
          </w14:textFill>
        </w:rPr>
      </w:pPr>
    </w:p>
    <w:p w14:paraId="686C7241">
      <w:pPr>
        <w:keepNext w:val="0"/>
        <w:keepLines w:val="0"/>
        <w:pageBreakBefore w:val="0"/>
        <w:widowControl w:val="0"/>
        <w:tabs>
          <w:tab w:val="left" w:pos="4299"/>
        </w:tabs>
        <w:kinsoku/>
        <w:wordWrap/>
        <w:overflowPunct/>
        <w:topLinePunct w:val="0"/>
        <w:autoSpaceDE w:val="0"/>
        <w:autoSpaceDN w:val="0"/>
        <w:bidi w:val="0"/>
        <w:adjustRightInd/>
        <w:snapToGrid/>
        <w:spacing w:after="95" w:afterLines="30" w:line="740" w:lineRule="exact"/>
        <w:ind w:firstLine="0" w:firstLineChars="0"/>
        <w:jc w:val="center"/>
        <w:textAlignment w:val="auto"/>
        <w:outlineLvl w:val="0"/>
        <w:rPr>
          <w:rFonts w:hint="eastAsia" w:ascii="黑体" w:eastAsia="黑体"/>
          <w:b/>
          <w:color w:val="000000" w:themeColor="text1"/>
          <w:sz w:val="36"/>
          <w:highlight w:val="none"/>
          <w14:textFill>
            <w14:solidFill>
              <w14:schemeClr w14:val="tx1"/>
            </w14:solidFill>
          </w14:textFill>
        </w:rPr>
      </w:pPr>
      <w:bookmarkStart w:id="700" w:name="_GoBack"/>
      <w:bookmarkEnd w:id="700"/>
      <w:bookmarkStart w:id="95" w:name="_Toc1098"/>
    </w:p>
    <w:p w14:paraId="31C20631">
      <w:pPr>
        <w:rPr>
          <w:rFonts w:hint="eastAsia" w:ascii="黑体" w:eastAsia="黑体"/>
          <w:b/>
          <w:color w:val="000000" w:themeColor="text1"/>
          <w:sz w:val="36"/>
          <w:highlight w:val="none"/>
          <w14:textFill>
            <w14:solidFill>
              <w14:schemeClr w14:val="tx1"/>
            </w14:solidFill>
          </w14:textFill>
        </w:rPr>
      </w:pPr>
      <w:r>
        <w:rPr>
          <w:rFonts w:hint="eastAsia" w:ascii="黑体" w:eastAsia="黑体"/>
          <w:b/>
          <w:color w:val="000000" w:themeColor="text1"/>
          <w:sz w:val="36"/>
          <w:highlight w:val="none"/>
          <w14:textFill>
            <w14:solidFill>
              <w14:schemeClr w14:val="tx1"/>
            </w14:solidFill>
          </w14:textFill>
        </w:rPr>
        <w:br w:type="page"/>
      </w:r>
    </w:p>
    <w:p w14:paraId="58A89E75">
      <w:pPr>
        <w:keepNext w:val="0"/>
        <w:keepLines w:val="0"/>
        <w:pageBreakBefore w:val="0"/>
        <w:widowControl w:val="0"/>
        <w:tabs>
          <w:tab w:val="left" w:pos="4299"/>
        </w:tabs>
        <w:kinsoku/>
        <w:wordWrap/>
        <w:overflowPunct/>
        <w:topLinePunct w:val="0"/>
        <w:autoSpaceDE w:val="0"/>
        <w:autoSpaceDN w:val="0"/>
        <w:bidi w:val="0"/>
        <w:adjustRightInd/>
        <w:snapToGrid/>
        <w:spacing w:after="95" w:afterLines="30" w:line="740" w:lineRule="exact"/>
        <w:ind w:firstLine="0" w:firstLineChars="0"/>
        <w:jc w:val="center"/>
        <w:textAlignment w:val="auto"/>
        <w:outlineLvl w:val="0"/>
        <w:rPr>
          <w:rFonts w:hint="eastAsia" w:ascii="黑体" w:eastAsia="黑体"/>
          <w:b/>
          <w:color w:val="000000" w:themeColor="text1"/>
          <w:sz w:val="36"/>
          <w:highlight w:val="none"/>
          <w14:textFill>
            <w14:solidFill>
              <w14:schemeClr w14:val="tx1"/>
            </w14:solidFill>
          </w14:textFill>
        </w:rPr>
      </w:pPr>
      <w:r>
        <w:rPr>
          <w:rFonts w:hint="eastAsia" w:ascii="黑体" w:eastAsia="黑体"/>
          <w:b/>
          <w:color w:val="000000" w:themeColor="text1"/>
          <w:sz w:val="36"/>
          <w:highlight w:val="none"/>
          <w14:textFill>
            <w14:solidFill>
              <w14:schemeClr w14:val="tx1"/>
            </w14:solidFill>
          </w14:textFill>
        </w:rPr>
        <w:t>第</w:t>
      </w:r>
      <w:r>
        <w:rPr>
          <w:rFonts w:hint="eastAsia" w:ascii="黑体" w:eastAsia="黑体"/>
          <w:b/>
          <w:color w:val="000000" w:themeColor="text1"/>
          <w:sz w:val="36"/>
          <w:highlight w:val="none"/>
          <w:lang w:eastAsia="zh-CN"/>
          <w14:textFill>
            <w14:solidFill>
              <w14:schemeClr w14:val="tx1"/>
            </w14:solidFill>
          </w14:textFill>
        </w:rPr>
        <w:t>二</w:t>
      </w:r>
      <w:r>
        <w:rPr>
          <w:rFonts w:hint="eastAsia" w:ascii="黑体" w:eastAsia="黑体"/>
          <w:b/>
          <w:color w:val="000000" w:themeColor="text1"/>
          <w:sz w:val="36"/>
          <w:highlight w:val="none"/>
          <w14:textFill>
            <w14:solidFill>
              <w14:schemeClr w14:val="tx1"/>
            </w14:solidFill>
          </w14:textFill>
        </w:rPr>
        <w:t>章  供应商须知</w:t>
      </w:r>
      <w:bookmarkEnd w:id="93"/>
      <w:bookmarkEnd w:id="94"/>
      <w:bookmarkEnd w:id="95"/>
    </w:p>
    <w:p w14:paraId="5DC5DA0A">
      <w:pPr>
        <w:pStyle w:val="2"/>
        <w:keepNext w:val="0"/>
        <w:keepLines w:val="0"/>
        <w:pageBreakBefore w:val="0"/>
        <w:widowControl w:val="0"/>
        <w:kinsoku/>
        <w:wordWrap/>
        <w:overflowPunct/>
        <w:topLinePunct w:val="0"/>
        <w:autoSpaceDE w:val="0"/>
        <w:autoSpaceDN w:val="0"/>
        <w:bidi w:val="0"/>
        <w:adjustRightInd/>
        <w:snapToGrid/>
        <w:spacing w:after="313" w:afterLines="100" w:line="740" w:lineRule="exact"/>
        <w:ind w:left="0" w:right="0"/>
        <w:jc w:val="center"/>
        <w:textAlignment w:val="auto"/>
        <w:outlineLvl w:val="0"/>
        <w:rPr>
          <w:rFonts w:ascii="Times New Roman" w:hAnsi="Times New Roman" w:eastAsia="宋体" w:cs="Times New Roman"/>
          <w:color w:val="000000" w:themeColor="text1"/>
          <w:sz w:val="32"/>
          <w:szCs w:val="32"/>
          <w:highlight w:val="none"/>
          <w14:textFill>
            <w14:solidFill>
              <w14:schemeClr w14:val="tx1"/>
            </w14:solidFill>
          </w14:textFill>
        </w:rPr>
      </w:pPr>
      <w:bookmarkStart w:id="96" w:name="_Toc500469573"/>
      <w:bookmarkStart w:id="97" w:name="_Toc500469680"/>
      <w:bookmarkStart w:id="98" w:name="_Toc2376"/>
      <w:bookmarkStart w:id="99" w:name="_Toc13900"/>
      <w:r>
        <w:rPr>
          <w:rFonts w:ascii="Times New Roman" w:hAnsi="Times New Roman" w:eastAsia="宋体" w:cs="Times New Roman"/>
          <w:color w:val="000000" w:themeColor="text1"/>
          <w:sz w:val="32"/>
          <w:szCs w:val="32"/>
          <w:highlight w:val="none"/>
          <w14:textFill>
            <w14:solidFill>
              <w14:schemeClr w14:val="tx1"/>
            </w14:solidFill>
          </w14:textFill>
        </w:rPr>
        <w:t>供应商须知前附表</w:t>
      </w:r>
      <w:bookmarkEnd w:id="96"/>
      <w:bookmarkEnd w:id="97"/>
      <w:bookmarkEnd w:id="98"/>
      <w:bookmarkEnd w:id="99"/>
    </w:p>
    <w:tbl>
      <w:tblPr>
        <w:tblStyle w:val="43"/>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5"/>
        <w:gridCol w:w="8355"/>
      </w:tblGrid>
      <w:tr w14:paraId="5A6D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5" w:type="dxa"/>
            <w:noWrap w:val="0"/>
            <w:vAlign w:val="center"/>
          </w:tcPr>
          <w:p w14:paraId="127E52ED">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条款号</w:t>
            </w:r>
          </w:p>
        </w:tc>
        <w:tc>
          <w:tcPr>
            <w:tcW w:w="8355" w:type="dxa"/>
            <w:noWrap w:val="0"/>
            <w:vAlign w:val="center"/>
          </w:tcPr>
          <w:p w14:paraId="45E85671">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内容</w:t>
            </w:r>
          </w:p>
        </w:tc>
      </w:tr>
      <w:tr w14:paraId="2481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5" w:type="dxa"/>
            <w:noWrap w:val="0"/>
            <w:vAlign w:val="center"/>
          </w:tcPr>
          <w:p w14:paraId="506E0460">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8355" w:type="dxa"/>
            <w:noWrap w:val="0"/>
            <w:vAlign w:val="center"/>
          </w:tcPr>
          <w:p w14:paraId="7D8FBB00">
            <w:pPr>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供应商的资格</w:t>
            </w:r>
            <w: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t>要求</w:t>
            </w:r>
            <w:r>
              <w:rPr>
                <w:rFonts w:hint="default" w:ascii="Times New Roman" w:hAnsi="Times New Roman" w:eastAsia="宋体" w:cs="Times New Roman"/>
                <w:color w:val="000000" w:themeColor="text1"/>
                <w:sz w:val="21"/>
                <w:szCs w:val="21"/>
                <w:highlight w:val="none"/>
                <w14:textFill>
                  <w14:solidFill>
                    <w14:schemeClr w14:val="tx1"/>
                  </w14:solidFill>
                </w14:textFill>
              </w:rPr>
              <w:t>：详见竞争性磋商公告</w:t>
            </w:r>
          </w:p>
        </w:tc>
      </w:tr>
      <w:tr w14:paraId="1984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5" w:type="dxa"/>
            <w:noWrap w:val="0"/>
            <w:vAlign w:val="center"/>
          </w:tcPr>
          <w:p w14:paraId="6633A4B1">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5.1</w:t>
            </w:r>
          </w:p>
        </w:tc>
        <w:tc>
          <w:tcPr>
            <w:tcW w:w="8355" w:type="dxa"/>
            <w:noWrap w:val="0"/>
            <w:vAlign w:val="center"/>
          </w:tcPr>
          <w:p w14:paraId="4492CCA3">
            <w:pPr>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是否接受联合体竞标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详见竞争性磋商公告</w:t>
            </w:r>
          </w:p>
        </w:tc>
      </w:tr>
      <w:tr w14:paraId="7C1A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5" w:type="dxa"/>
            <w:noWrap w:val="0"/>
            <w:vAlign w:val="center"/>
          </w:tcPr>
          <w:p w14:paraId="7053C5CC">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8355" w:type="dxa"/>
            <w:noWrap w:val="0"/>
            <w:vAlign w:val="center"/>
          </w:tcPr>
          <w:p w14:paraId="7009E23B">
            <w:pPr>
              <w:pStyle w:val="17"/>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不允许转包和分包</w:t>
            </w:r>
          </w:p>
        </w:tc>
      </w:tr>
      <w:tr w14:paraId="60A68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5" w:type="dxa"/>
            <w:noWrap w:val="0"/>
            <w:vAlign w:val="center"/>
          </w:tcPr>
          <w:p w14:paraId="09670A7A">
            <w:pPr>
              <w:keepNext w:val="0"/>
              <w:keepLines w:val="0"/>
              <w:pageBreakBefore w:val="0"/>
              <w:widowControl w:val="0"/>
              <w:kinsoku/>
              <w:wordWrap/>
              <w:overflowPunct/>
              <w:topLinePunct w:val="0"/>
              <w:bidi w:val="0"/>
              <w:adjustRightInd/>
              <w:spacing w:line="470" w:lineRule="exact"/>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8355" w:type="dxa"/>
            <w:noWrap w:val="0"/>
            <w:vAlign w:val="center"/>
          </w:tcPr>
          <w:p w14:paraId="718CCA90">
            <w:pPr>
              <w:pStyle w:val="17"/>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ascii="Times New Roman" w:cs="Times New Roman"/>
                <w:color w:val="000000" w:themeColor="text1"/>
                <w:sz w:val="21"/>
                <w:szCs w:val="21"/>
                <w:highlight w:val="none"/>
                <w:lang w:bidi="ar"/>
                <w14:textFill>
                  <w14:solidFill>
                    <w14:schemeClr w14:val="tx1"/>
                  </w14:solidFill>
                </w14:textFill>
              </w:rPr>
              <w:t>踏勘现场：不组织</w:t>
            </w:r>
            <w:r>
              <w:rPr>
                <w:rFonts w:hint="eastAsia" w:ascii="Times New Roman" w:cs="Times New Roman"/>
                <w:color w:val="000000" w:themeColor="text1"/>
                <w:sz w:val="21"/>
                <w:szCs w:val="21"/>
                <w:highlight w:val="none"/>
                <w:lang w:bidi="ar"/>
                <w14:textFill>
                  <w14:solidFill>
                    <w14:schemeClr w14:val="tx1"/>
                  </w14:solidFill>
                </w14:textFill>
              </w:rPr>
              <w:t>。</w:t>
            </w:r>
          </w:p>
        </w:tc>
      </w:tr>
      <w:tr w14:paraId="274A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1C93FFCE">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8355" w:type="dxa"/>
            <w:noWrap w:val="0"/>
            <w:vAlign w:val="center"/>
          </w:tcPr>
          <w:p w14:paraId="6B5C4B35">
            <w:pPr>
              <w:keepNext w:val="0"/>
              <w:keepLines w:val="0"/>
              <w:pageBreakBefore w:val="0"/>
              <w:widowControl/>
              <w:suppressLineNumbers w:val="0"/>
              <w:kinsoku/>
              <w:wordWrap/>
              <w:overflowPunct/>
              <w:topLinePunct w:val="0"/>
              <w:autoSpaceDE/>
              <w:autoSpaceDN/>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
                <w14:textFill>
                  <w14:solidFill>
                    <w14:schemeClr w14:val="tx1"/>
                  </w14:solidFill>
                </w14:textFill>
              </w:rPr>
              <w:t xml:space="preserve">磋商前准备： </w:t>
            </w:r>
          </w:p>
          <w:p w14:paraId="6639C3AC">
            <w:pPr>
              <w:keepNext w:val="0"/>
              <w:keepLines w:val="0"/>
              <w:pageBreakBefore w:val="0"/>
              <w:kinsoku/>
              <w:wordWrap/>
              <w:overflowPunct/>
              <w:topLinePunct w:val="0"/>
              <w:autoSpaceDE/>
              <w:autoSpaceDN/>
              <w:bidi w:val="0"/>
              <w:adjustRightInd/>
              <w:snapToGrid/>
              <w:spacing w:line="410" w:lineRule="exact"/>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1.本项目实行网上磋商，采用响应文件。若供应商参与磋商，自行承担磋商一切费用。</w:t>
            </w:r>
          </w:p>
          <w:p w14:paraId="1AB7276B">
            <w:pPr>
              <w:keepNext w:val="0"/>
              <w:keepLines w:val="0"/>
              <w:pageBreakBefore w:val="0"/>
              <w:kinsoku/>
              <w:wordWrap/>
              <w:overflowPunct/>
              <w:topLinePunct w:val="0"/>
              <w:autoSpaceDE/>
              <w:autoSpaceDN/>
              <w:bidi w:val="0"/>
              <w:adjustRightInd/>
              <w:snapToGrid/>
              <w:spacing w:line="410" w:lineRule="exact"/>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 xml:space="preserve">2.各供应商应在截标前应确保成为广西政府采购云平台正式注册入库供应商，并完成CA数字证书申领。因未注册入库、未办理CA数字证书等原因造成无法磋商或磋商失败等后果由供应商自行承担。 </w:t>
            </w:r>
          </w:p>
          <w:p w14:paraId="4AFE0E9C">
            <w:pPr>
              <w:keepNext w:val="0"/>
              <w:keepLines w:val="0"/>
              <w:pageBreakBefore w:val="0"/>
              <w:kinsoku/>
              <w:wordWrap/>
              <w:overflowPunct/>
              <w:topLinePunct w:val="0"/>
              <w:autoSpaceDE/>
              <w:autoSpaceDN/>
              <w:bidi w:val="0"/>
              <w:adjustRightInd/>
              <w:snapToGrid/>
              <w:spacing w:line="410" w:lineRule="exact"/>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 xml:space="preserve">3.供应商将政采云电子交易客户端下载、安装完成后，可通过账号密码或CA登录客户端进行响应文件制作。客户端请至网站下载专区查看，如有问题可拨打广西政府采购云平台客户服务热线：95763进行咨询。 </w:t>
            </w:r>
          </w:p>
          <w:p w14:paraId="4B9CC9DC">
            <w:pPr>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 xml:space="preserve">响应文件解密时间：截标时间后30分钟内供应商可以登录广西政府采购云平台，用“项目采购-开标评标”功能进行解密响应文件。供应商按时在线解密响应文件的，以在线解密的响应文件作为评审依据。 若供应商在规定时间内无法解密或解密失败的，视为响应文件撤回。 </w:t>
            </w:r>
          </w:p>
        </w:tc>
      </w:tr>
      <w:tr w14:paraId="58CB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1649CAAB">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.1.1</w:t>
            </w:r>
          </w:p>
        </w:tc>
        <w:tc>
          <w:tcPr>
            <w:tcW w:w="8355" w:type="dxa"/>
            <w:noWrap w:val="0"/>
            <w:vAlign w:val="center"/>
          </w:tcPr>
          <w:p w14:paraId="1F76FC0D">
            <w:pPr>
              <w:keepNext w:val="0"/>
              <w:keepLines w:val="0"/>
              <w:pageBreakBefore w:val="0"/>
              <w:widowControl w:val="0"/>
              <w:kinsoku/>
              <w:wordWrap/>
              <w:overflowPunct/>
              <w:topLinePunct w:val="0"/>
              <w:bidi w:val="0"/>
              <w:adjustRightInd/>
              <w:snapToGrid/>
              <w:spacing w:line="410" w:lineRule="exact"/>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资格证明文件</w:t>
            </w:r>
          </w:p>
          <w:p w14:paraId="687AD3BD">
            <w:pPr>
              <w:pStyle w:val="17"/>
              <w:keepNext w:val="0"/>
              <w:keepLines w:val="0"/>
              <w:pageBreakBefore w:val="0"/>
              <w:widowControl w:val="0"/>
              <w:kinsoku/>
              <w:wordWrap/>
              <w:overflowPunct/>
              <w:topLinePunct w:val="0"/>
              <w:bidi w:val="0"/>
              <w:adjustRightInd/>
              <w:snapToGrid/>
              <w:spacing w:line="41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100" w:name="OLE_LINK6"/>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color w:val="000000" w:themeColor="text1"/>
                <w:sz w:val="21"/>
                <w:szCs w:val="21"/>
                <w:highlight w:val="none"/>
                <w14:textFill>
                  <w14:solidFill>
                    <w14:schemeClr w14:val="tx1"/>
                  </w14:solidFill>
                </w14:textFill>
              </w:rPr>
              <w:t>供应商为法人或者其他组织的提供其营业执照</w:t>
            </w:r>
            <w:r>
              <w:rPr>
                <w:rFonts w:hint="eastAsia"/>
                <w:color w:val="000000" w:themeColor="text1"/>
                <w:sz w:val="21"/>
                <w:szCs w:val="21"/>
                <w:highlight w:val="none"/>
                <w14:textFill>
                  <w14:solidFill>
                    <w14:schemeClr w14:val="tx1"/>
                  </w14:solidFill>
                </w14:textFill>
              </w:rPr>
              <w:t>副本</w:t>
            </w:r>
            <w:r>
              <w:rPr>
                <w:color w:val="000000" w:themeColor="text1"/>
                <w:sz w:val="21"/>
                <w:szCs w:val="21"/>
                <w:highlight w:val="none"/>
                <w14:textFill>
                  <w14:solidFill>
                    <w14:schemeClr w14:val="tx1"/>
                  </w14:solidFill>
                </w14:textFill>
              </w:rPr>
              <w:t>等证明文件（如营业执照</w:t>
            </w:r>
            <w:r>
              <w:rPr>
                <w:rFonts w:hint="eastAsia"/>
                <w:color w:val="000000" w:themeColor="text1"/>
                <w:sz w:val="21"/>
                <w:szCs w:val="21"/>
                <w:highlight w:val="none"/>
                <w14:textFill>
                  <w14:solidFill>
                    <w14:schemeClr w14:val="tx1"/>
                  </w14:solidFill>
                </w14:textFill>
              </w:rPr>
              <w:t>副本</w:t>
            </w:r>
            <w:r>
              <w:rPr>
                <w:color w:val="000000" w:themeColor="text1"/>
                <w:sz w:val="21"/>
                <w:szCs w:val="21"/>
                <w:highlight w:val="none"/>
                <w14:textFill>
                  <w14:solidFill>
                    <w14:schemeClr w14:val="tx1"/>
                  </w14:solidFill>
                </w14:textFill>
              </w:rPr>
              <w:t>或者事业单位法人证书或者执业许可证等）</w:t>
            </w:r>
            <w:r>
              <w:rPr>
                <w:rFonts w:hint="eastAsia"/>
                <w:color w:val="000000" w:themeColor="text1"/>
                <w:sz w:val="21"/>
                <w:szCs w:val="21"/>
                <w:highlight w:val="none"/>
                <w14:textFill>
                  <w14:solidFill>
                    <w14:schemeClr w14:val="tx1"/>
                  </w14:solidFill>
                </w14:textFill>
              </w:rPr>
              <w:t>的扫描件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bookmarkEnd w:id="100"/>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14:paraId="71AADBD7">
            <w:pPr>
              <w:keepNext w:val="0"/>
              <w:keepLines w:val="0"/>
              <w:pageBreakBefore w:val="0"/>
              <w:widowControl w:val="0"/>
              <w:kinsoku/>
              <w:wordWrap/>
              <w:overflowPunct/>
              <w:topLinePunct w:val="0"/>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供应商依法缴纳税收的相关材料（首次响应文件提交截止时间前半年内任意</w:t>
            </w:r>
            <w:r>
              <w:rPr>
                <w:rFonts w:hint="eastAsia" w:ascii="Times New Roman" w:hAnsi="Times New Roman" w:cs="Times New Roman"/>
                <w:color w:val="000000" w:themeColor="text1"/>
                <w:sz w:val="21"/>
                <w:szCs w:val="21"/>
                <w:highlight w:val="none"/>
                <w:lang w:val="en-US" w:eastAsia="zh-CN" w:bidi="zh-CN"/>
                <w14:textFill>
                  <w14:solidFill>
                    <w14:schemeClr w14:val="tx1"/>
                  </w14:solidFill>
                </w14:textFill>
              </w:rPr>
              <w:t>一</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的扫描件）</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7DD4BD8C">
            <w:pPr>
              <w:keepNext w:val="0"/>
              <w:keepLines w:val="0"/>
              <w:pageBreakBefore w:val="0"/>
              <w:widowControl w:val="0"/>
              <w:kinsoku/>
              <w:wordWrap/>
              <w:overflowPunct/>
              <w:topLinePunct w:val="0"/>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3.供应商依法缴纳社会保障资金的相关材料（首次响应文件提交截止时间前半年内任意</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z w:val="21"/>
                <w:szCs w:val="21"/>
                <w:highlight w:val="none"/>
                <w14:textFill>
                  <w14:solidFill>
                    <w14:schemeClr w14:val="tx1"/>
                  </w14:solidFill>
                </w14:textFill>
              </w:rPr>
              <w:t>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的扫描件）；（</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4A2124C">
            <w:pPr>
              <w:keepNext w:val="0"/>
              <w:keepLines w:val="0"/>
              <w:pageBreakBefore w:val="0"/>
              <w:widowControl w:val="0"/>
              <w:kinsoku/>
              <w:wordWrap/>
              <w:overflowPunct/>
              <w:topLinePunct w:val="0"/>
              <w:bidi w:val="0"/>
              <w:adjustRightInd/>
              <w:snapToGrid/>
              <w:spacing w:line="410" w:lineRule="exact"/>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供应商202</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年度的</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经第三方</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财务审计报告</w:t>
            </w:r>
            <w:r>
              <w:rPr>
                <w:rFonts w:hint="default" w:ascii="Times New Roman" w:hAnsi="Times New Roman" w:eastAsia="宋体" w:cs="Times New Roman"/>
                <w:color w:val="000000" w:themeColor="text1"/>
                <w:sz w:val="21"/>
                <w:szCs w:val="21"/>
                <w:highlight w:val="none"/>
                <w14:textFill>
                  <w14:solidFill>
                    <w14:schemeClr w14:val="tx1"/>
                  </w14:solidFill>
                </w14:textFill>
              </w:rPr>
              <w:t>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p w14:paraId="06BBF000">
            <w:pPr>
              <w:keepNext w:val="0"/>
              <w:keepLines w:val="0"/>
              <w:pageBreakBefore w:val="0"/>
              <w:widowControl w:val="0"/>
              <w:kinsoku/>
              <w:wordWrap/>
              <w:overflowPunct/>
              <w:topLinePunct w:val="0"/>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5.供应商直接控股、管理关系信息表（格式后附）；（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6CE8D369">
            <w:pPr>
              <w:keepNext w:val="0"/>
              <w:keepLines w:val="0"/>
              <w:pageBreakBefore w:val="0"/>
              <w:widowControl w:val="0"/>
              <w:kinsoku/>
              <w:wordWrap/>
              <w:overflowPunct/>
              <w:topLinePunct w:val="0"/>
              <w:autoSpaceDE w:val="0"/>
              <w:autoSpaceDN w:val="0"/>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6.竞标声明（格式后附）；（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59323C5">
            <w:pPr>
              <w:keepNext w:val="0"/>
              <w:keepLines w:val="0"/>
              <w:pageBreakBefore w:val="0"/>
              <w:widowControl w:val="0"/>
              <w:kinsoku/>
              <w:wordWrap/>
              <w:overflowPunct/>
              <w:topLinePunct w:val="0"/>
              <w:autoSpaceDE w:val="0"/>
              <w:autoSpaceDN w:val="0"/>
              <w:bidi w:val="0"/>
              <w:adjustRightInd/>
              <w:snapToGrid/>
              <w:spacing w:line="410" w:lineRule="exact"/>
              <w:jc w:val="both"/>
              <w:textAlignment w:val="auto"/>
              <w:rPr>
                <w:rFonts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7.企业资质证书、安全生产许可证的扫描件；</w:t>
            </w:r>
            <w:r>
              <w:rPr>
                <w:rFonts w:ascii="Times New Roman" w:cs="Times New Roman"/>
                <w:b/>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ascii="Times New Roman" w:cs="Times New Roman"/>
                <w:b/>
                <w:color w:val="000000" w:themeColor="text1"/>
                <w:sz w:val="21"/>
                <w:szCs w:val="21"/>
                <w:highlight w:val="none"/>
                <w14:textFill>
                  <w14:solidFill>
                    <w14:schemeClr w14:val="tx1"/>
                  </w14:solidFill>
                </w14:textFill>
              </w:rPr>
              <w:t>）</w:t>
            </w:r>
          </w:p>
          <w:p w14:paraId="708856AC">
            <w:pPr>
              <w:keepNext w:val="0"/>
              <w:keepLines w:val="0"/>
              <w:pageBreakBefore w:val="0"/>
              <w:widowControl w:val="0"/>
              <w:kinsoku/>
              <w:wordWrap/>
              <w:overflowPunct/>
              <w:topLinePunct w:val="0"/>
              <w:autoSpaceDE w:val="0"/>
              <w:autoSpaceDN w:val="0"/>
              <w:bidi w:val="0"/>
              <w:adjustRightInd/>
              <w:snapToGrid/>
              <w:spacing w:line="410" w:lineRule="exact"/>
              <w:jc w:val="both"/>
              <w:textAlignment w:val="auto"/>
              <w:rPr>
                <w:rFonts w:ascii="Times New Roman" w:cs="Times New Roman"/>
                <w:b/>
                <w:color w:val="000000" w:themeColor="text1"/>
                <w:sz w:val="21"/>
                <w:szCs w:val="21"/>
                <w:highlight w:val="none"/>
                <w14:textFill>
                  <w14:solidFill>
                    <w14:schemeClr w14:val="tx1"/>
                  </w14:solidFill>
                </w14:textFill>
              </w:rPr>
            </w:pP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8.项目经理的</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建造师注册证书</w:t>
            </w: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B 类安全生产考核合格证书</w:t>
            </w: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的扫描件；</w:t>
            </w:r>
            <w:r>
              <w:rPr>
                <w:rFonts w:ascii="Times New Roman" w:cs="Times New Roman"/>
                <w:b/>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ascii="Times New Roman" w:cs="Times New Roman"/>
                <w:b/>
                <w:color w:val="000000" w:themeColor="text1"/>
                <w:sz w:val="21"/>
                <w:szCs w:val="21"/>
                <w:highlight w:val="none"/>
                <w14:textFill>
                  <w14:solidFill>
                    <w14:schemeClr w14:val="tx1"/>
                  </w14:solidFill>
                </w14:textFill>
              </w:rPr>
              <w:t>）</w:t>
            </w:r>
          </w:p>
          <w:p w14:paraId="0E7FDDD7">
            <w:pPr>
              <w:pStyle w:val="42"/>
              <w:keepNext w:val="0"/>
              <w:keepLines w:val="0"/>
              <w:pageBreakBefore w:val="0"/>
              <w:widowControl w:val="0"/>
              <w:kinsoku/>
              <w:wordWrap/>
              <w:overflowPunct/>
              <w:topLinePunct w:val="0"/>
              <w:autoSpaceDE/>
              <w:autoSpaceDN/>
              <w:bidi w:val="0"/>
              <w:adjustRightInd/>
              <w:snapToGrid/>
              <w:spacing w:line="410" w:lineRule="exact"/>
              <w:ind w:left="0" w:firstLine="0" w:firstLineChars="0"/>
              <w:textAlignment w:val="auto"/>
              <w:rPr>
                <w:rFonts w:ascii="Times New Roman" w:eastAsia="宋体"/>
                <w:color w:val="000000" w:themeColor="text1"/>
                <w:sz w:val="21"/>
                <w:szCs w:val="21"/>
                <w:highlight w:val="none"/>
                <w14:textFill>
                  <w14:solidFill>
                    <w14:schemeClr w14:val="tx1"/>
                  </w14:solidFill>
                </w14:textFill>
              </w:rPr>
            </w:pPr>
            <w:bookmarkStart w:id="101" w:name="OLE_LINK8"/>
            <w:r>
              <w:rPr>
                <w:rFonts w:hint="eastAsia" w:ascii="Times New Roman" w:eastAsia="宋体"/>
                <w:color w:val="000000" w:themeColor="text1"/>
                <w:sz w:val="21"/>
                <w:szCs w:val="21"/>
                <w:highlight w:val="none"/>
                <w:lang w:val="en-US" w:eastAsia="zh-CN"/>
                <w14:textFill>
                  <w14:solidFill>
                    <w14:schemeClr w14:val="tx1"/>
                  </w14:solidFill>
                </w14:textFill>
              </w:rPr>
              <w:t>9</w:t>
            </w:r>
            <w:r>
              <w:rPr>
                <w:rFonts w:hint="eastAsia" w:ascii="Times New Roman" w:eastAsia="宋体"/>
                <w:color w:val="000000" w:themeColor="text1"/>
                <w:sz w:val="21"/>
                <w:szCs w:val="21"/>
                <w:highlight w:val="none"/>
                <w14:textFill>
                  <w14:solidFill>
                    <w14:schemeClr w14:val="tx1"/>
                  </w14:solidFill>
                </w14:textFill>
              </w:rPr>
              <w:t>.中小企业声明函</w:t>
            </w:r>
            <w:bookmarkStart w:id="102" w:name="OLE_LINK13"/>
            <w:r>
              <w:rPr>
                <w:rFonts w:hint="eastAsia" w:ascii="Times New Roman" w:eastAsia="宋体"/>
                <w:color w:val="000000" w:themeColor="text1"/>
                <w:sz w:val="21"/>
                <w:szCs w:val="21"/>
                <w:highlight w:val="none"/>
                <w14:textFill>
                  <w14:solidFill>
                    <w14:schemeClr w14:val="tx1"/>
                  </w14:solidFill>
                </w14:textFill>
              </w:rPr>
              <w:t>；</w:t>
            </w:r>
            <w:bookmarkStart w:id="103" w:name="OLE_LINK7"/>
            <w:r>
              <w:rPr>
                <w:rFonts w:hint="eastAsia" w:ascii="Times New Roman" w:eastAsia="宋体"/>
                <w:b/>
                <w:bCs/>
                <w:color w:val="000000" w:themeColor="text1"/>
                <w:sz w:val="21"/>
                <w:szCs w:val="21"/>
                <w:highlight w:val="none"/>
                <w14:textFill>
                  <w14:solidFill>
                    <w14:schemeClr w14:val="tx1"/>
                  </w14:solidFill>
                </w14:textFill>
              </w:rPr>
              <w:t>（</w:t>
            </w:r>
            <w:r>
              <w:rPr>
                <w:rFonts w:hint="eastAsia" w:ascii="Times New Roman" w:eastAsia="宋体"/>
                <w:b/>
                <w:color w:val="000000" w:themeColor="text1"/>
                <w:kern w:val="2"/>
                <w:sz w:val="21"/>
                <w:szCs w:val="21"/>
                <w:highlight w:val="none"/>
                <w14:textFill>
                  <w14:solidFill>
                    <w14:schemeClr w14:val="tx1"/>
                  </w14:solidFill>
                </w14:textFill>
              </w:rPr>
              <w:t>必须提供，否则响应文件按无效响应处理</w:t>
            </w:r>
            <w:r>
              <w:rPr>
                <w:rFonts w:hint="eastAsia" w:ascii="Times New Roman" w:eastAsia="宋体"/>
                <w:b/>
                <w:bCs/>
                <w:color w:val="000000" w:themeColor="text1"/>
                <w:sz w:val="21"/>
                <w:szCs w:val="21"/>
                <w:highlight w:val="none"/>
                <w14:textFill>
                  <w14:solidFill>
                    <w14:schemeClr w14:val="tx1"/>
                  </w14:solidFill>
                </w14:textFill>
              </w:rPr>
              <w:t>）</w:t>
            </w:r>
          </w:p>
          <w:bookmarkEnd w:id="102"/>
          <w:bookmarkEnd w:id="103"/>
          <w:p w14:paraId="12A81A07">
            <w:pPr>
              <w:pStyle w:val="42"/>
              <w:keepNext w:val="0"/>
              <w:keepLines w:val="0"/>
              <w:pageBreakBefore w:val="0"/>
              <w:widowControl w:val="0"/>
              <w:kinsoku/>
              <w:wordWrap/>
              <w:overflowPunct/>
              <w:topLinePunct w:val="0"/>
              <w:autoSpaceDE/>
              <w:autoSpaceDN/>
              <w:bidi w:val="0"/>
              <w:adjustRightInd/>
              <w:snapToGrid/>
              <w:spacing w:line="410" w:lineRule="exact"/>
              <w:ind w:left="0" w:firstLine="0" w:firstLineChars="0"/>
              <w:textAlignment w:val="auto"/>
              <w:rPr>
                <w:rFonts w:ascii="Times New Roman" w:eastAsia="宋体"/>
                <w:b/>
                <w:bCs/>
                <w:color w:val="000000" w:themeColor="text1"/>
                <w:sz w:val="21"/>
                <w:szCs w:val="21"/>
                <w:highlight w:val="none"/>
                <w14:textFill>
                  <w14:solidFill>
                    <w14:schemeClr w14:val="tx1"/>
                  </w14:solidFill>
                </w14:textFill>
              </w:rPr>
            </w:pPr>
            <w:r>
              <w:rPr>
                <w:rFonts w:hint="eastAsia" w:ascii="Times New Roman" w:eastAsia="宋体"/>
                <w:color w:val="000000" w:themeColor="text1"/>
                <w:sz w:val="21"/>
                <w:szCs w:val="21"/>
                <w:highlight w:val="none"/>
                <w:lang w:val="en-US" w:eastAsia="zh-CN"/>
                <w14:textFill>
                  <w14:solidFill>
                    <w14:schemeClr w14:val="tx1"/>
                  </w14:solidFill>
                </w14:textFill>
              </w:rPr>
              <w:t>10</w:t>
            </w:r>
            <w:r>
              <w:rPr>
                <w:rFonts w:hint="eastAsia" w:ascii="Times New Roman" w:eastAsia="宋体"/>
                <w:color w:val="000000" w:themeColor="text1"/>
                <w:sz w:val="21"/>
                <w:szCs w:val="21"/>
                <w:highlight w:val="none"/>
                <w14:textFill>
                  <w14:solidFill>
                    <w14:schemeClr w14:val="tx1"/>
                  </w14:solidFill>
                </w14:textFill>
              </w:rPr>
              <w:t>.监狱企业声明函；</w:t>
            </w:r>
            <w:r>
              <w:rPr>
                <w:rFonts w:hint="eastAsia" w:ascii="Times New Roman" w:eastAsia="宋体"/>
                <w:b/>
                <w:bCs/>
                <w:color w:val="000000" w:themeColor="text1"/>
                <w:sz w:val="21"/>
                <w:szCs w:val="21"/>
                <w:highlight w:val="none"/>
                <w14:textFill>
                  <w14:solidFill>
                    <w14:schemeClr w14:val="tx1"/>
                  </w14:solidFill>
                </w14:textFill>
              </w:rPr>
              <w:t>（如有，请提供）</w:t>
            </w:r>
          </w:p>
          <w:p w14:paraId="251AE5E7">
            <w:pPr>
              <w:pStyle w:val="42"/>
              <w:keepNext w:val="0"/>
              <w:keepLines w:val="0"/>
              <w:pageBreakBefore w:val="0"/>
              <w:widowControl w:val="0"/>
              <w:kinsoku/>
              <w:wordWrap/>
              <w:overflowPunct/>
              <w:topLinePunct w:val="0"/>
              <w:autoSpaceDE/>
              <w:autoSpaceDN/>
              <w:bidi w:val="0"/>
              <w:adjustRightInd/>
              <w:snapToGrid/>
              <w:spacing w:line="410" w:lineRule="exact"/>
              <w:ind w:left="0" w:firstLine="0" w:firstLineChars="0"/>
              <w:textAlignment w:val="auto"/>
              <w:rPr>
                <w:rFonts w:hint="eastAsia"/>
                <w:color w:val="000000" w:themeColor="text1"/>
                <w:lang w:val="en-US" w:eastAsia="zh-CN"/>
                <w14:textFill>
                  <w14:solidFill>
                    <w14:schemeClr w14:val="tx1"/>
                  </w14:solidFill>
                </w14:textFill>
              </w:rPr>
            </w:pPr>
            <w:r>
              <w:rPr>
                <w:rFonts w:hint="eastAsia" w:ascii="Times New Roman" w:eastAsia="宋体"/>
                <w:color w:val="000000" w:themeColor="text1"/>
                <w:sz w:val="21"/>
                <w:szCs w:val="21"/>
                <w:highlight w:val="none"/>
                <w14:textFill>
                  <w14:solidFill>
                    <w14:schemeClr w14:val="tx1"/>
                  </w14:solidFill>
                </w14:textFill>
              </w:rPr>
              <w:t>1</w:t>
            </w:r>
            <w:r>
              <w:rPr>
                <w:rFonts w:hint="eastAsia" w:ascii="Times New Roman" w:eastAsia="宋体"/>
                <w:color w:val="000000" w:themeColor="text1"/>
                <w:sz w:val="21"/>
                <w:szCs w:val="21"/>
                <w:highlight w:val="none"/>
                <w:lang w:val="en-US" w:eastAsia="zh-CN"/>
                <w14:textFill>
                  <w14:solidFill>
                    <w14:schemeClr w14:val="tx1"/>
                  </w14:solidFill>
                </w14:textFill>
              </w:rPr>
              <w:t>1</w:t>
            </w:r>
            <w:r>
              <w:rPr>
                <w:rFonts w:hint="eastAsia" w:ascii="Times New Roman" w:eastAsia="宋体"/>
                <w:color w:val="000000" w:themeColor="text1"/>
                <w:sz w:val="21"/>
                <w:szCs w:val="21"/>
                <w:highlight w:val="none"/>
                <w14:textFill>
                  <w14:solidFill>
                    <w14:schemeClr w14:val="tx1"/>
                  </w14:solidFill>
                </w14:textFill>
              </w:rPr>
              <w:t>.残疾人福利性单位声明函；</w:t>
            </w:r>
            <w:r>
              <w:rPr>
                <w:rFonts w:hint="eastAsia" w:ascii="Times New Roman" w:eastAsia="宋体"/>
                <w:b/>
                <w:bCs/>
                <w:color w:val="000000" w:themeColor="text1"/>
                <w:sz w:val="21"/>
                <w:szCs w:val="21"/>
                <w:highlight w:val="none"/>
                <w14:textFill>
                  <w14:solidFill>
                    <w14:schemeClr w14:val="tx1"/>
                  </w14:solidFill>
                </w14:textFill>
              </w:rPr>
              <w:t>（如有，请提供）</w:t>
            </w:r>
          </w:p>
          <w:bookmarkEnd w:id="101"/>
          <w:p w14:paraId="072A375D">
            <w:pPr>
              <w:keepNext w:val="0"/>
              <w:keepLines w:val="0"/>
              <w:pageBreakBefore w:val="0"/>
              <w:widowControl w:val="0"/>
              <w:kinsoku/>
              <w:wordWrap/>
              <w:overflowPunct/>
              <w:topLinePunct w:val="0"/>
              <w:autoSpaceDE w:val="0"/>
              <w:autoSpaceDN w:val="0"/>
              <w:bidi w:val="0"/>
              <w:adjustRightInd/>
              <w:snapToGrid/>
              <w:spacing w:line="410" w:lineRule="exact"/>
              <w:jc w:val="lef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t>.除</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竞争性</w:t>
            </w:r>
            <w:r>
              <w:rPr>
                <w:rFonts w:hint="default" w:ascii="Times New Roman" w:hAnsi="Times New Roman" w:eastAsia="宋体" w:cs="Times New Roman"/>
                <w:color w:val="000000" w:themeColor="text1"/>
                <w:sz w:val="21"/>
                <w:szCs w:val="21"/>
                <w:highlight w:val="none"/>
                <w14:textFill>
                  <w14:solidFill>
                    <w14:schemeClr w14:val="tx1"/>
                  </w14:solidFill>
                </w14:textFill>
              </w:rPr>
              <w:t>磋商文件规定必须提供以外，供应商认为需要提供的其他证明材料</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A09878C">
            <w:pPr>
              <w:keepNext w:val="0"/>
              <w:keepLines w:val="0"/>
              <w:pageBreakBefore w:val="0"/>
              <w:widowControl w:val="0"/>
              <w:kinsoku/>
              <w:wordWrap/>
              <w:overflowPunct/>
              <w:topLinePunct w:val="0"/>
              <w:autoSpaceDE/>
              <w:autoSpaceDN/>
              <w:bidi w:val="0"/>
              <w:adjustRightInd/>
              <w:snapToGrid/>
              <w:spacing w:line="410" w:lineRule="exact"/>
              <w:jc w:val="left"/>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注：</w:t>
            </w:r>
          </w:p>
          <w:p w14:paraId="23EE6564">
            <w:pPr>
              <w:keepNext w:val="0"/>
              <w:keepLines w:val="0"/>
              <w:pageBreakBefore w:val="0"/>
              <w:widowControl w:val="0"/>
              <w:kinsoku/>
              <w:wordWrap/>
              <w:overflowPunct/>
              <w:topLinePunct w:val="0"/>
              <w:autoSpaceDE/>
              <w:autoSpaceDN/>
              <w:bidi w:val="0"/>
              <w:adjustRightInd/>
              <w:snapToGrid/>
              <w:spacing w:line="410" w:lineRule="exact"/>
              <w:ind w:firstLine="413" w:firstLineChars="196"/>
              <w:jc w:val="left"/>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1.以上标明“必须提供”的材料的，必须加盖供应商公章，否则响应文件按无效响应处理。</w:t>
            </w:r>
          </w:p>
          <w:p w14:paraId="114D5700">
            <w:pPr>
              <w:keepNext w:val="0"/>
              <w:keepLines w:val="0"/>
              <w:pageBreakBefore w:val="0"/>
              <w:widowControl w:val="0"/>
              <w:kinsoku/>
              <w:wordWrap/>
              <w:overflowPunct/>
              <w:topLinePunct w:val="0"/>
              <w:autoSpaceDE/>
              <w:autoSpaceDN/>
              <w:bidi w:val="0"/>
              <w:adjustRightInd/>
              <w:snapToGrid/>
              <w:spacing w:line="410" w:lineRule="exact"/>
              <w:ind w:firstLine="422" w:firstLineChars="200"/>
              <w:jc w:val="left"/>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2.竞标声明必须由法定代表人在规定签章处签字或签章并加盖供应商公章，否则响应文件按无效响应处理。</w:t>
            </w:r>
          </w:p>
          <w:p w14:paraId="70D43B10">
            <w:pPr>
              <w:keepNext w:val="0"/>
              <w:keepLines w:val="0"/>
              <w:pageBreakBefore w:val="0"/>
              <w:widowControl w:val="0"/>
              <w:kinsoku/>
              <w:wordWrap/>
              <w:overflowPunct/>
              <w:topLinePunct w:val="0"/>
              <w:autoSpaceDE/>
              <w:autoSpaceDN/>
              <w:bidi w:val="0"/>
              <w:adjustRightInd/>
              <w:snapToGrid/>
              <w:spacing w:line="410" w:lineRule="exact"/>
              <w:ind w:firstLine="422" w:firstLineChars="200"/>
              <w:jc w:val="left"/>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3.供应商直接控股、管理关系信息表必须由</w:t>
            </w:r>
            <w:r>
              <w:rPr>
                <w:rFonts w:hint="default" w:ascii="Times New Roman" w:hAnsi="Times New Roman" w:cs="Times New Roman"/>
                <w:b/>
                <w:color w:val="000000" w:themeColor="text1"/>
                <w:sz w:val="21"/>
                <w:szCs w:val="21"/>
                <w:highlight w:val="none"/>
                <w:lang w:eastAsia="zh-CN"/>
                <w14:textFill>
                  <w14:solidFill>
                    <w14:schemeClr w14:val="tx1"/>
                  </w14:solidFill>
                </w14:textFill>
              </w:rPr>
              <w:t>法定代表人或其委托代理人</w:t>
            </w:r>
            <w:r>
              <w:rPr>
                <w:rFonts w:hint="default" w:ascii="Times New Roman" w:hAnsi="Times New Roman" w:cs="Times New Roman"/>
                <w:b/>
                <w:color w:val="000000" w:themeColor="text1"/>
                <w:sz w:val="21"/>
                <w:szCs w:val="21"/>
                <w:highlight w:val="none"/>
                <w14:textFill>
                  <w14:solidFill>
                    <w14:schemeClr w14:val="tx1"/>
                  </w14:solidFill>
                </w14:textFill>
              </w:rPr>
              <w:t>在规定签章处签字或签章并加盖供应商公章，否则响应文件按无效响应处理。</w:t>
            </w:r>
          </w:p>
          <w:p w14:paraId="183E4DAA">
            <w:pPr>
              <w:pStyle w:val="17"/>
              <w:keepNext w:val="0"/>
              <w:keepLines w:val="0"/>
              <w:pageBreakBefore w:val="0"/>
              <w:widowControl w:val="0"/>
              <w:kinsoku/>
              <w:wordWrap/>
              <w:overflowPunct/>
              <w:topLinePunct w:val="0"/>
              <w:autoSpaceDE w:val="0"/>
              <w:autoSpaceDN w:val="0"/>
              <w:bidi w:val="0"/>
              <w:adjustRightInd/>
              <w:snapToGrid/>
              <w:spacing w:line="410" w:lineRule="exact"/>
              <w:ind w:firstLine="422" w:firstLineChars="200"/>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4.响应文件中所须加盖公章部分均采用CA签章。若竞争性磋商文件中有专门标注的某关联点，并要求供应商在</w:t>
            </w:r>
            <w:r>
              <w:rPr>
                <w:rFonts w:hint="default" w:ascii="Times New Roman" w:hAnsi="Times New Roman" w:cs="Times New Roman"/>
                <w:b/>
                <w:bCs/>
                <w:color w:val="000000" w:themeColor="text1"/>
                <w:kern w:val="0"/>
                <w:sz w:val="21"/>
                <w:szCs w:val="21"/>
                <w:highlight w:val="none"/>
                <w14:textFill>
                  <w14:solidFill>
                    <w14:schemeClr w14:val="tx1"/>
                  </w14:solidFill>
                </w14:textFill>
              </w:rPr>
              <w:t>政采云电子投标客户端电子投标系统</w:t>
            </w:r>
            <w:r>
              <w:rPr>
                <w:rFonts w:hint="default" w:ascii="Times New Roman" w:hAnsi="Times New Roman" w:cs="Times New Roman"/>
                <w:b/>
                <w:bCs/>
                <w:color w:val="000000" w:themeColor="text1"/>
                <w:sz w:val="21"/>
                <w:szCs w:val="21"/>
                <w:highlight w:val="none"/>
                <w14:textFill>
                  <w14:solidFill>
                    <w14:schemeClr w14:val="tx1"/>
                  </w14:solidFill>
                </w14:textFill>
              </w:rPr>
              <w:t>中作出投标响应的，如供应商未对关联点进行响应或者在响应文件其它内容进行描述，造成电子评审不能查询的责任由供应商自行承担。</w:t>
            </w:r>
          </w:p>
        </w:tc>
      </w:tr>
      <w:tr w14:paraId="066E4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0B439339">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c>
          <w:tcPr>
            <w:tcW w:w="8355" w:type="dxa"/>
            <w:noWrap w:val="0"/>
            <w:vAlign w:val="center"/>
          </w:tcPr>
          <w:p w14:paraId="12E554BD">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报价文件</w:t>
            </w:r>
          </w:p>
          <w:p w14:paraId="763DAA73">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1.响应函（格式后附）；（</w:t>
            </w:r>
            <w:r>
              <w:rPr>
                <w:rFonts w:hint="default" w:ascii="Times New Roman" w:hAnsi="Times New Roman" w:cs="Times New Roman"/>
                <w:b/>
                <w:bCs/>
                <w:color w:val="000000" w:themeColor="text1"/>
                <w:sz w:val="21"/>
                <w:szCs w:val="21"/>
                <w:highlight w:val="none"/>
                <w14:textFill>
                  <w14:solidFill>
                    <w14:schemeClr w14:val="tx1"/>
                  </w14:solidFill>
                </w14:textFill>
              </w:rPr>
              <w:t>必须提供，否则响应文件按无效响应处理</w:t>
            </w:r>
            <w:r>
              <w:rPr>
                <w:rFonts w:hint="default" w:ascii="Times New Roman" w:hAnsi="Times New Roman" w:cs="Times New Roman"/>
                <w:color w:val="000000" w:themeColor="text1"/>
                <w:sz w:val="21"/>
                <w:szCs w:val="21"/>
                <w:highlight w:val="none"/>
                <w14:textFill>
                  <w14:solidFill>
                    <w14:schemeClr w14:val="tx1"/>
                  </w14:solidFill>
                </w14:textFill>
              </w:rPr>
              <w:t>）</w:t>
            </w:r>
          </w:p>
          <w:p w14:paraId="48A4ECE8">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2.响应报价表（格式后附）；（</w:t>
            </w:r>
            <w:r>
              <w:rPr>
                <w:rFonts w:hint="default" w:ascii="Times New Roman" w:hAnsi="Times New Roman" w:cs="Times New Roman"/>
                <w:b/>
                <w:color w:val="000000" w:themeColor="text1"/>
                <w:sz w:val="21"/>
                <w:szCs w:val="21"/>
                <w:highlight w:val="none"/>
                <w14:textFill>
                  <w14:solidFill>
                    <w14:schemeClr w14:val="tx1"/>
                  </w14:solidFill>
                </w14:textFill>
              </w:rPr>
              <w:t>必须提供，否则响应文件按无效响应处理</w:t>
            </w:r>
            <w:r>
              <w:rPr>
                <w:rFonts w:hint="default" w:ascii="Times New Roman" w:hAnsi="Times New Roman" w:cs="Times New Roman"/>
                <w:color w:val="000000" w:themeColor="text1"/>
                <w:sz w:val="21"/>
                <w:szCs w:val="21"/>
                <w:highlight w:val="none"/>
                <w14:textFill>
                  <w14:solidFill>
                    <w14:schemeClr w14:val="tx1"/>
                  </w14:solidFill>
                </w14:textFill>
              </w:rPr>
              <w:t>）</w:t>
            </w:r>
          </w:p>
          <w:p w14:paraId="294ACB33">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kern w:val="0"/>
                <w:sz w:val="21"/>
                <w:szCs w:val="21"/>
                <w:highlight w:val="none"/>
                <w:lang w:val="zh-CN" w:eastAsia="zh-CN" w:bidi="zh-CN"/>
                <w14:textFill>
                  <w14:solidFill>
                    <w14:schemeClr w14:val="tx1"/>
                  </w14:solidFill>
                </w14:textFill>
              </w:rPr>
              <w:t>已标价</w:t>
            </w:r>
            <w:r>
              <w:rPr>
                <w:rFonts w:hint="default" w:ascii="Times New Roman" w:hAnsi="Times New Roman" w:eastAsia="宋体" w:cs="Times New Roman"/>
                <w:b w:val="0"/>
                <w:bCs w:val="0"/>
                <w:color w:val="000000" w:themeColor="text1"/>
                <w:kern w:val="0"/>
                <w:sz w:val="21"/>
                <w:szCs w:val="21"/>
                <w:highlight w:val="none"/>
                <w:lang w:val="zh-CN" w:eastAsia="zh-CN" w:bidi="zh-CN"/>
                <w14:textFill>
                  <w14:solidFill>
                    <w14:schemeClr w14:val="tx1"/>
                  </w14:solidFill>
                </w14:textFill>
              </w:rPr>
              <w:t>工程量清单</w:t>
            </w:r>
            <w:r>
              <w:rPr>
                <w:rFonts w:hint="eastAsia" w:ascii="Times New Roman" w:hAnsi="Times New Roman" w:eastAsia="宋体" w:cs="Times New Roman"/>
                <w:b w:val="0"/>
                <w:bCs w:val="0"/>
                <w:color w:val="000000" w:themeColor="text1"/>
                <w:kern w:val="0"/>
                <w:sz w:val="21"/>
                <w:szCs w:val="21"/>
                <w:highlight w:val="none"/>
                <w:lang w:val="zh-CN" w:eastAsia="zh-CN" w:bidi="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14:textFill>
                  <w14:solidFill>
                    <w14:schemeClr w14:val="tx1"/>
                  </w14:solidFill>
                </w14:textFill>
              </w:rPr>
              <w:t>必须提供，否则响应文件按无效响应处理</w:t>
            </w:r>
            <w:r>
              <w:rPr>
                <w:rFonts w:hint="default" w:ascii="Times New Roman" w:hAnsi="Times New Roman" w:cs="Times New Roman"/>
                <w:color w:val="000000" w:themeColor="text1"/>
                <w:sz w:val="21"/>
                <w:szCs w:val="21"/>
                <w:highlight w:val="none"/>
                <w14:textFill>
                  <w14:solidFill>
                    <w14:schemeClr w14:val="tx1"/>
                  </w14:solidFill>
                </w14:textFill>
              </w:rPr>
              <w:t>）</w:t>
            </w:r>
          </w:p>
          <w:p w14:paraId="5800C81D">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.供应商针对报价需要说明的其他文件和说明。</w:t>
            </w:r>
          </w:p>
          <w:p w14:paraId="6CF70125">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注：</w:t>
            </w:r>
          </w:p>
          <w:p w14:paraId="5A5D1758">
            <w:pPr>
              <w:keepNext w:val="0"/>
              <w:keepLines w:val="0"/>
              <w:pageBreakBefore w:val="0"/>
              <w:widowControl w:val="0"/>
              <w:kinsoku/>
              <w:wordWrap/>
              <w:overflowPunct/>
              <w:topLinePunct w:val="0"/>
              <w:autoSpaceDE/>
              <w:autoSpaceDN/>
              <w:bidi w:val="0"/>
              <w:adjustRightInd/>
              <w:snapToGrid/>
              <w:spacing w:line="464" w:lineRule="exact"/>
              <w:ind w:firstLine="422" w:firstLineChars="200"/>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1.响应函、响应报价表必须由</w:t>
            </w: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法定代表人或其委托代理人</w:t>
            </w:r>
            <w:r>
              <w:rPr>
                <w:rFonts w:hint="default" w:ascii="Times New Roman" w:hAnsi="Times New Roman" w:cs="Times New Roman"/>
                <w:b/>
                <w:bCs/>
                <w:color w:val="000000" w:themeColor="text1"/>
                <w:sz w:val="21"/>
                <w:szCs w:val="21"/>
                <w:highlight w:val="none"/>
                <w14:textFill>
                  <w14:solidFill>
                    <w14:schemeClr w14:val="tx1"/>
                  </w14:solidFill>
                </w14:textFill>
              </w:rPr>
              <w:t>在规定签章处逐一签字或签章并加盖供应商公章，否则</w:t>
            </w:r>
            <w:r>
              <w:rPr>
                <w:rFonts w:hint="default" w:ascii="Times New Roman" w:hAnsi="Times New Roman" w:cs="Times New Roman"/>
                <w:b/>
                <w:color w:val="000000" w:themeColor="text1"/>
                <w:sz w:val="21"/>
                <w:szCs w:val="21"/>
                <w:highlight w:val="none"/>
                <w14:textFill>
                  <w14:solidFill>
                    <w14:schemeClr w14:val="tx1"/>
                  </w14:solidFill>
                </w14:textFill>
              </w:rPr>
              <w:t>作无效</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w:t>
            </w:r>
            <w:r>
              <w:rPr>
                <w:rFonts w:hint="default" w:ascii="Times New Roman" w:hAnsi="Times New Roman" w:cs="Times New Roman"/>
                <w:b/>
                <w:color w:val="000000" w:themeColor="text1"/>
                <w:sz w:val="21"/>
                <w:szCs w:val="21"/>
                <w:highlight w:val="none"/>
                <w14:textFill>
                  <w14:solidFill>
                    <w14:schemeClr w14:val="tx1"/>
                  </w14:solidFill>
                </w14:textFill>
              </w:rPr>
              <w:t>处理</w:t>
            </w:r>
            <w:r>
              <w:rPr>
                <w:rFonts w:hint="default" w:ascii="Times New Roman" w:hAnsi="Times New Roman" w:cs="Times New Roman"/>
                <w:b/>
                <w:bCs/>
                <w:color w:val="000000" w:themeColor="text1"/>
                <w:sz w:val="21"/>
                <w:szCs w:val="21"/>
                <w:highlight w:val="none"/>
                <w14:textFill>
                  <w14:solidFill>
                    <w14:schemeClr w14:val="tx1"/>
                  </w14:solidFill>
                </w14:textFill>
              </w:rPr>
              <w:t>。</w:t>
            </w:r>
          </w:p>
          <w:p w14:paraId="366DF142">
            <w:pPr>
              <w:keepNext w:val="0"/>
              <w:keepLines w:val="0"/>
              <w:pageBreakBefore w:val="0"/>
              <w:widowControl w:val="0"/>
              <w:kinsoku/>
              <w:wordWrap/>
              <w:overflowPunct/>
              <w:topLinePunct w:val="0"/>
              <w:autoSpaceDE/>
              <w:autoSpaceDN/>
              <w:bidi w:val="0"/>
              <w:adjustRightInd/>
              <w:spacing w:line="464" w:lineRule="exact"/>
              <w:ind w:firstLine="422" w:firstLineChars="200"/>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2.响应文件中所须加盖公章部分均采用CA签章。若竞争性磋商文件中有专门标注的某关联点，并要求供应商在</w:t>
            </w:r>
            <w:r>
              <w:rPr>
                <w:rFonts w:hint="default" w:ascii="Times New Roman" w:hAnsi="Times New Roman" w:cs="Times New Roman"/>
                <w:b/>
                <w:bCs/>
                <w:color w:val="000000" w:themeColor="text1"/>
                <w:kern w:val="0"/>
                <w:sz w:val="21"/>
                <w:szCs w:val="21"/>
                <w:highlight w:val="none"/>
                <w14:textFill>
                  <w14:solidFill>
                    <w14:schemeClr w14:val="tx1"/>
                  </w14:solidFill>
                </w14:textFill>
              </w:rPr>
              <w:t>政采云电子投标客户端电子投标系统</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中作出投标响应的，如供应商未对关联点进行响应或者在响应文件其它内容进行描述，造成电子评审不能查询的责任由供应商自行承担。 </w:t>
            </w:r>
          </w:p>
        </w:tc>
      </w:tr>
      <w:tr w14:paraId="4E8B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0BA2CC1D">
            <w:pPr>
              <w:keepNext w:val="0"/>
              <w:keepLines w:val="0"/>
              <w:pageBreakBefore w:val="0"/>
              <w:widowControl w:val="0"/>
              <w:kinsoku/>
              <w:wordWrap/>
              <w:overflowPunct/>
              <w:topLinePunct w:val="0"/>
              <w:bidi w:val="0"/>
              <w:adjustRightInd/>
              <w:spacing w:line="470" w:lineRule="exact"/>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8355" w:type="dxa"/>
            <w:noWrap w:val="0"/>
            <w:vAlign w:val="center"/>
          </w:tcPr>
          <w:p w14:paraId="111C0FF5">
            <w:pPr>
              <w:keepNext w:val="0"/>
              <w:keepLines w:val="0"/>
              <w:pageBreakBefore w:val="0"/>
              <w:widowControl w:val="0"/>
              <w:kinsoku/>
              <w:wordWrap/>
              <w:overflowPunct/>
              <w:topLinePunct w:val="0"/>
              <w:autoSpaceDE/>
              <w:autoSpaceDN/>
              <w:bidi w:val="0"/>
              <w:adjustRightInd/>
              <w:spacing w:line="464" w:lineRule="exact"/>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商务技术文件</w:t>
            </w:r>
          </w:p>
          <w:p w14:paraId="2B19190D">
            <w:pPr>
              <w:keepNext w:val="0"/>
              <w:keepLines w:val="0"/>
              <w:pageBreakBefore w:val="0"/>
              <w:widowControl w:val="0"/>
              <w:kinsoku/>
              <w:wordWrap/>
              <w:overflowPunct/>
              <w:topLinePunct w:val="0"/>
              <w:autoSpaceDE/>
              <w:autoSpaceDN/>
              <w:bidi w:val="0"/>
              <w:adjustRightInd/>
              <w:spacing w:line="464"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1.无串通竞标行为的承诺函（格式后附）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857C116">
            <w:pPr>
              <w:keepNext w:val="0"/>
              <w:keepLines w:val="0"/>
              <w:pageBreakBefore w:val="0"/>
              <w:widowControl w:val="0"/>
              <w:kinsoku/>
              <w:wordWrap/>
              <w:overflowPunct/>
              <w:topLinePunct w:val="0"/>
              <w:autoSpaceDE/>
              <w:autoSpaceDN/>
              <w:bidi w:val="0"/>
              <w:adjustRightInd/>
              <w:snapToGrid w:val="0"/>
              <w:spacing w:line="46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.法定代表人身份证明及法定代表人有效身份证正反面</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的扫描件</w:t>
            </w:r>
            <w:r>
              <w:rPr>
                <w:rFonts w:hint="default" w:ascii="Times New Roman" w:hAnsi="Times New Roman" w:eastAsia="宋体" w:cs="Times New Roman"/>
                <w:color w:val="000000" w:themeColor="text1"/>
                <w:sz w:val="21"/>
                <w:szCs w:val="21"/>
                <w:highlight w:val="none"/>
                <w14:textFill>
                  <w14:solidFill>
                    <w14:schemeClr w14:val="tx1"/>
                  </w14:solidFill>
                </w14:textFill>
              </w:rPr>
              <w:t>（格式后附）；（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3A98719">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.法定代表人授权委托书及委托代理人有效身份证正反面</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的扫描件</w:t>
            </w:r>
            <w:r>
              <w:rPr>
                <w:rFonts w:hint="default" w:ascii="Times New Roman" w:hAnsi="Times New Roman" w:eastAsia="宋体" w:cs="Times New Roman"/>
                <w:color w:val="000000" w:themeColor="text1"/>
                <w:sz w:val="21"/>
                <w:szCs w:val="21"/>
                <w:highlight w:val="none"/>
                <w14:textFill>
                  <w14:solidFill>
                    <w14:schemeClr w14:val="tx1"/>
                  </w14:solidFill>
                </w14:textFill>
              </w:rPr>
              <w:t>（格式后附）；（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委托时必须提供，否则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43C977C1">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.商务条款偏离表（格式后附）；（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F1622A0">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采购</w:t>
            </w:r>
            <w:r>
              <w:rPr>
                <w:rFonts w:hint="default" w:ascii="Times New Roman" w:hAnsi="Times New Roman" w:eastAsia="宋体" w:cs="Times New Roman"/>
                <w:color w:val="000000" w:themeColor="text1"/>
                <w:sz w:val="21"/>
                <w:szCs w:val="21"/>
                <w:highlight w:val="none"/>
                <w14:textFill>
                  <w14:solidFill>
                    <w14:schemeClr w14:val="tx1"/>
                  </w14:solidFill>
                </w14:textFill>
              </w:rPr>
              <w:t>需求偏离表（格式后附）；（</w:t>
            </w:r>
            <w:r>
              <w:rPr>
                <w:rFonts w:hint="default" w:ascii="Times New Roman" w:hAnsi="Times New Roman" w:eastAsia="宋体" w:cs="Times New Roman"/>
                <w:b/>
                <w:color w:val="000000" w:themeColor="text1"/>
                <w:sz w:val="21"/>
                <w:szCs w:val="21"/>
                <w:highlight w:val="none"/>
                <w14:textFill>
                  <w14:solidFill>
                    <w14:schemeClr w14:val="tx1"/>
                  </w14:solidFill>
                </w14:textFill>
              </w:rPr>
              <w:t>必须提供，否则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3E38C0A">
            <w:pPr>
              <w:keepNext w:val="0"/>
              <w:keepLines w:val="0"/>
              <w:pageBreakBefore w:val="0"/>
              <w:widowControl/>
              <w:kinsoku/>
              <w:wordWrap/>
              <w:overflowPunct/>
              <w:topLinePunct w:val="0"/>
              <w:autoSpaceDE/>
              <w:autoSpaceDN/>
              <w:bidi w:val="0"/>
              <w:adjustRightInd/>
              <w:snapToGrid/>
              <w:spacing w:line="46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农民工工资保证金的交纳与使用承诺书</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（格式自拟）；</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必须提供，</w:t>
            </w:r>
            <w:r>
              <w:rPr>
                <w:rFonts w:hint="default" w:ascii="Times New Roman" w:hAnsi="Times New Roman" w:eastAsia="宋体" w:cs="Times New Roman"/>
                <w:b/>
                <w:color w:val="000000" w:themeColor="text1"/>
                <w:sz w:val="21"/>
                <w:szCs w:val="21"/>
                <w:highlight w:val="none"/>
                <w14:textFill>
                  <w14:solidFill>
                    <w14:schemeClr w14:val="tx1"/>
                  </w14:solidFill>
                </w14:textFill>
              </w:rPr>
              <w:t>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2CE1DF33">
            <w:pPr>
              <w:keepNext w:val="0"/>
              <w:keepLines w:val="0"/>
              <w:pageBreakBefore w:val="0"/>
              <w:widowControl/>
              <w:kinsoku/>
              <w:wordWrap/>
              <w:overflowPunct/>
              <w:topLinePunct w:val="0"/>
              <w:autoSpaceDE/>
              <w:autoSpaceDN/>
              <w:bidi w:val="0"/>
              <w:adjustRightInd/>
              <w:snapToGrid/>
              <w:spacing w:line="46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cs="Times New Roman"/>
                <w:color w:val="000000" w:themeColor="text1"/>
                <w:sz w:val="21"/>
                <w:highlight w:val="none"/>
                <w14:textFill>
                  <w14:solidFill>
                    <w14:schemeClr w14:val="tx1"/>
                  </w14:solidFill>
                </w14:textFill>
              </w:rPr>
              <w:t>安全防护、文明施工措施方案的承诺书</w:t>
            </w:r>
            <w:r>
              <w:rPr>
                <w:rFonts w:hint="eastAsia" w:ascii="Times New Roman" w:cs="Times New Roman"/>
                <w:color w:val="000000" w:themeColor="text1"/>
                <w:sz w:val="21"/>
                <w:highlight w:val="none"/>
                <w:lang w:eastAsia="zh-CN"/>
                <w14:textFill>
                  <w14:solidFill>
                    <w14:schemeClr w14:val="tx1"/>
                  </w14:solidFill>
                </w14:textFill>
              </w:rPr>
              <w:t>（格式自拟）；</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必须提供，</w:t>
            </w:r>
            <w:r>
              <w:rPr>
                <w:rFonts w:hint="default" w:ascii="Times New Roman" w:hAnsi="Times New Roman" w:eastAsia="宋体" w:cs="Times New Roman"/>
                <w:b/>
                <w:color w:val="000000" w:themeColor="text1"/>
                <w:sz w:val="21"/>
                <w:szCs w:val="21"/>
                <w:highlight w:val="none"/>
                <w14:textFill>
                  <w14:solidFill>
                    <w14:schemeClr w14:val="tx1"/>
                  </w14:solidFill>
                </w14:textFill>
              </w:rPr>
              <w:t>否则</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C72F46A">
            <w:pPr>
              <w:pStyle w:val="39"/>
              <w:keepNext w:val="0"/>
              <w:keepLines w:val="0"/>
              <w:pageBreakBefore w:val="0"/>
              <w:kinsoku/>
              <w:wordWrap/>
              <w:overflowPunct/>
              <w:topLinePunct w:val="0"/>
              <w:autoSpaceDE/>
              <w:autoSpaceDN/>
              <w:bidi w:val="0"/>
              <w:adjustRightInd/>
              <w:snapToGrid/>
              <w:spacing w:before="0" w:after="0" w:line="464" w:lineRule="exact"/>
              <w:jc w:val="left"/>
              <w:textAlignment w:val="auto"/>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pPr>
            <w:bookmarkStart w:id="104" w:name="_Toc9012"/>
            <w:bookmarkStart w:id="105" w:name="_Toc29153"/>
            <w:bookmarkStart w:id="106" w:name="_Toc12486"/>
            <w:r>
              <w:rPr>
                <w:rFonts w:hint="eastAsia" w:ascii="Times New Roman" w:hAnsi="宋体" w:cs="Times New Roman"/>
                <w:b w:val="0"/>
                <w:bCs w:val="0"/>
                <w:color w:val="000000" w:themeColor="text1"/>
                <w:kern w:val="0"/>
                <w:sz w:val="21"/>
                <w:szCs w:val="22"/>
                <w:highlight w:val="none"/>
                <w:lang w:val="en-US" w:eastAsia="zh-CN" w:bidi="zh-CN"/>
                <w14:textFill>
                  <w14:solidFill>
                    <w14:schemeClr w14:val="tx1"/>
                  </w14:solidFill>
                </w14:textFill>
              </w:rPr>
              <w:t>8</w:t>
            </w:r>
            <w:r>
              <w:rPr>
                <w:rFonts w:hint="eastAsia" w:ascii="Times New Roman" w:hAnsi="宋体" w:eastAsia="宋体" w:cs="Times New Roman"/>
                <w:b w:val="0"/>
                <w:bCs w:val="0"/>
                <w:color w:val="000000" w:themeColor="text1"/>
                <w:kern w:val="0"/>
                <w:sz w:val="21"/>
                <w:szCs w:val="22"/>
                <w:highlight w:val="none"/>
                <w:lang w:val="en-US" w:eastAsia="zh-CN" w:bidi="zh-CN"/>
                <w14:textFill>
                  <w14:solidFill>
                    <w14:schemeClr w14:val="tx1"/>
                  </w14:solidFill>
                </w14:textFill>
              </w:rPr>
              <w:t>.</w:t>
            </w:r>
            <w:r>
              <w:rPr>
                <w:rFonts w:hint="eastAsia" w:ascii="Times New Roman" w:hAnsi="宋体" w:cs="Times New Roman"/>
                <w:b w:val="0"/>
                <w:bCs w:val="0"/>
                <w:color w:val="000000" w:themeColor="text1"/>
                <w:kern w:val="0"/>
                <w:sz w:val="21"/>
                <w:szCs w:val="22"/>
                <w:highlight w:val="none"/>
                <w:lang w:val="zh-CN" w:eastAsia="zh-CN" w:bidi="zh-CN"/>
                <w14:textFill>
                  <w14:solidFill>
                    <w14:schemeClr w14:val="tx1"/>
                  </w14:solidFill>
                </w14:textFill>
              </w:rPr>
              <w:t>近年完成的类似项目情况表</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（格式后附）</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w:t>
            </w:r>
            <w:r>
              <w:rPr>
                <w:rFonts w:hint="eastAsia" w:ascii="Times New Roman" w:hAnsi="宋体" w:eastAsia="宋体" w:cs="Times New Roman"/>
                <w:b/>
                <w:bCs/>
                <w:color w:val="000000" w:themeColor="text1"/>
                <w:kern w:val="0"/>
                <w:sz w:val="21"/>
                <w:szCs w:val="22"/>
                <w:highlight w:val="none"/>
                <w:lang w:val="zh-CN" w:eastAsia="zh-CN" w:bidi="zh-CN"/>
                <w14:textFill>
                  <w14:solidFill>
                    <w14:schemeClr w14:val="tx1"/>
                  </w14:solidFill>
                </w14:textFill>
              </w:rPr>
              <w:t>如有，请提供</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w:t>
            </w:r>
            <w:bookmarkEnd w:id="104"/>
            <w:bookmarkEnd w:id="105"/>
            <w:bookmarkEnd w:id="106"/>
          </w:p>
          <w:p w14:paraId="0746F893">
            <w:pPr>
              <w:pStyle w:val="39"/>
              <w:keepNext w:val="0"/>
              <w:keepLines w:val="0"/>
              <w:pageBreakBefore w:val="0"/>
              <w:kinsoku/>
              <w:wordWrap/>
              <w:overflowPunct/>
              <w:topLinePunct w:val="0"/>
              <w:autoSpaceDE/>
              <w:autoSpaceDN/>
              <w:bidi w:val="0"/>
              <w:adjustRightInd/>
              <w:snapToGrid/>
              <w:spacing w:before="0" w:after="0" w:line="464" w:lineRule="exact"/>
              <w:jc w:val="left"/>
              <w:textAlignment w:val="auto"/>
              <w:rPr>
                <w:rFonts w:hint="default"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pPr>
            <w:bookmarkStart w:id="107" w:name="_Toc932"/>
            <w:bookmarkStart w:id="108" w:name="_Toc21993"/>
            <w:bookmarkStart w:id="109" w:name="_Toc14214"/>
            <w:r>
              <w:rPr>
                <w:rFonts w:hint="eastAsia" w:ascii="Times New Roman" w:hAnsi="宋体" w:cs="Times New Roman"/>
                <w:b w:val="0"/>
                <w:bCs w:val="0"/>
                <w:color w:val="000000" w:themeColor="text1"/>
                <w:kern w:val="0"/>
                <w:sz w:val="21"/>
                <w:szCs w:val="22"/>
                <w:highlight w:val="none"/>
                <w:lang w:val="en-US" w:eastAsia="zh-CN" w:bidi="zh-CN"/>
                <w14:textFill>
                  <w14:solidFill>
                    <w14:schemeClr w14:val="tx1"/>
                  </w14:solidFill>
                </w14:textFill>
              </w:rPr>
              <w:t>9</w:t>
            </w:r>
            <w:r>
              <w:rPr>
                <w:rFonts w:hint="eastAsia" w:ascii="Times New Roman" w:hAnsi="宋体" w:eastAsia="宋体" w:cs="Times New Roman"/>
                <w:b w:val="0"/>
                <w:bCs w:val="0"/>
                <w:color w:val="000000" w:themeColor="text1"/>
                <w:kern w:val="0"/>
                <w:sz w:val="21"/>
                <w:szCs w:val="22"/>
                <w:highlight w:val="none"/>
                <w:lang w:val="en-US" w:eastAsia="zh-CN" w:bidi="zh-CN"/>
                <w14:textFill>
                  <w14:solidFill>
                    <w14:schemeClr w14:val="tx1"/>
                  </w14:solidFill>
                </w14:textFill>
              </w:rPr>
              <w:t>.</w:t>
            </w:r>
            <w:r>
              <w:rPr>
                <w:rFonts w:hint="eastAsia" w:ascii="Times New Roman" w:hAnsi="宋体" w:cs="Times New Roman"/>
                <w:b w:val="0"/>
                <w:bCs w:val="0"/>
                <w:color w:val="000000" w:themeColor="text1"/>
                <w:kern w:val="0"/>
                <w:sz w:val="21"/>
                <w:szCs w:val="22"/>
                <w:highlight w:val="none"/>
                <w:lang w:val="zh-CN" w:eastAsia="zh-CN" w:bidi="zh-CN"/>
                <w14:textFill>
                  <w14:solidFill>
                    <w14:schemeClr w14:val="tx1"/>
                  </w14:solidFill>
                </w14:textFill>
              </w:rPr>
              <w:t>企业获奖情况表</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（格式后附）</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w:t>
            </w:r>
            <w:r>
              <w:rPr>
                <w:rFonts w:hint="eastAsia" w:ascii="Times New Roman" w:hAnsi="宋体" w:eastAsia="宋体" w:cs="Times New Roman"/>
                <w:b/>
                <w:bCs/>
                <w:color w:val="000000" w:themeColor="text1"/>
                <w:kern w:val="0"/>
                <w:sz w:val="21"/>
                <w:szCs w:val="22"/>
                <w:highlight w:val="none"/>
                <w:lang w:val="zh-CN" w:eastAsia="zh-CN" w:bidi="zh-CN"/>
                <w14:textFill>
                  <w14:solidFill>
                    <w14:schemeClr w14:val="tx1"/>
                  </w14:solidFill>
                </w14:textFill>
              </w:rPr>
              <w:t>如有，请提供</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w:t>
            </w:r>
            <w:bookmarkEnd w:id="107"/>
            <w:bookmarkEnd w:id="108"/>
            <w:bookmarkEnd w:id="109"/>
          </w:p>
          <w:p w14:paraId="1F0A9D0C">
            <w:pPr>
              <w:keepNext w:val="0"/>
              <w:keepLines w:val="0"/>
              <w:pageBreakBefore w:val="0"/>
              <w:widowControl/>
              <w:kinsoku/>
              <w:wordWrap/>
              <w:overflowPunct/>
              <w:topLinePunct w:val="0"/>
              <w:autoSpaceDE/>
              <w:autoSpaceDN/>
              <w:bidi w:val="0"/>
              <w:adjustRightInd/>
              <w:snapToGrid/>
              <w:spacing w:line="46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施工组织设计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宋体" w:eastAsia="宋体" w:cs="Times New Roman"/>
                <w:b/>
                <w:bCs/>
                <w:color w:val="000000" w:themeColor="text1"/>
                <w:kern w:val="0"/>
                <w:sz w:val="21"/>
                <w:szCs w:val="22"/>
                <w:highlight w:val="none"/>
                <w:lang w:val="zh-CN" w:eastAsia="zh-CN" w:bidi="zh-CN"/>
                <w14:textFill>
                  <w14:solidFill>
                    <w14:schemeClr w14:val="tx1"/>
                  </w14:solidFill>
                </w14:textFill>
              </w:rPr>
              <w:t>如有，请提供</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90CC525">
            <w:pPr>
              <w:keepNext w:val="0"/>
              <w:keepLines w:val="0"/>
              <w:pageBreakBefore w:val="0"/>
              <w:widowControl/>
              <w:kinsoku/>
              <w:wordWrap/>
              <w:overflowPunct/>
              <w:topLinePunct w:val="0"/>
              <w:autoSpaceDE/>
              <w:autoSpaceDN/>
              <w:bidi w:val="0"/>
              <w:adjustRightInd/>
              <w:snapToGrid/>
              <w:spacing w:line="464"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项目管理机构表</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宋体" w:eastAsia="宋体" w:cs="Times New Roman"/>
                <w:b/>
                <w:bCs/>
                <w:color w:val="000000" w:themeColor="text1"/>
                <w:kern w:val="0"/>
                <w:sz w:val="21"/>
                <w:szCs w:val="22"/>
                <w:highlight w:val="none"/>
                <w:lang w:val="zh-CN" w:eastAsia="zh-CN" w:bidi="zh-CN"/>
                <w14:textFill>
                  <w14:solidFill>
                    <w14:schemeClr w14:val="tx1"/>
                  </w14:solidFill>
                </w14:textFill>
              </w:rPr>
              <w:t>如有，请提供</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A108FF5">
            <w:pPr>
              <w:keepNext w:val="0"/>
              <w:keepLines w:val="0"/>
              <w:pageBreakBefore w:val="0"/>
              <w:widowControl w:val="0"/>
              <w:kinsoku/>
              <w:wordWrap/>
              <w:overflowPunct/>
              <w:topLinePunct w:val="0"/>
              <w:autoSpaceDE/>
              <w:autoSpaceDN/>
              <w:bidi w:val="0"/>
              <w:adjustRightInd/>
              <w:snapToGrid/>
              <w:spacing w:line="464"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highlight w:val="none"/>
                <w14:textFill>
                  <w14:solidFill>
                    <w14:schemeClr w14:val="tx1"/>
                  </w14:solidFill>
                </w14:textFill>
              </w:rPr>
              <w:t>.供应商认为需要提供的其他有关资料。</w:t>
            </w:r>
          </w:p>
          <w:p w14:paraId="2B5F61B9">
            <w:pPr>
              <w:keepNext w:val="0"/>
              <w:keepLines w:val="0"/>
              <w:pageBreakBefore w:val="0"/>
              <w:kinsoku/>
              <w:wordWrap/>
              <w:overflowPunct/>
              <w:topLinePunct w:val="0"/>
              <w:autoSpaceDE/>
              <w:autoSpaceDN/>
              <w:bidi w:val="0"/>
              <w:adjustRightInd/>
              <w:snapToGrid/>
              <w:spacing w:line="464" w:lineRule="exact"/>
              <w:jc w:val="left"/>
              <w:textAlignment w:val="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 xml:space="preserve">注： </w:t>
            </w:r>
          </w:p>
          <w:p w14:paraId="7232A685">
            <w:pPr>
              <w:keepNext w:val="0"/>
              <w:keepLines w:val="0"/>
              <w:pageBreakBefore w:val="0"/>
              <w:kinsoku/>
              <w:wordWrap/>
              <w:overflowPunct/>
              <w:topLinePunct w:val="0"/>
              <w:autoSpaceDE/>
              <w:autoSpaceDN/>
              <w:bidi w:val="0"/>
              <w:adjustRightInd/>
              <w:snapToGrid/>
              <w:spacing w:line="464" w:lineRule="exact"/>
              <w:ind w:firstLine="422" w:firstLineChars="200"/>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1.法定代表人授权委托书必须由法定代表人及委托代理人签字或签章，并加盖供应商公章，否则响应文件按无效响应处理。</w:t>
            </w:r>
          </w:p>
          <w:p w14:paraId="6497EB1B">
            <w:pPr>
              <w:keepNext w:val="0"/>
              <w:keepLines w:val="0"/>
              <w:pageBreakBefore w:val="0"/>
              <w:kinsoku/>
              <w:wordWrap/>
              <w:overflowPunct/>
              <w:topLinePunct w:val="0"/>
              <w:autoSpaceDE/>
              <w:autoSpaceDN/>
              <w:bidi w:val="0"/>
              <w:adjustRightInd/>
              <w:snapToGrid/>
              <w:spacing w:line="464" w:lineRule="exact"/>
              <w:ind w:firstLine="422" w:firstLineChars="200"/>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2.以上标明“必须提供”的材料，必须加盖供应商公章，否则响应文件按无效响应处理。</w:t>
            </w:r>
          </w:p>
          <w:p w14:paraId="4A59374D">
            <w:pPr>
              <w:keepNext w:val="0"/>
              <w:keepLines w:val="0"/>
              <w:pageBreakBefore w:val="0"/>
              <w:kinsoku/>
              <w:wordWrap/>
              <w:overflowPunct/>
              <w:topLinePunct w:val="0"/>
              <w:autoSpaceDE/>
              <w:autoSpaceDN/>
              <w:bidi w:val="0"/>
              <w:adjustRightInd/>
              <w:snapToGrid/>
              <w:spacing w:line="464" w:lineRule="exact"/>
              <w:ind w:firstLine="422" w:firstLineChars="200"/>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3.以上材料未附格式的，由供应商自行拟定。</w:t>
            </w:r>
          </w:p>
          <w:p w14:paraId="371EB99C">
            <w:pPr>
              <w:keepNext w:val="0"/>
              <w:keepLines w:val="0"/>
              <w:pageBreakBefore w:val="0"/>
              <w:kinsoku/>
              <w:wordWrap/>
              <w:overflowPunct/>
              <w:topLinePunct w:val="0"/>
              <w:autoSpaceDE/>
              <w:autoSpaceDN/>
              <w:bidi w:val="0"/>
              <w:adjustRightInd/>
              <w:snapToGrid/>
              <w:spacing w:line="464" w:lineRule="exact"/>
              <w:ind w:firstLine="422" w:firstLineChars="200"/>
              <w:jc w:val="lef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4.响应文件中所须加盖公章部分均采用CA签章。若竞争性磋商文件中有专门标注的某关联点，并要求供应商在政采云电子投标客户端电子投标系统中作出投标响应的，如供应商未对关联点进行响应或者在响应文件其它内容进行描述，造成电子评审不能查询的责任由供应商自行承担。</w:t>
            </w:r>
          </w:p>
        </w:tc>
      </w:tr>
      <w:tr w14:paraId="67E3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2C5D5368">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355" w:type="dxa"/>
            <w:noWrap w:val="0"/>
            <w:vAlign w:val="center"/>
          </w:tcPr>
          <w:p w14:paraId="5409B374">
            <w:pPr>
              <w:keepNext w:val="0"/>
              <w:keepLines w:val="0"/>
              <w:pageBreakBefore w:val="0"/>
              <w:widowControl w:val="0"/>
              <w:kinsoku/>
              <w:wordWrap/>
              <w:overflowPunct/>
              <w:topLinePunct w:val="0"/>
              <w:autoSpaceDE/>
              <w:autoSpaceDN/>
              <w:bidi w:val="0"/>
              <w:adjustRightInd/>
              <w:snapToGrid w:val="0"/>
              <w:spacing w:line="486"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10" w:name="OLE_LINK11"/>
            <w:r>
              <w:rPr>
                <w:rFonts w:hint="eastAsia" w:hAnsi="宋体"/>
                <w:color w:val="000000" w:themeColor="text1"/>
                <w:sz w:val="21"/>
                <w:szCs w:val="21"/>
                <w:highlight w:val="none"/>
                <w14:textFill>
                  <w14:solidFill>
                    <w14:schemeClr w14:val="tx1"/>
                  </w14:solidFill>
                </w14:textFill>
              </w:rPr>
              <w:t>备份响应文件：本项目不需要提交备份响应文件。</w:t>
            </w:r>
            <w:bookmarkEnd w:id="110"/>
          </w:p>
        </w:tc>
      </w:tr>
      <w:tr w14:paraId="75C87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2AA61436">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8355" w:type="dxa"/>
            <w:noWrap w:val="0"/>
            <w:vAlign w:val="center"/>
          </w:tcPr>
          <w:p w14:paraId="79838E54">
            <w:pPr>
              <w:keepNext w:val="0"/>
              <w:keepLines w:val="0"/>
              <w:pageBreakBefore w:val="0"/>
              <w:widowControl w:val="0"/>
              <w:kinsoku/>
              <w:wordWrap/>
              <w:overflowPunct/>
              <w:topLinePunct w:val="0"/>
              <w:autoSpaceDE/>
              <w:autoSpaceDN/>
              <w:bidi w:val="0"/>
              <w:adjustRightInd/>
              <w:snapToGrid w:val="0"/>
              <w:spacing w:line="486"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cs="Times New Roman"/>
                <w:color w:val="000000" w:themeColor="text1"/>
                <w:sz w:val="21"/>
                <w:highlight w:val="none"/>
                <w:lang w:eastAsia="zh-CN"/>
                <w14:textFill>
                  <w14:solidFill>
                    <w14:schemeClr w14:val="tx1"/>
                  </w14:solidFill>
                </w14:textFill>
              </w:rPr>
              <w:t>响应</w:t>
            </w:r>
            <w:r>
              <w:rPr>
                <w:rFonts w:ascii="Times New Roman" w:cs="Times New Roman"/>
                <w:color w:val="000000" w:themeColor="text1"/>
                <w:sz w:val="21"/>
                <w:highlight w:val="none"/>
                <w14:textFill>
                  <w14:solidFill>
                    <w14:schemeClr w14:val="tx1"/>
                  </w14:solidFill>
                </w14:textFill>
              </w:rPr>
              <w:t>价格由供应商根据现场情况按市场价自行报价。供应商所填报的各项单价在合同实施期间不因市场变化因素而变动，供应商在计算报价时应考虑一定的风险因素和固定价格包括的范围。除非合同中另有规定，具有标价的工程量清单报价中所报单价和合价以及</w:t>
            </w:r>
            <w:r>
              <w:rPr>
                <w:rFonts w:hint="eastAsia" w:ascii="Times New Roman" w:cs="Times New Roman"/>
                <w:color w:val="000000" w:themeColor="text1"/>
                <w:sz w:val="21"/>
                <w:highlight w:val="none"/>
                <w:lang w:eastAsia="zh-CN"/>
                <w14:textFill>
                  <w14:solidFill>
                    <w14:schemeClr w14:val="tx1"/>
                  </w14:solidFill>
                </w14:textFill>
              </w:rPr>
              <w:t>响应报价</w:t>
            </w:r>
            <w:r>
              <w:rPr>
                <w:rFonts w:ascii="Times New Roman" w:cs="Times New Roman"/>
                <w:color w:val="000000" w:themeColor="text1"/>
                <w:sz w:val="21"/>
                <w:highlight w:val="none"/>
                <w14:textFill>
                  <w14:solidFill>
                    <w14:schemeClr w14:val="tx1"/>
                  </w14:solidFill>
                </w14:textFill>
              </w:rPr>
              <w:t>表中的价格应包括施工设备、劳务、管理、材料、安装、维护、保险、利润、税金、政策性文件规定及合同包含的应有风险、责任等各项应有费用，经</w:t>
            </w:r>
            <w:r>
              <w:rPr>
                <w:rFonts w:hint="eastAsia" w:ascii="Times New Roman" w:cs="Times New Roman"/>
                <w:color w:val="000000" w:themeColor="text1"/>
                <w:sz w:val="21"/>
                <w:highlight w:val="none"/>
                <w14:textFill>
                  <w14:solidFill>
                    <w14:schemeClr w14:val="tx1"/>
                  </w14:solidFill>
                </w14:textFill>
              </w:rPr>
              <w:t>磋商</w:t>
            </w:r>
            <w:r>
              <w:rPr>
                <w:rFonts w:ascii="Times New Roman" w:cs="Times New Roman"/>
                <w:color w:val="000000" w:themeColor="text1"/>
                <w:sz w:val="21"/>
                <w:highlight w:val="none"/>
                <w14:textFill>
                  <w14:solidFill>
                    <w14:schemeClr w14:val="tx1"/>
                  </w14:solidFill>
                </w14:textFill>
              </w:rPr>
              <w:t>小组审核严重不平衡的报价将不予接受。</w:t>
            </w:r>
          </w:p>
        </w:tc>
      </w:tr>
      <w:tr w14:paraId="25EB6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0F0FD575">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355" w:type="dxa"/>
            <w:noWrap w:val="0"/>
            <w:vAlign w:val="center"/>
          </w:tcPr>
          <w:p w14:paraId="3BEE91E2">
            <w:pPr>
              <w:pStyle w:val="13"/>
              <w:keepNext w:val="0"/>
              <w:keepLines w:val="0"/>
              <w:pageBreakBefore w:val="0"/>
              <w:widowControl w:val="0"/>
              <w:numPr>
                <w:ilvl w:val="0"/>
                <w:numId w:val="0"/>
              </w:numPr>
              <w:tabs>
                <w:tab w:val="left" w:pos="720"/>
                <w:tab w:val="left" w:pos="840"/>
                <w:tab w:val="clear" w:pos="360"/>
              </w:tabs>
              <w:kinsoku/>
              <w:wordWrap/>
              <w:overflowPunct/>
              <w:topLinePunct w:val="0"/>
              <w:autoSpaceDE/>
              <w:autoSpaceDN/>
              <w:bidi w:val="0"/>
              <w:adjustRightInd/>
              <w:snapToGrid w:val="0"/>
              <w:spacing w:line="486" w:lineRule="exact"/>
              <w:ind w:leftChars="-135"/>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t>竞</w:t>
            </w: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竞标有效期：自首次</w:t>
            </w:r>
            <w:r>
              <w:rPr>
                <w:rFonts w:hint="eastAsia" w:ascii="Times New Roman" w:hAnsi="Times New Roman" w:cs="Times New Roman"/>
                <w:color w:val="000000" w:themeColor="text1"/>
                <w:kern w:val="2"/>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提交截止之日起</w:t>
            </w:r>
            <w:r>
              <w:rPr>
                <w:rFonts w:hint="eastAsia" w:ascii="Times New Roman" w:hAnsi="Times New Roman" w:cs="Times New Roman"/>
                <w:color w:val="000000" w:themeColor="text1"/>
                <w:kern w:val="2"/>
                <w:sz w:val="21"/>
                <w:szCs w:val="21"/>
                <w:highlight w:val="none"/>
                <w:u w:val="none"/>
                <w:lang w:val="en-US" w:eastAsia="zh-CN"/>
                <w14:textFill>
                  <w14:solidFill>
                    <w14:schemeClr w14:val="tx1"/>
                  </w14:solidFill>
                </w14:textFill>
              </w:rPr>
              <w:t>90</w:t>
            </w: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日。</w:t>
            </w:r>
          </w:p>
        </w:tc>
      </w:tr>
      <w:tr w14:paraId="2D0CC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647D584C">
            <w:pPr>
              <w:keepNext w:val="0"/>
              <w:keepLines w:val="0"/>
              <w:pageBreakBefore w:val="0"/>
              <w:widowControl w:val="0"/>
              <w:kinsoku/>
              <w:wordWrap/>
              <w:overflowPunct/>
              <w:topLinePunct w:val="0"/>
              <w:bidi w:val="0"/>
              <w:adjustRightInd/>
              <w:spacing w:line="470" w:lineRule="exact"/>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w:t>
            </w:r>
          </w:p>
        </w:tc>
        <w:tc>
          <w:tcPr>
            <w:tcW w:w="8355" w:type="dxa"/>
            <w:noWrap w:val="0"/>
            <w:vAlign w:val="center"/>
          </w:tcPr>
          <w:p w14:paraId="7212B926">
            <w:pPr>
              <w:keepNext w:val="0"/>
              <w:keepLines w:val="0"/>
              <w:pageBreakBefore w:val="0"/>
              <w:widowControl w:val="0"/>
              <w:kinsoku/>
              <w:wordWrap/>
              <w:overflowPunct/>
              <w:topLinePunct w:val="0"/>
              <w:autoSpaceDE/>
              <w:autoSpaceDN/>
              <w:bidi w:val="0"/>
              <w:adjustRightInd/>
              <w:snapToGrid w:val="0"/>
              <w:spacing w:line="486"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11" w:name="OLE_LINK9"/>
            <w:r>
              <w:rPr>
                <w:color w:val="000000" w:themeColor="text1"/>
                <w:sz w:val="21"/>
                <w:szCs w:val="21"/>
                <w:highlight w:val="none"/>
                <w14:textFill>
                  <w14:solidFill>
                    <w14:schemeClr w14:val="tx1"/>
                  </w14:solidFill>
                </w14:textFill>
              </w:rPr>
              <w:t>磋商保证金</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本项目</w:t>
            </w:r>
            <w:r>
              <w:rPr>
                <w:rFonts w:hint="eastAsia"/>
                <w:color w:val="000000" w:themeColor="text1"/>
                <w:sz w:val="21"/>
                <w:szCs w:val="21"/>
                <w:highlight w:val="none"/>
                <w:lang w:eastAsia="zh-CN"/>
                <w14:textFill>
                  <w14:solidFill>
                    <w14:schemeClr w14:val="tx1"/>
                  </w14:solidFill>
                </w14:textFill>
              </w:rPr>
              <w:t>不</w:t>
            </w:r>
            <w:r>
              <w:rPr>
                <w:color w:val="000000" w:themeColor="text1"/>
                <w:sz w:val="21"/>
                <w:szCs w:val="21"/>
                <w:highlight w:val="none"/>
                <w14:textFill>
                  <w14:solidFill>
                    <w14:schemeClr w14:val="tx1"/>
                  </w14:solidFill>
                </w14:textFill>
              </w:rPr>
              <w:t>收取</w:t>
            </w:r>
            <w:r>
              <w:rPr>
                <w:rFonts w:hint="eastAsia"/>
                <w:color w:val="000000" w:themeColor="text1"/>
                <w:sz w:val="21"/>
                <w:szCs w:val="21"/>
                <w:highlight w:val="none"/>
                <w:lang w:eastAsia="zh-CN"/>
                <w14:textFill>
                  <w14:solidFill>
                    <w14:schemeClr w14:val="tx1"/>
                  </w14:solidFill>
                </w14:textFill>
              </w:rPr>
              <w:t>磋商</w:t>
            </w:r>
            <w:r>
              <w:rPr>
                <w:color w:val="000000" w:themeColor="text1"/>
                <w:sz w:val="21"/>
                <w:szCs w:val="21"/>
                <w:highlight w:val="none"/>
                <w14:textFill>
                  <w14:solidFill>
                    <w14:schemeClr w14:val="tx1"/>
                  </w14:solidFill>
                </w14:textFill>
              </w:rPr>
              <w:t>保证金</w:t>
            </w:r>
            <w:r>
              <w:rPr>
                <w:rFonts w:hint="eastAsia"/>
                <w:color w:val="000000" w:themeColor="text1"/>
                <w:sz w:val="21"/>
                <w:szCs w:val="21"/>
                <w:highlight w:val="none"/>
                <w:lang w:eastAsia="zh-CN"/>
                <w14:textFill>
                  <w14:solidFill>
                    <w14:schemeClr w14:val="tx1"/>
                  </w14:solidFill>
                </w14:textFill>
              </w:rPr>
              <w:t>。</w:t>
            </w:r>
            <w:bookmarkEnd w:id="111"/>
          </w:p>
        </w:tc>
      </w:tr>
      <w:tr w14:paraId="6C70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47999CB0">
            <w:pPr>
              <w:keepNext w:val="0"/>
              <w:keepLines w:val="0"/>
              <w:pageBreakBefore w:val="0"/>
              <w:widowControl w:val="0"/>
              <w:kinsoku/>
              <w:wordWrap/>
              <w:overflowPunct/>
              <w:topLinePunct w:val="0"/>
              <w:bidi w:val="0"/>
              <w:adjustRightInd/>
              <w:spacing w:line="470" w:lineRule="exact"/>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w:t>
            </w:r>
          </w:p>
        </w:tc>
        <w:tc>
          <w:tcPr>
            <w:tcW w:w="8355" w:type="dxa"/>
            <w:noWrap w:val="0"/>
            <w:vAlign w:val="center"/>
          </w:tcPr>
          <w:p w14:paraId="0C02D7E4">
            <w:pPr>
              <w:keepNext w:val="0"/>
              <w:keepLines w:val="0"/>
              <w:pageBreakBefore w:val="0"/>
              <w:widowControl w:val="0"/>
              <w:kinsoku/>
              <w:wordWrap/>
              <w:overflowPunct/>
              <w:topLinePunct w:val="0"/>
              <w:autoSpaceDE/>
              <w:autoSpaceDN/>
              <w:bidi w:val="0"/>
              <w:adjustRightInd/>
              <w:snapToGrid w:val="0"/>
              <w:spacing w:line="486" w:lineRule="exact"/>
              <w:ind w:firstLine="420" w:firstLineChars="200"/>
              <w:jc w:val="left"/>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首次</w:t>
            </w:r>
            <w:r>
              <w:rPr>
                <w:rFonts w:hint="default"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提交截止时间：详见竞争性磋商公告。</w:t>
            </w:r>
          </w:p>
          <w:p w14:paraId="57A7F87D">
            <w:pPr>
              <w:keepNext w:val="0"/>
              <w:keepLines w:val="0"/>
              <w:pageBreakBefore w:val="0"/>
              <w:widowControl w:val="0"/>
              <w:kinsoku/>
              <w:wordWrap/>
              <w:overflowPunct/>
              <w:topLinePunct w:val="0"/>
              <w:autoSpaceDE/>
              <w:autoSpaceDN/>
              <w:bidi w:val="0"/>
              <w:adjustRightInd/>
              <w:snapToGrid w:val="0"/>
              <w:spacing w:line="486"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首次</w:t>
            </w:r>
            <w:r>
              <w:rPr>
                <w:rFonts w:hint="default"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提交</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地点（网址）</w:t>
            </w:r>
            <w:r>
              <w:rPr>
                <w:rFonts w:hint="default" w:ascii="Times New Roman" w:hAnsi="Times New Roman" w:eastAsia="宋体" w:cs="Times New Roman"/>
                <w:color w:val="000000" w:themeColor="text1"/>
                <w:sz w:val="21"/>
                <w:szCs w:val="21"/>
                <w:highlight w:val="none"/>
                <w14:textFill>
                  <w14:solidFill>
                    <w14:schemeClr w14:val="tx1"/>
                  </w14:solidFill>
                </w14:textFill>
              </w:rPr>
              <w:t>：详见竞争性磋商公告。</w:t>
            </w:r>
          </w:p>
          <w:p w14:paraId="015B7466">
            <w:pPr>
              <w:keepNext w:val="0"/>
              <w:keepLines w:val="0"/>
              <w:pageBreakBefore w:val="0"/>
              <w:widowControl w:val="0"/>
              <w:kinsoku/>
              <w:wordWrap/>
              <w:overflowPunct/>
              <w:topLinePunct w:val="0"/>
              <w:autoSpaceDE/>
              <w:autoSpaceDN/>
              <w:bidi w:val="0"/>
              <w:adjustRightInd/>
              <w:spacing w:line="486" w:lineRule="exact"/>
              <w:ind w:firstLine="422"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 xml:space="preserve">供应商应当在首次响应文件提交截止时间前，将响应文件上传到广西政府采购云平台。应按照本项目竞争性磋商文件和广西政府采购云平台的要求编制、加密传输响应文件。 </w:t>
            </w:r>
            <w:r>
              <w:rPr>
                <w:rFonts w:hint="default" w:ascii="Times New Roman" w:hAnsi="Times New Roman" w:cs="Times New Roman"/>
                <w:b/>
                <w:bCs/>
                <w:color w:val="000000" w:themeColor="text1"/>
                <w:spacing w:val="-6"/>
                <w:sz w:val="21"/>
                <w:szCs w:val="21"/>
                <w:highlight w:val="none"/>
                <w14:textFill>
                  <w14:solidFill>
                    <w14:schemeClr w14:val="tx1"/>
                  </w14:solidFill>
                </w14:textFill>
              </w:rPr>
              <w:t>供应商在使用系统进行竞标的过程中遇到涉及广西政府采购云平台使用的任何问题，可致电广西政府采购云平台技术支持热线咨询，联系方式：95763。</w:t>
            </w:r>
          </w:p>
        </w:tc>
      </w:tr>
      <w:tr w14:paraId="40DB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30197004">
            <w:pPr>
              <w:keepNext w:val="0"/>
              <w:keepLines w:val="0"/>
              <w:pageBreakBefore w:val="0"/>
              <w:widowControl w:val="0"/>
              <w:kinsoku/>
              <w:wordWrap/>
              <w:overflowPunct/>
              <w:topLinePunct w:val="0"/>
              <w:bidi w:val="0"/>
              <w:adjustRightInd/>
              <w:spacing w:line="49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355" w:type="dxa"/>
            <w:noWrap w:val="0"/>
            <w:vAlign w:val="center"/>
          </w:tcPr>
          <w:p w14:paraId="4A1F7136">
            <w:pPr>
              <w:keepNext w:val="0"/>
              <w:keepLines w:val="0"/>
              <w:pageBreakBefore w:val="0"/>
              <w:widowControl w:val="0"/>
              <w:kinsoku/>
              <w:wordWrap/>
              <w:overflowPunct/>
              <w:topLinePunct w:val="0"/>
              <w:autoSpaceDE/>
              <w:autoSpaceDN/>
              <w:bidi w:val="0"/>
              <w:adjustRightInd/>
              <w:snapToGrid w:val="0"/>
              <w:spacing w:line="486" w:lineRule="exact"/>
              <w:jc w:val="left"/>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磋商小组的人数：</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人。</w:t>
            </w:r>
          </w:p>
        </w:tc>
      </w:tr>
      <w:tr w14:paraId="1BC8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vMerge w:val="restart"/>
            <w:noWrap w:val="0"/>
            <w:vAlign w:val="center"/>
          </w:tcPr>
          <w:p w14:paraId="1BEC169A">
            <w:pPr>
              <w:keepNext w:val="0"/>
              <w:keepLines w:val="0"/>
              <w:pageBreakBefore w:val="0"/>
              <w:widowControl w:val="0"/>
              <w:kinsoku/>
              <w:wordWrap/>
              <w:overflowPunct/>
              <w:topLinePunct w:val="0"/>
              <w:bidi w:val="0"/>
              <w:adjustRightInd/>
              <w:spacing w:line="49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355" w:type="dxa"/>
            <w:noWrap w:val="0"/>
            <w:vAlign w:val="center"/>
          </w:tcPr>
          <w:p w14:paraId="1ADDED29">
            <w:pPr>
              <w:keepNext w:val="0"/>
              <w:keepLines w:val="0"/>
              <w:pageBreakBefore w:val="0"/>
              <w:widowControl w:val="0"/>
              <w:kinsoku/>
              <w:wordWrap/>
              <w:overflowPunct/>
              <w:topLinePunct w:val="0"/>
              <w:autoSpaceDE/>
              <w:autoSpaceDN/>
              <w:bidi w:val="0"/>
              <w:adjustRightInd/>
              <w:snapToGrid w:val="0"/>
              <w:spacing w:line="486"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商务条款评审中允许负偏离的条款数为</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项。</w:t>
            </w:r>
          </w:p>
          <w:p w14:paraId="3AED10E8">
            <w:pPr>
              <w:keepNext w:val="0"/>
              <w:keepLines w:val="0"/>
              <w:pageBreakBefore w:val="0"/>
              <w:widowControl w:val="0"/>
              <w:kinsoku/>
              <w:wordWrap/>
              <w:overflowPunct/>
              <w:topLinePunct w:val="0"/>
              <w:autoSpaceDE/>
              <w:autoSpaceDN/>
              <w:bidi w:val="0"/>
              <w:adjustRightInd/>
              <w:snapToGrid w:val="0"/>
              <w:spacing w:line="486" w:lineRule="exact"/>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采购</w:t>
            </w:r>
            <w:r>
              <w:rPr>
                <w:rFonts w:hint="default" w:ascii="Times New Roman" w:hAnsi="Times New Roman" w:eastAsia="宋体" w:cs="Times New Roman"/>
                <w:color w:val="000000" w:themeColor="text1"/>
                <w:sz w:val="21"/>
                <w:szCs w:val="21"/>
                <w:highlight w:val="none"/>
                <w14:textFill>
                  <w14:solidFill>
                    <w14:schemeClr w14:val="tx1"/>
                  </w14:solidFill>
                </w14:textFill>
              </w:rPr>
              <w:t>需求评审中允许负偏离的条款数为</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0</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项。</w:t>
            </w:r>
          </w:p>
        </w:tc>
      </w:tr>
      <w:tr w14:paraId="5677F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vMerge w:val="continue"/>
            <w:noWrap w:val="0"/>
            <w:vAlign w:val="center"/>
          </w:tcPr>
          <w:p w14:paraId="2606C37D">
            <w:pPr>
              <w:keepNext w:val="0"/>
              <w:keepLines w:val="0"/>
              <w:pageBreakBefore w:val="0"/>
              <w:widowControl w:val="0"/>
              <w:kinsoku/>
              <w:wordWrap/>
              <w:overflowPunct/>
              <w:topLinePunct w:val="0"/>
              <w:bidi w:val="0"/>
              <w:adjustRightInd/>
              <w:spacing w:line="49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355" w:type="dxa"/>
            <w:noWrap w:val="0"/>
            <w:vAlign w:val="center"/>
          </w:tcPr>
          <w:p w14:paraId="60663D84">
            <w:pPr>
              <w:keepNext w:val="0"/>
              <w:keepLines w:val="0"/>
              <w:pageBreakBefore w:val="0"/>
              <w:widowControl w:val="0"/>
              <w:kinsoku/>
              <w:wordWrap/>
              <w:overflowPunct/>
              <w:topLinePunct w:val="0"/>
              <w:autoSpaceDE/>
              <w:autoSpaceDN/>
              <w:bidi w:val="0"/>
              <w:adjustRightInd/>
              <w:snapToGrid w:val="0"/>
              <w:spacing w:line="486"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磋商的顺序：广西政府采购云平台自动提取的顺序。</w:t>
            </w:r>
          </w:p>
        </w:tc>
      </w:tr>
      <w:tr w14:paraId="753EE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1B49BF08">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8355" w:type="dxa"/>
            <w:noWrap w:val="0"/>
            <w:vAlign w:val="center"/>
          </w:tcPr>
          <w:p w14:paraId="547F45FE">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12" w:name="OLE_LINK61"/>
            <w:r>
              <w:rPr>
                <w:rFonts w:hint="default" w:ascii="Times New Roman" w:hAnsi="Times New Roman" w:eastAsia="宋体" w:cs="Times New Roman"/>
                <w:color w:val="000000" w:themeColor="text1"/>
                <w:sz w:val="21"/>
                <w:szCs w:val="21"/>
                <w:highlight w:val="none"/>
                <w14:textFill>
                  <w14:solidFill>
                    <w14:schemeClr w14:val="tx1"/>
                  </w14:solidFill>
                </w14:textFill>
              </w:rPr>
              <w:t>履约保证金金额</w:t>
            </w:r>
            <w:bookmarkEnd w:id="112"/>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14:textFill>
                  <w14:solidFill>
                    <w14:schemeClr w14:val="tx1"/>
                  </w14:solidFill>
                </w14:textFill>
              </w:rPr>
              <w:t>合同金额的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w:t>
            </w:r>
          </w:p>
          <w:p w14:paraId="5A780ADA">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履约保证金提交方式：</w:t>
            </w:r>
            <w:bookmarkStart w:id="113" w:name="OLE_LINK40"/>
            <w:r>
              <w:rPr>
                <w:rFonts w:hint="eastAsia" w:ascii="Times New Roman" w:hAnsi="Times New Roman" w:cs="Times New Roman"/>
                <w:color w:val="000000" w:themeColor="text1"/>
                <w:sz w:val="21"/>
                <w:szCs w:val="21"/>
                <w:highlight w:val="none"/>
                <w:lang w:eastAsia="zh-CN"/>
                <w14:textFill>
                  <w14:solidFill>
                    <w14:schemeClr w14:val="tx1"/>
                  </w14:solidFill>
                </w14:textFill>
              </w:rPr>
              <w:t>银行转账（电汇）</w:t>
            </w:r>
            <w:bookmarkEnd w:id="113"/>
            <w:r>
              <w:rPr>
                <w:rFonts w:hint="default" w:ascii="Times New Roman" w:hAnsi="Times New Roman" w:eastAsia="宋体" w:cs="Times New Roman"/>
                <w:color w:val="000000" w:themeColor="text1"/>
                <w:sz w:val="21"/>
                <w:szCs w:val="21"/>
                <w:highlight w:val="none"/>
                <w14:textFill>
                  <w14:solidFill>
                    <w14:schemeClr w14:val="tx1"/>
                  </w14:solidFill>
                </w14:textFill>
              </w:rPr>
              <w:t>或履约保函</w:t>
            </w:r>
          </w:p>
          <w:p w14:paraId="1D974AAB">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履约保证金退付方式</w:t>
            </w:r>
            <w:bookmarkStart w:id="114" w:name="OLE_LINK28"/>
            <w:r>
              <w:rPr>
                <w:rFonts w:hint="default" w:ascii="Times New Roman" w:hAnsi="Times New Roman" w:eastAsia="宋体" w:cs="Times New Roman"/>
                <w:color w:val="000000" w:themeColor="text1"/>
                <w:sz w:val="21"/>
                <w:szCs w:val="21"/>
                <w:highlight w:val="none"/>
                <w14:textFill>
                  <w14:solidFill>
                    <w14:schemeClr w14:val="tx1"/>
                  </w14:solidFill>
                </w14:textFill>
              </w:rPr>
              <w:t>、时间及条件</w:t>
            </w:r>
            <w:bookmarkEnd w:id="114"/>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由成交供应商向履约保证金收取单位提供《政府采购项目合</w:t>
            </w:r>
            <w:bookmarkStart w:id="115" w:name="OLE_LINK27"/>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同验收书》（</w:t>
            </w:r>
            <w:bookmarkEnd w:id="115"/>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详见附件1）及《政府采购项目履约保证金退付意见书》（详见附件2），</w:t>
            </w:r>
            <w:bookmarkStart w:id="116" w:name="OLE_LINK30"/>
            <w:bookmarkStart w:id="117" w:name="OLE_LINK29"/>
            <w:r>
              <w:rPr>
                <w:rFonts w:hint="eastAsia" w:ascii="Times New Roman" w:hAnsi="Times New Roman" w:cs="Times New Roman"/>
                <w:color w:val="000000" w:themeColor="text1"/>
                <w:sz w:val="21"/>
                <w:szCs w:val="21"/>
                <w:highlight w:val="none"/>
                <w:u w:val="none"/>
                <w:lang w:eastAsia="zh-CN"/>
                <w14:textFill>
                  <w14:solidFill>
                    <w14:schemeClr w14:val="tx1"/>
                  </w14:solidFill>
                </w14:textFill>
              </w:rPr>
              <w:t>履约</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保证金应从</w:t>
            </w:r>
            <w:bookmarkEnd w:id="116"/>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银行基本账户转出，履约保函应由</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基本账户所在银行开具。 履约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保证金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签订合同后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无息退还给</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成交供应商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bookmarkEnd w:id="117"/>
          <w:p w14:paraId="00788603">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履约保证金指定账户：</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采购人指定账户。</w:t>
            </w:r>
          </w:p>
          <w:p w14:paraId="7791EBB3">
            <w:pPr>
              <w:pStyle w:val="124"/>
              <w:keepNext w:val="0"/>
              <w:keepLines w:val="0"/>
              <w:pageBreakBefore w:val="0"/>
              <w:widowControl w:val="0"/>
              <w:tabs>
                <w:tab w:val="left" w:leader="underscore" w:pos="2559"/>
              </w:tabs>
              <w:kinsoku/>
              <w:wordWrap/>
              <w:overflowPunct/>
              <w:topLinePunct w:val="0"/>
              <w:bidi w:val="0"/>
              <w:adjustRightInd/>
              <w:spacing w:line="430" w:lineRule="exact"/>
              <w:ind w:left="44" w:leftChars="20" w:right="44" w:rightChars="20" w:firstLine="0"/>
              <w:jc w:val="both"/>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注：</w:t>
            </w:r>
          </w:p>
          <w:p w14:paraId="7A9D5B24">
            <w:pPr>
              <w:pStyle w:val="124"/>
              <w:keepNext w:val="0"/>
              <w:keepLines w:val="0"/>
              <w:pageBreakBefore w:val="0"/>
              <w:widowControl w:val="0"/>
              <w:tabs>
                <w:tab w:val="left" w:leader="underscore" w:pos="2559"/>
              </w:tabs>
              <w:kinsoku/>
              <w:wordWrap/>
              <w:overflowPunct/>
              <w:topLinePunct w:val="0"/>
              <w:bidi w:val="0"/>
              <w:adjustRightInd/>
              <w:spacing w:line="430" w:lineRule="exact"/>
              <w:ind w:left="44" w:leftChars="20" w:right="44" w:rightChars="20" w:firstLine="422" w:firstLineChars="200"/>
              <w:jc w:val="both"/>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1. </w:t>
            </w:r>
            <w:bookmarkStart w:id="118" w:name="_Hlk54170335"/>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根据</w:t>
            </w:r>
            <w:r>
              <w:rPr>
                <w:rFonts w:hint="default" w:ascii="Times New Roman" w:hAnsi="Times New Roman" w:eastAsia="宋体" w:cs="Times New Roman"/>
                <w:b/>
                <w:color w:val="000000" w:themeColor="text1"/>
                <w:sz w:val="21"/>
                <w:szCs w:val="21"/>
                <w:highlight w:val="none"/>
                <w:lang w:val="zh-CN" w:eastAsia="zh-CN"/>
                <w14:textFill>
                  <w14:solidFill>
                    <w14:schemeClr w14:val="tx1"/>
                  </w14:solidFill>
                </w14:textFill>
              </w:rPr>
              <w:t>《广西壮族自治区财政厅关于持续优化政府采购营商环境推动高质量发展的通知》（桂财采〔2024〕55号）</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规定，</w:t>
            </w:r>
            <w:bookmarkEnd w:id="118"/>
            <w:r>
              <w:rPr>
                <w:rFonts w:hint="default" w:ascii="Times New Roman" w:hAnsi="Times New Roman" w:eastAsia="宋体" w:cs="Times New Roman"/>
                <w:b/>
                <w:color w:val="000000" w:themeColor="text1"/>
                <w:sz w:val="21"/>
                <w:szCs w:val="21"/>
                <w:highlight w:val="none"/>
                <w:lang w:val="zh-CN" w:eastAsia="zh-CN"/>
                <w14:textFill>
                  <w14:solidFill>
                    <w14:schemeClr w14:val="tx1"/>
                  </w14:solidFill>
                </w14:textFill>
              </w:rPr>
              <w:t>要求中标或者成交供应商提交履约保证金的，履约保证金数额不得超过政府采购合同金额的5%，对中小企业收取的履约保证金数额不得超过政府采购合同金额的2%。</w:t>
            </w:r>
          </w:p>
          <w:p w14:paraId="6A5E31FE">
            <w:pPr>
              <w:pStyle w:val="124"/>
              <w:keepNext w:val="0"/>
              <w:keepLines w:val="0"/>
              <w:pageBreakBefore w:val="0"/>
              <w:widowControl w:val="0"/>
              <w:tabs>
                <w:tab w:val="left" w:leader="underscore" w:pos="2559"/>
              </w:tabs>
              <w:kinsoku/>
              <w:wordWrap/>
              <w:overflowPunct/>
              <w:topLinePunct w:val="0"/>
              <w:bidi w:val="0"/>
              <w:adjustRightInd/>
              <w:spacing w:line="430" w:lineRule="exact"/>
              <w:ind w:left="44" w:leftChars="20" w:right="44" w:rightChars="20" w:firstLine="422" w:firstLineChars="200"/>
              <w:jc w:val="both"/>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2.履约保证金不足额缴纳的或者不按规定提交方式提交的的，视为未按规定提交履约保证金。</w:t>
            </w:r>
          </w:p>
        </w:tc>
      </w:tr>
      <w:tr w14:paraId="763C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115" w:type="dxa"/>
            <w:noWrap w:val="0"/>
            <w:vAlign w:val="center"/>
          </w:tcPr>
          <w:p w14:paraId="7993171B">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355" w:type="dxa"/>
            <w:noWrap w:val="0"/>
            <w:vAlign w:val="center"/>
          </w:tcPr>
          <w:p w14:paraId="66A89D59">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签订合同携带的证明材料： </w:t>
            </w:r>
          </w:p>
          <w:p w14:paraId="164E1377">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法定代表人负责签订合同的，须携带法定代表人身份证明原件及身份证原件等其他证明材料。</w:t>
            </w:r>
          </w:p>
          <w:p w14:paraId="7B23E27B">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委托代理人负责签订合同的，须携带授权委托书及委托代理人身份证原件等其他资格证件。</w:t>
            </w:r>
          </w:p>
        </w:tc>
      </w:tr>
      <w:tr w14:paraId="0098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jc w:val="center"/>
        </w:trPr>
        <w:tc>
          <w:tcPr>
            <w:tcW w:w="1115" w:type="dxa"/>
            <w:noWrap w:val="0"/>
            <w:vAlign w:val="center"/>
          </w:tcPr>
          <w:p w14:paraId="7CAE244D">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355" w:type="dxa"/>
            <w:noWrap w:val="0"/>
            <w:vAlign w:val="center"/>
          </w:tcPr>
          <w:p w14:paraId="506D7433">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接收质疑函方式：以书面形式。</w:t>
            </w:r>
          </w:p>
          <w:p w14:paraId="001B2FB9">
            <w:pPr>
              <w:keepNext w:val="0"/>
              <w:keepLines w:val="0"/>
              <w:pageBreakBefore w:val="0"/>
              <w:widowControl/>
              <w:kinsoku/>
              <w:wordWrap/>
              <w:overflowPunct/>
              <w:topLinePunct w:val="0"/>
              <w:autoSpaceDE/>
              <w:autoSpaceDN/>
              <w:bidi w:val="0"/>
              <w:adjustRightInd/>
              <w:snapToGrid w:val="0"/>
              <w:spacing w:line="430" w:lineRule="exact"/>
              <w:textAlignment w:val="auto"/>
              <w:outlineLvl w:val="9"/>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质疑联系部门及联系方式：</w:t>
            </w:r>
            <w:r>
              <w:rPr>
                <w:rFonts w:hint="eastAsia" w:ascii="Times New Roman" w:hAnsi="Times New Roman" w:cs="Times New Roman"/>
                <w:color w:val="000000" w:themeColor="text1"/>
                <w:sz w:val="21"/>
                <w:szCs w:val="21"/>
                <w:highlight w:val="none"/>
                <w:lang w:eastAsia="zh-CN"/>
                <w14:textFill>
                  <w14:solidFill>
                    <w14:schemeClr w14:val="tx1"/>
                  </w14:solidFill>
                </w14:textFill>
              </w:rPr>
              <w:t>中致远工程管理咨询有限公司</w:t>
            </w: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，联系电话：13768933267，通讯地址：成都市金牛区金科南路169号1栋10层1016号</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业务时间：上午8时</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0分到12时00分，下午</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highlight w:val="none"/>
                <w14:textFill>
                  <w14:solidFill>
                    <w14:schemeClr w14:val="tx1"/>
                  </w14:solidFill>
                </w14:textFill>
              </w:rPr>
              <w:t>时00分到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1"/>
                <w:szCs w:val="21"/>
                <w:highlight w:val="none"/>
                <w14:textFill>
                  <w14:solidFill>
                    <w14:schemeClr w14:val="tx1"/>
                  </w14:solidFill>
                </w14:textFill>
              </w:rPr>
              <w:t>时00分，业务时间以外、双休日和法定节假日不办理业务。</w:t>
            </w:r>
          </w:p>
        </w:tc>
      </w:tr>
      <w:tr w14:paraId="616F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115" w:type="dxa"/>
            <w:noWrap w:val="0"/>
            <w:vAlign w:val="center"/>
          </w:tcPr>
          <w:p w14:paraId="42F227AD">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355" w:type="dxa"/>
            <w:noWrap w:val="0"/>
            <w:vAlign w:val="center"/>
          </w:tcPr>
          <w:p w14:paraId="184726B8">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1.采购代理费支付方式：本项目代理服务费由</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成交供应商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领取成交通知书前，一次性向采购代理机构支付。</w:t>
            </w:r>
          </w:p>
          <w:p w14:paraId="11EAA4A6">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2.采购代理费收取标准：以成交金额为计费额，按本须知正文第34.2条规定的收费计算标准工程类采用差额定率累进法计算出收费基准价格及参考市场情况收取。</w:t>
            </w:r>
          </w:p>
          <w:p w14:paraId="34DAF50D">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3.采购代理费收取银行账户</w:t>
            </w:r>
          </w:p>
          <w:p w14:paraId="756D18C5">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开户名称：中致远工程管理咨询有限公司来宾市分公司</w:t>
            </w:r>
          </w:p>
          <w:p w14:paraId="53563116">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开户银行：广西来宾农村商业银行股份有限公司营业部</w:t>
            </w:r>
          </w:p>
          <w:p w14:paraId="38478B10">
            <w:pPr>
              <w:pStyle w:val="25"/>
              <w:keepNext w:val="0"/>
              <w:keepLines w:val="0"/>
              <w:pageBreakBefore w:val="0"/>
              <w:widowControl w:val="0"/>
              <w:kinsoku/>
              <w:wordWrap/>
              <w:overflowPunct/>
              <w:topLinePunct w:val="0"/>
              <w:autoSpaceDE/>
              <w:autoSpaceDN/>
              <w:bidi w:val="0"/>
              <w:adjustRightInd/>
              <w:snapToGrid w:val="0"/>
              <w:spacing w:line="43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银行账号：2166120101155559761</w:t>
            </w:r>
          </w:p>
        </w:tc>
      </w:tr>
      <w:tr w14:paraId="420B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5" w:hRule="atLeast"/>
          <w:jc w:val="center"/>
        </w:trPr>
        <w:tc>
          <w:tcPr>
            <w:tcW w:w="1115" w:type="dxa"/>
            <w:noWrap w:val="0"/>
            <w:vAlign w:val="center"/>
          </w:tcPr>
          <w:p w14:paraId="5FDC7F73">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8355" w:type="dxa"/>
            <w:noWrap w:val="0"/>
            <w:vAlign w:val="center"/>
          </w:tcPr>
          <w:p w14:paraId="13C60B13">
            <w:pPr>
              <w:pStyle w:val="25"/>
              <w:keepNext w:val="0"/>
              <w:keepLines w:val="0"/>
              <w:pageBreakBefore w:val="0"/>
              <w:widowControl w:val="0"/>
              <w:kinsoku/>
              <w:wordWrap/>
              <w:overflowPunct/>
              <w:topLinePunct w:val="0"/>
              <w:bidi w:val="0"/>
              <w:adjustRightInd/>
              <w:snapToGrid w:val="0"/>
              <w:spacing w:line="550" w:lineRule="exact"/>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解释：</w:t>
            </w:r>
            <w:r>
              <w:rPr>
                <w:rFonts w:hint="default" w:ascii="Times New Roman" w:hAnsi="Times New Roman" w:eastAsia="宋体" w:cs="Times New Roman"/>
                <w:color w:val="000000" w:themeColor="text1"/>
                <w:sz w:val="21"/>
                <w:szCs w:val="21"/>
                <w:highlight w:val="none"/>
                <w14:textFill>
                  <w14:solidFill>
                    <w14:schemeClr w14:val="tx1"/>
                  </w14:solidFill>
                </w14:textFill>
              </w:rPr>
              <w:t>构成本</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的各个组成文件应互为解释，互为说明；除</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有特别规定外，仅适用于竞标阶段的规定，按更正公告（澄清公告）、竞争性磋商公告、供应商须知、采购需求、评审程序、评审方法和评审标准、响应文件格式、合同条款及格式的先后顺序解释；同一组成文件中就同一事项的规定或者约定不一致的，以编排顺序在后者为准；同一组成文件不同版本之间有不一致的，以形成时间在后者为准；更正公告（澄清公告）与同步更新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不一致时以更正公告（澄清公告）为准。按本款前述规定仍不能形成结论的，由采购人或者采购代理机构负责解释</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r>
      <w:tr w14:paraId="2930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5" w:hRule="atLeast"/>
          <w:jc w:val="center"/>
        </w:trPr>
        <w:tc>
          <w:tcPr>
            <w:tcW w:w="1115" w:type="dxa"/>
            <w:noWrap w:val="0"/>
            <w:vAlign w:val="center"/>
          </w:tcPr>
          <w:p w14:paraId="707C3623">
            <w:pPr>
              <w:keepNext w:val="0"/>
              <w:keepLines w:val="0"/>
              <w:pageBreakBefore w:val="0"/>
              <w:widowControl w:val="0"/>
              <w:kinsoku/>
              <w:wordWrap/>
              <w:overflowPunct/>
              <w:topLinePunct w:val="0"/>
              <w:bidi w:val="0"/>
              <w:adjustRightInd/>
              <w:spacing w:line="4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8355" w:type="dxa"/>
            <w:noWrap w:val="0"/>
            <w:vAlign w:val="center"/>
          </w:tcPr>
          <w:p w14:paraId="426B80DC">
            <w:pPr>
              <w:keepNext w:val="0"/>
              <w:keepLines w:val="0"/>
              <w:pageBreakBefore w:val="0"/>
              <w:widowControl/>
              <w:kinsoku/>
              <w:wordWrap/>
              <w:overflowPunct/>
              <w:topLinePunct w:val="0"/>
              <w:autoSpaceDE/>
              <w:autoSpaceDN/>
              <w:bidi w:val="0"/>
              <w:adjustRightInd/>
              <w:spacing w:line="550" w:lineRule="exact"/>
              <w:jc w:val="left"/>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中须加盖供应商公章部分均采用CA签章，并根据“政府采购项目电子交易管理操作指南-供应商” 及本</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规定的格式和顺序编制</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并进行关联定位，以便</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磋商小组</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在评审时，点击评分项可直接定位到该评分项内容。如对</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的某项要求，供应商的</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未能关联定位提供相应的内容与其对应，则磋商小组在评审时如做出对供应商不利的评审由供应商自行承担。</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如内容不完整、编排混乱导致</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被误读、 漏读，或者在按</w:t>
            </w:r>
            <w:r>
              <w:rPr>
                <w:rFonts w:hint="eastAsia" w:ascii="Times New Roman" w:hAnsi="Times New Roman" w:eastAsia="宋体" w:cs="Times New Roman"/>
                <w:color w:val="000000" w:themeColor="text1"/>
                <w:sz w:val="21"/>
                <w:szCs w:val="21"/>
                <w:highlight w:val="none"/>
                <w:lang w:val="zh-CN" w:eastAsia="zh-CN" w:bidi="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 xml:space="preserve">规定的部位查找不到相关内容的，由供应商自行承担。 </w:t>
            </w:r>
          </w:p>
          <w:p w14:paraId="4E4E7DDC">
            <w:pPr>
              <w:keepNext w:val="0"/>
              <w:keepLines w:val="0"/>
              <w:pageBreakBefore w:val="0"/>
              <w:widowControl/>
              <w:kinsoku/>
              <w:wordWrap/>
              <w:overflowPunct/>
              <w:topLinePunct w:val="0"/>
              <w:autoSpaceDE/>
              <w:autoSpaceDN/>
              <w:bidi w:val="0"/>
              <w:adjustRightInd/>
              <w:spacing w:line="55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 xml:space="preserve">2.CA签章上目前没有法定代表人或授权代表签字或签章信息，供应商在响应文件中涉及到签字或签章的位置签好字或签章然后扫描或者拍照做成PDF的格式亦可。响应文件中涉及到签字或签章的位置未按要求签字或签章的，提供的材料视为无效。 </w:t>
            </w:r>
          </w:p>
          <w:p w14:paraId="7AD30885">
            <w:pPr>
              <w:keepNext w:val="0"/>
              <w:keepLines w:val="0"/>
              <w:pageBreakBefore w:val="0"/>
              <w:widowControl/>
              <w:kinsoku/>
              <w:wordWrap/>
              <w:overflowPunct/>
              <w:topLinePunct w:val="0"/>
              <w:autoSpaceDE/>
              <w:autoSpaceDN/>
              <w:bidi w:val="0"/>
              <w:adjustRightInd/>
              <w:spacing w:line="550" w:lineRule="exact"/>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3.本竞争性磋商文件中描述供应商的“签字或签章”是指供应商的</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法定代表人或其委托代理人</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亲自在文件规定签字处亲笔写上个人的名字或签章的行为。 </w:t>
            </w:r>
          </w:p>
          <w:p w14:paraId="1DD35DD4">
            <w:pPr>
              <w:pStyle w:val="25"/>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4.本竞争性磋商文件所称的“以上”“以下”“以内”“届满”，包括本数；所称的“不满”“超过”“以外”，不包括本数。</w:t>
            </w:r>
          </w:p>
        </w:tc>
      </w:tr>
    </w:tbl>
    <w:p w14:paraId="77AE2662">
      <w:pPr>
        <w:pStyle w:val="2"/>
        <w:keepNext w:val="0"/>
        <w:keepLines w:val="0"/>
        <w:pageBreakBefore w:val="0"/>
        <w:widowControl w:val="0"/>
        <w:kinsoku/>
        <w:wordWrap/>
        <w:overflowPunct/>
        <w:topLinePunct w:val="0"/>
        <w:autoSpaceDE w:val="0"/>
        <w:autoSpaceDN w:val="0"/>
        <w:bidi w:val="0"/>
        <w:adjustRightInd/>
        <w:snapToGrid/>
        <w:spacing w:line="440" w:lineRule="exact"/>
        <w:ind w:left="0" w:right="40"/>
        <w:jc w:val="center"/>
        <w:textAlignment w:val="auto"/>
        <w:outlineLvl w:val="0"/>
        <w:rPr>
          <w:rFonts w:hint="eastAsia" w:ascii="黑体" w:hAnsi="Times New Roman" w:eastAsia="黑体" w:cs="Times New Roman"/>
          <w:color w:val="000000" w:themeColor="text1"/>
          <w:sz w:val="36"/>
          <w:szCs w:val="36"/>
          <w:highlight w:val="none"/>
          <w:lang w:eastAsia="zh-CN"/>
          <w14:textFill>
            <w14:solidFill>
              <w14:schemeClr w14:val="tx1"/>
            </w14:solidFill>
          </w14:textFill>
        </w:rPr>
      </w:pPr>
      <w:bookmarkStart w:id="119" w:name="_Toc500469681"/>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bookmarkStart w:id="120" w:name="_Toc30172"/>
      <w:r>
        <w:rPr>
          <w:rFonts w:hint="eastAsia" w:ascii="黑体" w:hAnsi="宋体" w:eastAsia="黑体" w:cs="Times New Roman"/>
          <w:color w:val="000000" w:themeColor="text1"/>
          <w:sz w:val="36"/>
          <w:szCs w:val="36"/>
          <w:highlight w:val="none"/>
          <w14:textFill>
            <w14:solidFill>
              <w14:schemeClr w14:val="tx1"/>
            </w14:solidFill>
          </w14:textFill>
        </w:rPr>
        <w:t>供应商须知</w:t>
      </w:r>
      <w:bookmarkEnd w:id="119"/>
      <w:r>
        <w:rPr>
          <w:rFonts w:hint="eastAsia" w:ascii="黑体" w:hAnsi="宋体" w:eastAsia="黑体" w:cs="Times New Roman"/>
          <w:color w:val="000000" w:themeColor="text1"/>
          <w:sz w:val="36"/>
          <w:szCs w:val="36"/>
          <w:highlight w:val="none"/>
          <w:lang w:eastAsia="zh-CN"/>
          <w14:textFill>
            <w14:solidFill>
              <w14:schemeClr w14:val="tx1"/>
            </w14:solidFill>
          </w14:textFill>
        </w:rPr>
        <w:t>正文</w:t>
      </w:r>
      <w:bookmarkEnd w:id="120"/>
    </w:p>
    <w:p w14:paraId="1FA7DF46">
      <w:pPr>
        <w:pStyle w:val="2"/>
        <w:keepNext w:val="0"/>
        <w:keepLines w:val="0"/>
        <w:pageBreakBefore w:val="0"/>
        <w:widowControl w:val="0"/>
        <w:kinsoku/>
        <w:wordWrap/>
        <w:overflowPunct/>
        <w:topLinePunct w:val="0"/>
        <w:autoSpaceDE w:val="0"/>
        <w:autoSpaceDN w:val="0"/>
        <w:bidi w:val="0"/>
        <w:adjustRightInd/>
        <w:snapToGrid/>
        <w:spacing w:after="469" w:afterLines="150" w:line="740" w:lineRule="exact"/>
        <w:ind w:left="0"/>
        <w:jc w:val="center"/>
        <w:textAlignment w:val="auto"/>
        <w:outlineLvl w:val="0"/>
        <w:rPr>
          <w:rFonts w:ascii="Times New Roman" w:hAnsi="Times New Roman" w:eastAsia="宋体" w:cs="Times New Roman"/>
          <w:color w:val="000000" w:themeColor="text1"/>
          <w:sz w:val="32"/>
          <w:szCs w:val="32"/>
          <w:highlight w:val="none"/>
          <w14:textFill>
            <w14:solidFill>
              <w14:schemeClr w14:val="tx1"/>
            </w14:solidFill>
          </w14:textFill>
        </w:rPr>
      </w:pPr>
      <w:bookmarkStart w:id="121" w:name="_Toc500469682"/>
      <w:bookmarkStart w:id="122" w:name="_Toc25529"/>
      <w:bookmarkStart w:id="123" w:name="_Toc500469574"/>
      <w:r>
        <w:rPr>
          <w:rFonts w:ascii="Times New Roman" w:hAnsi="宋体" w:eastAsia="宋体" w:cs="Times New Roman"/>
          <w:color w:val="000000" w:themeColor="text1"/>
          <w:sz w:val="32"/>
          <w:szCs w:val="32"/>
          <w:highlight w:val="none"/>
          <w14:textFill>
            <w14:solidFill>
              <w14:schemeClr w14:val="tx1"/>
            </w14:solidFill>
          </w14:textFill>
        </w:rPr>
        <w:t>一、总则</w:t>
      </w:r>
      <w:bookmarkEnd w:id="121"/>
      <w:bookmarkEnd w:id="122"/>
      <w:bookmarkEnd w:id="123"/>
    </w:p>
    <w:p w14:paraId="35BEF6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1.适用范围</w:t>
      </w:r>
    </w:p>
    <w:p w14:paraId="05087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CEFE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w:t>
      </w:r>
      <w:r>
        <w:rPr>
          <w:rFonts w:hint="default" w:ascii="Times New Roman" w:hAnsi="Times New Roman" w:cs="Times New Roman"/>
          <w:color w:val="000000" w:themeColor="text1"/>
          <w:spacing w:val="-6"/>
          <w:sz w:val="21"/>
          <w:szCs w:val="21"/>
          <w:highlight w:val="none"/>
          <w14:textFill>
            <w14:solidFill>
              <w14:schemeClr w14:val="tx1"/>
            </w14:solidFill>
          </w14:textFill>
        </w:rPr>
        <w:t>本竞争性磋商文件适用于本项目的所有采购程序和环节（法律、法规另有规定的，从其规定）。</w:t>
      </w:r>
    </w:p>
    <w:p w14:paraId="286A7E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2.定义</w:t>
      </w:r>
    </w:p>
    <w:p w14:paraId="245CA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2.1“采购人”是指依法进行政府采购的国家机关、事业单位、团体组织。</w:t>
      </w:r>
    </w:p>
    <w:p w14:paraId="3D20EC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19A0F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2.3“供应商”是指向采购人提供货物、工程或者服务的法人、其他组织或者自然人。</w:t>
      </w:r>
    </w:p>
    <w:p w14:paraId="1F92A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2.4“</w:t>
      </w:r>
      <w:r>
        <w:rPr>
          <w:rFonts w:hint="eastAsia" w:ascii="Times New Roman" w:hAnsi="Times New Roman" w:cs="Times New Roman"/>
          <w:color w:val="000000" w:themeColor="text1"/>
          <w:sz w:val="21"/>
          <w:szCs w:val="21"/>
          <w:highlight w:val="none"/>
          <w:lang w:eastAsia="zh-CN"/>
          <w14:textFill>
            <w14:solidFill>
              <w14:schemeClr w14:val="tx1"/>
            </w14:solidFill>
          </w14:textFill>
        </w:rPr>
        <w:t>工程</w:t>
      </w:r>
      <w:r>
        <w:rPr>
          <w:rFonts w:hint="default" w:ascii="Times New Roman" w:hAnsi="Times New Roman" w:cs="Times New Roman"/>
          <w:color w:val="000000" w:themeColor="text1"/>
          <w:sz w:val="21"/>
          <w:szCs w:val="21"/>
          <w:highlight w:val="none"/>
          <w14:textFill>
            <w14:solidFill>
              <w14:schemeClr w14:val="tx1"/>
            </w14:solidFill>
          </w14:textFill>
        </w:rPr>
        <w:t>”是指除货物和</w:t>
      </w:r>
      <w:r>
        <w:rPr>
          <w:rFonts w:hint="eastAsia" w:ascii="Times New Roman" w:hAnsi="Times New Roman" w:cs="Times New Roman"/>
          <w:color w:val="000000" w:themeColor="text1"/>
          <w:sz w:val="21"/>
          <w:szCs w:val="21"/>
          <w:highlight w:val="none"/>
          <w:lang w:eastAsia="zh-CN"/>
          <w14:textFill>
            <w14:solidFill>
              <w14:schemeClr w14:val="tx1"/>
            </w14:solidFill>
          </w14:textFill>
        </w:rPr>
        <w:t>服务</w:t>
      </w:r>
      <w:r>
        <w:rPr>
          <w:rFonts w:hint="default" w:ascii="Times New Roman" w:hAnsi="Times New Roman" w:cs="Times New Roman"/>
          <w:color w:val="000000" w:themeColor="text1"/>
          <w:sz w:val="21"/>
          <w:szCs w:val="21"/>
          <w:highlight w:val="none"/>
          <w14:textFill>
            <w14:solidFill>
              <w14:schemeClr w14:val="tx1"/>
            </w14:solidFill>
          </w14:textFill>
        </w:rPr>
        <w:t>以外的其他政府采购对象。</w:t>
      </w:r>
    </w:p>
    <w:p w14:paraId="352CB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2.5“竞标”是指供应商按照本项目竞争性磋商公告规定的方式获取</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并希望获得标的的行为。</w:t>
      </w:r>
    </w:p>
    <w:p w14:paraId="16E7A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2.6“</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”是指：供应商根据本</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要求，编制包含资格证明、报价</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商务技术等所有内容的文件。</w:t>
      </w:r>
    </w:p>
    <w:p w14:paraId="3E7F8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2.7““实质性要求”是指</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中已经指明不满足则</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按无效响应处理的条款，或者不能负偏离的条款，或者采购需求中带“▲”的条款。</w:t>
      </w:r>
    </w:p>
    <w:p w14:paraId="303D23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2.8“正偏离”，是指</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“采购需求”中有关条款作出的响应优于条款要求并有利于采购人的情形。</w:t>
      </w:r>
    </w:p>
    <w:p w14:paraId="29970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2.9“负偏离”，是指</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“采购需求”中有关条款作出的响应不满足条款要求，导致采购人要求不能得到满足的情形。</w:t>
      </w:r>
    </w:p>
    <w:p w14:paraId="7C05A9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2.10“允许负偏离的条款”是指采购需求中的不属于“实质性要求”的条款。</w:t>
      </w:r>
    </w:p>
    <w:p w14:paraId="7E9E0B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2.11“书面形式”是指合同书、信件和数据电文（包括电报、电传、传真、电子数据交换和电子邮件）等可以有形地表现所载内容的形式。</w:t>
      </w:r>
    </w:p>
    <w:p w14:paraId="07CD6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2.12“首次报价”是指供应商提交的首次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中的报价。</w:t>
      </w:r>
    </w:p>
    <w:p w14:paraId="7B5C8F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2.13“</w:t>
      </w:r>
      <w:r>
        <w:rPr>
          <w:rFonts w:hint="eastAsia" w:ascii="Times New Roman" w:hAnsi="Times New Roman" w:cs="Times New Roman"/>
          <w:color w:val="000000" w:themeColor="text1"/>
          <w:sz w:val="21"/>
          <w:szCs w:val="21"/>
          <w:highlight w:val="none"/>
          <w:lang w:eastAsia="zh-CN"/>
          <w14:textFill>
            <w14:solidFill>
              <w14:schemeClr w14:val="tx1"/>
            </w14:solidFill>
          </w14:textFill>
        </w:rPr>
        <w:t>最终</w:t>
      </w:r>
      <w:r>
        <w:rPr>
          <w:rFonts w:hint="default" w:ascii="Times New Roman" w:hAnsi="Times New Roman" w:eastAsia="宋体" w:cs="Times New Roman"/>
          <w:color w:val="000000" w:themeColor="text1"/>
          <w:sz w:val="21"/>
          <w:szCs w:val="21"/>
          <w:highlight w:val="none"/>
          <w14:textFill>
            <w14:solidFill>
              <w14:schemeClr w14:val="tx1"/>
            </w14:solidFill>
          </w14:textFill>
        </w:rPr>
        <w:t>报价”是指供应商提交的最后报价并经修正（如有）</w:t>
      </w:r>
      <w:r>
        <w:rPr>
          <w:rFonts w:hint="eastAsia" w:ascii="Times New Roman" w:hAnsi="Times New Roman" w:cs="Times New Roman"/>
          <w:color w:val="000000" w:themeColor="text1"/>
          <w:sz w:val="21"/>
          <w:szCs w:val="21"/>
          <w:highlight w:val="none"/>
          <w:lang w:eastAsia="zh-CN"/>
          <w14:textFill>
            <w14:solidFill>
              <w14:schemeClr w14:val="tx1"/>
            </w14:solidFill>
          </w14:textFill>
        </w:rPr>
        <w:t>后的价格</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63438B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lang w:eastAsia="zh-CN"/>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3.供应商的资格</w:t>
      </w:r>
      <w:r>
        <w:rPr>
          <w:rFonts w:hint="default" w:ascii="Times New Roman" w:hAnsi="Times New Roman" w:eastAsia="黑体" w:cs="Times New Roman"/>
          <w:b/>
          <w:bCs/>
          <w:color w:val="000000" w:themeColor="text1"/>
          <w:sz w:val="24"/>
          <w:highlight w:val="none"/>
          <w:lang w:eastAsia="zh-CN"/>
          <w14:textFill>
            <w14:solidFill>
              <w14:schemeClr w14:val="tx1"/>
            </w14:solidFill>
          </w14:textFill>
        </w:rPr>
        <w:t>要求</w:t>
      </w:r>
    </w:p>
    <w:p w14:paraId="208825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供应商的资格</w:t>
      </w:r>
      <w:r>
        <w:rPr>
          <w:rFonts w:hint="default" w:ascii="Times New Roman" w:hAnsi="Times New Roman" w:cs="Times New Roman"/>
          <w:color w:val="000000" w:themeColor="text1"/>
          <w:sz w:val="21"/>
          <w:szCs w:val="21"/>
          <w:highlight w:val="none"/>
          <w:lang w:eastAsia="zh-CN"/>
          <w14:textFill>
            <w14:solidFill>
              <w14:schemeClr w14:val="tx1"/>
            </w14:solidFill>
          </w14:textFill>
        </w:rPr>
        <w:t>要求</w:t>
      </w:r>
      <w:r>
        <w:rPr>
          <w:rFonts w:hint="default" w:ascii="Times New Roman" w:hAnsi="Times New Roman" w:cs="Times New Roman"/>
          <w:color w:val="000000" w:themeColor="text1"/>
          <w:sz w:val="21"/>
          <w:szCs w:val="21"/>
          <w:highlight w:val="none"/>
          <w14:textFill>
            <w14:solidFill>
              <w14:schemeClr w14:val="tx1"/>
            </w14:solidFill>
          </w14:textFill>
        </w:rPr>
        <w:t>详见“供应商须知前附表”。</w:t>
      </w:r>
    </w:p>
    <w:p w14:paraId="3C308A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4.竞标费用</w:t>
      </w:r>
    </w:p>
    <w:p w14:paraId="277C8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供应商应承担参与本次采购活动有关的所有费用，包括但不限于获取</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、勘查现场、编制和提交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、参加磋商与应答、签订合同等，不论竞标结果如何，均应自行承担。</w:t>
      </w:r>
    </w:p>
    <w:p w14:paraId="769C33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5.联合体竞标</w:t>
      </w:r>
    </w:p>
    <w:p w14:paraId="5C9BC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5.1本项目是否接受联合体竞标，详见“供应商须知前附表”。</w:t>
      </w:r>
    </w:p>
    <w:p w14:paraId="6DCAF7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 xml:space="preserve">6.转包与分包             </w:t>
      </w:r>
    </w:p>
    <w:p w14:paraId="27593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6.1本项目不允许转包</w:t>
      </w:r>
      <w:r>
        <w:rPr>
          <w:rFonts w:hint="default" w:ascii="Times New Roman" w:hAnsi="Times New Roman" w:cs="Times New Roman"/>
          <w:color w:val="000000" w:themeColor="text1"/>
          <w:sz w:val="21"/>
          <w:szCs w:val="21"/>
          <w:highlight w:val="none"/>
          <w:lang w:eastAsia="zh-CN"/>
          <w14:textFill>
            <w14:solidFill>
              <w14:schemeClr w14:val="tx1"/>
            </w14:solidFill>
          </w14:textFill>
        </w:rPr>
        <w:t>和分包</w:t>
      </w:r>
      <w:r>
        <w:rPr>
          <w:rFonts w:hint="default" w:ascii="Times New Roman" w:hAnsi="Times New Roman" w:cs="Times New Roman"/>
          <w:color w:val="000000" w:themeColor="text1"/>
          <w:sz w:val="21"/>
          <w:szCs w:val="21"/>
          <w:highlight w:val="none"/>
          <w14:textFill>
            <w14:solidFill>
              <w14:schemeClr w14:val="tx1"/>
            </w14:solidFill>
          </w14:textFill>
        </w:rPr>
        <w:t>。</w:t>
      </w:r>
    </w:p>
    <w:p w14:paraId="6B147E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黑体" w:cs="Times New Roman"/>
          <w:b/>
          <w:bCs/>
          <w:color w:val="000000" w:themeColor="text1"/>
          <w:sz w:val="24"/>
          <w:szCs w:val="24"/>
          <w:highlight w:val="none"/>
          <w14:textFill>
            <w14:solidFill>
              <w14:schemeClr w14:val="tx1"/>
            </w14:solidFill>
          </w14:textFill>
        </w:rPr>
      </w:pPr>
      <w:bookmarkStart w:id="124" w:name="_Toc254970673"/>
      <w:bookmarkStart w:id="125" w:name="_Toc254970532"/>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7</w:t>
      </w:r>
      <w:r>
        <w:rPr>
          <w:rFonts w:hint="eastAsia" w:ascii="Times New Roman" w:hAnsi="Times New Roman" w:eastAsia="黑体" w:cs="Times New Roman"/>
          <w:b/>
          <w:bCs/>
          <w:color w:val="000000" w:themeColor="text1"/>
          <w:sz w:val="24"/>
          <w:szCs w:val="24"/>
          <w:highlight w:val="none"/>
          <w:lang w:val="en-US"/>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14:textFill>
            <w14:solidFill>
              <w14:schemeClr w14:val="tx1"/>
            </w14:solidFill>
          </w14:textFill>
        </w:rPr>
        <w:t>踏勘</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现场</w:t>
      </w:r>
    </w:p>
    <w:p w14:paraId="16271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cs="Times New Roman"/>
          <w:color w:val="000000" w:themeColor="text1"/>
          <w:sz w:val="21"/>
          <w:szCs w:val="21"/>
          <w:highlight w:val="none"/>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7</w:t>
      </w:r>
      <w:r>
        <w:rPr>
          <w:rFonts w:ascii="Times New Roman" w:cs="Times New Roman"/>
          <w:color w:val="000000" w:themeColor="text1"/>
          <w:sz w:val="21"/>
          <w:szCs w:val="21"/>
          <w:highlight w:val="none"/>
          <w14:textFill>
            <w14:solidFill>
              <w14:schemeClr w14:val="tx1"/>
            </w14:solidFill>
          </w14:textFill>
        </w:rPr>
        <w:t xml:space="preserve">.1 </w:t>
      </w:r>
      <w:r>
        <w:rPr>
          <w:rFonts w:hint="eastAsia" w:ascii="Times New Roman" w:cs="Times New Roman"/>
          <w:color w:val="000000" w:themeColor="text1"/>
          <w:sz w:val="21"/>
          <w:szCs w:val="21"/>
          <w:highlight w:val="none"/>
          <w14:textFill>
            <w14:solidFill>
              <w14:schemeClr w14:val="tx1"/>
            </w14:solidFill>
          </w14:textFill>
        </w:rPr>
        <w:t>供应商</w:t>
      </w:r>
      <w:r>
        <w:rPr>
          <w:rFonts w:ascii="Times New Roman" w:cs="Times New Roman"/>
          <w:color w:val="000000" w:themeColor="text1"/>
          <w:sz w:val="21"/>
          <w:szCs w:val="21"/>
          <w:highlight w:val="none"/>
          <w14:textFill>
            <w14:solidFill>
              <w14:schemeClr w14:val="tx1"/>
            </w14:solidFill>
          </w14:textFill>
        </w:rPr>
        <w:t>根据需要自行踏勘项目现场。</w:t>
      </w:r>
    </w:p>
    <w:p w14:paraId="1FF94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cs="Times New Roman"/>
          <w:color w:val="000000" w:themeColor="text1"/>
          <w:sz w:val="21"/>
          <w:szCs w:val="21"/>
          <w:highlight w:val="none"/>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7</w:t>
      </w:r>
      <w:r>
        <w:rPr>
          <w:rFonts w:ascii="Times New Roman" w:cs="Times New Roman"/>
          <w:color w:val="000000" w:themeColor="text1"/>
          <w:sz w:val="21"/>
          <w:szCs w:val="21"/>
          <w:highlight w:val="none"/>
          <w14:textFill>
            <w14:solidFill>
              <w14:schemeClr w14:val="tx1"/>
            </w14:solidFill>
          </w14:textFill>
        </w:rPr>
        <w:t xml:space="preserve">.2 </w:t>
      </w:r>
      <w:r>
        <w:rPr>
          <w:rFonts w:hint="eastAsia" w:ascii="Times New Roman" w:cs="Times New Roman"/>
          <w:color w:val="000000" w:themeColor="text1"/>
          <w:sz w:val="21"/>
          <w:szCs w:val="21"/>
          <w:highlight w:val="none"/>
          <w14:textFill>
            <w14:solidFill>
              <w14:schemeClr w14:val="tx1"/>
            </w14:solidFill>
          </w14:textFill>
        </w:rPr>
        <w:t>供应商</w:t>
      </w:r>
      <w:r>
        <w:rPr>
          <w:rFonts w:ascii="Times New Roman" w:cs="Times New Roman"/>
          <w:color w:val="000000" w:themeColor="text1"/>
          <w:sz w:val="21"/>
          <w:szCs w:val="21"/>
          <w:highlight w:val="none"/>
          <w14:textFill>
            <w14:solidFill>
              <w14:schemeClr w14:val="tx1"/>
            </w14:solidFill>
          </w14:textFill>
        </w:rPr>
        <w:t>踏勘现场发生的费用自理。</w:t>
      </w:r>
    </w:p>
    <w:p w14:paraId="5F7AC00C">
      <w:pPr>
        <w:pStyle w:val="19"/>
        <w:keepNext w:val="0"/>
        <w:keepLines w:val="0"/>
        <w:pageBreakBefore w:val="0"/>
        <w:widowControl w:val="0"/>
        <w:kinsoku/>
        <w:wordWrap/>
        <w:overflowPunct/>
        <w:topLinePunct w:val="0"/>
        <w:bidi w:val="0"/>
        <w:adjustRightInd/>
        <w:snapToGrid/>
        <w:spacing w:line="360" w:lineRule="auto"/>
        <w:ind w:right="193" w:firstLine="420" w:firstLineChars="200"/>
        <w:textAlignment w:val="auto"/>
        <w:rPr>
          <w:rFonts w:hint="default" w:ascii="Times New Roman" w:hAnsi="Times New Roman" w:eastAsia="黑体" w:cs="Times New Roman"/>
          <w:b/>
          <w:bCs/>
          <w:color w:val="000000" w:themeColor="text1"/>
          <w:sz w:val="21"/>
          <w:szCs w:val="21"/>
          <w:highlight w:val="none"/>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7</w:t>
      </w:r>
      <w:r>
        <w:rPr>
          <w:rFonts w:ascii="Times New Roman" w:cs="Times New Roman"/>
          <w:color w:val="000000" w:themeColor="text1"/>
          <w:sz w:val="21"/>
          <w:szCs w:val="21"/>
          <w:highlight w:val="none"/>
          <w14:textFill>
            <w14:solidFill>
              <w14:schemeClr w14:val="tx1"/>
            </w14:solidFill>
          </w14:textFill>
        </w:rPr>
        <w:t xml:space="preserve">.3 </w:t>
      </w:r>
      <w:r>
        <w:rPr>
          <w:rFonts w:hint="eastAsia" w:ascii="Times New Roman" w:cs="Times New Roman"/>
          <w:color w:val="000000" w:themeColor="text1"/>
          <w:sz w:val="21"/>
          <w:szCs w:val="21"/>
          <w:highlight w:val="none"/>
          <w14:textFill>
            <w14:solidFill>
              <w14:schemeClr w14:val="tx1"/>
            </w14:solidFill>
          </w14:textFill>
        </w:rPr>
        <w:t>供应商</w:t>
      </w:r>
      <w:r>
        <w:rPr>
          <w:rFonts w:ascii="Times New Roman" w:cs="Times New Roman"/>
          <w:color w:val="000000" w:themeColor="text1"/>
          <w:sz w:val="21"/>
          <w:szCs w:val="21"/>
          <w:highlight w:val="none"/>
          <w14:textFill>
            <w14:solidFill>
              <w14:schemeClr w14:val="tx1"/>
            </w14:solidFill>
          </w14:textFill>
        </w:rPr>
        <w:t>自行负责在踏勘现场中所发生的人员伤亡和财产损失。</w:t>
      </w:r>
    </w:p>
    <w:p w14:paraId="39CEEEA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.特别说明</w:t>
      </w:r>
      <w:bookmarkEnd w:id="124"/>
      <w:bookmarkEnd w:id="125"/>
    </w:p>
    <w:p w14:paraId="0FA668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bookmarkStart w:id="126" w:name="_8.1提供相同品牌产品且通过资格审查、符合性审查的不同投标人参加同一合"/>
      <w:bookmarkEnd w:id="126"/>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.1</w:t>
      </w:r>
      <w:bookmarkStart w:id="127" w:name="_Hlk65832145"/>
      <w:r>
        <w:rPr>
          <w:rFonts w:hint="default" w:ascii="Times New Roman" w:hAnsi="Times New Roman" w:cs="Times New Roman"/>
          <w:color w:val="000000" w:themeColor="text1"/>
          <w:sz w:val="21"/>
          <w:szCs w:val="21"/>
          <w:highlight w:val="none"/>
          <w14:textFill>
            <w14:solidFill>
              <w14:schemeClr w14:val="tx1"/>
            </w14:solidFill>
          </w14:textFill>
        </w:rPr>
        <w:t>如果本</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要求提供供应商的资格、信誉、荣誉、业绩与企业认证等材料的，资格、信誉、荣誉、业绩与企业认证等必须为供应商所拥有或自身获得。</w:t>
      </w:r>
    </w:p>
    <w:bookmarkEnd w:id="127"/>
    <w:p w14:paraId="4997B2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.2供应商应仔细阅读</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的所有内容，按照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的要求提交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，并对所提供的全部资料的真实性承担法律责任。</w:t>
      </w:r>
    </w:p>
    <w:p w14:paraId="7D50A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7F6A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.4在政府采购活动中，采购人员及相关人员与供应商有下列利害关系之一的，应当回避：</w:t>
      </w:r>
    </w:p>
    <w:p w14:paraId="754ECB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（1）参加采购活动前3年内与供应商存在劳动关系；</w:t>
      </w:r>
    </w:p>
    <w:p w14:paraId="3F7AAB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（2）参加采购活动前3年内担任供应商的董事、监事；</w:t>
      </w:r>
    </w:p>
    <w:p w14:paraId="61C6E0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（3）参加采购活动前3年内是供应商的控股股东或者实际控制人；</w:t>
      </w:r>
    </w:p>
    <w:p w14:paraId="670D0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（4）与供应商的法定代表人或者负责人有夫妻、直系血亲、三代以内旁系血亲或者近姻亲关系；</w:t>
      </w:r>
    </w:p>
    <w:p w14:paraId="58825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（5）与供应商有其他可能影响政府采购活动公平、公正进行的关系。</w:t>
      </w:r>
    </w:p>
    <w:p w14:paraId="2835BD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5BA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.5有下列情形之一的视为供应商相互串通竞标，</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将被视为无效：</w:t>
      </w:r>
    </w:p>
    <w:p w14:paraId="33A37E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 xml:space="preserve">由同一单位或者个人编制； </w:t>
      </w:r>
    </w:p>
    <w:p w14:paraId="40EDE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（2）不同供应商委托同一单位或者个人办理竞标事宜；</w:t>
      </w:r>
    </w:p>
    <w:p w14:paraId="3B5270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（3）不同的供应商的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载明的项目管理员为同一个人；</w:t>
      </w:r>
    </w:p>
    <w:p w14:paraId="2605D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异常一致或者报价呈规律性差异；</w:t>
      </w:r>
    </w:p>
    <w:p w14:paraId="09F96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相互混装；</w:t>
      </w:r>
    </w:p>
    <w:p w14:paraId="64379804">
      <w:pPr>
        <w:keepNext w:val="0"/>
        <w:keepLines w:val="0"/>
        <w:pageBreakBefore w:val="0"/>
        <w:widowControl w:val="0"/>
        <w:tabs>
          <w:tab w:val="left" w:pos="6931"/>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（6）不同供应商的磋商保证金从同一单位或者个人账户转出。</w:t>
      </w:r>
      <w:r>
        <w:rPr>
          <w:rFonts w:hint="default" w:ascii="Times New Roman" w:hAnsi="Times New Roman" w:cs="Times New Roman"/>
          <w:color w:val="000000" w:themeColor="text1"/>
          <w:sz w:val="21"/>
          <w:szCs w:val="21"/>
          <w:highlight w:val="none"/>
          <w14:textFill>
            <w14:solidFill>
              <w14:schemeClr w14:val="tx1"/>
            </w14:solidFill>
          </w14:textFill>
        </w:rPr>
        <w:tab/>
      </w:r>
    </w:p>
    <w:p w14:paraId="425680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.6供应商有下列情形之一的，属于恶意串通行为，将报同级监督管理部门：</w:t>
      </w:r>
    </w:p>
    <w:p w14:paraId="41CC3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（1）供应商直接或者间接从采购人或者采购代理机构处获得其他供应商的相关信息并修改其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w:t>
      </w:r>
    </w:p>
    <w:p w14:paraId="680C5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（2）供应商按照采购人或者采购代理机构的授意撤换、修改</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w:t>
      </w:r>
    </w:p>
    <w:p w14:paraId="1E0767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（3）供应商之间协商报价、技术方案等</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或者</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的实质性内容；</w:t>
      </w:r>
    </w:p>
    <w:p w14:paraId="30F6F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（4）属于同一集团、协会、商会等组织成员的供应商按照该组织要求协同参加政府采购活动；</w:t>
      </w:r>
    </w:p>
    <w:p w14:paraId="21FE38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187F6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（6）供应商之间商定部分供应商放弃参加政府采购活动或者放弃成交；</w:t>
      </w:r>
    </w:p>
    <w:p w14:paraId="18CFF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4341494F">
      <w:pPr>
        <w:pStyle w:val="2"/>
        <w:keepNext w:val="0"/>
        <w:keepLines w:val="0"/>
        <w:pageBreakBefore w:val="0"/>
        <w:widowControl w:val="0"/>
        <w:kinsoku/>
        <w:wordWrap/>
        <w:overflowPunct/>
        <w:topLinePunct w:val="0"/>
        <w:autoSpaceDE w:val="0"/>
        <w:autoSpaceDN w:val="0"/>
        <w:bidi w:val="0"/>
        <w:adjustRightInd/>
        <w:snapToGrid/>
        <w:spacing w:before="360" w:beforeLines="150" w:after="360" w:afterLines="150" w:line="412" w:lineRule="exact"/>
        <w:ind w:left="0"/>
        <w:jc w:val="center"/>
        <w:textAlignment w:val="auto"/>
        <w:outlineLvl w:val="0"/>
        <w:rPr>
          <w:rFonts w:hint="eastAsia" w:ascii="Times New Roman" w:hAnsi="Times New Roman" w:eastAsia="宋体" w:cs="Times New Roman"/>
          <w:color w:val="000000" w:themeColor="text1"/>
          <w:sz w:val="32"/>
          <w:szCs w:val="32"/>
          <w:highlight w:val="none"/>
          <w:lang w:eastAsia="zh-CN"/>
          <w14:textFill>
            <w14:solidFill>
              <w14:schemeClr w14:val="tx1"/>
            </w14:solidFill>
          </w14:textFill>
        </w:rPr>
      </w:pPr>
      <w:bookmarkStart w:id="128" w:name="_Toc500469575"/>
      <w:bookmarkStart w:id="129" w:name="_Toc500469683"/>
      <w:bookmarkStart w:id="130" w:name="_Toc23415"/>
      <w:r>
        <w:rPr>
          <w:rFonts w:ascii="Times New Roman" w:hAnsi="宋体" w:eastAsia="宋体" w:cs="Times New Roman"/>
          <w:color w:val="000000" w:themeColor="text1"/>
          <w:sz w:val="32"/>
          <w:szCs w:val="32"/>
          <w:highlight w:val="none"/>
          <w14:textFill>
            <w14:solidFill>
              <w14:schemeClr w14:val="tx1"/>
            </w14:solidFill>
          </w14:textFill>
        </w:rPr>
        <w:t>二、</w:t>
      </w:r>
      <w:bookmarkEnd w:id="128"/>
      <w:bookmarkEnd w:id="129"/>
      <w:r>
        <w:rPr>
          <w:rFonts w:hint="eastAsia" w:ascii="Times New Roman" w:hAnsi="宋体" w:eastAsia="宋体" w:cs="Times New Roman"/>
          <w:color w:val="000000" w:themeColor="text1"/>
          <w:sz w:val="32"/>
          <w:szCs w:val="32"/>
          <w:highlight w:val="none"/>
          <w:lang w:eastAsia="zh-CN"/>
          <w14:textFill>
            <w14:solidFill>
              <w14:schemeClr w14:val="tx1"/>
            </w14:solidFill>
          </w14:textFill>
        </w:rPr>
        <w:t>竞争性磋商文件</w:t>
      </w:r>
      <w:bookmarkEnd w:id="130"/>
    </w:p>
    <w:p w14:paraId="4882A1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9</w:t>
      </w:r>
      <w:r>
        <w:rPr>
          <w:rFonts w:hint="default" w:ascii="Times New Roman" w:hAnsi="Times New Roman" w:eastAsia="黑体" w:cs="Times New Roman"/>
          <w:b/>
          <w:bCs/>
          <w:color w:val="000000" w:themeColor="text1"/>
          <w:sz w:val="24"/>
          <w:highlight w:val="none"/>
          <w14:textFill>
            <w14:solidFill>
              <w14:schemeClr w14:val="tx1"/>
            </w14:solidFill>
          </w14:textFill>
        </w:rPr>
        <w:t>.</w:t>
      </w:r>
      <w:r>
        <w:rPr>
          <w:rFonts w:hint="eastAsia" w:ascii="Times New Roman" w:hAnsi="Times New Roman" w:eastAsia="黑体" w:cs="Times New Roman"/>
          <w:b/>
          <w:bCs/>
          <w:color w:val="000000" w:themeColor="text1"/>
          <w:sz w:val="24"/>
          <w:highlight w:val="none"/>
          <w:lang w:eastAsia="zh-CN"/>
          <w14:textFill>
            <w14:solidFill>
              <w14:schemeClr w14:val="tx1"/>
            </w14:solidFill>
          </w14:textFill>
        </w:rPr>
        <w:t>竞争性磋商文件</w:t>
      </w:r>
      <w:r>
        <w:rPr>
          <w:rFonts w:hint="default" w:ascii="Times New Roman" w:hAnsi="Times New Roman" w:eastAsia="黑体" w:cs="Times New Roman"/>
          <w:b/>
          <w:bCs/>
          <w:color w:val="000000" w:themeColor="text1"/>
          <w:sz w:val="24"/>
          <w:highlight w:val="none"/>
          <w14:textFill>
            <w14:solidFill>
              <w14:schemeClr w14:val="tx1"/>
            </w14:solidFill>
          </w14:textFill>
        </w:rPr>
        <w:t>的构成</w:t>
      </w:r>
    </w:p>
    <w:p w14:paraId="2B1687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（1）竞争性磋商公告；</w:t>
      </w:r>
    </w:p>
    <w:p w14:paraId="62B78C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（2）供应商须知； </w:t>
      </w:r>
    </w:p>
    <w:p w14:paraId="3E422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采购需求</w:t>
      </w:r>
      <w:r>
        <w:rPr>
          <w:rFonts w:hint="default" w:ascii="Times New Roman" w:hAnsi="Times New Roman" w:cs="Times New Roman"/>
          <w:color w:val="000000" w:themeColor="text1"/>
          <w:sz w:val="21"/>
          <w:szCs w:val="21"/>
          <w:highlight w:val="none"/>
          <w14:textFill>
            <w14:solidFill>
              <w14:schemeClr w14:val="tx1"/>
            </w14:solidFill>
          </w14:textFill>
        </w:rPr>
        <w:t>；</w:t>
      </w:r>
    </w:p>
    <w:p w14:paraId="3929D7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评审程序、评审方法和评审标准</w:t>
      </w:r>
      <w:r>
        <w:rPr>
          <w:rFonts w:hint="default" w:ascii="Times New Roman" w:hAnsi="Times New Roman" w:cs="Times New Roman"/>
          <w:color w:val="000000" w:themeColor="text1"/>
          <w:sz w:val="21"/>
          <w:szCs w:val="21"/>
          <w:highlight w:val="none"/>
          <w14:textFill>
            <w14:solidFill>
              <w14:schemeClr w14:val="tx1"/>
            </w14:solidFill>
          </w14:textFill>
        </w:rPr>
        <w:t>；</w:t>
      </w:r>
    </w:p>
    <w:p w14:paraId="330E61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格式</w:t>
      </w:r>
      <w:r>
        <w:rPr>
          <w:rFonts w:hint="default" w:ascii="Times New Roman" w:hAnsi="Times New Roman" w:cs="Times New Roman"/>
          <w:color w:val="000000" w:themeColor="text1"/>
          <w:sz w:val="21"/>
          <w:szCs w:val="21"/>
          <w:highlight w:val="none"/>
          <w14:textFill>
            <w14:solidFill>
              <w14:schemeClr w14:val="tx1"/>
            </w14:solidFill>
          </w14:textFill>
        </w:rPr>
        <w:t>；</w:t>
      </w:r>
    </w:p>
    <w:p w14:paraId="376673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工程量清单及图纸</w:t>
      </w:r>
      <w:r>
        <w:rPr>
          <w:rFonts w:hint="eastAsia"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（另册）</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74A534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val="0"/>
          <w:bCs w:val="0"/>
          <w:color w:val="000000" w:themeColor="text1"/>
          <w:kern w:val="0"/>
          <w:sz w:val="21"/>
          <w:szCs w:val="21"/>
          <w:highlight w:val="none"/>
          <w:lang w:val="en-US" w:eastAsia="zh-CN" w:bidi="zh-CN"/>
          <w14:textFill>
            <w14:solidFill>
              <w14:schemeClr w14:val="tx1"/>
            </w14:solidFill>
          </w14:textFill>
        </w:rPr>
        <w:t>合同条款及格式</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1E5B08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10</w:t>
      </w:r>
      <w:r>
        <w:rPr>
          <w:rFonts w:hint="default" w:ascii="Times New Roman" w:hAnsi="Times New Roman" w:eastAsia="黑体" w:cs="Times New Roman"/>
          <w:b/>
          <w:bCs/>
          <w:color w:val="000000" w:themeColor="text1"/>
          <w:sz w:val="24"/>
          <w:highlight w:val="none"/>
          <w14:textFill>
            <w14:solidFill>
              <w14:schemeClr w14:val="tx1"/>
            </w14:solidFill>
          </w14:textFill>
        </w:rPr>
        <w:t>.供应商的询问</w:t>
      </w:r>
    </w:p>
    <w:p w14:paraId="3A2FE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供应商应认真阅读</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的采购需求，如供应商对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有疑问的，如要求采购人作出澄清或者修改的，供应商</w:t>
      </w:r>
      <w:r>
        <w:rPr>
          <w:rFonts w:hint="eastAsia" w:ascii="Times New Roman" w:hAnsi="Times New Roman" w:cs="Times New Roman"/>
          <w:color w:val="000000" w:themeColor="text1"/>
          <w:sz w:val="21"/>
          <w:szCs w:val="21"/>
          <w:highlight w:val="none"/>
          <w:lang w:eastAsia="zh-CN"/>
          <w14:textFill>
            <w14:solidFill>
              <w14:schemeClr w14:val="tx1"/>
            </w14:solidFill>
          </w14:textFill>
        </w:rPr>
        <w:t>须</w:t>
      </w:r>
      <w:r>
        <w:rPr>
          <w:rFonts w:hint="default" w:ascii="Times New Roman" w:hAnsi="Times New Roman" w:cs="Times New Roman"/>
          <w:color w:val="000000" w:themeColor="text1"/>
          <w:sz w:val="21"/>
          <w:szCs w:val="21"/>
          <w:highlight w:val="none"/>
          <w14:textFill>
            <w14:solidFill>
              <w14:schemeClr w14:val="tx1"/>
            </w14:solidFill>
          </w14:textFill>
        </w:rPr>
        <w:t>在提交首次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截止之日前，以书面形式向采购人、采购代理机构提出。</w:t>
      </w:r>
    </w:p>
    <w:p w14:paraId="5C7124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1</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eastAsia="黑体" w:cs="Times New Roman"/>
          <w:b/>
          <w:bCs/>
          <w:color w:val="000000" w:themeColor="text1"/>
          <w:sz w:val="24"/>
          <w:highlight w:val="none"/>
          <w14:textFill>
            <w14:solidFill>
              <w14:schemeClr w14:val="tx1"/>
            </w14:solidFill>
          </w14:textFill>
        </w:rPr>
        <w:t>.</w:t>
      </w:r>
      <w:r>
        <w:rPr>
          <w:rFonts w:hint="eastAsia" w:ascii="Times New Roman" w:hAnsi="Times New Roman" w:eastAsia="黑体" w:cs="Times New Roman"/>
          <w:b/>
          <w:bCs/>
          <w:color w:val="000000" w:themeColor="text1"/>
          <w:sz w:val="24"/>
          <w:highlight w:val="none"/>
          <w:lang w:eastAsia="zh-CN"/>
          <w14:textFill>
            <w14:solidFill>
              <w14:schemeClr w14:val="tx1"/>
            </w14:solidFill>
          </w14:textFill>
        </w:rPr>
        <w:t>竞争性磋商文件</w:t>
      </w:r>
      <w:r>
        <w:rPr>
          <w:rFonts w:hint="default" w:ascii="Times New Roman" w:hAnsi="Times New Roman" w:eastAsia="黑体" w:cs="Times New Roman"/>
          <w:b/>
          <w:bCs/>
          <w:color w:val="000000" w:themeColor="text1"/>
          <w:sz w:val="24"/>
          <w:highlight w:val="none"/>
          <w14:textFill>
            <w14:solidFill>
              <w14:schemeClr w14:val="tx1"/>
            </w14:solidFill>
          </w14:textFill>
        </w:rPr>
        <w:t>的澄清和修改</w:t>
      </w:r>
    </w:p>
    <w:p w14:paraId="62311BC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提交首次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截止之日前，采购人、采购代理机构或者磋商小组可以对已发出的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进行必要的澄清或者修改，澄清或者修改的内容作为</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的组成部分。澄清或者修改的内容可能影响</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编制的，采购人、采购代理机构应当在提交首次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截止时间至少5日前，以书面形式通知所有获取</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的供应商；不足5日的，采购人、采购代理机构应当顺延提交首次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截止时间。</w:t>
      </w:r>
    </w:p>
    <w:p w14:paraId="0A175244">
      <w:pPr>
        <w:keepNext w:val="0"/>
        <w:keepLines w:val="0"/>
        <w:pageBreakBefore w:val="0"/>
        <w:widowControl w:val="0"/>
        <w:kinsoku/>
        <w:wordWrap/>
        <w:overflowPunct/>
        <w:topLinePunct w:val="0"/>
        <w:autoSpaceDE/>
        <w:autoSpaceDN/>
        <w:bidi w:val="0"/>
        <w:adjustRightInd/>
        <w:snapToGrid/>
        <w:spacing w:before="478" w:beforeLines="150" w:after="478" w:afterLines="150" w:line="412" w:lineRule="exact"/>
        <w:jc w:val="center"/>
        <w:textAlignment w:val="auto"/>
        <w:outlineLvl w:val="0"/>
        <w:rPr>
          <w:rFonts w:hint="default" w:ascii="Times New Roman" w:hAnsi="Times New Roman" w:eastAsia="宋体" w:cs="Times New Roman"/>
          <w:color w:val="000000" w:themeColor="text1"/>
          <w:sz w:val="32"/>
          <w:szCs w:val="32"/>
          <w:highlight w:val="none"/>
          <w14:textFill>
            <w14:solidFill>
              <w14:schemeClr w14:val="tx1"/>
            </w14:solidFill>
          </w14:textFill>
        </w:rPr>
      </w:pPr>
      <w:bookmarkStart w:id="131" w:name="_Toc9750"/>
      <w:bookmarkStart w:id="132" w:name="_Toc15467"/>
      <w:bookmarkStart w:id="133" w:name="_Toc500469576"/>
      <w:bookmarkStart w:id="134" w:name="_Toc500469684"/>
      <w:r>
        <w:rPr>
          <w:rFonts w:hint="default" w:ascii="Times New Roman" w:hAnsi="Times New Roman" w:eastAsia="宋体" w:cs="Times New Roman"/>
          <w:b/>
          <w:bCs/>
          <w:color w:val="000000" w:themeColor="text1"/>
          <w:sz w:val="32"/>
          <w:szCs w:val="32"/>
          <w:highlight w:val="none"/>
          <w14:textFill>
            <w14:solidFill>
              <w14:schemeClr w14:val="tx1"/>
            </w14:solidFill>
          </w14:textFill>
        </w:rPr>
        <w:t>三、</w:t>
      </w:r>
      <w:r>
        <w:rPr>
          <w:rFonts w:hint="eastAsia" w:ascii="Times New Roman" w:hAnsi="Times New Roman" w:cs="Times New Roman"/>
          <w:b/>
          <w:bCs/>
          <w:color w:val="000000" w:themeColor="text1"/>
          <w:sz w:val="32"/>
          <w:szCs w:val="32"/>
          <w:highlight w:val="none"/>
          <w:lang w:eastAsia="zh-CN"/>
          <w14:textFill>
            <w14:solidFill>
              <w14:schemeClr w14:val="tx1"/>
            </w14:solidFill>
          </w14:textFill>
        </w:rPr>
        <w:t>响应文件</w:t>
      </w:r>
      <w:r>
        <w:rPr>
          <w:rFonts w:hint="default" w:ascii="Times New Roman" w:hAnsi="Times New Roman" w:eastAsia="宋体" w:cs="Times New Roman"/>
          <w:b/>
          <w:bCs/>
          <w:color w:val="000000" w:themeColor="text1"/>
          <w:sz w:val="32"/>
          <w:szCs w:val="32"/>
          <w:highlight w:val="none"/>
          <w14:textFill>
            <w14:solidFill>
              <w14:schemeClr w14:val="tx1"/>
            </w14:solidFill>
          </w14:textFill>
        </w:rPr>
        <w:t>的编制</w:t>
      </w:r>
      <w:bookmarkEnd w:id="131"/>
      <w:bookmarkEnd w:id="132"/>
    </w:p>
    <w:p w14:paraId="1D4388A2">
      <w:pPr>
        <w:pStyle w:val="6"/>
        <w:keepNext w:val="0"/>
        <w:keepLines w:val="0"/>
        <w:pageBreakBefore w:val="0"/>
        <w:widowControl w:val="0"/>
        <w:kinsoku/>
        <w:wordWrap/>
        <w:overflowPunct/>
        <w:topLinePunct w:val="0"/>
        <w:autoSpaceDE/>
        <w:autoSpaceDN/>
        <w:bidi w:val="0"/>
        <w:adjustRightInd/>
        <w:spacing w:before="0" w:after="0" w:line="360" w:lineRule="auto"/>
        <w:ind w:left="440" w:left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default" w:ascii="Times New Roman" w:hAnsi="Times New Roman" w:eastAsia="黑体" w:cs="Times New Roman"/>
          <w:b/>
          <w:bCs/>
          <w:color w:val="000000" w:themeColor="text1"/>
          <w:sz w:val="24"/>
          <w:szCs w:val="24"/>
          <w:highlight w:val="none"/>
          <w:lang w:eastAsia="zh-CN"/>
          <w14:textFill>
            <w14:solidFill>
              <w14:schemeClr w14:val="tx1"/>
            </w14:solidFill>
          </w14:textFill>
        </w:rPr>
        <w:t>磋商前准备</w:t>
      </w:r>
    </w:p>
    <w:p w14:paraId="44B8E162">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default" w:ascii="Times New Roman" w:hAnsi="Times New Roman" w:eastAsia="黑体"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val="0"/>
          <w:color w:val="000000" w:themeColor="text1"/>
          <w:sz w:val="21"/>
          <w:szCs w:val="21"/>
          <w:highlight w:val="none"/>
          <w:lang w:eastAsia="zh-CN"/>
          <w14:textFill>
            <w14:solidFill>
              <w14:schemeClr w14:val="tx1"/>
            </w14:solidFill>
          </w14:textFill>
        </w:rPr>
        <w:t>详</w:t>
      </w:r>
      <w:r>
        <w:rPr>
          <w:rFonts w:hint="default" w:ascii="Times New Roman" w:hAnsi="Times New Roman" w:cs="Times New Roman"/>
          <w:b w:val="0"/>
          <w:color w:val="000000" w:themeColor="text1"/>
          <w:sz w:val="21"/>
          <w:szCs w:val="21"/>
          <w:highlight w:val="none"/>
          <w14:textFill>
            <w14:solidFill>
              <w14:schemeClr w14:val="tx1"/>
            </w14:solidFill>
          </w14:textFill>
        </w:rPr>
        <w:t>见“</w:t>
      </w:r>
      <w:r>
        <w:rPr>
          <w:rFonts w:hint="default" w:ascii="Times New Roman" w:hAnsi="Times New Roman" w:cs="Times New Roman"/>
          <w:b w:val="0"/>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b w:val="0"/>
          <w:color w:val="000000" w:themeColor="text1"/>
          <w:sz w:val="21"/>
          <w:szCs w:val="21"/>
          <w:highlight w:val="none"/>
          <w14:textFill>
            <w14:solidFill>
              <w14:schemeClr w14:val="tx1"/>
            </w14:solidFill>
          </w14:textFill>
        </w:rPr>
        <w:t>须知前附表”</w:t>
      </w:r>
      <w:r>
        <w:rPr>
          <w:rFonts w:hint="default" w:ascii="Times New Roman" w:hAnsi="Times New Roman" w:cs="Times New Roman"/>
          <w:color w:val="000000" w:themeColor="text1"/>
          <w:sz w:val="21"/>
          <w:szCs w:val="21"/>
          <w:highlight w:val="none"/>
          <w14:textFill>
            <w14:solidFill>
              <w14:schemeClr w14:val="tx1"/>
            </w14:solidFill>
          </w14:textFill>
        </w:rPr>
        <w:t>。</w:t>
      </w:r>
    </w:p>
    <w:p w14:paraId="3A430F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的编制原则</w:t>
      </w:r>
    </w:p>
    <w:p w14:paraId="72541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供应商必须按照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的要求编制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，并对其提交的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的真实性、合法性承担法律责任。</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必须对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作出实质性响应。</w:t>
      </w:r>
    </w:p>
    <w:p w14:paraId="3101C5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的组成</w:t>
      </w:r>
    </w:p>
    <w:p w14:paraId="42E59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由资格证明文件、报价</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文件、</w:t>
      </w:r>
      <w:r>
        <w:rPr>
          <w:rFonts w:hint="default" w:ascii="Times New Roman" w:hAnsi="Times New Roman" w:cs="Times New Roman"/>
          <w:color w:val="000000" w:themeColor="text1"/>
          <w:sz w:val="21"/>
          <w:szCs w:val="21"/>
          <w:highlight w:val="none"/>
          <w14:textFill>
            <w14:solidFill>
              <w14:schemeClr w14:val="tx1"/>
            </w14:solidFill>
          </w14:textFill>
        </w:rPr>
        <w:t>商务技术文件</w:t>
      </w:r>
      <w:r>
        <w:rPr>
          <w:rFonts w:hint="eastAsia" w:ascii="Times New Roman" w:hAnsi="Times New Roman" w:cs="Times New Roman"/>
          <w:color w:val="000000" w:themeColor="text1"/>
          <w:sz w:val="21"/>
          <w:szCs w:val="21"/>
          <w:highlight w:val="none"/>
          <w:lang w:eastAsia="zh-CN"/>
          <w14:textFill>
            <w14:solidFill>
              <w14:schemeClr w14:val="tx1"/>
            </w14:solidFill>
          </w14:textFill>
        </w:rPr>
        <w:t>三</w:t>
      </w:r>
      <w:r>
        <w:rPr>
          <w:rFonts w:hint="default" w:ascii="Times New Roman" w:hAnsi="Times New Roman" w:cs="Times New Roman"/>
          <w:color w:val="000000" w:themeColor="text1"/>
          <w:sz w:val="21"/>
          <w:szCs w:val="21"/>
          <w:highlight w:val="none"/>
          <w14:textFill>
            <w14:solidFill>
              <w14:schemeClr w14:val="tx1"/>
            </w14:solidFill>
          </w14:textFill>
        </w:rPr>
        <w:t>部分组成。</w:t>
      </w:r>
    </w:p>
    <w:p w14:paraId="2624F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.1.1资格证明文件：详见须知前附表</w:t>
      </w:r>
    </w:p>
    <w:p w14:paraId="099E4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.1.2报价文件：详见须知前附表</w:t>
      </w:r>
    </w:p>
    <w:p w14:paraId="1A5BF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商务技术文件：详见须知前附表</w:t>
      </w:r>
    </w:p>
    <w:p w14:paraId="522DA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lang w:eastAsia="zh-CN"/>
          <w14:textFill>
            <w14:solidFill>
              <w14:schemeClr w14:val="tx1"/>
            </w14:solidFill>
          </w14:textFill>
        </w:rPr>
        <w:t>（备份响应文件）</w:t>
      </w:r>
      <w:r>
        <w:rPr>
          <w:rFonts w:hint="default" w:ascii="Times New Roman" w:hAnsi="Times New Roman" w:cs="Times New Roman"/>
          <w:color w:val="000000" w:themeColor="text1"/>
          <w:sz w:val="21"/>
          <w:szCs w:val="21"/>
          <w:highlight w:val="none"/>
          <w14:textFill>
            <w14:solidFill>
              <w14:schemeClr w14:val="tx1"/>
            </w14:solidFill>
          </w14:textFill>
        </w:rPr>
        <w:t>：详见</w:t>
      </w:r>
      <w:r>
        <w:rPr>
          <w:rFonts w:hint="default" w:ascii="Times New Roman" w:hAnsi="Times New Roman"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color w:val="000000" w:themeColor="text1"/>
          <w:sz w:val="21"/>
          <w:szCs w:val="21"/>
          <w:highlight w:val="none"/>
          <w14:textFill>
            <w14:solidFill>
              <w14:schemeClr w14:val="tx1"/>
            </w14:solidFill>
          </w14:textFill>
        </w:rPr>
        <w:t>须知前附表</w:t>
      </w:r>
    </w:p>
    <w:p w14:paraId="3887F53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.计量单位</w:t>
      </w:r>
    </w:p>
    <w:p w14:paraId="6B24E7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已有明确规定的，使用</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规定的计量单位；</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没有规定的，应采用中华人民共和国法定计量单位，货币种类为人民币，否则视同未响应。</w:t>
      </w:r>
    </w:p>
    <w:p w14:paraId="2572F7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.竞标的风险</w:t>
      </w:r>
    </w:p>
    <w:p w14:paraId="5F1FB6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000000" w:themeColor="text1"/>
          <w:sz w:val="21"/>
          <w:szCs w:val="21"/>
          <w:highlight w:val="none"/>
          <w14:textFill>
            <w14:solidFill>
              <w14:schemeClr w14:val="tx1"/>
            </w14:solidFill>
          </w14:textFill>
        </w:rPr>
        <w:t>供应商没有按照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要求提供全部资料，或者供应商没有对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在各方面作</w:t>
      </w:r>
      <w:r>
        <w:rPr>
          <w:rFonts w:hint="default" w:ascii="Times New Roman" w:hAnsi="Times New Roman" w:cs="Times New Roman"/>
          <w:color w:val="auto"/>
          <w:sz w:val="21"/>
          <w:szCs w:val="21"/>
          <w:highlight w:val="none"/>
        </w:rPr>
        <w:t>出实质性响应可能导致其响应无效，是供应商应当考虑的风险。</w:t>
      </w:r>
    </w:p>
    <w:p w14:paraId="5970A7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auto"/>
          <w:sz w:val="24"/>
          <w:szCs w:val="24"/>
          <w:highlight w:val="none"/>
        </w:rPr>
      </w:pPr>
      <w:r>
        <w:rPr>
          <w:rFonts w:hint="default" w:ascii="Times New Roman" w:hAnsi="Times New Roman" w:eastAsia="黑体" w:cs="Times New Roman"/>
          <w:b/>
          <w:bCs/>
          <w:color w:val="auto"/>
          <w:sz w:val="24"/>
          <w:szCs w:val="24"/>
          <w:highlight w:val="none"/>
        </w:rPr>
        <w:t>1</w:t>
      </w:r>
      <w:r>
        <w:rPr>
          <w:rFonts w:hint="eastAsia" w:ascii="Times New Roman" w:hAnsi="Times New Roman" w:eastAsia="黑体" w:cs="Times New Roman"/>
          <w:b/>
          <w:bCs/>
          <w:color w:val="auto"/>
          <w:sz w:val="24"/>
          <w:szCs w:val="24"/>
          <w:highlight w:val="none"/>
          <w:lang w:val="en-US" w:eastAsia="zh-CN"/>
        </w:rPr>
        <w:t>7</w:t>
      </w:r>
      <w:r>
        <w:rPr>
          <w:rFonts w:hint="default" w:ascii="Times New Roman" w:hAnsi="Times New Roman" w:eastAsia="黑体" w:cs="Times New Roman"/>
          <w:b/>
          <w:bCs/>
          <w:color w:val="auto"/>
          <w:sz w:val="24"/>
          <w:szCs w:val="24"/>
          <w:highlight w:val="none"/>
        </w:rPr>
        <w:t>.</w:t>
      </w:r>
      <w:r>
        <w:rPr>
          <w:rFonts w:hint="eastAsia" w:ascii="Times New Roman" w:hAnsi="Times New Roman" w:eastAsia="黑体" w:cs="Times New Roman"/>
          <w:b/>
          <w:bCs/>
          <w:color w:val="auto"/>
          <w:sz w:val="24"/>
          <w:szCs w:val="24"/>
          <w:highlight w:val="none"/>
          <w:lang w:eastAsia="zh-CN"/>
        </w:rPr>
        <w:t>响应报价</w:t>
      </w:r>
    </w:p>
    <w:p w14:paraId="77162A8E">
      <w:pPr>
        <w:keepNext w:val="0"/>
        <w:keepLines w:val="0"/>
        <w:pageBreakBefore w:val="0"/>
        <w:widowControl w:val="0"/>
        <w:tabs>
          <w:tab w:val="left" w:pos="249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响应报价</w:t>
      </w:r>
      <w:r>
        <w:rPr>
          <w:rFonts w:hint="default" w:ascii="Times New Roman" w:hAnsi="Times New Roman" w:cs="Times New Roman"/>
          <w:color w:val="auto"/>
          <w:sz w:val="21"/>
          <w:szCs w:val="21"/>
          <w:highlight w:val="none"/>
        </w:rPr>
        <w:t>应按</w:t>
      </w:r>
      <w:r>
        <w:rPr>
          <w:rFonts w:hint="eastAsia" w:ascii="Times New Roman" w:hAnsi="Times New Roman" w:cs="Times New Roman"/>
          <w:color w:val="auto"/>
          <w:sz w:val="21"/>
          <w:szCs w:val="21"/>
          <w:highlight w:val="none"/>
          <w:lang w:eastAsia="zh-CN"/>
        </w:rPr>
        <w:t>竞争性磋商文件</w:t>
      </w:r>
      <w:r>
        <w:rPr>
          <w:rFonts w:hint="default" w:ascii="Times New Roman" w:hAnsi="Times New Roman" w:cs="Times New Roman"/>
          <w:color w:val="auto"/>
          <w:sz w:val="21"/>
          <w:szCs w:val="21"/>
          <w:highlight w:val="none"/>
        </w:rPr>
        <w:t>中</w:t>
      </w:r>
      <w:r>
        <w:rPr>
          <w:rFonts w:hint="eastAsia" w:ascii="Times New Roman" w:hAnsi="Times New Roman" w:cs="Times New Roman"/>
          <w:color w:val="auto"/>
          <w:sz w:val="21"/>
          <w:szCs w:val="21"/>
          <w:highlight w:val="none"/>
          <w:lang w:eastAsia="zh-CN"/>
        </w:rPr>
        <w:t>“响应报价表”</w:t>
      </w:r>
      <w:r>
        <w:rPr>
          <w:rFonts w:hint="default" w:ascii="Times New Roman" w:hAnsi="Times New Roman" w:cs="Times New Roman"/>
          <w:color w:val="auto"/>
          <w:sz w:val="21"/>
          <w:szCs w:val="21"/>
          <w:highlight w:val="none"/>
        </w:rPr>
        <w:t>格式填写。</w:t>
      </w:r>
    </w:p>
    <w:p w14:paraId="1D42C2D1">
      <w:pPr>
        <w:keepNext w:val="0"/>
        <w:keepLines w:val="0"/>
        <w:pageBreakBefore w:val="0"/>
        <w:widowControl w:val="0"/>
        <w:tabs>
          <w:tab w:val="left" w:pos="1177"/>
        </w:tabs>
        <w:kinsoku/>
        <w:wordWrap/>
        <w:overflowPunct/>
        <w:topLinePunct w:val="0"/>
        <w:bidi w:val="0"/>
        <w:adjustRightInd/>
        <w:snapToGrid/>
        <w:spacing w:line="360" w:lineRule="auto"/>
        <w:ind w:firstLine="420" w:firstLineChars="200"/>
        <w:textAlignment w:val="auto"/>
        <w:rPr>
          <w:rFonts w:ascii="Times New Roman" w:hAnsi="Times New Roman" w:cs="Times New Roman"/>
          <w:b/>
          <w:color w:val="auto"/>
          <w:sz w:val="21"/>
          <w:highlight w:val="none"/>
        </w:rPr>
      </w:pPr>
      <w:r>
        <w:rPr>
          <w:rFonts w:hint="eastAsia" w:ascii="Times New Roman" w:hAnsi="Times New Roman" w:cs="Times New Roman"/>
          <w:bCs/>
          <w:color w:val="auto"/>
          <w:sz w:val="21"/>
          <w:highlight w:val="none"/>
          <w:lang w:val="en-US" w:eastAsia="zh-CN"/>
        </w:rPr>
        <w:t>17</w:t>
      </w:r>
      <w:r>
        <w:rPr>
          <w:rFonts w:ascii="Times New Roman" w:hAnsi="Times New Roman" w:cs="Times New Roman"/>
          <w:bCs/>
          <w:color w:val="auto"/>
          <w:sz w:val="21"/>
          <w:highlight w:val="none"/>
          <w:lang w:val="en-US"/>
        </w:rPr>
        <w:t>.</w:t>
      </w:r>
      <w:r>
        <w:rPr>
          <w:rFonts w:hint="eastAsia" w:ascii="Times New Roman" w:hAnsi="Times New Roman" w:cs="Times New Roman"/>
          <w:bCs/>
          <w:color w:val="auto"/>
          <w:sz w:val="21"/>
          <w:highlight w:val="none"/>
          <w:lang w:val="en-US" w:eastAsia="zh-CN"/>
        </w:rPr>
        <w:t>2</w:t>
      </w:r>
      <w:r>
        <w:rPr>
          <w:rFonts w:ascii="Times New Roman" w:hAnsi="Times New Roman" w:cs="Times New Roman"/>
          <w:b/>
          <w:color w:val="auto"/>
          <w:sz w:val="21"/>
          <w:highlight w:val="none"/>
          <w:lang w:val="en-US"/>
        </w:rPr>
        <w:t xml:space="preserve"> </w:t>
      </w:r>
      <w:r>
        <w:rPr>
          <w:rFonts w:ascii="Times New Roman" w:cs="Times New Roman"/>
          <w:b/>
          <w:color w:val="auto"/>
          <w:sz w:val="21"/>
          <w:highlight w:val="none"/>
        </w:rPr>
        <w:t>本项目</w:t>
      </w:r>
      <w:r>
        <w:rPr>
          <w:rFonts w:hint="eastAsia" w:ascii="Times New Roman" w:cs="Times New Roman"/>
          <w:b/>
          <w:color w:val="auto"/>
          <w:sz w:val="21"/>
          <w:highlight w:val="none"/>
          <w:lang w:eastAsia="zh-CN"/>
        </w:rPr>
        <w:t>响应报价采用固定综合单价的工程量清单形式报价。</w:t>
      </w:r>
    </w:p>
    <w:p w14:paraId="277A3E8C">
      <w:pPr>
        <w:keepNext w:val="0"/>
        <w:keepLines w:val="0"/>
        <w:pageBreakBefore w:val="0"/>
        <w:widowControl w:val="0"/>
        <w:tabs>
          <w:tab w:val="left" w:pos="1177"/>
        </w:tabs>
        <w:kinsoku/>
        <w:wordWrap/>
        <w:overflowPunct/>
        <w:topLinePunct w:val="0"/>
        <w:bidi w:val="0"/>
        <w:adjustRightInd/>
        <w:snapToGrid/>
        <w:spacing w:line="360" w:lineRule="auto"/>
        <w:ind w:firstLine="420" w:firstLineChars="200"/>
        <w:textAlignment w:val="auto"/>
        <w:rPr>
          <w:rFonts w:ascii="Times New Roman" w:hAnsi="Times New Roman" w:cs="Times New Roman"/>
          <w:b/>
          <w:color w:val="auto"/>
          <w:sz w:val="21"/>
          <w:highlight w:val="none"/>
        </w:rPr>
      </w:pPr>
      <w:r>
        <w:rPr>
          <w:rFonts w:hint="eastAsia" w:ascii="Times New Roman" w:hAnsi="Times New Roman" w:cs="Times New Roman"/>
          <w:bCs/>
          <w:color w:val="auto"/>
          <w:sz w:val="21"/>
          <w:highlight w:val="none"/>
          <w:lang w:val="en-US" w:eastAsia="zh-CN"/>
        </w:rPr>
        <w:t>17</w:t>
      </w:r>
      <w:r>
        <w:rPr>
          <w:rFonts w:ascii="Times New Roman" w:hAnsi="Times New Roman" w:cs="Times New Roman"/>
          <w:bCs/>
          <w:color w:val="auto"/>
          <w:sz w:val="21"/>
          <w:highlight w:val="none"/>
          <w:lang w:val="en-US"/>
        </w:rPr>
        <w:t>.</w:t>
      </w:r>
      <w:r>
        <w:rPr>
          <w:rFonts w:hint="eastAsia" w:ascii="Times New Roman" w:hAnsi="Times New Roman" w:cs="Times New Roman"/>
          <w:bCs/>
          <w:color w:val="auto"/>
          <w:sz w:val="21"/>
          <w:highlight w:val="none"/>
          <w:lang w:val="en-US" w:eastAsia="zh-CN"/>
        </w:rPr>
        <w:t>2</w:t>
      </w:r>
      <w:r>
        <w:rPr>
          <w:rFonts w:ascii="Times New Roman" w:hAnsi="Times New Roman" w:cs="Times New Roman"/>
          <w:bCs/>
          <w:color w:val="auto"/>
          <w:sz w:val="21"/>
          <w:highlight w:val="none"/>
          <w:lang w:val="en-US"/>
        </w:rPr>
        <w:t>.1</w:t>
      </w:r>
      <w:r>
        <w:rPr>
          <w:rFonts w:ascii="Times New Roman" w:hAnsi="Times New Roman" w:cs="Times New Roman"/>
          <w:b/>
          <w:color w:val="auto"/>
          <w:sz w:val="21"/>
          <w:highlight w:val="none"/>
          <w:lang w:val="en-US"/>
        </w:rPr>
        <w:t xml:space="preserve"> </w:t>
      </w:r>
      <w:r>
        <w:rPr>
          <w:rFonts w:ascii="Times New Roman" w:cs="Times New Roman"/>
          <w:b/>
          <w:color w:val="auto"/>
          <w:sz w:val="21"/>
          <w:highlight w:val="none"/>
        </w:rPr>
        <w:t>本项目</w:t>
      </w:r>
      <w:r>
        <w:rPr>
          <w:rFonts w:hint="eastAsia" w:ascii="Times New Roman" w:cs="Times New Roman"/>
          <w:b/>
          <w:color w:val="auto"/>
          <w:sz w:val="21"/>
          <w:highlight w:val="none"/>
          <w:lang w:eastAsia="zh-CN"/>
        </w:rPr>
        <w:t>响应</w:t>
      </w:r>
      <w:r>
        <w:rPr>
          <w:rFonts w:ascii="Times New Roman" w:cs="Times New Roman"/>
          <w:b/>
          <w:color w:val="auto"/>
          <w:sz w:val="21"/>
          <w:highlight w:val="none"/>
        </w:rPr>
        <w:t>价格是包工包料。</w:t>
      </w:r>
    </w:p>
    <w:p w14:paraId="5B6BFB00">
      <w:pPr>
        <w:keepNext w:val="0"/>
        <w:keepLines w:val="0"/>
        <w:pageBreakBefore w:val="0"/>
        <w:widowControl w:val="0"/>
        <w:tabs>
          <w:tab w:val="left" w:pos="1177"/>
        </w:tabs>
        <w:kinsoku/>
        <w:wordWrap/>
        <w:overflowPunct/>
        <w:topLinePunct w:val="0"/>
        <w:bidi w:val="0"/>
        <w:adjustRightInd/>
        <w:snapToGrid/>
        <w:spacing w:line="360" w:lineRule="auto"/>
        <w:ind w:firstLine="420" w:firstLineChars="200"/>
        <w:textAlignment w:val="auto"/>
        <w:rPr>
          <w:rFonts w:ascii="Times New Roman" w:cs="Times New Roman"/>
          <w:color w:val="000000" w:themeColor="text1"/>
          <w:sz w:val="21"/>
          <w:highlight w:val="none"/>
          <w14:textFill>
            <w14:solidFill>
              <w14:schemeClr w14:val="tx1"/>
            </w14:solidFill>
          </w14:textFill>
        </w:rPr>
      </w:pPr>
      <w:r>
        <w:rPr>
          <w:rFonts w:hint="eastAsia" w:ascii="Times New Roman" w:hAnsi="Times New Roman" w:cs="Times New Roman"/>
          <w:bCs/>
          <w:color w:val="auto"/>
          <w:sz w:val="21"/>
          <w:highlight w:val="none"/>
          <w:lang w:val="en-US" w:eastAsia="zh-CN"/>
        </w:rPr>
        <w:t>17</w:t>
      </w:r>
      <w:r>
        <w:rPr>
          <w:rFonts w:ascii="Times New Roman" w:hAnsi="Times New Roman" w:cs="Times New Roman"/>
          <w:bCs/>
          <w:color w:val="auto"/>
          <w:sz w:val="21"/>
          <w:highlight w:val="none"/>
          <w:lang w:val="en-US"/>
        </w:rPr>
        <w:t>.</w:t>
      </w:r>
      <w:r>
        <w:rPr>
          <w:rFonts w:hint="eastAsia" w:ascii="Times New Roman" w:hAnsi="Times New Roman" w:cs="Times New Roman"/>
          <w:bCs/>
          <w:color w:val="auto"/>
          <w:sz w:val="21"/>
          <w:highlight w:val="none"/>
          <w:lang w:val="en-US" w:eastAsia="zh-CN"/>
        </w:rPr>
        <w:t>2</w:t>
      </w:r>
      <w:r>
        <w:rPr>
          <w:rFonts w:ascii="Times New Roman" w:hAnsi="Times New Roman" w:cs="Times New Roman"/>
          <w:bCs/>
          <w:color w:val="auto"/>
          <w:sz w:val="21"/>
          <w:highlight w:val="none"/>
          <w:lang w:val="en-US"/>
        </w:rPr>
        <w:t>.2</w:t>
      </w:r>
      <w:r>
        <w:rPr>
          <w:rFonts w:ascii="Times New Roman" w:hAnsi="Times New Roman" w:cs="Times New Roman"/>
          <w:b/>
          <w:color w:val="auto"/>
          <w:sz w:val="21"/>
          <w:highlight w:val="none"/>
          <w:lang w:val="en-US"/>
        </w:rPr>
        <w:t xml:space="preserve"> </w:t>
      </w:r>
      <w:r>
        <w:rPr>
          <w:rFonts w:hint="eastAsia" w:ascii="Times New Roman" w:hAnsi="Times New Roman" w:cs="Times New Roman"/>
          <w:b/>
          <w:color w:val="auto"/>
          <w:sz w:val="21"/>
          <w:highlight w:val="none"/>
          <w:lang w:val="en-US"/>
        </w:rPr>
        <w:t xml:space="preserve"> </w:t>
      </w:r>
      <w:r>
        <w:rPr>
          <w:rFonts w:hint="eastAsia" w:ascii="Times New Roman" w:cs="Times New Roman"/>
          <w:color w:val="auto"/>
          <w:sz w:val="21"/>
          <w:highlight w:val="none"/>
          <w:lang w:eastAsia="zh-CN"/>
        </w:rPr>
        <w:t>响应</w:t>
      </w:r>
      <w:r>
        <w:rPr>
          <w:rFonts w:ascii="Times New Roman" w:cs="Times New Roman"/>
          <w:color w:val="auto"/>
          <w:sz w:val="21"/>
          <w:highlight w:val="none"/>
        </w:rPr>
        <w:t>价格由供应商根据现场情况按市场价自行报价。供应商所填报的各项单价在合同实施期间不因市场变化因素而变动，供应商在计算报价时应考</w:t>
      </w:r>
      <w:r>
        <w:rPr>
          <w:rFonts w:ascii="Times New Roman" w:cs="Times New Roman"/>
          <w:color w:val="000000" w:themeColor="text1"/>
          <w:sz w:val="21"/>
          <w:highlight w:val="none"/>
          <w14:textFill>
            <w14:solidFill>
              <w14:schemeClr w14:val="tx1"/>
            </w14:solidFill>
          </w14:textFill>
        </w:rPr>
        <w:t>虑一定的风险因素和固定价格包括的范围。除非合同中另有规定，具有标价的工程量清单报价中所报单价和合价以及</w:t>
      </w:r>
      <w:r>
        <w:rPr>
          <w:rFonts w:hint="eastAsia" w:ascii="Times New Roman" w:cs="Times New Roman"/>
          <w:color w:val="000000" w:themeColor="text1"/>
          <w:sz w:val="21"/>
          <w:highlight w:val="none"/>
          <w:lang w:eastAsia="zh-CN"/>
          <w14:textFill>
            <w14:solidFill>
              <w14:schemeClr w14:val="tx1"/>
            </w14:solidFill>
          </w14:textFill>
        </w:rPr>
        <w:t>响应报价表</w:t>
      </w:r>
      <w:r>
        <w:rPr>
          <w:rFonts w:ascii="Times New Roman" w:cs="Times New Roman"/>
          <w:color w:val="000000" w:themeColor="text1"/>
          <w:sz w:val="21"/>
          <w:highlight w:val="none"/>
          <w14:textFill>
            <w14:solidFill>
              <w14:schemeClr w14:val="tx1"/>
            </w14:solidFill>
          </w14:textFill>
        </w:rPr>
        <w:t>中的价格应包括施工设备、劳务、管理、材料、安装、维护、保险、利润、税金、政策性文件规定及合同包含的应有风险、责任等各项应有费用，经</w:t>
      </w:r>
      <w:r>
        <w:rPr>
          <w:rFonts w:hint="eastAsia" w:ascii="Times New Roman" w:cs="Times New Roman"/>
          <w:color w:val="000000" w:themeColor="text1"/>
          <w:sz w:val="21"/>
          <w:highlight w:val="none"/>
          <w14:textFill>
            <w14:solidFill>
              <w14:schemeClr w14:val="tx1"/>
            </w14:solidFill>
          </w14:textFill>
        </w:rPr>
        <w:t>磋商</w:t>
      </w:r>
      <w:r>
        <w:rPr>
          <w:rFonts w:ascii="Times New Roman" w:cs="Times New Roman"/>
          <w:color w:val="000000" w:themeColor="text1"/>
          <w:sz w:val="21"/>
          <w:highlight w:val="none"/>
          <w14:textFill>
            <w14:solidFill>
              <w14:schemeClr w14:val="tx1"/>
            </w14:solidFill>
          </w14:textFill>
        </w:rPr>
        <w:t>小组审核严重不平衡的报价将不予接受。</w:t>
      </w:r>
    </w:p>
    <w:p w14:paraId="5DA789C7">
      <w:pPr>
        <w:keepNext w:val="0"/>
        <w:keepLines w:val="0"/>
        <w:pageBreakBefore w:val="0"/>
        <w:widowControl w:val="0"/>
        <w:tabs>
          <w:tab w:val="left" w:pos="1177"/>
        </w:tabs>
        <w:kinsoku/>
        <w:wordWrap/>
        <w:overflowPunct/>
        <w:topLinePunct w:val="0"/>
        <w:bidi w:val="0"/>
        <w:adjustRightInd/>
        <w:snapToGrid/>
        <w:spacing w:line="360" w:lineRule="auto"/>
        <w:ind w:firstLine="420" w:firstLineChars="200"/>
        <w:textAlignment w:val="auto"/>
        <w:rPr>
          <w:rFonts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bCs/>
          <w:color w:val="000000" w:themeColor="text1"/>
          <w:sz w:val="21"/>
          <w:highlight w:val="none"/>
          <w:lang w:val="en-US" w:eastAsia="zh-CN"/>
          <w14:textFill>
            <w14:solidFill>
              <w14:schemeClr w14:val="tx1"/>
            </w14:solidFill>
          </w14:textFill>
        </w:rPr>
        <w:t>17</w:t>
      </w:r>
      <w:r>
        <w:rPr>
          <w:rFonts w:ascii="Times New Roman" w:hAnsi="Times New Roman" w:cs="Times New Roman"/>
          <w:bCs/>
          <w:color w:val="000000" w:themeColor="text1"/>
          <w:sz w:val="21"/>
          <w:highlight w:val="none"/>
          <w:lang w:val="en-US"/>
          <w14:textFill>
            <w14:solidFill>
              <w14:schemeClr w14:val="tx1"/>
            </w14:solidFill>
          </w14:textFill>
        </w:rPr>
        <w:t>.</w:t>
      </w:r>
      <w:r>
        <w:rPr>
          <w:rFonts w:hint="eastAsia" w:ascii="Times New Roman" w:hAnsi="Times New Roman" w:cs="Times New Roman"/>
          <w:bCs/>
          <w:color w:val="000000" w:themeColor="text1"/>
          <w:sz w:val="21"/>
          <w:highlight w:val="none"/>
          <w:lang w:val="en-US" w:eastAsia="zh-CN"/>
          <w14:textFill>
            <w14:solidFill>
              <w14:schemeClr w14:val="tx1"/>
            </w14:solidFill>
          </w14:textFill>
        </w:rPr>
        <w:t>2</w:t>
      </w:r>
      <w:r>
        <w:rPr>
          <w:rFonts w:ascii="Times New Roman" w:cs="Times New Roman"/>
          <w:color w:val="000000" w:themeColor="text1"/>
          <w:sz w:val="21"/>
          <w:highlight w:val="none"/>
          <w:lang w:val="en-US"/>
          <w14:textFill>
            <w14:solidFill>
              <w14:schemeClr w14:val="tx1"/>
            </w14:solidFill>
          </w14:textFill>
        </w:rPr>
        <w:t xml:space="preserve">.3 </w:t>
      </w:r>
      <w:r>
        <w:rPr>
          <w:rFonts w:hint="eastAsia" w:ascii="Times New Roman" w:cs="Times New Roman"/>
          <w:color w:val="000000" w:themeColor="text1"/>
          <w:sz w:val="21"/>
          <w:highlight w:val="none"/>
          <w:lang w:val="en-US"/>
          <w14:textFill>
            <w14:solidFill>
              <w14:schemeClr w14:val="tx1"/>
            </w14:solidFill>
          </w14:textFill>
        </w:rPr>
        <w:t xml:space="preserve"> </w:t>
      </w:r>
      <w:r>
        <w:rPr>
          <w:rFonts w:ascii="Times New Roman" w:cs="Times New Roman"/>
          <w:color w:val="000000" w:themeColor="text1"/>
          <w:sz w:val="21"/>
          <w:highlight w:val="none"/>
          <w14:textFill>
            <w14:solidFill>
              <w14:schemeClr w14:val="tx1"/>
            </w14:solidFill>
          </w14:textFill>
        </w:rPr>
        <w:t>因设计变更引起工程项目、工程量变化的，工程量清单报价表中有相同细目的按供应商</w:t>
      </w:r>
      <w:r>
        <w:rPr>
          <w:rFonts w:hint="eastAsia" w:ascii="Times New Roman" w:cs="Times New Roman"/>
          <w:color w:val="000000" w:themeColor="text1"/>
          <w:sz w:val="21"/>
          <w:highlight w:val="none"/>
          <w14:textFill>
            <w14:solidFill>
              <w14:schemeClr w14:val="tx1"/>
            </w14:solidFill>
          </w14:textFill>
        </w:rPr>
        <w:t>磋商</w:t>
      </w:r>
      <w:r>
        <w:rPr>
          <w:rFonts w:ascii="Times New Roman" w:cs="Times New Roman"/>
          <w:color w:val="000000" w:themeColor="text1"/>
          <w:sz w:val="21"/>
          <w:highlight w:val="none"/>
          <w14:textFill>
            <w14:solidFill>
              <w14:schemeClr w14:val="tx1"/>
            </w14:solidFill>
          </w14:textFill>
        </w:rPr>
        <w:t>时的成交单价进行结算，工程量清单报价表中有类似细目的参考类似成交单价结算；新增项目有定额的套定额计算，其中材料价格有信息的按信息价，无信息的按市场价；新增项目无定额可套的，由发包人、承包人根据市场价格协商决定；新增项目的单价应经有资质的审核机构审定。国家和自治区政策性调整有关费用标准的，按文件规定执行。</w:t>
      </w:r>
    </w:p>
    <w:p w14:paraId="30E8C225">
      <w:pPr>
        <w:keepNext w:val="0"/>
        <w:keepLines w:val="0"/>
        <w:pageBreakBefore w:val="0"/>
        <w:widowControl w:val="0"/>
        <w:tabs>
          <w:tab w:val="left" w:pos="1177"/>
        </w:tabs>
        <w:kinsoku/>
        <w:wordWrap/>
        <w:overflowPunct/>
        <w:topLinePunct w:val="0"/>
        <w:bidi w:val="0"/>
        <w:adjustRightInd/>
        <w:snapToGrid/>
        <w:spacing w:line="360" w:lineRule="auto"/>
        <w:ind w:firstLine="420" w:firstLineChars="200"/>
        <w:textAlignment w:val="auto"/>
        <w:rPr>
          <w:rFonts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bCs/>
          <w:color w:val="000000" w:themeColor="text1"/>
          <w:sz w:val="21"/>
          <w:highlight w:val="none"/>
          <w:lang w:val="en-US" w:eastAsia="zh-CN"/>
          <w14:textFill>
            <w14:solidFill>
              <w14:schemeClr w14:val="tx1"/>
            </w14:solidFill>
          </w14:textFill>
        </w:rPr>
        <w:t>17</w:t>
      </w:r>
      <w:r>
        <w:rPr>
          <w:rFonts w:ascii="Times New Roman" w:hAnsi="Times New Roman" w:cs="Times New Roman"/>
          <w:bCs/>
          <w:color w:val="000000" w:themeColor="text1"/>
          <w:sz w:val="21"/>
          <w:highlight w:val="none"/>
          <w:lang w:val="en-US"/>
          <w14:textFill>
            <w14:solidFill>
              <w14:schemeClr w14:val="tx1"/>
            </w14:solidFill>
          </w14:textFill>
        </w:rPr>
        <w:t>.</w:t>
      </w:r>
      <w:r>
        <w:rPr>
          <w:rFonts w:hint="eastAsia" w:ascii="Times New Roman" w:hAnsi="Times New Roman" w:cs="Times New Roman"/>
          <w:bCs/>
          <w:color w:val="000000" w:themeColor="text1"/>
          <w:sz w:val="21"/>
          <w:highlight w:val="none"/>
          <w:lang w:val="en-US" w:eastAsia="zh-CN"/>
          <w14:textFill>
            <w14:solidFill>
              <w14:schemeClr w14:val="tx1"/>
            </w14:solidFill>
          </w14:textFill>
        </w:rPr>
        <w:t>2</w:t>
      </w:r>
      <w:r>
        <w:rPr>
          <w:rFonts w:ascii="Times New Roman" w:hAnsi="Times New Roman" w:cs="Times New Roman"/>
          <w:color w:val="000000" w:themeColor="text1"/>
          <w:sz w:val="21"/>
          <w:highlight w:val="none"/>
          <w:lang w:val="en-US"/>
          <w14:textFill>
            <w14:solidFill>
              <w14:schemeClr w14:val="tx1"/>
            </w14:solidFill>
          </w14:textFill>
        </w:rPr>
        <w:t xml:space="preserve">.4 </w:t>
      </w:r>
      <w:r>
        <w:rPr>
          <w:rFonts w:ascii="Times New Roman" w:cs="Times New Roman"/>
          <w:color w:val="000000" w:themeColor="text1"/>
          <w:sz w:val="21"/>
          <w:highlight w:val="none"/>
          <w14:textFill>
            <w14:solidFill>
              <w14:schemeClr w14:val="tx1"/>
            </w14:solidFill>
          </w14:textFill>
        </w:rPr>
        <w:t>供应商应认真编制工程量清单中所列的所有各细目的单价和总额价，填写工程量清单时应注意：</w:t>
      </w:r>
    </w:p>
    <w:p w14:paraId="4AB63300">
      <w:pPr>
        <w:pStyle w:val="19"/>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1</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Times New Roman" w:cs="Times New Roman"/>
          <w:color w:val="000000" w:themeColor="text1"/>
          <w:highlight w:val="none"/>
          <w14:textFill>
            <w14:solidFill>
              <w14:schemeClr w14:val="tx1"/>
            </w14:solidFill>
          </w14:textFill>
        </w:rPr>
        <w:t>有工程数量的应报单价和总价。</w:t>
      </w:r>
    </w:p>
    <w:p w14:paraId="114C5538">
      <w:pPr>
        <w:pStyle w:val="19"/>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2</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ascii="Times New Roman" w:cs="Times New Roman"/>
          <w:color w:val="000000" w:themeColor="text1"/>
          <w:highlight w:val="none"/>
          <w14:textFill>
            <w14:solidFill>
              <w14:schemeClr w14:val="tx1"/>
            </w14:solidFill>
          </w14:textFill>
        </w:rPr>
        <w:t>无工程数量的项目不报价（或只报单价不报总价）。</w:t>
      </w:r>
    </w:p>
    <w:p w14:paraId="3FA8AE56">
      <w:pPr>
        <w:pStyle w:val="19"/>
        <w:keepNext w:val="0"/>
        <w:keepLines w:val="0"/>
        <w:pageBreakBefore w:val="0"/>
        <w:widowControl w:val="0"/>
        <w:kinsoku/>
        <w:wordWrap/>
        <w:overflowPunct/>
        <w:topLinePunct w:val="0"/>
        <w:bidi w:val="0"/>
        <w:adjustRightInd/>
        <w:snapToGrid/>
        <w:spacing w:line="360" w:lineRule="auto"/>
        <w:ind w:right="264"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3</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cs="Times New Roman"/>
          <w:color w:val="000000" w:themeColor="text1"/>
          <w:highlight w:val="none"/>
          <w14:textFill>
            <w14:solidFill>
              <w14:schemeClr w14:val="tx1"/>
            </w14:solidFill>
          </w14:textFill>
        </w:rPr>
        <w:t>磋商</w:t>
      </w:r>
      <w:r>
        <w:rPr>
          <w:rFonts w:ascii="Times New Roman" w:cs="Times New Roman"/>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采购</w:t>
      </w:r>
      <w:r>
        <w:rPr>
          <w:rFonts w:hint="eastAsia"/>
          <w:color w:val="000000" w:themeColor="text1"/>
          <w:highlight w:val="none"/>
          <w:lang w:eastAsia="zh-CN"/>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要求报价的细目，供应商没有填入单价或总额价的细目，其费用应视为已分配在工程量清单的其它单价或总额价中，承包人必须按监理工程师的指令完成工程量清单中未填入单价或总额价的工程细目，但不能得到支付与结算。</w:t>
      </w:r>
    </w:p>
    <w:p w14:paraId="03D7089B">
      <w:pPr>
        <w:pStyle w:val="19"/>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Cs/>
          <w:color w:val="000000" w:themeColor="text1"/>
          <w:sz w:val="21"/>
          <w:highlight w:val="none"/>
          <w:lang w:val="en-US" w:eastAsia="zh-CN"/>
          <w14:textFill>
            <w14:solidFill>
              <w14:schemeClr w14:val="tx1"/>
            </w14:solidFill>
          </w14:textFill>
        </w:rPr>
        <w:t>17</w:t>
      </w:r>
      <w:r>
        <w:rPr>
          <w:rFonts w:ascii="Times New Roman" w:hAnsi="Times New Roman" w:cs="Times New Roman"/>
          <w:bCs/>
          <w:color w:val="000000" w:themeColor="text1"/>
          <w:sz w:val="21"/>
          <w:highlight w:val="none"/>
          <w:lang w:val="en-US"/>
          <w14:textFill>
            <w14:solidFill>
              <w14:schemeClr w14:val="tx1"/>
            </w14:solidFill>
          </w14:textFill>
        </w:rPr>
        <w:t>.</w:t>
      </w:r>
      <w:r>
        <w:rPr>
          <w:rFonts w:hint="eastAsia" w:ascii="Times New Roman" w:hAnsi="Times New Roman" w:cs="Times New Roman"/>
          <w:bCs/>
          <w:color w:val="000000" w:themeColor="text1"/>
          <w:sz w:val="21"/>
          <w:highlight w:val="none"/>
          <w:lang w:val="en-US" w:eastAsia="zh-CN"/>
          <w14:textFill>
            <w14:solidFill>
              <w14:schemeClr w14:val="tx1"/>
            </w14:solidFill>
          </w14:textFill>
        </w:rPr>
        <w:t>2</w:t>
      </w:r>
      <w:r>
        <w:rPr>
          <w:rFonts w:ascii="Times New Roman" w:hAnsi="Times New Roman" w:cs="Times New Roman"/>
          <w:color w:val="000000" w:themeColor="text1"/>
          <w:highlight w:val="none"/>
          <w:lang w:val="en-US"/>
          <w14:textFill>
            <w14:solidFill>
              <w14:schemeClr w14:val="tx1"/>
            </w14:solidFill>
          </w14:textFill>
        </w:rPr>
        <w:t xml:space="preserve">.5 </w:t>
      </w:r>
      <w:r>
        <w:rPr>
          <w:rFonts w:ascii="Times New Roman" w:cs="Times New Roman"/>
          <w:color w:val="000000" w:themeColor="text1"/>
          <w:highlight w:val="none"/>
          <w14:textFill>
            <w14:solidFill>
              <w14:schemeClr w14:val="tx1"/>
            </w14:solidFill>
          </w14:textFill>
        </w:rPr>
        <w:t>采购</w:t>
      </w:r>
      <w:r>
        <w:rPr>
          <w:rFonts w:hint="eastAsia" w:ascii="Times New Roman" w:cs="Times New Roman"/>
          <w:color w:val="000000" w:themeColor="text1"/>
          <w:highlight w:val="none"/>
          <w:lang w:eastAsia="zh-CN"/>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所提供的工程量清单，应认为已包括按正常施工工艺完成工程量清单项目各单项的有关内容。凡工程量清单所示工程所必不可少的附属工程、相关工程、衔接与后续工程所需的费用，供应商应计入相关项目的单价中。</w:t>
      </w:r>
    </w:p>
    <w:p w14:paraId="1D23CA5D">
      <w:pPr>
        <w:pStyle w:val="19"/>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Cs/>
          <w:color w:val="000000" w:themeColor="text1"/>
          <w:sz w:val="21"/>
          <w:highlight w:val="none"/>
          <w:lang w:val="en-US" w:eastAsia="zh-CN"/>
          <w14:textFill>
            <w14:solidFill>
              <w14:schemeClr w14:val="tx1"/>
            </w14:solidFill>
          </w14:textFill>
        </w:rPr>
        <w:t>17</w:t>
      </w:r>
      <w:r>
        <w:rPr>
          <w:rFonts w:ascii="Times New Roman" w:hAnsi="Times New Roman" w:cs="Times New Roman"/>
          <w:bCs/>
          <w:color w:val="000000" w:themeColor="text1"/>
          <w:sz w:val="21"/>
          <w:highlight w:val="none"/>
          <w:lang w:val="en-US"/>
          <w14:textFill>
            <w14:solidFill>
              <w14:schemeClr w14:val="tx1"/>
            </w14:solidFill>
          </w14:textFill>
        </w:rPr>
        <w:t>.</w:t>
      </w:r>
      <w:r>
        <w:rPr>
          <w:rFonts w:hint="eastAsia" w:ascii="Times New Roman" w:hAnsi="Times New Roman" w:cs="Times New Roman"/>
          <w:bCs/>
          <w:color w:val="000000" w:themeColor="text1"/>
          <w:sz w:val="21"/>
          <w:highlight w:val="none"/>
          <w:lang w:val="en-US" w:eastAsia="zh-CN"/>
          <w14:textFill>
            <w14:solidFill>
              <w14:schemeClr w14:val="tx1"/>
            </w14:solidFill>
          </w14:textFill>
        </w:rPr>
        <w:t>2</w:t>
      </w:r>
      <w:r>
        <w:rPr>
          <w:rFonts w:ascii="Times New Roman" w:hAnsi="Times New Roman" w:cs="Times New Roman"/>
          <w:color w:val="000000" w:themeColor="text1"/>
          <w:highlight w:val="none"/>
          <w:lang w:val="en-US"/>
          <w14:textFill>
            <w14:solidFill>
              <w14:schemeClr w14:val="tx1"/>
            </w14:solidFill>
          </w14:textFill>
        </w:rPr>
        <w:t xml:space="preserve">.6 </w:t>
      </w:r>
      <w:r>
        <w:rPr>
          <w:rFonts w:ascii="Times New Roman" w:cs="Times New Roman"/>
          <w:color w:val="000000" w:themeColor="text1"/>
          <w:highlight w:val="none"/>
          <w14:textFill>
            <w14:solidFill>
              <w14:schemeClr w14:val="tx1"/>
            </w14:solidFill>
          </w14:textFill>
        </w:rPr>
        <w:t>承包人的临时占地（如项目部驻地等）租用费（含拆迁补偿）、临时用地的环保、恢复及所有临时性占地的青苗补偿及地面附着物发生的费用均由承包人负责；由于承包人原因引起工期延长造成承包人临时占地的租用费增加由承包人负责。以上费用在</w:t>
      </w:r>
      <w:r>
        <w:rPr>
          <w:rFonts w:hint="eastAsia" w:ascii="Times New Roman" w:cs="Times New Roman"/>
          <w:color w:val="000000" w:themeColor="text1"/>
          <w:highlight w:val="none"/>
          <w:lang w:eastAsia="zh-CN"/>
          <w14:textFill>
            <w14:solidFill>
              <w14:schemeClr w14:val="tx1"/>
            </w14:solidFill>
          </w14:textFill>
        </w:rPr>
        <w:t>响应</w:t>
      </w:r>
      <w:r>
        <w:rPr>
          <w:rFonts w:ascii="Times New Roman" w:cs="Times New Roman"/>
          <w:color w:val="000000" w:themeColor="text1"/>
          <w:highlight w:val="none"/>
          <w14:textFill>
            <w14:solidFill>
              <w14:schemeClr w14:val="tx1"/>
            </w14:solidFill>
          </w14:textFill>
        </w:rPr>
        <w:t>价中自行考虑。</w:t>
      </w:r>
    </w:p>
    <w:p w14:paraId="2388B189">
      <w:pPr>
        <w:pStyle w:val="19"/>
        <w:keepNext w:val="0"/>
        <w:keepLines w:val="0"/>
        <w:pageBreakBefore w:val="0"/>
        <w:widowControl w:val="0"/>
        <w:kinsoku/>
        <w:wordWrap/>
        <w:overflowPunct/>
        <w:topLinePunct w:val="0"/>
        <w:bidi w:val="0"/>
        <w:adjustRightInd/>
        <w:snapToGrid/>
        <w:spacing w:line="360" w:lineRule="auto"/>
        <w:ind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Cs/>
          <w:color w:val="000000" w:themeColor="text1"/>
          <w:sz w:val="21"/>
          <w:highlight w:val="none"/>
          <w:lang w:val="en-US" w:eastAsia="zh-CN"/>
          <w14:textFill>
            <w14:solidFill>
              <w14:schemeClr w14:val="tx1"/>
            </w14:solidFill>
          </w14:textFill>
        </w:rPr>
        <w:t>17</w:t>
      </w:r>
      <w:r>
        <w:rPr>
          <w:rFonts w:ascii="Times New Roman" w:hAnsi="Times New Roman" w:cs="Times New Roman"/>
          <w:bCs/>
          <w:color w:val="000000" w:themeColor="text1"/>
          <w:sz w:val="21"/>
          <w:highlight w:val="none"/>
          <w:lang w:val="en-US"/>
          <w14:textFill>
            <w14:solidFill>
              <w14:schemeClr w14:val="tx1"/>
            </w14:solidFill>
          </w14:textFill>
        </w:rPr>
        <w:t>.</w:t>
      </w:r>
      <w:r>
        <w:rPr>
          <w:rFonts w:hint="eastAsia" w:ascii="Times New Roman" w:hAnsi="Times New Roman" w:cs="Times New Roman"/>
          <w:bCs/>
          <w:color w:val="000000" w:themeColor="text1"/>
          <w:sz w:val="21"/>
          <w:highlight w:val="none"/>
          <w:lang w:val="en-US" w:eastAsia="zh-CN"/>
          <w14:textFill>
            <w14:solidFill>
              <w14:schemeClr w14:val="tx1"/>
            </w14:solidFill>
          </w14:textFill>
        </w:rPr>
        <w:t>2</w:t>
      </w:r>
      <w:r>
        <w:rPr>
          <w:rFonts w:ascii="Times New Roman" w:hAnsi="Times New Roman" w:cs="Times New Roman"/>
          <w:color w:val="000000" w:themeColor="text1"/>
          <w:highlight w:val="none"/>
          <w:lang w:val="en-US"/>
          <w14:textFill>
            <w14:solidFill>
              <w14:schemeClr w14:val="tx1"/>
            </w14:solidFill>
          </w14:textFill>
        </w:rPr>
        <w:t xml:space="preserve">.7 </w:t>
      </w:r>
      <w:r>
        <w:rPr>
          <w:rFonts w:ascii="Times New Roman" w:cs="Times New Roman"/>
          <w:color w:val="000000" w:themeColor="text1"/>
          <w:highlight w:val="none"/>
          <w14:textFill>
            <w14:solidFill>
              <w14:schemeClr w14:val="tx1"/>
            </w14:solidFill>
          </w14:textFill>
        </w:rPr>
        <w:t>除非合同中另有规定，具有标价的工程量清单中所报单价和合价，以及</w:t>
      </w:r>
      <w:r>
        <w:rPr>
          <w:rFonts w:hint="eastAsia" w:ascii="Times New Roman" w:cs="Times New Roman"/>
          <w:color w:val="000000" w:themeColor="text1"/>
          <w:highlight w:val="none"/>
          <w:lang w:eastAsia="zh-CN"/>
          <w14:textFill>
            <w14:solidFill>
              <w14:schemeClr w14:val="tx1"/>
            </w14:solidFill>
          </w14:textFill>
        </w:rPr>
        <w:t>响应</w:t>
      </w:r>
      <w:r>
        <w:rPr>
          <w:rFonts w:ascii="Times New Roman" w:cs="Times New Roman"/>
          <w:color w:val="000000" w:themeColor="text1"/>
          <w:highlight w:val="none"/>
          <w14:textFill>
            <w14:solidFill>
              <w14:schemeClr w14:val="tx1"/>
            </w14:solidFill>
          </w14:textFill>
        </w:rPr>
        <w:t>报价表中的价格应包括施工设备、劳务、管理、材料、安装、维护、保险、利润、政策性文件规定及合同包含的应有风险、责任等各项应有费用，经</w:t>
      </w:r>
      <w:r>
        <w:rPr>
          <w:rFonts w:hint="eastAsia" w:ascii="Times New Roman" w:cs="Times New Roman"/>
          <w:color w:val="000000" w:themeColor="text1"/>
          <w:highlight w:val="none"/>
          <w14:textFill>
            <w14:solidFill>
              <w14:schemeClr w14:val="tx1"/>
            </w14:solidFill>
          </w14:textFill>
        </w:rPr>
        <w:t>磋商</w:t>
      </w:r>
      <w:r>
        <w:rPr>
          <w:rFonts w:ascii="Times New Roman" w:cs="Times New Roman"/>
          <w:color w:val="000000" w:themeColor="text1"/>
          <w:highlight w:val="none"/>
          <w14:textFill>
            <w14:solidFill>
              <w14:schemeClr w14:val="tx1"/>
            </w14:solidFill>
          </w14:textFill>
        </w:rPr>
        <w:t>小组审核严重不平衡的报价将不予接受。</w:t>
      </w:r>
    </w:p>
    <w:p w14:paraId="45451B76">
      <w:pPr>
        <w:pStyle w:val="19"/>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17</w:t>
      </w:r>
      <w:r>
        <w:rPr>
          <w:rFonts w:ascii="Times New Roman" w:hAnsi="Times New Roman" w:cs="Times New Roman"/>
          <w:b/>
          <w:bCs w:val="0"/>
          <w:color w:val="000000" w:themeColor="text1"/>
          <w:sz w:val="21"/>
          <w:highlight w:val="none"/>
          <w:lang w:val="en-US"/>
          <w14:textFill>
            <w14:solidFill>
              <w14:schemeClr w14:val="tx1"/>
            </w14:solidFill>
          </w14:textFill>
        </w:rPr>
        <w:t>.</w:t>
      </w: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2</w:t>
      </w:r>
      <w:r>
        <w:rPr>
          <w:rFonts w:ascii="Times New Roman" w:hAnsi="Times New Roman" w:cs="Times New Roman"/>
          <w:b/>
          <w:bCs w:val="0"/>
          <w:color w:val="000000" w:themeColor="text1"/>
          <w:highlight w:val="none"/>
          <w:lang w:val="en-US"/>
          <w14:textFill>
            <w14:solidFill>
              <w14:schemeClr w14:val="tx1"/>
            </w14:solidFill>
          </w14:textFill>
        </w:rPr>
        <w:t xml:space="preserve">.8 </w:t>
      </w:r>
      <w:r>
        <w:rPr>
          <w:rFonts w:ascii="Times New Roman" w:cs="Times New Roman"/>
          <w:b/>
          <w:color w:val="000000" w:themeColor="text1"/>
          <w:highlight w:val="none"/>
          <w14:textFill>
            <w14:solidFill>
              <w14:schemeClr w14:val="tx1"/>
            </w14:solidFill>
          </w14:textFill>
        </w:rPr>
        <w:t>供应商的</w:t>
      </w:r>
      <w:r>
        <w:rPr>
          <w:rFonts w:hint="eastAsia" w:ascii="Times New Roman" w:cs="Times New Roman"/>
          <w:b/>
          <w:color w:val="000000" w:themeColor="text1"/>
          <w:highlight w:val="none"/>
          <w:lang w:eastAsia="zh-CN"/>
          <w14:textFill>
            <w14:solidFill>
              <w14:schemeClr w14:val="tx1"/>
            </w14:solidFill>
          </w14:textFill>
        </w:rPr>
        <w:t>响应报价</w:t>
      </w:r>
      <w:r>
        <w:rPr>
          <w:rFonts w:ascii="Times New Roman" w:cs="Times New Roman"/>
          <w:b/>
          <w:color w:val="000000" w:themeColor="text1"/>
          <w:highlight w:val="none"/>
          <w14:textFill>
            <w14:solidFill>
              <w14:schemeClr w14:val="tx1"/>
            </w14:solidFill>
          </w14:textFill>
        </w:rPr>
        <w:t>须按</w:t>
      </w:r>
      <w:r>
        <w:rPr>
          <w:rFonts w:hint="eastAsia" w:ascii="Times New Roman" w:cs="Times New Roman"/>
          <w:b/>
          <w:color w:val="000000" w:themeColor="text1"/>
          <w:highlight w:val="none"/>
          <w:lang w:eastAsia="zh-CN"/>
          <w14:textFill>
            <w14:solidFill>
              <w14:schemeClr w14:val="tx1"/>
            </w14:solidFill>
          </w14:textFill>
        </w:rPr>
        <w:t>竞争性磋商文件</w:t>
      </w:r>
      <w:r>
        <w:rPr>
          <w:rFonts w:ascii="Times New Roman" w:cs="Times New Roman"/>
          <w:b/>
          <w:color w:val="000000" w:themeColor="text1"/>
          <w:highlight w:val="none"/>
          <w14:textFill>
            <w14:solidFill>
              <w14:schemeClr w14:val="tx1"/>
            </w14:solidFill>
          </w14:textFill>
        </w:rPr>
        <w:t>及澄清答疑中所确认的工程量清单及清单各项的顺序进行报价，否则，将视为实质上不响应</w:t>
      </w:r>
      <w:r>
        <w:rPr>
          <w:rFonts w:hint="eastAsia" w:ascii="Times New Roman" w:cs="Times New Roman"/>
          <w:b/>
          <w:color w:val="000000" w:themeColor="text1"/>
          <w:highlight w:val="none"/>
          <w:lang w:eastAsia="zh-CN"/>
          <w14:textFill>
            <w14:solidFill>
              <w14:schemeClr w14:val="tx1"/>
            </w14:solidFill>
          </w14:textFill>
        </w:rPr>
        <w:t>竞争性磋商文件</w:t>
      </w:r>
      <w:r>
        <w:rPr>
          <w:rFonts w:ascii="Times New Roman" w:cs="Times New Roman"/>
          <w:b/>
          <w:color w:val="000000" w:themeColor="text1"/>
          <w:highlight w:val="none"/>
          <w14:textFill>
            <w14:solidFill>
              <w14:schemeClr w14:val="tx1"/>
            </w14:solidFill>
          </w14:textFill>
        </w:rPr>
        <w:t>的要求。</w:t>
      </w:r>
    </w:p>
    <w:p w14:paraId="48C6A269">
      <w:pPr>
        <w:pStyle w:val="19"/>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17</w:t>
      </w:r>
      <w:r>
        <w:rPr>
          <w:rFonts w:ascii="Times New Roman" w:hAnsi="Times New Roman" w:cs="Times New Roman"/>
          <w:b/>
          <w:bCs w:val="0"/>
          <w:color w:val="000000" w:themeColor="text1"/>
          <w:sz w:val="21"/>
          <w:highlight w:val="none"/>
          <w:lang w:val="en-US"/>
          <w14:textFill>
            <w14:solidFill>
              <w14:schemeClr w14:val="tx1"/>
            </w14:solidFill>
          </w14:textFill>
        </w:rPr>
        <w:t>.</w:t>
      </w: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2</w:t>
      </w:r>
      <w:r>
        <w:rPr>
          <w:rFonts w:ascii="Times New Roman" w:hAnsi="Times New Roman" w:cs="Times New Roman"/>
          <w:b/>
          <w:color w:val="000000" w:themeColor="text1"/>
          <w:highlight w:val="none"/>
          <w:lang w:val="en-US"/>
          <w14:textFill>
            <w14:solidFill>
              <w14:schemeClr w14:val="tx1"/>
            </w14:solidFill>
          </w14:textFill>
        </w:rPr>
        <w:t xml:space="preserve">.9 </w:t>
      </w:r>
      <w:r>
        <w:rPr>
          <w:rFonts w:ascii="Times New Roman" w:cs="Times New Roman"/>
          <w:b/>
          <w:color w:val="000000" w:themeColor="text1"/>
          <w:highlight w:val="none"/>
          <w14:textFill>
            <w14:solidFill>
              <w14:schemeClr w14:val="tx1"/>
            </w14:solidFill>
          </w14:textFill>
        </w:rPr>
        <w:t>供应商在进行工程量清单报价时，应按照采购</w:t>
      </w:r>
      <w:r>
        <w:rPr>
          <w:rFonts w:hint="eastAsia" w:ascii="Times New Roman" w:cs="Times New Roman"/>
          <w:b/>
          <w:color w:val="000000" w:themeColor="text1"/>
          <w:highlight w:val="none"/>
          <w:lang w:eastAsia="zh-CN"/>
          <w14:textFill>
            <w14:solidFill>
              <w14:schemeClr w14:val="tx1"/>
            </w14:solidFill>
          </w14:textFill>
        </w:rPr>
        <w:t>人</w:t>
      </w:r>
      <w:r>
        <w:rPr>
          <w:rFonts w:ascii="Times New Roman" w:cs="Times New Roman"/>
          <w:b/>
          <w:color w:val="000000" w:themeColor="text1"/>
          <w:highlight w:val="none"/>
          <w14:textFill>
            <w14:solidFill>
              <w14:schemeClr w14:val="tx1"/>
            </w14:solidFill>
          </w14:textFill>
        </w:rPr>
        <w:t>的工程量清单进行报价。供应商对自己所填写的</w:t>
      </w:r>
      <w:r>
        <w:rPr>
          <w:rFonts w:hint="eastAsia" w:ascii="Times New Roman" w:cs="Times New Roman"/>
          <w:b/>
          <w:color w:val="000000" w:themeColor="text1"/>
          <w:highlight w:val="none"/>
          <w:lang w:eastAsia="zh-CN"/>
          <w14:textFill>
            <w14:solidFill>
              <w14:schemeClr w14:val="tx1"/>
            </w14:solidFill>
          </w14:textFill>
        </w:rPr>
        <w:t>检查</w:t>
      </w:r>
      <w:r>
        <w:rPr>
          <w:rFonts w:ascii="Times New Roman" w:cs="Times New Roman"/>
          <w:b/>
          <w:color w:val="000000" w:themeColor="text1"/>
          <w:highlight w:val="none"/>
          <w14:textFill>
            <w14:solidFill>
              <w14:schemeClr w14:val="tx1"/>
            </w14:solidFill>
          </w14:textFill>
        </w:rPr>
        <w:t>是否与工程量清单一致。评标中，如项目编码、项目名称、计量单位、工程</w:t>
      </w:r>
      <w:r>
        <w:rPr>
          <w:rFonts w:hint="eastAsia" w:ascii="Times New Roman" w:cs="Times New Roman"/>
          <w:b/>
          <w:color w:val="000000" w:themeColor="text1"/>
          <w:highlight w:val="none"/>
          <w:lang w:eastAsia="zh-CN"/>
          <w14:textFill>
            <w14:solidFill>
              <w14:schemeClr w14:val="tx1"/>
            </w14:solidFill>
          </w14:textFill>
        </w:rPr>
        <w:t>数量</w:t>
      </w:r>
      <w:r>
        <w:rPr>
          <w:rFonts w:ascii="Times New Roman" w:cs="Times New Roman"/>
          <w:b/>
          <w:color w:val="000000" w:themeColor="text1"/>
          <w:highlight w:val="none"/>
          <w14:textFill>
            <w14:solidFill>
              <w14:schemeClr w14:val="tx1"/>
            </w14:solidFill>
          </w14:textFill>
        </w:rPr>
        <w:t>中的任何一项与工程量清单不一致的，</w:t>
      </w:r>
      <w:r>
        <w:rPr>
          <w:rFonts w:hint="eastAsia" w:ascii="Times New Roman" w:cs="Times New Roman"/>
          <w:b/>
          <w:color w:val="000000" w:themeColor="text1"/>
          <w:highlight w:val="none"/>
          <w14:textFill>
            <w14:solidFill>
              <w14:schemeClr w14:val="tx1"/>
            </w14:solidFill>
          </w14:textFill>
        </w:rPr>
        <w:t>磋商</w:t>
      </w:r>
      <w:r>
        <w:rPr>
          <w:rFonts w:ascii="Times New Roman" w:cs="Times New Roman"/>
          <w:b/>
          <w:color w:val="000000" w:themeColor="text1"/>
          <w:highlight w:val="none"/>
          <w14:textFill>
            <w14:solidFill>
              <w14:schemeClr w14:val="tx1"/>
            </w14:solidFill>
          </w14:textFill>
        </w:rPr>
        <w:t>小组要求澄清、说明或补正，但供应商拒绝澄清、说明或补正的，视为不响应</w:t>
      </w:r>
      <w:r>
        <w:rPr>
          <w:rFonts w:hint="eastAsia" w:ascii="Times New Roman" w:cs="Times New Roman"/>
          <w:b/>
          <w:color w:val="000000" w:themeColor="text1"/>
          <w:highlight w:val="none"/>
          <w:lang w:eastAsia="zh-CN"/>
          <w14:textFill>
            <w14:solidFill>
              <w14:schemeClr w14:val="tx1"/>
            </w14:solidFill>
          </w14:textFill>
        </w:rPr>
        <w:t>竞争性磋商文件</w:t>
      </w:r>
      <w:r>
        <w:rPr>
          <w:rFonts w:ascii="Times New Roman" w:cs="Times New Roman"/>
          <w:b/>
          <w:color w:val="000000" w:themeColor="text1"/>
          <w:highlight w:val="none"/>
          <w14:textFill>
            <w14:solidFill>
              <w14:schemeClr w14:val="tx1"/>
            </w14:solidFill>
          </w14:textFill>
        </w:rPr>
        <w:t>实质性内容，作</w:t>
      </w:r>
      <w:r>
        <w:rPr>
          <w:rFonts w:hint="eastAsia" w:ascii="Times New Roman" w:cs="Times New Roman"/>
          <w:b/>
          <w:color w:val="000000" w:themeColor="text1"/>
          <w:highlight w:val="none"/>
          <w14:textFill>
            <w14:solidFill>
              <w14:schemeClr w14:val="tx1"/>
            </w14:solidFill>
          </w14:textFill>
        </w:rPr>
        <w:t>无效</w:t>
      </w:r>
      <w:r>
        <w:rPr>
          <w:rFonts w:hint="eastAsia" w:ascii="Times New Roman" w:cs="Times New Roman"/>
          <w:b/>
          <w:color w:val="000000" w:themeColor="text1"/>
          <w:highlight w:val="none"/>
          <w:lang w:eastAsia="zh-CN"/>
          <w14:textFill>
            <w14:solidFill>
              <w14:schemeClr w14:val="tx1"/>
            </w14:solidFill>
          </w14:textFill>
        </w:rPr>
        <w:t>响应</w:t>
      </w:r>
      <w:r>
        <w:rPr>
          <w:rFonts w:ascii="Times New Roman" w:cs="Times New Roman"/>
          <w:b/>
          <w:color w:val="000000" w:themeColor="text1"/>
          <w:highlight w:val="none"/>
          <w14:textFill>
            <w14:solidFill>
              <w14:schemeClr w14:val="tx1"/>
            </w14:solidFill>
          </w14:textFill>
        </w:rPr>
        <w:t>处理。</w:t>
      </w:r>
    </w:p>
    <w:p w14:paraId="62958C7B">
      <w:pPr>
        <w:pStyle w:val="19"/>
        <w:keepNext w:val="0"/>
        <w:keepLines w:val="0"/>
        <w:pageBreakBefore w:val="0"/>
        <w:widowControl w:val="0"/>
        <w:kinsoku/>
        <w:wordWrap/>
        <w:overflowPunct/>
        <w:topLinePunct w:val="0"/>
        <w:bidi w:val="0"/>
        <w:adjustRightInd/>
        <w:snapToGrid/>
        <w:spacing w:line="360" w:lineRule="auto"/>
        <w:ind w:firstLine="422" w:firstLineChars="200"/>
        <w:jc w:val="both"/>
        <w:textAlignment w:val="auto"/>
        <w:rPr>
          <w:rFonts w:hint="eastAsia" w:ascii="Times New Roman" w:hAnsi="Times New Roman" w:cs="Times New Roman"/>
          <w:bCs/>
          <w:color w:val="000000" w:themeColor="text1"/>
          <w:w w:val="175"/>
          <w:highlight w:val="none"/>
          <w14:textFill>
            <w14:solidFill>
              <w14:schemeClr w14:val="tx1"/>
            </w14:solidFill>
          </w14:textFill>
        </w:rPr>
      </w:pP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17</w:t>
      </w:r>
      <w:r>
        <w:rPr>
          <w:rFonts w:ascii="Times New Roman" w:hAnsi="Times New Roman" w:cs="Times New Roman"/>
          <w:b/>
          <w:bCs w:val="0"/>
          <w:color w:val="000000" w:themeColor="text1"/>
          <w:sz w:val="21"/>
          <w:highlight w:val="none"/>
          <w:lang w:val="en-US"/>
          <w14:textFill>
            <w14:solidFill>
              <w14:schemeClr w14:val="tx1"/>
            </w14:solidFill>
          </w14:textFill>
        </w:rPr>
        <w:t>.</w:t>
      </w:r>
      <w:r>
        <w:rPr>
          <w:rFonts w:hint="eastAsia" w:ascii="Times New Roman" w:hAnsi="Times New Roman" w:cs="Times New Roman"/>
          <w:b/>
          <w:bCs w:val="0"/>
          <w:color w:val="000000" w:themeColor="text1"/>
          <w:sz w:val="21"/>
          <w:highlight w:val="none"/>
          <w:lang w:val="en-US" w:eastAsia="zh-CN"/>
          <w14:textFill>
            <w14:solidFill>
              <w14:schemeClr w14:val="tx1"/>
            </w14:solidFill>
          </w14:textFill>
        </w:rPr>
        <w:t>2</w:t>
      </w:r>
      <w:r>
        <w:rPr>
          <w:rFonts w:ascii="Times New Roman" w:hAnsi="Times New Roman" w:cs="Times New Roman"/>
          <w:b/>
          <w:color w:val="000000" w:themeColor="text1"/>
          <w:highlight w:val="none"/>
          <w:lang w:val="en-US"/>
          <w14:textFill>
            <w14:solidFill>
              <w14:schemeClr w14:val="tx1"/>
            </w14:solidFill>
          </w14:textFill>
        </w:rPr>
        <w:t xml:space="preserve">.10 </w:t>
      </w:r>
      <w:r>
        <w:rPr>
          <w:rFonts w:ascii="Times New Roman" w:cs="Times New Roman"/>
          <w:b/>
          <w:color w:val="000000" w:themeColor="text1"/>
          <w:szCs w:val="22"/>
          <w:highlight w:val="none"/>
          <w14:textFill>
            <w14:solidFill>
              <w14:schemeClr w14:val="tx1"/>
            </w14:solidFill>
          </w14:textFill>
        </w:rPr>
        <w:t>本项目</w:t>
      </w:r>
      <w:r>
        <w:rPr>
          <w:rFonts w:hint="eastAsia" w:ascii="Times New Roman" w:cs="Times New Roman"/>
          <w:b/>
          <w:color w:val="000000" w:themeColor="text1"/>
          <w:szCs w:val="22"/>
          <w:highlight w:val="none"/>
          <w:lang w:eastAsia="zh-CN"/>
          <w14:textFill>
            <w14:solidFill>
              <w14:schemeClr w14:val="tx1"/>
            </w14:solidFill>
          </w14:textFill>
        </w:rPr>
        <w:t>招标</w:t>
      </w:r>
      <w:r>
        <w:rPr>
          <w:rFonts w:ascii="Times New Roman" w:cs="Times New Roman"/>
          <w:b/>
          <w:color w:val="000000" w:themeColor="text1"/>
          <w:szCs w:val="22"/>
          <w:highlight w:val="none"/>
          <w14:textFill>
            <w14:solidFill>
              <w14:schemeClr w14:val="tx1"/>
            </w14:solidFill>
          </w14:textFill>
        </w:rPr>
        <w:t>控制价</w:t>
      </w:r>
      <w:r>
        <w:rPr>
          <w:rFonts w:hint="eastAsia" w:ascii="Times New Roman" w:hAnsi="Times New Roman" w:cs="Times New Roman"/>
          <w:bCs/>
          <w:color w:val="000000" w:themeColor="text1"/>
          <w:w w:val="175"/>
          <w:highlight w:val="none"/>
          <w14:textFill>
            <w14:solidFill>
              <w14:schemeClr w14:val="tx1"/>
            </w14:solidFill>
          </w14:textFill>
        </w:rPr>
        <w:t>：</w:t>
      </w:r>
    </w:p>
    <w:p w14:paraId="4D3FF027">
      <w:pPr>
        <w:pStyle w:val="19"/>
        <w:keepNext w:val="0"/>
        <w:keepLines w:val="0"/>
        <w:pageBreakBefore w:val="0"/>
        <w:widowControl w:val="0"/>
        <w:kinsoku/>
        <w:wordWrap/>
        <w:overflowPunct/>
        <w:topLinePunct w:val="0"/>
        <w:bidi w:val="0"/>
        <w:adjustRightInd/>
        <w:spacing w:line="360" w:lineRule="auto"/>
        <w:ind w:firstLine="422" w:firstLineChars="200"/>
        <w:textAlignment w:val="auto"/>
        <w:rPr>
          <w:rFonts w:hint="default" w:ascii="Times New Roman" w:hAnsi="Times New Roman" w:eastAsia="宋体" w:cs="Times New Roman"/>
          <w:b/>
          <w:color w:val="000000" w:themeColor="text1"/>
          <w:spacing w:val="6"/>
          <w:sz w:val="21"/>
          <w:szCs w:val="21"/>
          <w:highlight w:val="none"/>
          <w:lang w:val="en-US" w:eastAsia="zh-CN"/>
          <w14:textFill>
            <w14:solidFill>
              <w14:schemeClr w14:val="tx1"/>
            </w14:solidFill>
          </w14:textFill>
        </w:rPr>
      </w:pPr>
      <w:r>
        <w:rPr>
          <w:rFonts w:ascii="Times New Roman" w:cs="Times New Roman"/>
          <w:b/>
          <w:color w:val="000000" w:themeColor="text1"/>
          <w:highlight w:val="none"/>
          <w:lang w:val="en-US"/>
          <w14:textFill>
            <w14:solidFill>
              <w14:schemeClr w14:val="tx1"/>
            </w14:solidFill>
          </w14:textFill>
        </w:rPr>
        <w:t>本项目工程</w:t>
      </w:r>
      <w:r>
        <w:rPr>
          <w:rFonts w:hint="eastAsia" w:ascii="Times New Roman" w:cs="Times New Roman"/>
          <w:b/>
          <w:color w:val="000000" w:themeColor="text1"/>
          <w:highlight w:val="none"/>
          <w:lang w:val="en-US" w:eastAsia="zh-CN"/>
          <w14:textFill>
            <w14:solidFill>
              <w14:schemeClr w14:val="tx1"/>
            </w14:solidFill>
          </w14:textFill>
        </w:rPr>
        <w:t>招标</w:t>
      </w:r>
      <w:r>
        <w:rPr>
          <w:rFonts w:ascii="Times New Roman" w:cs="Times New Roman"/>
          <w:b/>
          <w:color w:val="000000" w:themeColor="text1"/>
          <w:highlight w:val="none"/>
          <w:lang w:val="en-US"/>
          <w14:textFill>
            <w14:solidFill>
              <w14:schemeClr w14:val="tx1"/>
            </w14:solidFill>
          </w14:textFill>
        </w:rPr>
        <w:t>控制价：</w:t>
      </w:r>
      <w:r>
        <w:rPr>
          <w:rFonts w:hint="eastAsia" w:ascii="Times New Roman" w:cs="Times New Roman"/>
          <w:b/>
          <w:color w:val="000000" w:themeColor="text1"/>
          <w:highlight w:val="none"/>
          <w:lang w:val="en-US" w:eastAsia="zh-CN"/>
          <w14:textFill>
            <w14:solidFill>
              <w14:schemeClr w14:val="tx1"/>
            </w14:solidFill>
          </w14:textFill>
        </w:rPr>
        <w:t>人民币柒拾玖万陆仟陆佰零柒元陆角玖分</w:t>
      </w:r>
      <w:r>
        <w:rPr>
          <w:rFonts w:hint="eastAsia" w:ascii="Times New Roman" w:hAnsi="宋体" w:eastAsia="宋体" w:cs="Times New Roman"/>
          <w:b/>
          <w:bCs w:val="0"/>
          <w:color w:val="000000" w:themeColor="text1"/>
          <w:highlight w:val="none"/>
          <w:lang w:val="en-US" w:eastAsia="zh-CN"/>
          <w14:textFill>
            <w14:solidFill>
              <w14:schemeClr w14:val="tx1"/>
            </w14:solidFill>
          </w14:textFill>
        </w:rPr>
        <w:t>（¥</w:t>
      </w:r>
      <w:r>
        <w:rPr>
          <w:rFonts w:hint="eastAsia" w:ascii="Times New Roman" w:cs="Times New Roman"/>
          <w:b/>
          <w:bCs w:val="0"/>
          <w:color w:val="000000" w:themeColor="text1"/>
          <w:highlight w:val="none"/>
          <w:lang w:val="en-US" w:eastAsia="zh-CN"/>
          <w14:textFill>
            <w14:solidFill>
              <w14:schemeClr w14:val="tx1"/>
            </w14:solidFill>
          </w14:textFill>
        </w:rPr>
        <w:t>796,607.69</w:t>
      </w:r>
      <w:r>
        <w:rPr>
          <w:rFonts w:hint="eastAsia" w:ascii="Times New Roman" w:hAnsi="宋体" w:eastAsia="宋体" w:cs="Times New Roman"/>
          <w:b/>
          <w:bCs w:val="0"/>
          <w:color w:val="000000" w:themeColor="text1"/>
          <w:highlight w:val="none"/>
          <w:lang w:val="en-US" w:eastAsia="zh-CN"/>
          <w14:textFill>
            <w14:solidFill>
              <w14:schemeClr w14:val="tx1"/>
            </w14:solidFill>
          </w14:textFill>
        </w:rPr>
        <w:t>元</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w:t>
      </w:r>
    </w:p>
    <w:p w14:paraId="516A2248">
      <w:pPr>
        <w:pStyle w:val="19"/>
        <w:keepNext w:val="0"/>
        <w:keepLines w:val="0"/>
        <w:pageBreakBefore w:val="0"/>
        <w:widowControl w:val="0"/>
        <w:kinsoku/>
        <w:wordWrap/>
        <w:overflowPunct/>
        <w:topLinePunct w:val="0"/>
        <w:bidi w:val="0"/>
        <w:adjustRightInd/>
        <w:snapToGrid/>
        <w:spacing w:line="360" w:lineRule="auto"/>
        <w:ind w:right="264"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供应商的</w:t>
      </w:r>
      <w:r>
        <w:rPr>
          <w:rFonts w:hint="eastAsia" w:ascii="Times New Roman" w:cs="Times New Roman"/>
          <w:color w:val="000000" w:themeColor="text1"/>
          <w:highlight w:val="none"/>
          <w:lang w:eastAsia="zh-CN"/>
          <w14:textFill>
            <w14:solidFill>
              <w14:schemeClr w14:val="tx1"/>
            </w14:solidFill>
          </w14:textFill>
        </w:rPr>
        <w:t>响应</w:t>
      </w:r>
      <w:r>
        <w:rPr>
          <w:rFonts w:ascii="Times New Roman" w:cs="Times New Roman"/>
          <w:color w:val="000000" w:themeColor="text1"/>
          <w:highlight w:val="none"/>
          <w14:textFill>
            <w14:solidFill>
              <w14:schemeClr w14:val="tx1"/>
            </w14:solidFill>
          </w14:textFill>
        </w:rPr>
        <w:t>报价均不允许超上述</w:t>
      </w:r>
      <w:r>
        <w:rPr>
          <w:rFonts w:hint="eastAsia" w:ascii="Times New Roman" w:cs="Times New Roman"/>
          <w:color w:val="000000" w:themeColor="text1"/>
          <w:highlight w:val="none"/>
          <w:lang w:eastAsia="zh-CN"/>
          <w14:textFill>
            <w14:solidFill>
              <w14:schemeClr w14:val="tx1"/>
            </w14:solidFill>
          </w14:textFill>
        </w:rPr>
        <w:t>招标</w:t>
      </w:r>
      <w:r>
        <w:rPr>
          <w:rFonts w:ascii="Times New Roman" w:cs="Times New Roman"/>
          <w:color w:val="000000" w:themeColor="text1"/>
          <w:highlight w:val="none"/>
          <w14:textFill>
            <w14:solidFill>
              <w14:schemeClr w14:val="tx1"/>
            </w14:solidFill>
          </w14:textFill>
        </w:rPr>
        <w:t>控制价，否</w:t>
      </w:r>
      <w:r>
        <w:rPr>
          <w:rFonts w:ascii="Times New Roman" w:cs="Times New Roman"/>
          <w:b w:val="0"/>
          <w:bCs w:val="0"/>
          <w:color w:val="000000" w:themeColor="text1"/>
          <w:highlight w:val="none"/>
          <w14:textFill>
            <w14:solidFill>
              <w14:schemeClr w14:val="tx1"/>
            </w14:solidFill>
          </w14:textFill>
        </w:rPr>
        <w:t>则作</w:t>
      </w:r>
      <w:r>
        <w:rPr>
          <w:rFonts w:hint="eastAsia" w:ascii="Times New Roman" w:cs="Times New Roman"/>
          <w:b w:val="0"/>
          <w:bCs w:val="0"/>
          <w:color w:val="000000" w:themeColor="text1"/>
          <w:highlight w:val="none"/>
          <w14:textFill>
            <w14:solidFill>
              <w14:schemeClr w14:val="tx1"/>
            </w14:solidFill>
          </w14:textFill>
        </w:rPr>
        <w:t>无效</w:t>
      </w:r>
      <w:r>
        <w:rPr>
          <w:rFonts w:hint="eastAsia" w:ascii="Times New Roman" w:cs="Times New Roman"/>
          <w:b w:val="0"/>
          <w:bCs w:val="0"/>
          <w:color w:val="000000" w:themeColor="text1"/>
          <w:highlight w:val="none"/>
          <w:lang w:eastAsia="zh-CN"/>
          <w14:textFill>
            <w14:solidFill>
              <w14:schemeClr w14:val="tx1"/>
            </w14:solidFill>
          </w14:textFill>
        </w:rPr>
        <w:t>响应</w:t>
      </w:r>
      <w:r>
        <w:rPr>
          <w:rFonts w:ascii="Times New Roman" w:cs="Times New Roman"/>
          <w:b w:val="0"/>
          <w:bCs w:val="0"/>
          <w:color w:val="000000" w:themeColor="text1"/>
          <w:highlight w:val="none"/>
          <w14:textFill>
            <w14:solidFill>
              <w14:schemeClr w14:val="tx1"/>
            </w14:solidFill>
          </w14:textFill>
        </w:rPr>
        <w:t>处理。</w:t>
      </w:r>
    </w:p>
    <w:p w14:paraId="2AA0A16B">
      <w:pPr>
        <w:pStyle w:val="19"/>
        <w:keepNext w:val="0"/>
        <w:keepLines w:val="0"/>
        <w:pageBreakBefore w:val="0"/>
        <w:widowControl w:val="0"/>
        <w:kinsoku/>
        <w:wordWrap/>
        <w:overflowPunct/>
        <w:topLinePunct w:val="0"/>
        <w:bidi w:val="0"/>
        <w:adjustRightInd/>
        <w:snapToGrid/>
        <w:spacing w:line="360" w:lineRule="auto"/>
        <w:ind w:right="264" w:firstLine="420" w:firstLineChars="200"/>
        <w:jc w:val="both"/>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b w:val="0"/>
          <w:bCs/>
          <w:color w:val="000000" w:themeColor="text1"/>
          <w:sz w:val="21"/>
          <w:highlight w:val="none"/>
          <w:lang w:val="en-US" w:eastAsia="zh-CN"/>
          <w14:textFill>
            <w14:solidFill>
              <w14:schemeClr w14:val="tx1"/>
            </w14:solidFill>
          </w14:textFill>
        </w:rPr>
        <w:t>17</w:t>
      </w:r>
      <w:r>
        <w:rPr>
          <w:rFonts w:ascii="Times New Roman" w:hAnsi="Times New Roman" w:cs="Times New Roman"/>
          <w:b w:val="0"/>
          <w:bCs/>
          <w:color w:val="000000" w:themeColor="text1"/>
          <w:sz w:val="21"/>
          <w:highlight w:val="none"/>
          <w:lang w:val="en-US"/>
          <w14:textFill>
            <w14:solidFill>
              <w14:schemeClr w14:val="tx1"/>
            </w14:solidFill>
          </w14:textFill>
        </w:rPr>
        <w:t>.</w:t>
      </w:r>
      <w:r>
        <w:rPr>
          <w:rFonts w:hint="eastAsia" w:ascii="Times New Roman" w:hAnsi="Times New Roman" w:cs="Times New Roman"/>
          <w:b w:val="0"/>
          <w:bCs/>
          <w:color w:val="000000" w:themeColor="text1"/>
          <w:sz w:val="21"/>
          <w:highlight w:val="none"/>
          <w:lang w:val="en-US" w:eastAsia="zh-CN"/>
          <w14:textFill>
            <w14:solidFill>
              <w14:schemeClr w14:val="tx1"/>
            </w14:solidFill>
          </w14:textFill>
        </w:rPr>
        <w:t>2</w:t>
      </w:r>
      <w:r>
        <w:rPr>
          <w:rFonts w:ascii="Times New Roman" w:hAnsi="Times New Roman" w:cs="Times New Roman"/>
          <w:b w:val="0"/>
          <w:bCs/>
          <w:color w:val="000000" w:themeColor="text1"/>
          <w:highlight w:val="none"/>
          <w:lang w:val="en-US"/>
          <w14:textFill>
            <w14:solidFill>
              <w14:schemeClr w14:val="tx1"/>
            </w14:solidFill>
          </w14:textFill>
        </w:rPr>
        <w:t xml:space="preserve">.11 </w:t>
      </w:r>
      <w:r>
        <w:rPr>
          <w:rFonts w:ascii="Times New Roman" w:cs="Times New Roman"/>
          <w:color w:val="000000" w:themeColor="text1"/>
          <w:highlight w:val="none"/>
          <w14:textFill>
            <w14:solidFill>
              <w14:schemeClr w14:val="tx1"/>
            </w14:solidFill>
          </w14:textFill>
        </w:rPr>
        <w:t>本工程项目可再次报价，供应商的最终报价（可维持首次报价不变）与首次报价不同时，必须以工程量清单报价表的格式编制，不得以总价下浮的方式做最终报价，供应商须提前做好相关准备并按时</w:t>
      </w:r>
      <w:r>
        <w:rPr>
          <w:rFonts w:hint="eastAsia" w:ascii="Times New Roman" w:cs="Times New Roman"/>
          <w:color w:val="000000" w:themeColor="text1"/>
          <w:highlight w:val="none"/>
          <w:lang w:eastAsia="zh-CN"/>
          <w14:textFill>
            <w14:solidFill>
              <w14:schemeClr w14:val="tx1"/>
            </w14:solidFill>
          </w14:textFill>
        </w:rPr>
        <w:t>上传</w:t>
      </w:r>
      <w:r>
        <w:rPr>
          <w:rFonts w:ascii="Times New Roman" w:cs="Times New Roman"/>
          <w:color w:val="000000" w:themeColor="text1"/>
          <w:highlight w:val="none"/>
          <w14:textFill>
            <w14:solidFill>
              <w14:schemeClr w14:val="tx1"/>
            </w14:solidFill>
          </w14:textFill>
        </w:rPr>
        <w:t>最终报价文件。</w:t>
      </w:r>
    </w:p>
    <w:p w14:paraId="5A310F51">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ascii="Times New Roman" w:cs="Times New Roman"/>
          <w:b w:val="0"/>
          <w:bCs w:val="0"/>
          <w:color w:val="000000" w:themeColor="text1"/>
          <w:sz w:val="21"/>
          <w:highlight w:val="none"/>
          <w14:textFill>
            <w14:solidFill>
              <w14:schemeClr w14:val="tx1"/>
            </w14:solidFill>
          </w14:textFill>
        </w:rPr>
      </w:pPr>
      <w:r>
        <w:rPr>
          <w:rFonts w:ascii="Times New Roman" w:hAnsi="Times New Roman" w:cs="Times New Roman"/>
          <w:b w:val="0"/>
          <w:bCs w:val="0"/>
          <w:color w:val="000000" w:themeColor="text1"/>
          <w:sz w:val="21"/>
          <w:szCs w:val="21"/>
          <w:highlight w:val="none"/>
          <w:lang w:val="en-US"/>
          <w14:textFill>
            <w14:solidFill>
              <w14:schemeClr w14:val="tx1"/>
            </w14:solidFill>
          </w14:textFill>
        </w:rPr>
        <w:t>1</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7</w:t>
      </w:r>
      <w:r>
        <w:rPr>
          <w:rFonts w:ascii="Times New Roman" w:hAnsi="Times New Roman" w:cs="Times New Roman"/>
          <w:b w:val="0"/>
          <w:bCs w:val="0"/>
          <w:color w:val="000000" w:themeColor="text1"/>
          <w:sz w:val="21"/>
          <w:szCs w:val="21"/>
          <w:highlight w:val="none"/>
          <w:lang w:val="en-US"/>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3</w:t>
      </w:r>
      <w:r>
        <w:rPr>
          <w:rFonts w:ascii="Times New Roman" w:cs="Times New Roman"/>
          <w:b w:val="0"/>
          <w:bCs w:val="0"/>
          <w:color w:val="000000" w:themeColor="text1"/>
          <w:sz w:val="21"/>
          <w:highlight w:val="none"/>
          <w14:textFill>
            <w14:solidFill>
              <w14:schemeClr w14:val="tx1"/>
            </w14:solidFill>
          </w14:textFill>
        </w:rPr>
        <w:t>计算依据</w:t>
      </w:r>
    </w:p>
    <w:p w14:paraId="24970454">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630" w:firstLineChars="3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bookmarkStart w:id="135" w:name="OLE_LINK51"/>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《水利工程工程量清单计价规范》GB 50501-2007。</w:t>
      </w:r>
    </w:p>
    <w:p w14:paraId="63417796">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基[2007]38号《广西壮族自治区水利水电工程设计概(预)算编制规定》、《广西壮族自治区水利水电建筑工程预算定额》、《广西壮族自治区水利水电设备安装工程预算定额》、《广西壮族自治区水利水电工程机械台时费定额》。</w:t>
      </w:r>
    </w:p>
    <w:p w14:paraId="5737AD62">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桂水基[2014]41号《广西壮族自治区水利水电工程概（预）算补充定额》。</w:t>
      </w:r>
    </w:p>
    <w:p w14:paraId="3A3082C6">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桂水基[2016]1号《关于调整广西水利水电建设工程定额人工预算单价的通知》。</w:t>
      </w:r>
    </w:p>
    <w:p w14:paraId="55509471">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桂水基[2016]16号《水利厅关于营业税改征增值税后广西水利水电工程计价依据调整的通知》。</w:t>
      </w:r>
    </w:p>
    <w:p w14:paraId="359D1379">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水办基〔2016〕31号《水利厅办公室转发水利部办公厅关于印发&lt;水利工程营业税改征增值税计价依据调整办法&gt;的通知》。</w:t>
      </w:r>
    </w:p>
    <w:p w14:paraId="3971CE32">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桂水建设[2019]4号《自治区水利厅关于调整水利工程增值税计算标准的通知》。</w:t>
      </w:r>
    </w:p>
    <w:p w14:paraId="5AC6875F">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桂人社规[2019]9号《广西壮族自治区人力资源和社会保障厅广西壮族自治区财政厅关于印发降低社会保险费率实施方案的通知》。</w:t>
      </w:r>
    </w:p>
    <w:p w14:paraId="7D1654CC">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桂水建设[2019]7号 《广西壮族自治区水利厅关于印发&lt;广西水利水电工程施工招标文件示范文本（2019年版）&gt;的通知》。</w:t>
      </w:r>
    </w:p>
    <w:p w14:paraId="3DC8AA4B">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桂水基[2004]46号《关于在我区水利水电建设工程实行建筑意外伤害保险制度的通知》。</w:t>
      </w:r>
    </w:p>
    <w:p w14:paraId="05608CEA">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.11.</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桂水建设[2023]4号《自治区水利厅关于调整水利工程安全文明施工措施费费率的通知》。</w:t>
      </w:r>
    </w:p>
    <w:p w14:paraId="58EDC8E4">
      <w:pPr>
        <w:pStyle w:val="11"/>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17.3</w:t>
      </w:r>
      <w:r>
        <w:rPr>
          <w:rFonts w:hint="eastAsia" w:ascii="Times New Roman" w:hAnsi="Times New Roman" w:cs="Times New Roman"/>
          <w:color w:val="000000" w:themeColor="text1"/>
          <w:sz w:val="21"/>
          <w:szCs w:val="21"/>
          <w:highlight w:val="green"/>
          <w:shd w:val="clear" w:color="auto" w:fill="auto"/>
          <w:lang w:val="en-US" w:eastAsia="zh-CN" w:bidi="zh-CN"/>
          <w14:textFill>
            <w14:solidFill>
              <w14:schemeClr w14:val="tx1"/>
            </w14:solidFill>
          </w14:textFill>
        </w:rPr>
        <w:t>.12.</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材料价格按照《金秀县建设工程造价信息》202</w:t>
      </w:r>
      <w:r>
        <w:rPr>
          <w:rFonts w:hint="eastAsia" w:ascii="Times New Roman" w:hAnsi="Times New Roman" w:cs="Times New Roman"/>
          <w:color w:val="000000" w:themeColor="text1"/>
          <w:sz w:val="21"/>
          <w:szCs w:val="21"/>
          <w:highlight w:val="green"/>
          <w:shd w:val="clear" w:color="auto" w:fill="auto"/>
          <w:lang w:val="en-US" w:eastAsia="zh-CN" w:bidi="zh-CN"/>
          <w14:textFill>
            <w14:solidFill>
              <w14:schemeClr w14:val="tx1"/>
            </w14:solidFill>
          </w14:textFill>
        </w:rPr>
        <w:t>5</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年第</w:t>
      </w:r>
      <w:r>
        <w:rPr>
          <w:rFonts w:hint="eastAsia" w:ascii="Times New Roman" w:hAnsi="Times New Roman" w:cs="Times New Roman"/>
          <w:color w:val="000000" w:themeColor="text1"/>
          <w:sz w:val="21"/>
          <w:szCs w:val="21"/>
          <w:highlight w:val="green"/>
          <w:shd w:val="clear" w:color="auto" w:fill="auto"/>
          <w:lang w:val="en-US" w:eastAsia="zh-CN" w:bidi="zh-CN"/>
          <w14:textFill>
            <w14:solidFill>
              <w14:schemeClr w14:val="tx1"/>
            </w14:solidFill>
          </w14:textFill>
        </w:rPr>
        <w:t>3</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期公布的信息价除税价计取，缺项部分参照《来宾市建设工程造价信息》202</w:t>
      </w:r>
      <w:r>
        <w:rPr>
          <w:rFonts w:hint="eastAsia" w:ascii="Times New Roman" w:hAnsi="Times New Roman" w:cs="Times New Roman"/>
          <w:color w:val="000000" w:themeColor="text1"/>
          <w:sz w:val="21"/>
          <w:szCs w:val="21"/>
          <w:highlight w:val="green"/>
          <w:shd w:val="clear" w:color="auto" w:fill="auto"/>
          <w:lang w:val="en-US" w:eastAsia="zh-CN" w:bidi="zh-CN"/>
          <w14:textFill>
            <w14:solidFill>
              <w14:schemeClr w14:val="tx1"/>
            </w14:solidFill>
          </w14:textFill>
        </w:rPr>
        <w:t>5</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年第</w:t>
      </w:r>
      <w:r>
        <w:rPr>
          <w:rFonts w:hint="eastAsia" w:ascii="Times New Roman" w:hAnsi="Times New Roman" w:cs="Times New Roman"/>
          <w:color w:val="000000" w:themeColor="text1"/>
          <w:sz w:val="21"/>
          <w:szCs w:val="21"/>
          <w:highlight w:val="green"/>
          <w:shd w:val="clear" w:color="auto" w:fill="auto"/>
          <w:lang w:val="en-US" w:eastAsia="zh-CN" w:bidi="zh-CN"/>
          <w14:textFill>
            <w14:solidFill>
              <w14:schemeClr w14:val="tx1"/>
            </w14:solidFill>
          </w14:textFill>
        </w:rPr>
        <w:t>3</w:t>
      </w:r>
      <w:r>
        <w:rPr>
          <w:rFonts w:hint="default" w:ascii="Times New Roman" w:hAnsi="Times New Roman" w:eastAsia="宋体" w:cs="Times New Roman"/>
          <w:color w:val="000000" w:themeColor="text1"/>
          <w:sz w:val="21"/>
          <w:szCs w:val="21"/>
          <w:highlight w:val="green"/>
          <w:shd w:val="clear" w:color="auto" w:fill="auto"/>
          <w:lang w:val="en-US" w:eastAsia="zh-CN" w:bidi="zh-CN"/>
          <w14:textFill>
            <w14:solidFill>
              <w14:schemeClr w14:val="tx1"/>
            </w14:solidFill>
          </w14:textFill>
        </w:rPr>
        <w:t>期公布的信息价除税价，信息价缺项材料市场询价。</w:t>
      </w:r>
    </w:p>
    <w:p w14:paraId="6A8C4795">
      <w:pPr>
        <w:pStyle w:val="11"/>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17.3</w:t>
      </w:r>
      <w:r>
        <w:rPr>
          <w:rFonts w:hint="eastAsia" w:ascii="Times New Roman" w:hAnsi="Times New Roman" w:cs="Times New Roman"/>
          <w:color w:val="000000" w:themeColor="text1"/>
          <w:sz w:val="21"/>
          <w:szCs w:val="21"/>
          <w:highlight w:val="none"/>
          <w:shd w:val="clear" w:color="auto" w:fill="auto"/>
          <w:lang w:val="en-US" w:eastAsia="zh-CN" w:bidi="zh-CN"/>
          <w14:textFill>
            <w14:solidFill>
              <w14:schemeClr w14:val="tx1"/>
            </w14:solidFill>
          </w14:textFill>
        </w:rPr>
        <w:t>.13.</w:t>
      </w:r>
      <w:r>
        <w:rPr>
          <w:rFonts w:hint="default" w:ascii="Times New Roman" w:hAnsi="Times New Roman" w:eastAsia="宋体" w:cs="Times New Roman"/>
          <w:color w:val="000000" w:themeColor="text1"/>
          <w:sz w:val="21"/>
          <w:szCs w:val="21"/>
          <w:highlight w:val="none"/>
          <w:shd w:val="clear" w:color="auto" w:fill="auto"/>
          <w:lang w:val="en-US" w:eastAsia="zh-CN" w:bidi="zh-CN"/>
          <w14:textFill>
            <w14:solidFill>
              <w14:schemeClr w14:val="tx1"/>
            </w14:solidFill>
          </w14:textFill>
        </w:rPr>
        <w:t>项目单位提供的有关项目的设计图纸、预算书等资料。</w:t>
      </w:r>
      <w:bookmarkEnd w:id="135"/>
    </w:p>
    <w:p w14:paraId="6922DA6E">
      <w:pPr>
        <w:pStyle w:val="102"/>
        <w:keepNext w:val="0"/>
        <w:keepLines w:val="0"/>
        <w:pageBreakBefore w:val="0"/>
        <w:widowControl w:val="0"/>
        <w:tabs>
          <w:tab w:val="left" w:pos="1225"/>
        </w:tabs>
        <w:kinsoku/>
        <w:wordWrap/>
        <w:overflowPunct/>
        <w:topLinePunct w:val="0"/>
        <w:bidi w:val="0"/>
        <w:adjustRightInd/>
        <w:snapToGrid/>
        <w:spacing w:line="360" w:lineRule="auto"/>
        <w:ind w:left="0" w:firstLine="420" w:firstLineChars="200"/>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17</w:t>
      </w:r>
      <w:r>
        <w:rPr>
          <w:rFonts w:ascii="Times New Roman" w:hAnsi="Times New Roman" w:cs="Times New Roman"/>
          <w:color w:val="000000" w:themeColor="text1"/>
          <w:sz w:val="21"/>
          <w:szCs w:val="21"/>
          <w:highlight w:val="none"/>
          <w:lang w:val="en-US"/>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4 </w:t>
      </w:r>
      <w:r>
        <w:rPr>
          <w:rFonts w:ascii="Times New Roman" w:cs="Times New Roman"/>
          <w:color w:val="000000" w:themeColor="text1"/>
          <w:sz w:val="21"/>
          <w:szCs w:val="21"/>
          <w:highlight w:val="none"/>
          <w14:textFill>
            <w14:solidFill>
              <w14:schemeClr w14:val="tx1"/>
            </w14:solidFill>
          </w14:textFill>
        </w:rPr>
        <w:t>本工程施工期间的水电费由</w:t>
      </w:r>
      <w:r>
        <w:rPr>
          <w:rFonts w:hint="eastAsia" w:ascii="Times New Roman" w:cs="Times New Roman"/>
          <w:color w:val="000000" w:themeColor="text1"/>
          <w:sz w:val="21"/>
          <w:szCs w:val="21"/>
          <w:highlight w:val="none"/>
          <w14:textFill>
            <w14:solidFill>
              <w14:schemeClr w14:val="tx1"/>
            </w14:solidFill>
          </w14:textFill>
        </w:rPr>
        <w:t>成交供应商</w:t>
      </w:r>
      <w:r>
        <w:rPr>
          <w:rFonts w:ascii="Times New Roman" w:cs="Times New Roman"/>
          <w:color w:val="000000" w:themeColor="text1"/>
          <w:sz w:val="21"/>
          <w:szCs w:val="21"/>
          <w:highlight w:val="none"/>
          <w14:textFill>
            <w14:solidFill>
              <w14:schemeClr w14:val="tx1"/>
            </w14:solidFill>
          </w14:textFill>
        </w:rPr>
        <w:t>承担。</w:t>
      </w:r>
    </w:p>
    <w:p w14:paraId="65FDC958">
      <w:pPr>
        <w:pStyle w:val="102"/>
        <w:keepNext w:val="0"/>
        <w:keepLines w:val="0"/>
        <w:pageBreakBefore w:val="0"/>
        <w:widowControl w:val="0"/>
        <w:tabs>
          <w:tab w:val="left" w:pos="1225"/>
        </w:tabs>
        <w:kinsoku/>
        <w:wordWrap/>
        <w:overflowPunct/>
        <w:topLinePunct w:val="0"/>
        <w:bidi w:val="0"/>
        <w:adjustRightInd/>
        <w:snapToGrid/>
        <w:spacing w:line="360" w:lineRule="auto"/>
        <w:ind w:left="0" w:firstLine="420" w:firstLineChars="200"/>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17</w:t>
      </w:r>
      <w:r>
        <w:rPr>
          <w:rFonts w:ascii="Times New Roman" w:hAnsi="Times New Roman" w:cs="Times New Roman"/>
          <w:color w:val="000000" w:themeColor="text1"/>
          <w:sz w:val="21"/>
          <w:szCs w:val="21"/>
          <w:highlight w:val="none"/>
          <w:lang w:val="en-US"/>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5 </w:t>
      </w:r>
      <w:r>
        <w:rPr>
          <w:rFonts w:ascii="Times New Roman" w:cs="Times New Roman"/>
          <w:color w:val="000000" w:themeColor="text1"/>
          <w:sz w:val="21"/>
          <w:szCs w:val="21"/>
          <w:highlight w:val="none"/>
          <w14:textFill>
            <w14:solidFill>
              <w14:schemeClr w14:val="tx1"/>
            </w14:solidFill>
          </w14:textFill>
        </w:rPr>
        <w:t>安全防护、文明施工措施费等费用按桂建质【</w:t>
      </w:r>
      <w:r>
        <w:rPr>
          <w:rFonts w:ascii="Times New Roman" w:hAnsi="Times New Roman" w:cs="Times New Roman"/>
          <w:color w:val="000000" w:themeColor="text1"/>
          <w:sz w:val="21"/>
          <w:szCs w:val="21"/>
          <w:highlight w:val="none"/>
          <w14:textFill>
            <w14:solidFill>
              <w14:schemeClr w14:val="tx1"/>
            </w14:solidFill>
          </w14:textFill>
        </w:rPr>
        <w:t>2015</w:t>
      </w:r>
      <w:r>
        <w:rPr>
          <w:rFonts w:asci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 xml:space="preserve">16 </w:t>
      </w:r>
      <w:r>
        <w:rPr>
          <w:rFonts w:ascii="Times New Roman" w:cs="Times New Roman"/>
          <w:color w:val="000000" w:themeColor="text1"/>
          <w:sz w:val="21"/>
          <w:szCs w:val="21"/>
          <w:highlight w:val="none"/>
          <w14:textFill>
            <w14:solidFill>
              <w14:schemeClr w14:val="tx1"/>
            </w14:solidFill>
          </w14:textFill>
        </w:rPr>
        <w:t>号文执行。</w:t>
      </w:r>
    </w:p>
    <w:p w14:paraId="651AC0E2">
      <w:pPr>
        <w:pStyle w:val="102"/>
        <w:keepNext w:val="0"/>
        <w:keepLines w:val="0"/>
        <w:pageBreakBefore w:val="0"/>
        <w:widowControl w:val="0"/>
        <w:tabs>
          <w:tab w:val="left" w:pos="1225"/>
        </w:tabs>
        <w:kinsoku/>
        <w:wordWrap/>
        <w:overflowPunct/>
        <w:topLinePunct w:val="0"/>
        <w:bidi w:val="0"/>
        <w:adjustRightInd/>
        <w:snapToGrid/>
        <w:spacing w:line="360" w:lineRule="auto"/>
        <w:ind w:left="0" w:firstLine="420" w:firstLineChars="200"/>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17</w:t>
      </w:r>
      <w:r>
        <w:rPr>
          <w:rFonts w:ascii="Times New Roman" w:hAnsi="Times New Roman" w:cs="Times New Roman"/>
          <w:color w:val="000000" w:themeColor="text1"/>
          <w:sz w:val="21"/>
          <w:szCs w:val="21"/>
          <w:highlight w:val="none"/>
          <w:lang w:val="en-US"/>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6 </w:t>
      </w:r>
      <w:r>
        <w:rPr>
          <w:rFonts w:hint="eastAsia" w:ascii="Times New Roman" w:cs="Times New Roman"/>
          <w:color w:val="000000" w:themeColor="text1"/>
          <w:sz w:val="21"/>
          <w:szCs w:val="21"/>
          <w:highlight w:val="none"/>
          <w:lang w:eastAsia="zh-CN"/>
          <w14:textFill>
            <w14:solidFill>
              <w14:schemeClr w14:val="tx1"/>
            </w14:solidFill>
          </w14:textFill>
        </w:rPr>
        <w:t>响应</w:t>
      </w:r>
      <w:r>
        <w:rPr>
          <w:rFonts w:ascii="Times New Roman" w:cs="Times New Roman"/>
          <w:color w:val="000000" w:themeColor="text1"/>
          <w:sz w:val="21"/>
          <w:szCs w:val="21"/>
          <w:highlight w:val="none"/>
          <w14:textFill>
            <w14:solidFill>
              <w14:schemeClr w14:val="tx1"/>
            </w14:solidFill>
          </w14:textFill>
        </w:rPr>
        <w:t>货币</w:t>
      </w:r>
    </w:p>
    <w:p w14:paraId="4FB5939C">
      <w:pPr>
        <w:pStyle w:val="102"/>
        <w:keepNext w:val="0"/>
        <w:keepLines w:val="0"/>
        <w:pageBreakBefore w:val="0"/>
        <w:widowControl w:val="0"/>
        <w:tabs>
          <w:tab w:val="left" w:pos="1225"/>
        </w:tabs>
        <w:kinsoku/>
        <w:wordWrap/>
        <w:overflowPunct/>
        <w:topLinePunct w:val="0"/>
        <w:bidi w:val="0"/>
        <w:adjustRightInd/>
        <w:snapToGrid/>
        <w:spacing w:line="360" w:lineRule="auto"/>
        <w:ind w:left="0" w:firstLine="420" w:firstLineChars="200"/>
        <w:textAlignment w:val="auto"/>
        <w:rPr>
          <w:rFonts w:hint="eastAsia" w:ascii="Times New Roman" w:cs="Times New Roman"/>
          <w:color w:val="000000" w:themeColor="text1"/>
          <w:sz w:val="21"/>
          <w:szCs w:val="21"/>
          <w:highlight w:val="none"/>
          <w14:textFill>
            <w14:solidFill>
              <w14:schemeClr w14:val="tx1"/>
            </w14:solidFill>
          </w14:textFill>
        </w:rPr>
      </w:pP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ascii="Times New Roman" w:cs="Times New Roman"/>
          <w:color w:val="000000" w:themeColor="text1"/>
          <w:sz w:val="21"/>
          <w:szCs w:val="21"/>
          <w:highlight w:val="none"/>
          <w14:textFill>
            <w14:solidFill>
              <w14:schemeClr w14:val="tx1"/>
            </w14:solidFill>
          </w14:textFill>
        </w:rPr>
        <w:t>报价中的单价和合价全部采用人民币表示。</w:t>
      </w:r>
    </w:p>
    <w:p w14:paraId="7EAFCB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7 </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cs="Times New Roman"/>
          <w:color w:val="000000" w:themeColor="text1"/>
          <w:sz w:val="21"/>
          <w:szCs w:val="21"/>
          <w:highlight w:val="none"/>
          <w14:textFill>
            <w14:solidFill>
              <w14:schemeClr w14:val="tx1"/>
            </w14:solidFill>
          </w14:textFill>
        </w:rPr>
        <w:t>（包含首次报价、最后报价）超过所竞标规定的采购预算金额或者最高限价的，其</w:t>
      </w: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将作无效</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cs="Times New Roman"/>
          <w:color w:val="000000" w:themeColor="text1"/>
          <w:sz w:val="21"/>
          <w:szCs w:val="21"/>
          <w:highlight w:val="none"/>
          <w14:textFill>
            <w14:solidFill>
              <w14:schemeClr w14:val="tx1"/>
            </w14:solidFill>
          </w14:textFill>
        </w:rPr>
        <w:t>处理。</w:t>
      </w:r>
    </w:p>
    <w:p w14:paraId="02893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w:t>
      </w:r>
      <w:bookmarkStart w:id="136" w:name="_Hlk42592874"/>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8 </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cs="Times New Roman"/>
          <w:color w:val="000000" w:themeColor="text1"/>
          <w:sz w:val="21"/>
          <w:szCs w:val="21"/>
          <w:highlight w:val="none"/>
          <w14:textFill>
            <w14:solidFill>
              <w14:schemeClr w14:val="tx1"/>
            </w14:solidFill>
          </w14:textFill>
        </w:rPr>
        <w:t>（包含首次报价、最后报价）超过采购预算金额或者最高限价的，其</w:t>
      </w: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将作无效</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cs="Times New Roman"/>
          <w:color w:val="000000" w:themeColor="text1"/>
          <w:sz w:val="21"/>
          <w:szCs w:val="21"/>
          <w:highlight w:val="none"/>
          <w14:textFill>
            <w14:solidFill>
              <w14:schemeClr w14:val="tx1"/>
            </w14:solidFill>
          </w14:textFill>
        </w:rPr>
        <w:t>处理。</w:t>
      </w:r>
    </w:p>
    <w:bookmarkEnd w:id="136"/>
    <w:p w14:paraId="3F2EEE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竞标有效期</w:t>
      </w:r>
    </w:p>
    <w:p w14:paraId="4F61C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竞标有效期是指为保证采购人有足够的时间在提交</w:t>
      </w: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后完成评审、确定成交供应商、合同签订等工作而要求供应商提交的</w:t>
      </w: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在一定时间内保持有效的期限。</w:t>
      </w:r>
    </w:p>
    <w:p w14:paraId="37A69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 xml:space="preserve">.2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竞标有效期应由供应商按“供应商须知前附表”规定的期限作出响应。</w:t>
      </w:r>
    </w:p>
    <w:p w14:paraId="49DB3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供应商的</w:t>
      </w:r>
      <w:r>
        <w:rPr>
          <w:rFonts w:hint="eastAsia" w:asci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在竞标有效期内均保持有效。</w:t>
      </w:r>
    </w:p>
    <w:p w14:paraId="374FCD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1</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磋商保证金</w:t>
      </w:r>
    </w:p>
    <w:p w14:paraId="79DC6C5B">
      <w:pPr>
        <w:keepNext w:val="0"/>
        <w:keepLines w:val="0"/>
        <w:pageBreakBefore w:val="0"/>
        <w:widowControl w:val="0"/>
        <w:kinsoku/>
        <w:wordWrap/>
        <w:overflowPunct/>
        <w:topLinePunct w:val="0"/>
        <w:autoSpaceDE/>
        <w:autoSpaceDN/>
        <w:bidi w:val="0"/>
        <w:adjustRightInd/>
        <w:snapToGrid/>
        <w:spacing w:line="360" w:lineRule="auto"/>
        <w:ind w:left="440" w:left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本项目不收取磋商保证金。</w:t>
      </w:r>
    </w:p>
    <w:p w14:paraId="770A2F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20</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编制的要求</w:t>
      </w:r>
    </w:p>
    <w:p w14:paraId="15DA9A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20.1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中须加盖供应商公章部分均采用CA签章，并根据“政府采购项目电子交易管理操作指南-供应商”及本</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规定的格式和顺序编制</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并进行关联定位，以便磋商小组在评审时，点击评分项可直接定位到该评分项内容。如对</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的某项要求，供应商的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未能关联定位提供相应的内容与其对应，则磋商小组在评审时如做出对供应商不利的评审由供应商自行承担。</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如内容不完整、编排混乱导致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被误读、 漏读，或者在按</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规定的部位查找不到相关内容的，由供应商自行承担。 </w:t>
      </w:r>
    </w:p>
    <w:p w14:paraId="3A9692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20.2 CA 签章上目前没有法定代表人或</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其委托代理人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签字</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或签章</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信息，供应商在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中涉及到签字的位置线下签好字</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或签章</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然后扫描或者拍照做成 PDF 的格式即可。 </w:t>
      </w:r>
    </w:p>
    <w:p w14:paraId="6DAB9DD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20.3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供应商名称应与主体资格证明（如营业执照等）和公章一致，否则其</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作无效处理。</w:t>
      </w:r>
    </w:p>
    <w:p w14:paraId="707DB0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20.4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应尽量避免涂改、行间插字或删除。如果出现上述情况，改动之处应由供应商的法定代表人或其委托代理人签字或</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签章</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因字迹潦草或表达不清所引起的后果由供应商承担。 </w:t>
      </w:r>
    </w:p>
    <w:p w14:paraId="4D661C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2</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的提交</w:t>
      </w:r>
    </w:p>
    <w:p w14:paraId="3A3237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供应商必须在“供应商须知前附表”规定的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接收时间和地点提交</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p w14:paraId="2BAE84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22</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.首次</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的补充、修改与撤回</w:t>
      </w:r>
    </w:p>
    <w:p w14:paraId="4C1159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137" w:name="_Hlk45702405"/>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22.1供应商进行电子投标应安装客户端软件，并按照</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和电子交易平台的要求编制并加密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。供应商未按规定加密的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，电子交易平台将拒收。供应商应当在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截止时间前完成</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的传输递交，并可以补充、修改或者撤回</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。补充或者修改</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的，应当先行撤回原文件，补充、修改后重新传输递交。 </w:t>
      </w:r>
    </w:p>
    <w:p w14:paraId="37F70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截止时间前未完成传输的，视为撤回</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截止时间后递交的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，电子交易平台将拒收。 </w:t>
      </w:r>
    </w:p>
    <w:p w14:paraId="7EE7E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22.2如有特殊情况，采购代理机构延长截止时间和开标时间，采购代理机构和供应商的权利和义务将受到新的截止时间和开标时间的约束。</w:t>
      </w:r>
    </w:p>
    <w:p w14:paraId="5DF0DC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23</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.首次</w:t>
      </w:r>
      <w:r>
        <w:rPr>
          <w:rFonts w:hint="eastAsia" w:ascii="Times New Roman" w:hAnsi="Times New Roman" w:eastAsia="黑体"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的退回</w:t>
      </w:r>
    </w:p>
    <w:p w14:paraId="0ABA600C">
      <w:pPr>
        <w:keepNext w:val="0"/>
        <w:keepLines w:val="0"/>
        <w:pageBreakBefore w:val="0"/>
        <w:widowControl w:val="0"/>
        <w:kinsoku/>
        <w:wordWrap/>
        <w:overflowPunct/>
        <w:topLinePunct w:val="0"/>
        <w:bidi w:val="0"/>
        <w:adjustRightInd/>
        <w:spacing w:line="360" w:lineRule="auto"/>
        <w:ind w:firstLine="409" w:firstLineChars="195"/>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在首次</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提交截止时间止提交响应文件的供应商不足3家时</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由代理机构在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广西政府采购云平台</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操作退回，除此之外采购人和采购代理机构对已提交的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概不退回。</w:t>
      </w:r>
    </w:p>
    <w:p w14:paraId="26F962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14:textFill>
            <w14:solidFill>
              <w14:schemeClr w14:val="tx1"/>
            </w14:solidFill>
          </w14:textFill>
        </w:rPr>
        <w:t>2</w:t>
      </w:r>
      <w:r>
        <w:rPr>
          <w:rFonts w:hint="eastAsia" w:ascii="Times New Roman" w:hAnsi="Times New Roman" w:eastAsia="黑体"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黑体" w:cs="Times New Roman"/>
          <w:b/>
          <w:bCs/>
          <w:color w:val="000000" w:themeColor="text1"/>
          <w:sz w:val="24"/>
          <w:szCs w:val="24"/>
          <w:highlight w:val="none"/>
          <w14:textFill>
            <w14:solidFill>
              <w14:schemeClr w14:val="tx1"/>
            </w14:solidFill>
          </w14:textFill>
        </w:rPr>
        <w:t>.截止时间后的撤回</w:t>
      </w:r>
    </w:p>
    <w:bookmarkEnd w:id="133"/>
    <w:bookmarkEnd w:id="134"/>
    <w:bookmarkEnd w:id="137"/>
    <w:p w14:paraId="1AAA3EE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bookmarkStart w:id="138" w:name="_Toc9083"/>
      <w:bookmarkStart w:id="139" w:name="_Toc500469687"/>
      <w:bookmarkStart w:id="140" w:name="_Toc500469578"/>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供应商在首次</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提交截止时间后向采购人、采购代理机构书面申请撤回电子响应文件的，除此之外采购人和采购代理机构对已开启的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概不退回。</w:t>
      </w:r>
    </w:p>
    <w:p w14:paraId="52CEEA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szCs w:val="24"/>
          <w:highlight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lang w:val="en-US" w:eastAsia="zh-CN"/>
          <w14:textFill>
            <w14:solidFill>
              <w14:schemeClr w14:val="tx1"/>
            </w14:solidFill>
          </w14:textFill>
        </w:rPr>
        <w:t>25.网上开标、电子评标</w:t>
      </w:r>
    </w:p>
    <w:p w14:paraId="7885A3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供应商根据</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要求，登录</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广西政府采购云平台</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，在指定时间内将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通过 CA加密后上传完成投标。开标实行网上不见面开标。到达开标时间后，采购代理机构工作人员在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广西政府采购云平台</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开始网上开标，供应商在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指定解密时间内各自远程登录</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广西政府采购云平台</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进行</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解密，供应商全部解密完成或解密时间结束后由采购代理机构工作人员开启评审程序，并等待磋商小组评审，评审结束后系统中将显示评审结果。 </w:t>
      </w:r>
    </w:p>
    <w:p w14:paraId="044E1D0C">
      <w:pPr>
        <w:keepNext w:val="0"/>
        <w:keepLines w:val="0"/>
        <w:pageBreakBefore w:val="0"/>
        <w:widowControl w:val="0"/>
        <w:kinsoku/>
        <w:wordWrap/>
        <w:overflowPunct/>
        <w:topLinePunct w:val="0"/>
        <w:autoSpaceDE/>
        <w:autoSpaceDN/>
        <w:bidi w:val="0"/>
        <w:adjustRightInd/>
        <w:snapToGrid/>
        <w:spacing w:before="478" w:beforeLines="150" w:after="478" w:afterLines="150" w:line="412" w:lineRule="exact"/>
        <w:ind w:left="0" w:firstLine="0"/>
        <w:jc w:val="center"/>
        <w:textAlignment w:val="auto"/>
        <w:outlineLvl w:val="0"/>
        <w:rPr>
          <w:rFonts w:hint="eastAsia" w:ascii="宋体" w:hAnsi="宋体"/>
          <w:color w:val="000000" w:themeColor="text1"/>
          <w:szCs w:val="21"/>
          <w:highlight w:val="none"/>
          <w14:textFill>
            <w14:solidFill>
              <w14:schemeClr w14:val="tx1"/>
            </w14:solidFill>
          </w14:textFill>
        </w:rPr>
      </w:pPr>
      <w:bookmarkStart w:id="141" w:name="_Toc23663"/>
      <w:r>
        <w:rPr>
          <w:rFonts w:hint="eastAsia" w:ascii="宋体" w:hAnsi="宋体"/>
          <w:b/>
          <w:bCs/>
          <w:color w:val="000000" w:themeColor="text1"/>
          <w:sz w:val="32"/>
          <w:szCs w:val="32"/>
          <w:highlight w:val="none"/>
          <w14:textFill>
            <w14:solidFill>
              <w14:schemeClr w14:val="tx1"/>
            </w14:solidFill>
          </w14:textFill>
        </w:rPr>
        <w:t>四、评审及磋商</w:t>
      </w:r>
      <w:bookmarkEnd w:id="138"/>
      <w:bookmarkEnd w:id="141"/>
    </w:p>
    <w:p w14:paraId="79740F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2</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6</w:t>
      </w:r>
      <w:r>
        <w:rPr>
          <w:rFonts w:hint="default" w:ascii="Times New Roman" w:hAnsi="Times New Roman" w:eastAsia="黑体" w:cs="Times New Roman"/>
          <w:b/>
          <w:bCs/>
          <w:color w:val="000000" w:themeColor="text1"/>
          <w:sz w:val="24"/>
          <w:highlight w:val="none"/>
          <w14:textFill>
            <w14:solidFill>
              <w14:schemeClr w14:val="tx1"/>
            </w14:solidFill>
          </w14:textFill>
        </w:rPr>
        <w:t>.磋商小组成立</w:t>
      </w:r>
    </w:p>
    <w:p w14:paraId="599498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C628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4449A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2</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7</w:t>
      </w:r>
      <w:r>
        <w:rPr>
          <w:rFonts w:hint="default" w:ascii="Times New Roman" w:hAnsi="Times New Roman" w:eastAsia="黑体" w:cs="Times New Roman"/>
          <w:b/>
          <w:bCs/>
          <w:color w:val="000000" w:themeColor="text1"/>
          <w:sz w:val="24"/>
          <w:highlight w:val="none"/>
          <w14:textFill>
            <w14:solidFill>
              <w14:schemeClr w14:val="tx1"/>
            </w14:solidFill>
          </w14:textFill>
        </w:rPr>
        <w:t>.首次</w:t>
      </w:r>
      <w:r>
        <w:rPr>
          <w:rFonts w:hint="eastAsia" w:ascii="Times New Roman" w:hAnsi="Times New Roman" w:eastAsia="黑体" w:cs="Times New Roman"/>
          <w:b/>
          <w:bCs/>
          <w:color w:val="000000" w:themeColor="text1"/>
          <w:sz w:val="24"/>
          <w:highlight w:val="none"/>
          <w:lang w:eastAsia="zh-CN"/>
          <w14:textFill>
            <w14:solidFill>
              <w14:schemeClr w14:val="tx1"/>
            </w14:solidFill>
          </w14:textFill>
        </w:rPr>
        <w:t>响应文件</w:t>
      </w:r>
      <w:r>
        <w:rPr>
          <w:rFonts w:hint="default" w:ascii="Times New Roman" w:hAnsi="Times New Roman" w:eastAsia="黑体" w:cs="Times New Roman"/>
          <w:b/>
          <w:bCs/>
          <w:color w:val="000000" w:themeColor="text1"/>
          <w:sz w:val="24"/>
          <w:highlight w:val="none"/>
          <w14:textFill>
            <w14:solidFill>
              <w14:schemeClr w14:val="tx1"/>
            </w14:solidFill>
          </w14:textFill>
        </w:rPr>
        <w:t>的开启</w:t>
      </w:r>
    </w:p>
    <w:p w14:paraId="600F18F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.1</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首次</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响应文件</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提交截止时间后，采购代理机构向各供应商发出电子加密</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响应文件</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【开始解密】通知，由供应商按</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竞争性磋商文件</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规定的时间内自行进行</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响应文件</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解密。供应商在规定的时间内无法完成已递交的“电子</w:t>
      </w:r>
      <w:r>
        <w:rPr>
          <w:rFonts w:hint="eastAsia"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加密</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响应文件”解密的，如已递交了电子备份响应文件的，将由采购代理机构按</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广西政府采购云平台</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操作规范将</w:t>
      </w:r>
      <w:r>
        <w:rPr>
          <w:rFonts w:hint="eastAsia"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电子</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备份响应文件上传至</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广西政府采购云平台</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，上传成功后，</w:t>
      </w:r>
      <w:r>
        <w:rPr>
          <w:rFonts w:hint="eastAsia"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备份</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响应文件自动失效。如未提供</w:t>
      </w:r>
      <w:r>
        <w:rPr>
          <w:rFonts w:hint="eastAsia"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电子</w:t>
      </w:r>
      <w:r>
        <w:rPr>
          <w:rFonts w:hint="default" w:ascii="Times New Roman" w:hAnsi="Times New Roman" w:eastAsia="宋体" w:cs="Times New Roman"/>
          <w:b w:val="0"/>
          <w:bCs/>
          <w:color w:val="000000" w:themeColor="text1"/>
          <w:kern w:val="0"/>
          <w:sz w:val="21"/>
          <w:szCs w:val="21"/>
          <w:highlight w:val="none"/>
          <w:lang w:val="en-US" w:eastAsia="zh-CN" w:bidi="ar-SA"/>
          <w14:textFill>
            <w14:solidFill>
              <w14:schemeClr w14:val="tx1"/>
            </w14:solidFill>
          </w14:textFill>
        </w:rPr>
        <w:t xml:space="preserve">备份响应文件，将不进行再次解密程序。无法在线解密视为供应商放弃投标。在线解密时间为30分钟。 </w:t>
      </w:r>
    </w:p>
    <w:p w14:paraId="3A0845B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.2供应商登录</w:t>
      </w:r>
      <w:r>
        <w:rPr>
          <w:rFonts w:hint="eastAsia" w:ascii="Times New Roman" w:hAnsi="Times New Roman" w:cs="Times New Roman"/>
          <w:b w:val="0"/>
          <w:bCs/>
          <w:color w:val="000000" w:themeColor="text1"/>
          <w:sz w:val="21"/>
          <w:szCs w:val="21"/>
          <w:highlight w:val="none"/>
          <w:lang w:eastAsia="zh-CN"/>
          <w14:textFill>
            <w14:solidFill>
              <w14:schemeClr w14:val="tx1"/>
            </w14:solidFill>
          </w14:textFill>
        </w:rPr>
        <w:t>广西政府采购云平台</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，用“项目采购-开标评标”功能对</w:t>
      </w:r>
      <w:r>
        <w:rPr>
          <w:rFonts w:hint="eastAsia" w:ascii="Times New Roman" w:hAnsi="Times New Roman" w:cs="Times New Roman"/>
          <w:b w:val="0"/>
          <w:bCs/>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进行在线解密。</w:t>
      </w:r>
    </w:p>
    <w:p w14:paraId="35188D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2</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8</w:t>
      </w:r>
      <w:r>
        <w:rPr>
          <w:rFonts w:hint="default" w:ascii="Times New Roman" w:hAnsi="Times New Roman" w:eastAsia="黑体" w:cs="Times New Roman"/>
          <w:b/>
          <w:bCs/>
          <w:color w:val="000000" w:themeColor="text1"/>
          <w:sz w:val="24"/>
          <w:highlight w:val="none"/>
          <w14:textFill>
            <w14:solidFill>
              <w14:schemeClr w14:val="tx1"/>
            </w14:solidFill>
          </w14:textFill>
        </w:rPr>
        <w:t>.评审程序、评审方法和评审标准</w:t>
      </w:r>
    </w:p>
    <w:p w14:paraId="560FD7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.1本项目的评审方法为综合评分法。</w:t>
      </w:r>
    </w:p>
    <w:p w14:paraId="19C635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.2磋商小组按照“第四章 评审程序、评审方法和评审标准”规定的方法、评审因素、标准和程序对</w:t>
      </w:r>
      <w:r>
        <w:rPr>
          <w:rFonts w:hint="eastAsia" w:ascii="Times New Roman" w:hAnsi="Times New Roman" w:cs="Times New Roman"/>
          <w:b w:val="0"/>
          <w:bCs/>
          <w:color w:val="000000" w:themeColor="text1"/>
          <w:kern w:val="0"/>
          <w:sz w:val="21"/>
          <w:szCs w:val="21"/>
          <w:highlight w:val="none"/>
          <w:lang w:val="en-US" w:eastAsia="zh-CN" w:bidi="ar-SA"/>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进行评审。</w:t>
      </w:r>
    </w:p>
    <w:p w14:paraId="347CBEA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特别说明：政采云公司如对电子化磋商及评审程序有调整的，按调整后的程序操作。</w:t>
      </w:r>
    </w:p>
    <w:p w14:paraId="3612886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w:t>
      </w:r>
      <w:r>
        <w:rPr>
          <w:rFonts w:hint="eastAsia" w:ascii="Times New Roman" w:hAnsi="Times New Roman" w:eastAsia="宋体" w:cs="Times New Roman"/>
          <w:b/>
          <w:bCs w:val="0"/>
          <w:color w:val="000000" w:themeColor="text1"/>
          <w:sz w:val="21"/>
          <w:szCs w:val="21"/>
          <w:highlight w:val="none"/>
          <w:lang w:eastAsia="zh-CN"/>
          <w14:textFill>
            <w14:solidFill>
              <w14:schemeClr w14:val="tx1"/>
            </w14:solidFill>
          </w14:textFill>
        </w:rPr>
        <w:t>评审</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过程中出现以下情形，导致电子交易平台无法正常运行，或者无法保证电子交易的公平、公正和安全时，采购组织机构可中止电子交易活动：</w:t>
      </w:r>
    </w:p>
    <w:p w14:paraId="0230B42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28.3.1</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 xml:space="preserve">电子交易平台发生故障而无法登录访问的； </w:t>
      </w:r>
    </w:p>
    <w:p w14:paraId="094D3C7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28.3.2</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电子交易平台应用或数据库出现错误，不能进行正常操作的；</w:t>
      </w:r>
    </w:p>
    <w:p w14:paraId="753D409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28.3.3</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电子交易平台发现严重安全漏洞，有潜在泄密危险的；</w:t>
      </w:r>
    </w:p>
    <w:p w14:paraId="5B80110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28.3.4</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 xml:space="preserve">病毒发作导致不能进行正常操作的； </w:t>
      </w:r>
    </w:p>
    <w:p w14:paraId="19F3921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val="0"/>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28.3.5</w:t>
      </w: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其他无法保证电子交易的公平、公正和安全的情况。</w:t>
      </w:r>
    </w:p>
    <w:p w14:paraId="2794CB37">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6B77AC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2</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9</w:t>
      </w:r>
      <w:r>
        <w:rPr>
          <w:rFonts w:hint="default" w:ascii="Times New Roman" w:hAnsi="Times New Roman" w:eastAsia="黑体" w:cs="Times New Roman"/>
          <w:b/>
          <w:bCs/>
          <w:color w:val="000000" w:themeColor="text1"/>
          <w:sz w:val="24"/>
          <w:highlight w:val="none"/>
          <w14:textFill>
            <w14:solidFill>
              <w14:schemeClr w14:val="tx1"/>
            </w14:solidFill>
          </w14:textFill>
        </w:rPr>
        <w:t>.确定成交供应商及结果公告</w:t>
      </w:r>
    </w:p>
    <w:p w14:paraId="68C59F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A235B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.2采购代理机构应当在</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重大税收违法失信主体</w:t>
      </w:r>
      <w:r>
        <w:rPr>
          <w:rFonts w:hint="default" w:ascii="Times New Roman" w:hAnsi="Times New Roman" w:eastAsia="宋体" w:cs="Times New Roman"/>
          <w:color w:val="000000" w:themeColor="text1"/>
          <w:sz w:val="21"/>
          <w:szCs w:val="21"/>
          <w:highlight w:val="none"/>
          <w14:textFill>
            <w14:solidFill>
              <w14:schemeClr w14:val="tx1"/>
            </w14:solidFill>
          </w14:textFill>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一并保存。</w:t>
      </w:r>
      <w:bookmarkStart w:id="142" w:name="_Hlk66782294"/>
      <w:r>
        <w:rPr>
          <w:rFonts w:hint="default" w:ascii="Times New Roman" w:hAnsi="Times New Roman" w:eastAsia="宋体" w:cs="Times New Roman"/>
          <w:color w:val="000000" w:themeColor="text1"/>
          <w:sz w:val="2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bookmarkEnd w:id="142"/>
    </w:p>
    <w:p w14:paraId="00906F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0ED96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Cs/>
          <w:color w:val="000000" w:themeColor="text1"/>
          <w:sz w:val="21"/>
          <w:szCs w:val="21"/>
          <w:highlight w:val="none"/>
          <w14:textFill>
            <w14:solidFill>
              <w14:schemeClr w14:val="tx1"/>
            </w14:solidFill>
          </w14:textFill>
        </w:rPr>
        <w:t>.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AFF2B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30</w:t>
      </w:r>
      <w:r>
        <w:rPr>
          <w:rFonts w:hint="default" w:ascii="Times New Roman" w:hAnsi="Times New Roman" w:eastAsia="黑体" w:cs="Times New Roman"/>
          <w:b/>
          <w:bCs/>
          <w:color w:val="000000" w:themeColor="text1"/>
          <w:sz w:val="24"/>
          <w:highlight w:val="none"/>
          <w14:textFill>
            <w14:solidFill>
              <w14:schemeClr w14:val="tx1"/>
            </w14:solidFill>
          </w14:textFill>
        </w:rPr>
        <w:t>.履约保证金</w:t>
      </w:r>
    </w:p>
    <w:p w14:paraId="01842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bCs/>
          <w:color w:val="000000" w:themeColor="text1"/>
          <w:sz w:val="21"/>
          <w:szCs w:val="21"/>
          <w:highlight w:val="none"/>
          <w14:textFill>
            <w14:solidFill>
              <w14:schemeClr w14:val="tx1"/>
            </w14:solidFill>
          </w14:textFill>
        </w:rPr>
        <w:t>.1</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bCs/>
          <w:color w:val="000000" w:themeColor="text1"/>
          <w:sz w:val="21"/>
          <w:szCs w:val="21"/>
          <w:highlight w:val="none"/>
          <w14:textFill>
            <w14:solidFill>
              <w14:schemeClr w14:val="tx1"/>
            </w14:solidFill>
          </w14:textFill>
        </w:rPr>
        <w:t>履约保证金的金额、提交方式、退付的时间和条件详见 “供应商须知前附表”。成交供应商未按规定提交履约保证金的，视为拒绝</w:t>
      </w:r>
      <w:r>
        <w:rPr>
          <w:rFonts w:hint="default" w:ascii="Times New Roman" w:hAnsi="Times New Roman" w:eastAsia="宋体" w:cs="Times New Roman"/>
          <w:bCs/>
          <w:color w:val="000000" w:themeColor="text1"/>
          <w:sz w:val="21"/>
          <w:szCs w:val="21"/>
          <w:highlight w:val="none"/>
          <w14:textFill>
            <w14:solidFill>
              <w14:schemeClr w14:val="tx1"/>
            </w14:solidFill>
          </w14:textFill>
        </w:rPr>
        <w:t>与采购人</w:t>
      </w:r>
      <w:r>
        <w:rPr>
          <w:rFonts w:hint="eastAsia" w:ascii="Times New Roman" w:hAnsi="Times New Roman" w:eastAsia="宋体" w:cs="Times New Roman"/>
          <w:bCs/>
          <w:color w:val="000000" w:themeColor="text1"/>
          <w:sz w:val="2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14:paraId="11F0F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bCs/>
          <w:color w:val="000000" w:themeColor="text1"/>
          <w:sz w:val="2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14:paraId="77D1C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30</w:t>
      </w:r>
      <w:r>
        <w:rPr>
          <w:rFonts w:hint="eastAsia" w:ascii="Times New Roman" w:hAnsi="Times New Roman" w:eastAsia="宋体" w:cs="Times New Roman"/>
          <w:bCs/>
          <w:color w:val="000000" w:themeColor="text1"/>
          <w:sz w:val="21"/>
          <w:szCs w:val="21"/>
          <w:highlight w:val="none"/>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14:textFill>
            <w14:solidFill>
              <w14:schemeClr w14:val="tx1"/>
            </w14:solidFill>
          </w14:textFill>
        </w:rPr>
        <w:t>3</w:t>
      </w:r>
      <w:r>
        <w:rPr>
          <w:rFonts w:hint="eastAsia" w:ascii="Times New Roman" w:hAnsi="Times New Roman" w:eastAsia="宋体" w:cs="Times New Roman"/>
          <w:bCs/>
          <w:color w:val="000000" w:themeColor="text1"/>
          <w:sz w:val="2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0125180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31</w:t>
      </w:r>
      <w:r>
        <w:rPr>
          <w:rFonts w:hint="default" w:ascii="Times New Roman" w:hAnsi="Times New Roman" w:eastAsia="黑体" w:cs="Times New Roman"/>
          <w:b/>
          <w:bCs/>
          <w:color w:val="000000" w:themeColor="text1"/>
          <w:sz w:val="24"/>
          <w:highlight w:val="none"/>
          <w14:textFill>
            <w14:solidFill>
              <w14:schemeClr w14:val="tx1"/>
            </w14:solidFill>
          </w14:textFill>
        </w:rPr>
        <w:t>.签订合同</w:t>
      </w:r>
    </w:p>
    <w:p w14:paraId="3AB75E0C">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.1成交供应商在收到成交通知书后，应当在签订合同时向采购人出示相关证明材料，具体内容详见 “供应商须知前附表”，经采购人核验合格后方可签订合同。</w:t>
      </w:r>
    </w:p>
    <w:p w14:paraId="11257E26">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.2签订合同时间：</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成交供应商</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自</w:t>
      </w:r>
      <w:r>
        <w:rPr>
          <w:rFonts w:hint="default" w:ascii="Times New Roman" w:hAnsi="Times New Roman" w:eastAsia="宋体" w:cs="Times New Roman"/>
          <w:b w:val="0"/>
          <w:bCs/>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通知书发出之日起</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25</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日内</w:t>
      </w:r>
      <w:r>
        <w:rPr>
          <w:rFonts w:hint="default" w:ascii="Times New Roman" w:hAnsi="Times New Roman" w:eastAsia="宋体" w:cs="Times New Roman"/>
          <w:color w:val="000000" w:themeColor="text1"/>
          <w:sz w:val="21"/>
          <w:szCs w:val="21"/>
          <w:highlight w:val="none"/>
          <w14:textFill>
            <w14:solidFill>
              <w14:schemeClr w14:val="tx1"/>
            </w14:solidFill>
          </w14:textFill>
        </w:rPr>
        <w:t>与采购人签订政府采购合同。</w:t>
      </w:r>
    </w:p>
    <w:p w14:paraId="6117676B">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3B366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2</w:t>
      </w:r>
      <w:r>
        <w:rPr>
          <w:rFonts w:hint="default" w:ascii="Times New Roman" w:hAnsi="Times New Roman" w:eastAsia="黑体" w:cs="Times New Roman"/>
          <w:b/>
          <w:bCs/>
          <w:color w:val="000000" w:themeColor="text1"/>
          <w:sz w:val="24"/>
          <w:highlight w:val="none"/>
          <w14:textFill>
            <w14:solidFill>
              <w14:schemeClr w14:val="tx1"/>
            </w14:solidFill>
          </w14:textFill>
        </w:rPr>
        <w:t>.政府采购合同公告</w:t>
      </w:r>
    </w:p>
    <w:p w14:paraId="40824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CF81AB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黑体" w:cs="Times New Roman"/>
          <w:b/>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bCs/>
          <w:color w:val="000000" w:themeColor="text1"/>
          <w:sz w:val="21"/>
          <w:szCs w:val="21"/>
          <w:highlight w:val="none"/>
          <w14:textFill>
            <w14:solidFill>
              <w14:schemeClr w14:val="tx1"/>
            </w14:solidFill>
          </w14:textFill>
        </w:rPr>
        <w:t>3</w:t>
      </w:r>
      <w:r>
        <w:rPr>
          <w:rFonts w:hint="eastAsia" w:ascii="Times New Roman" w:hAnsi="Times New Roman" w:eastAsia="黑体"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黑体" w:cs="Times New Roman"/>
          <w:b/>
          <w:bCs/>
          <w:color w:val="000000" w:themeColor="text1"/>
          <w:sz w:val="21"/>
          <w:szCs w:val="21"/>
          <w:highlight w:val="none"/>
          <w14:textFill>
            <w14:solidFill>
              <w14:schemeClr w14:val="tx1"/>
            </w14:solidFill>
          </w14:textFill>
        </w:rPr>
        <w:t>.履行合同</w:t>
      </w:r>
    </w:p>
    <w:p w14:paraId="5622E674">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143" w:name="_Toc308164814"/>
      <w:bookmarkStart w:id="144" w:name="_Toc217446070"/>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.1采购人与成交供应商签订合同后，政府采购合同的履行、违约责任和解决争议的方法等适用《中华人民共和国民法典》。合同双方应严格执行合同条款，履行合同规定的义务，保证合同的顺利完成。双方均不</w:t>
      </w:r>
      <w:r>
        <w:rPr>
          <w:rFonts w:hint="eastAsia" w:ascii="Times New Roman" w:hAnsi="Times New Roman" w:eastAsia="宋体" w:cs="Times New Roman"/>
          <w:color w:val="000000" w:themeColor="text1"/>
          <w:sz w:val="21"/>
          <w:szCs w:val="21"/>
          <w:highlight w:val="none"/>
          <w14:textFill>
            <w14:solidFill>
              <w14:schemeClr w14:val="tx1"/>
            </w14:solidFill>
          </w14:textFill>
        </w:rPr>
        <w:t>得擅自变更、中止或者终止政府采购合同。</w:t>
      </w:r>
    </w:p>
    <w:p w14:paraId="0E3257A0">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14:textFill>
            <w14:solidFill>
              <w14:schemeClr w14:val="tx1"/>
            </w14:solidFill>
          </w14:textFill>
        </w:rPr>
        <w:t>.2对于双方解除合同的情况，应当按照民法典合同编有关规定或者合同约定执行。需要重新选定供应商的，应当重新开展采购活动。</w:t>
      </w:r>
    </w:p>
    <w:p w14:paraId="45AFE6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eastAsia="黑体" w:cs="Times New Roman"/>
          <w:b/>
          <w:bCs/>
          <w:color w:val="000000" w:themeColor="text1"/>
          <w:sz w:val="24"/>
          <w:highlight w:val="none"/>
          <w14:textFill>
            <w14:solidFill>
              <w14:schemeClr w14:val="tx1"/>
            </w14:solidFill>
          </w14:textFill>
        </w:rPr>
        <w:t>.履约验收</w:t>
      </w:r>
      <w:bookmarkEnd w:id="143"/>
      <w:bookmarkEnd w:id="144"/>
    </w:p>
    <w:p w14:paraId="5707BDBF">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.1采购人可以根据政府采购项目具体情况自行组织验收，或者委托政府采购代理机构、国家认可的质量检测机构开展采购项目履约验收工作。</w:t>
      </w:r>
    </w:p>
    <w:p w14:paraId="48734CBC">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005EF04B">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.3采购合同项目完成验收后，采购人应当将验收原始记录、验收书等资料作为该采购项目档案妥善保管，不得伪造、变造、隐匿或者销毁，验收资料保存期为采购结束之日起至少保存15年。</w:t>
      </w:r>
    </w:p>
    <w:p w14:paraId="4674AF8A">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14:textFill>
            <w14:solidFill>
              <w14:schemeClr w14:val="tx1"/>
            </w14:solidFill>
          </w14:textFill>
        </w:rPr>
        <w:t>.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27AC3F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5</w:t>
      </w:r>
      <w:r>
        <w:rPr>
          <w:rFonts w:hint="default" w:ascii="Times New Roman" w:hAnsi="Times New Roman" w:eastAsia="黑体" w:cs="Times New Roman"/>
          <w:b/>
          <w:bCs/>
          <w:color w:val="000000" w:themeColor="text1"/>
          <w:sz w:val="24"/>
          <w:highlight w:val="none"/>
          <w14:textFill>
            <w14:solidFill>
              <w14:schemeClr w14:val="tx1"/>
            </w14:solidFill>
          </w14:textFill>
        </w:rPr>
        <w:t>. 询问、质疑和投诉</w:t>
      </w:r>
    </w:p>
    <w:p w14:paraId="29B1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14:paraId="31CBA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.2供应商认为</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、采购过程或者成交结果使自己的合法权益受到损害的，应当在知道或者应知其权益受到损害之日起7个工作日内，以书面形式向采购人、采购代理机构提出质疑，</w:t>
      </w:r>
      <w:r>
        <w:rPr>
          <w:rFonts w:hint="default" w:ascii="Times New Roman" w:hAnsi="Times New Roman" w:eastAsia="宋体" w:cs="Times New Roman"/>
          <w:color w:val="000000" w:themeColor="text1"/>
          <w:sz w:val="21"/>
          <w:szCs w:val="21"/>
          <w:highlight w:val="none"/>
          <w:shd w:val="clear" w:color="auto" w:fill="FFFFFF"/>
          <w14:textFill>
            <w14:solidFill>
              <w14:schemeClr w14:val="tx1"/>
            </w14:solidFill>
          </w14:textFill>
        </w:rPr>
        <w:t>接收质疑函的方式、联系部门、联系电话和通讯地址等信息详见</w:t>
      </w:r>
      <w:r>
        <w:rPr>
          <w:rFonts w:hint="default" w:ascii="Times New Roman" w:hAnsi="Times New Roman" w:eastAsia="宋体" w:cs="Times New Roman"/>
          <w:color w:val="000000" w:themeColor="text1"/>
          <w:sz w:val="21"/>
          <w:szCs w:val="21"/>
          <w:highlight w:val="none"/>
          <w14:textFill>
            <w14:solidFill>
              <w14:schemeClr w14:val="tx1"/>
            </w14:solidFill>
          </w14:textFill>
        </w:rPr>
        <w:t>“供应商须知前附表”。具体质疑起算时间如下：</w:t>
      </w:r>
    </w:p>
    <w:p w14:paraId="5197CD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（1）对可以质疑的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提出质疑的，为收到</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之日或者竞争性磋商公告期限届满之日；</w:t>
      </w:r>
    </w:p>
    <w:p w14:paraId="48D1B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（2）对采购过程提出质疑的，为各采购程序环节结束之日；</w:t>
      </w:r>
    </w:p>
    <w:p w14:paraId="14650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（3）对成交结果提出质疑的，为成交结果公告期限届满之日。</w:t>
      </w:r>
    </w:p>
    <w:p w14:paraId="3FBDCC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DAC73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default" w:ascii="Times New Roman" w:hAnsi="Times New Roman" w:eastAsia="宋体" w:cs="Times New Roman"/>
          <w:bCs/>
          <w:color w:val="000000" w:themeColor="text1"/>
          <w:sz w:val="21"/>
          <w:szCs w:val="21"/>
          <w:highlight w:val="none"/>
          <w14:textFill>
            <w14:solidFill>
              <w14:schemeClr w14:val="tx1"/>
            </w14:solidFill>
          </w14:textFill>
        </w:rPr>
        <w:t>（质疑函格式后附）</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0A5C7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（1）供应商的姓名或者名称、地址、邮编、联系人及联系电话；</w:t>
      </w:r>
    </w:p>
    <w:p w14:paraId="092CF2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（2）质疑项目的名称、编号；</w:t>
      </w:r>
    </w:p>
    <w:p w14:paraId="483DF8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（3）具体、明确的质疑事项和与质疑事项相关的请求；</w:t>
      </w:r>
    </w:p>
    <w:p w14:paraId="786D8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（4）事实依据；</w:t>
      </w:r>
    </w:p>
    <w:p w14:paraId="5C395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（5）必要的法律依据；</w:t>
      </w:r>
    </w:p>
    <w:p w14:paraId="5C67A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（6）提出质疑的日期。</w:t>
      </w:r>
    </w:p>
    <w:p w14:paraId="72B90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供应商为自然人的，应当由本人签字；供应商为法人或者其他组织的，应当由法定代表人、主要负责人，者其委托代理人签字或</w:t>
      </w:r>
      <w:r>
        <w:rPr>
          <w:rFonts w:hint="eastAsia" w:ascii="Times New Roman" w:hAnsi="Times New Roman" w:cs="Times New Roman"/>
          <w:color w:val="000000" w:themeColor="text1"/>
          <w:sz w:val="21"/>
          <w:szCs w:val="21"/>
          <w:highlight w:val="none"/>
          <w:lang w:eastAsia="zh-CN"/>
          <w14:textFill>
            <w14:solidFill>
              <w14:schemeClr w14:val="tx1"/>
            </w14:solidFill>
          </w14:textFill>
        </w:rPr>
        <w:t>签章</w:t>
      </w:r>
      <w:r>
        <w:rPr>
          <w:rFonts w:hint="default" w:ascii="Times New Roman" w:hAnsi="Times New Roman" w:eastAsia="宋体" w:cs="Times New Roman"/>
          <w:color w:val="000000" w:themeColor="text1"/>
          <w:sz w:val="21"/>
          <w:szCs w:val="21"/>
          <w:highlight w:val="none"/>
          <w14:textFill>
            <w14:solidFill>
              <w14:schemeClr w14:val="tx1"/>
            </w14:solidFill>
          </w14:textFill>
        </w:rPr>
        <w:t>，并加盖</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供应商单位</w:t>
      </w:r>
      <w:r>
        <w:rPr>
          <w:rFonts w:hint="default" w:ascii="Times New Roman" w:hAnsi="Times New Roman" w:eastAsia="宋体" w:cs="Times New Roman"/>
          <w:color w:val="000000" w:themeColor="text1"/>
          <w:sz w:val="21"/>
          <w:szCs w:val="21"/>
          <w:highlight w:val="none"/>
          <w14:textFill>
            <w14:solidFill>
              <w14:schemeClr w14:val="tx1"/>
            </w14:solidFill>
          </w14:textFill>
        </w:rPr>
        <w:t>公章。</w:t>
      </w:r>
    </w:p>
    <w:p w14:paraId="772CC2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.5采购人、采购代理机构认为供应商质疑不成立，或者成立但未对成交结果构成影响的，继续开展采购活动；认为供应商质疑成立且影响或者可能影响成交结果的，按照下列情况处理：</w:t>
      </w:r>
    </w:p>
    <w:p w14:paraId="376E5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25B405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A9C9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质疑答复导致成交结果改变的，采购人或者采购代理机构应当将有关情况书面报告本级财政部门。</w:t>
      </w:r>
    </w:p>
    <w:p w14:paraId="4D8E4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4BB3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6</w:t>
      </w:r>
      <w:r>
        <w:rPr>
          <w:rFonts w:hint="default" w:ascii="Times New Roman" w:hAnsi="Times New Roman" w:eastAsia="黑体" w:cs="Times New Roman"/>
          <w:b/>
          <w:bCs/>
          <w:color w:val="000000" w:themeColor="text1"/>
          <w:sz w:val="24"/>
          <w:highlight w:val="none"/>
          <w14:textFill>
            <w14:solidFill>
              <w14:schemeClr w14:val="tx1"/>
            </w14:solidFill>
          </w14:textFill>
        </w:rPr>
        <w:t>.其他内容</w:t>
      </w:r>
    </w:p>
    <w:p w14:paraId="635A4B7F">
      <w:pPr>
        <w:keepNext w:val="0"/>
        <w:keepLines w:val="0"/>
        <w:pageBreakBefore w:val="0"/>
        <w:widowControl w:val="0"/>
        <w:tabs>
          <w:tab w:val="left" w:pos="2835"/>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.1代理服务收费标准及缴费账户详见“供应商须知前附表”，供应商为联合体的，可以由联合体中的一方或者多方共同交纳代理服务费。</w:t>
      </w:r>
    </w:p>
    <w:p w14:paraId="2EE90FD0">
      <w:pPr>
        <w:keepNext w:val="0"/>
        <w:keepLines w:val="0"/>
        <w:pageBreakBefore w:val="0"/>
        <w:widowControl w:val="0"/>
        <w:tabs>
          <w:tab w:val="left" w:pos="2835"/>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.2代理服务费收费计算标准：</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1"/>
        <w:gridCol w:w="1841"/>
        <w:gridCol w:w="1705"/>
      </w:tblGrid>
      <w:tr w14:paraId="0EE4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3472" w:type="dxa"/>
            <w:tcBorders>
              <w:tl2br w:val="single" w:color="auto" w:sz="4" w:space="0"/>
            </w:tcBorders>
            <w:noWrap w:val="0"/>
            <w:vAlign w:val="top"/>
          </w:tcPr>
          <w:p w14:paraId="363BCEC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费率</w:t>
            </w:r>
          </w:p>
          <w:p w14:paraId="00FC354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金额</w:t>
            </w:r>
          </w:p>
        </w:tc>
        <w:tc>
          <w:tcPr>
            <w:tcW w:w="1841" w:type="dxa"/>
            <w:noWrap w:val="0"/>
            <w:vAlign w:val="center"/>
          </w:tcPr>
          <w:p w14:paraId="0188194E">
            <w:pPr>
              <w:keepNext w:val="0"/>
              <w:keepLines w:val="0"/>
              <w:pageBreakBefore w:val="0"/>
              <w:widowControl w:val="0"/>
              <w:kinsoku/>
              <w:wordWrap/>
              <w:overflowPunct/>
              <w:topLinePunct w:val="0"/>
              <w:autoSpaceDE/>
              <w:autoSpaceDN/>
              <w:bidi w:val="0"/>
              <w:adjustRightInd/>
              <w:snapToGrid/>
              <w:spacing w:line="360" w:lineRule="auto"/>
              <w:ind w:firstLine="105" w:firstLineChars="5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货物类</w:t>
            </w:r>
          </w:p>
        </w:tc>
        <w:tc>
          <w:tcPr>
            <w:tcW w:w="1841" w:type="dxa"/>
            <w:noWrap w:val="0"/>
            <w:vAlign w:val="center"/>
          </w:tcPr>
          <w:p w14:paraId="13C1B1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服务类</w:t>
            </w:r>
          </w:p>
        </w:tc>
        <w:tc>
          <w:tcPr>
            <w:tcW w:w="1705" w:type="dxa"/>
            <w:noWrap w:val="0"/>
            <w:vAlign w:val="center"/>
          </w:tcPr>
          <w:p w14:paraId="180A5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工程类</w:t>
            </w:r>
          </w:p>
        </w:tc>
      </w:tr>
      <w:tr w14:paraId="5086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68D5F2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100万元以下</w:t>
            </w:r>
          </w:p>
        </w:tc>
        <w:tc>
          <w:tcPr>
            <w:tcW w:w="1841" w:type="dxa"/>
            <w:noWrap w:val="0"/>
            <w:vAlign w:val="center"/>
          </w:tcPr>
          <w:p w14:paraId="2E578DE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1.5%</w:t>
            </w:r>
          </w:p>
        </w:tc>
        <w:tc>
          <w:tcPr>
            <w:tcW w:w="1841" w:type="dxa"/>
            <w:noWrap w:val="0"/>
            <w:vAlign w:val="center"/>
          </w:tcPr>
          <w:p w14:paraId="0F7CCA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1.5%</w:t>
            </w:r>
          </w:p>
        </w:tc>
        <w:tc>
          <w:tcPr>
            <w:tcW w:w="1705" w:type="dxa"/>
            <w:noWrap w:val="0"/>
            <w:vAlign w:val="center"/>
          </w:tcPr>
          <w:p w14:paraId="0A372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p>
        </w:tc>
      </w:tr>
      <w:tr w14:paraId="3C11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42EAC2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100～500万元</w:t>
            </w:r>
          </w:p>
        </w:tc>
        <w:tc>
          <w:tcPr>
            <w:tcW w:w="1841" w:type="dxa"/>
            <w:noWrap w:val="0"/>
            <w:vAlign w:val="center"/>
          </w:tcPr>
          <w:p w14:paraId="39A0CE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1.1%</w:t>
            </w:r>
          </w:p>
        </w:tc>
        <w:tc>
          <w:tcPr>
            <w:tcW w:w="1841" w:type="dxa"/>
            <w:noWrap w:val="0"/>
            <w:vAlign w:val="center"/>
          </w:tcPr>
          <w:p w14:paraId="461C72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0.8%</w:t>
            </w:r>
          </w:p>
        </w:tc>
        <w:tc>
          <w:tcPr>
            <w:tcW w:w="1705" w:type="dxa"/>
            <w:noWrap w:val="0"/>
            <w:vAlign w:val="center"/>
          </w:tcPr>
          <w:p w14:paraId="5B5F60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0.7%</w:t>
            </w:r>
          </w:p>
        </w:tc>
      </w:tr>
      <w:tr w14:paraId="395F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7573351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500～1000万元</w:t>
            </w:r>
          </w:p>
        </w:tc>
        <w:tc>
          <w:tcPr>
            <w:tcW w:w="1841" w:type="dxa"/>
            <w:noWrap w:val="0"/>
            <w:vAlign w:val="center"/>
          </w:tcPr>
          <w:p w14:paraId="127E61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0.8%</w:t>
            </w:r>
          </w:p>
        </w:tc>
        <w:tc>
          <w:tcPr>
            <w:tcW w:w="1841" w:type="dxa"/>
            <w:noWrap w:val="0"/>
            <w:vAlign w:val="center"/>
          </w:tcPr>
          <w:p w14:paraId="669A7D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0.45%</w:t>
            </w:r>
          </w:p>
        </w:tc>
        <w:tc>
          <w:tcPr>
            <w:tcW w:w="1705" w:type="dxa"/>
            <w:noWrap w:val="0"/>
            <w:vAlign w:val="center"/>
          </w:tcPr>
          <w:p w14:paraId="3DAA25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0.55%</w:t>
            </w:r>
          </w:p>
        </w:tc>
      </w:tr>
      <w:tr w14:paraId="3CE8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2AD8D1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1000～5000万元</w:t>
            </w:r>
          </w:p>
        </w:tc>
        <w:tc>
          <w:tcPr>
            <w:tcW w:w="1841" w:type="dxa"/>
            <w:noWrap w:val="0"/>
            <w:vAlign w:val="center"/>
          </w:tcPr>
          <w:p w14:paraId="43C82F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0.5%</w:t>
            </w:r>
          </w:p>
        </w:tc>
        <w:tc>
          <w:tcPr>
            <w:tcW w:w="1841" w:type="dxa"/>
            <w:noWrap w:val="0"/>
            <w:vAlign w:val="center"/>
          </w:tcPr>
          <w:p w14:paraId="626544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0.25%</w:t>
            </w:r>
          </w:p>
        </w:tc>
        <w:tc>
          <w:tcPr>
            <w:tcW w:w="1705" w:type="dxa"/>
            <w:noWrap w:val="0"/>
            <w:vAlign w:val="center"/>
          </w:tcPr>
          <w:p w14:paraId="006990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0.35%</w:t>
            </w:r>
          </w:p>
        </w:tc>
      </w:tr>
      <w:tr w14:paraId="26C6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7EA861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5000万元～1亿元</w:t>
            </w:r>
          </w:p>
        </w:tc>
        <w:tc>
          <w:tcPr>
            <w:tcW w:w="1841" w:type="dxa"/>
            <w:noWrap w:val="0"/>
            <w:vAlign w:val="center"/>
          </w:tcPr>
          <w:p w14:paraId="1CAB4E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0.25%</w:t>
            </w:r>
          </w:p>
        </w:tc>
        <w:tc>
          <w:tcPr>
            <w:tcW w:w="1841" w:type="dxa"/>
            <w:noWrap w:val="0"/>
            <w:vAlign w:val="center"/>
          </w:tcPr>
          <w:p w14:paraId="3BB891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0.1%</w:t>
            </w:r>
          </w:p>
        </w:tc>
        <w:tc>
          <w:tcPr>
            <w:tcW w:w="1705" w:type="dxa"/>
            <w:noWrap w:val="0"/>
            <w:vAlign w:val="center"/>
          </w:tcPr>
          <w:p w14:paraId="62EDAE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0.2%</w:t>
            </w:r>
          </w:p>
        </w:tc>
      </w:tr>
      <w:tr w14:paraId="309B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271D10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1～5亿元</w:t>
            </w:r>
          </w:p>
        </w:tc>
        <w:tc>
          <w:tcPr>
            <w:tcW w:w="1841" w:type="dxa"/>
            <w:noWrap w:val="0"/>
            <w:vAlign w:val="center"/>
          </w:tcPr>
          <w:p w14:paraId="2E0EFB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c>
          <w:tcPr>
            <w:tcW w:w="1841" w:type="dxa"/>
            <w:noWrap w:val="0"/>
            <w:vAlign w:val="center"/>
          </w:tcPr>
          <w:p w14:paraId="258176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c>
          <w:tcPr>
            <w:tcW w:w="1705" w:type="dxa"/>
            <w:noWrap w:val="0"/>
            <w:vAlign w:val="center"/>
          </w:tcPr>
          <w:p w14:paraId="7A4DAB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0.05%</w:t>
            </w:r>
          </w:p>
        </w:tc>
      </w:tr>
      <w:tr w14:paraId="1B1C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49F0C90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5～10亿元</w:t>
            </w:r>
          </w:p>
        </w:tc>
        <w:tc>
          <w:tcPr>
            <w:tcW w:w="1841" w:type="dxa"/>
            <w:noWrap w:val="0"/>
            <w:vAlign w:val="center"/>
          </w:tcPr>
          <w:p w14:paraId="1853EE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0.035%</w:t>
            </w:r>
          </w:p>
        </w:tc>
        <w:tc>
          <w:tcPr>
            <w:tcW w:w="1841" w:type="dxa"/>
            <w:noWrap w:val="0"/>
            <w:vAlign w:val="center"/>
          </w:tcPr>
          <w:p w14:paraId="3AA0B6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0.035%</w:t>
            </w:r>
          </w:p>
        </w:tc>
        <w:tc>
          <w:tcPr>
            <w:tcW w:w="1705" w:type="dxa"/>
            <w:noWrap w:val="0"/>
            <w:vAlign w:val="center"/>
          </w:tcPr>
          <w:p w14:paraId="66AB34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0.035%</w:t>
            </w:r>
          </w:p>
        </w:tc>
      </w:tr>
      <w:tr w14:paraId="1E42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0D952A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10～50亿元</w:t>
            </w:r>
          </w:p>
        </w:tc>
        <w:tc>
          <w:tcPr>
            <w:tcW w:w="1841" w:type="dxa"/>
            <w:noWrap w:val="0"/>
            <w:vAlign w:val="center"/>
          </w:tcPr>
          <w:p w14:paraId="4BC4CA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0.008%</w:t>
            </w:r>
          </w:p>
        </w:tc>
        <w:tc>
          <w:tcPr>
            <w:tcW w:w="1841" w:type="dxa"/>
            <w:noWrap w:val="0"/>
            <w:vAlign w:val="center"/>
          </w:tcPr>
          <w:p w14:paraId="2BA210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0.008%</w:t>
            </w:r>
          </w:p>
        </w:tc>
        <w:tc>
          <w:tcPr>
            <w:tcW w:w="1705" w:type="dxa"/>
            <w:noWrap w:val="0"/>
            <w:vAlign w:val="center"/>
          </w:tcPr>
          <w:p w14:paraId="3528B6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0.008%</w:t>
            </w:r>
          </w:p>
        </w:tc>
      </w:tr>
      <w:tr w14:paraId="6775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7CF81E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50～100亿元</w:t>
            </w:r>
          </w:p>
        </w:tc>
        <w:tc>
          <w:tcPr>
            <w:tcW w:w="1841" w:type="dxa"/>
            <w:noWrap w:val="0"/>
            <w:vAlign w:val="center"/>
          </w:tcPr>
          <w:p w14:paraId="005806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0.006%</w:t>
            </w:r>
          </w:p>
        </w:tc>
        <w:tc>
          <w:tcPr>
            <w:tcW w:w="1841" w:type="dxa"/>
            <w:noWrap w:val="0"/>
            <w:vAlign w:val="center"/>
          </w:tcPr>
          <w:p w14:paraId="7A9855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0.006%</w:t>
            </w:r>
          </w:p>
        </w:tc>
        <w:tc>
          <w:tcPr>
            <w:tcW w:w="1705" w:type="dxa"/>
            <w:noWrap w:val="0"/>
            <w:vAlign w:val="center"/>
          </w:tcPr>
          <w:p w14:paraId="16B546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0.006%</w:t>
            </w:r>
          </w:p>
        </w:tc>
      </w:tr>
      <w:tr w14:paraId="3685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72" w:type="dxa"/>
            <w:noWrap w:val="0"/>
            <w:vAlign w:val="top"/>
          </w:tcPr>
          <w:p w14:paraId="7FB614E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100亿以上</w:t>
            </w:r>
          </w:p>
        </w:tc>
        <w:tc>
          <w:tcPr>
            <w:tcW w:w="1841" w:type="dxa"/>
            <w:noWrap w:val="0"/>
            <w:vAlign w:val="center"/>
          </w:tcPr>
          <w:p w14:paraId="73B0E4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0.004%</w:t>
            </w:r>
          </w:p>
        </w:tc>
        <w:tc>
          <w:tcPr>
            <w:tcW w:w="1841" w:type="dxa"/>
            <w:noWrap w:val="0"/>
            <w:vAlign w:val="center"/>
          </w:tcPr>
          <w:p w14:paraId="2A9A73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0.004%</w:t>
            </w:r>
          </w:p>
        </w:tc>
        <w:tc>
          <w:tcPr>
            <w:tcW w:w="1705" w:type="dxa"/>
            <w:noWrap w:val="0"/>
            <w:vAlign w:val="center"/>
          </w:tcPr>
          <w:p w14:paraId="659F95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0.004%</w:t>
            </w:r>
          </w:p>
        </w:tc>
      </w:tr>
    </w:tbl>
    <w:p w14:paraId="4643F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注：</w:t>
      </w:r>
    </w:p>
    <w:p w14:paraId="5C7D3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（1）按本表费率计算的收费为采购代理的收费基准价格；</w:t>
      </w:r>
    </w:p>
    <w:p w14:paraId="305FC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（2）采购代理收费按差额定率累进法计算。</w:t>
      </w:r>
    </w:p>
    <w:p w14:paraId="346DFB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例如：某</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工程</w:t>
      </w:r>
      <w:r>
        <w:rPr>
          <w:rFonts w:hint="default" w:ascii="Times New Roman" w:hAnsi="Times New Roman" w:eastAsia="宋体" w:cs="Times New Roman"/>
          <w:color w:val="000000" w:themeColor="text1"/>
          <w:sz w:val="21"/>
          <w:szCs w:val="21"/>
          <w:highlight w:val="none"/>
          <w14:textFill>
            <w14:solidFill>
              <w14:schemeClr w14:val="tx1"/>
            </w14:solidFill>
          </w14:textFill>
        </w:rPr>
        <w:t>采购代理业务成交金额或者暂定价为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200</w:t>
      </w:r>
      <w:r>
        <w:rPr>
          <w:rFonts w:hint="default" w:ascii="Times New Roman" w:hAnsi="Times New Roman" w:eastAsia="宋体" w:cs="Times New Roman"/>
          <w:color w:val="000000" w:themeColor="text1"/>
          <w:sz w:val="21"/>
          <w:szCs w:val="21"/>
          <w:highlight w:val="none"/>
          <w14:textFill>
            <w14:solidFill>
              <w14:schemeClr w14:val="tx1"/>
            </w14:solidFill>
          </w14:textFill>
        </w:rPr>
        <w:t>万元，计算采购代理收费额如下：</w:t>
      </w:r>
    </w:p>
    <w:p w14:paraId="261EA7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1"/>
          <w:szCs w:val="21"/>
          <w:highlight w:val="none"/>
          <w14:textFill>
            <w14:solidFill>
              <w14:schemeClr w14:val="tx1"/>
            </w14:solidFill>
          </w14:textFill>
        </w:rPr>
        <w:t>万元×l%＝</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万元</w:t>
      </w:r>
    </w:p>
    <w:p w14:paraId="2C30EE32">
      <w:pPr>
        <w:pStyle w:val="30"/>
        <w:keepNext w:val="0"/>
        <w:keepLines w:val="0"/>
        <w:pageBreakBefore w:val="0"/>
        <w:widowControl w:val="0"/>
        <w:kinsoku/>
        <w:wordWrap/>
        <w:overflowPunct/>
        <w:topLinePunct w:val="0"/>
        <w:bidi w:val="0"/>
        <w:adjustRightInd/>
        <w:spacing w:line="360" w:lineRule="auto"/>
        <w:ind w:firstLine="210" w:firstLineChars="1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（200-100）</w:t>
      </w:r>
      <w:r>
        <w:rPr>
          <w:rFonts w:hint="default" w:ascii="Times New Roman" w:hAnsi="Times New Roman" w:eastAsia="宋体" w:cs="Times New Roman"/>
          <w:color w:val="000000" w:themeColor="text1"/>
          <w:sz w:val="21"/>
          <w:szCs w:val="21"/>
          <w:highlight w:val="none"/>
          <w14:textFill>
            <w14:solidFill>
              <w14:schemeClr w14:val="tx1"/>
            </w14:solidFill>
          </w14:textFill>
        </w:rPr>
        <w:t>万元×</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0.7</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=0.7万元</w:t>
      </w:r>
    </w:p>
    <w:p w14:paraId="236E3F16">
      <w:pPr>
        <w:pStyle w:val="30"/>
        <w:keepNext w:val="0"/>
        <w:keepLines w:val="0"/>
        <w:pageBreakBefore w:val="0"/>
        <w:widowControl w:val="0"/>
        <w:kinsoku/>
        <w:wordWrap/>
        <w:overflowPunct/>
        <w:topLinePunct w:val="0"/>
        <w:bidi w:val="0"/>
        <w:adjustRightInd/>
        <w:spacing w:line="360" w:lineRule="auto"/>
        <w:ind w:firstLine="420" w:firstLineChars="20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合计：1万元+0.7万元=1.7万元</w:t>
      </w:r>
    </w:p>
    <w:p w14:paraId="7B15F3F8">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default" w:ascii="Times New Roman" w:hAnsi="Times New Roman" w:eastAsia="黑体" w:cs="Times New Roman"/>
          <w:b/>
          <w:bCs/>
          <w:color w:val="000000" w:themeColor="text1"/>
          <w:sz w:val="24"/>
          <w:highlight w:val="none"/>
          <w14:textFill>
            <w14:solidFill>
              <w14:schemeClr w14:val="tx1"/>
            </w14:solidFill>
          </w14:textFill>
        </w:rPr>
      </w:pPr>
      <w:r>
        <w:rPr>
          <w:rFonts w:hint="default" w:ascii="Times New Roman" w:hAnsi="Times New Roman" w:eastAsia="黑体" w:cs="Times New Roman"/>
          <w:b/>
          <w:bCs/>
          <w:color w:val="000000" w:themeColor="text1"/>
          <w:sz w:val="24"/>
          <w:highlight w:val="none"/>
          <w14:textFill>
            <w14:solidFill>
              <w14:schemeClr w14:val="tx1"/>
            </w14:solidFill>
          </w14:textFill>
        </w:rPr>
        <w:t>3</w:t>
      </w:r>
      <w:r>
        <w:rPr>
          <w:rFonts w:hint="eastAsia" w:ascii="Times New Roman" w:hAnsi="Times New Roman" w:eastAsia="黑体" w:cs="Times New Roman"/>
          <w:b/>
          <w:bCs/>
          <w:color w:val="000000" w:themeColor="text1"/>
          <w:sz w:val="24"/>
          <w:highlight w:val="none"/>
          <w:lang w:val="en-US" w:eastAsia="zh-CN"/>
          <w14:textFill>
            <w14:solidFill>
              <w14:schemeClr w14:val="tx1"/>
            </w14:solidFill>
          </w14:textFill>
        </w:rPr>
        <w:t>7</w:t>
      </w:r>
      <w:r>
        <w:rPr>
          <w:rFonts w:hint="default" w:ascii="Times New Roman" w:hAnsi="Times New Roman" w:eastAsia="黑体" w:cs="Times New Roman"/>
          <w:b/>
          <w:bCs/>
          <w:color w:val="000000" w:themeColor="text1"/>
          <w:sz w:val="24"/>
          <w:highlight w:val="none"/>
          <w14:textFill>
            <w14:solidFill>
              <w14:schemeClr w14:val="tx1"/>
            </w14:solidFill>
          </w14:textFill>
        </w:rPr>
        <w:t>.需要补充的其他内容</w:t>
      </w:r>
    </w:p>
    <w:p w14:paraId="15EB8FF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3</w:t>
      </w:r>
      <w:r>
        <w:rPr>
          <w:rFonts w:hint="eastAsia" w:ascii="Times New Roman" w:hAnsi="Times New Roman" w:cs="Times New Roman"/>
          <w:color w:val="000000" w:themeColor="text1"/>
          <w:kern w:val="2"/>
          <w:sz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.1本</w:t>
      </w:r>
      <w:r>
        <w:rPr>
          <w:rFonts w:hint="eastAsia" w:ascii="Times New Roman" w:hAnsi="Times New Roman" w:cs="Times New Roman"/>
          <w:color w:val="000000" w:themeColor="text1"/>
          <w:kern w:val="2"/>
          <w:sz w:val="21"/>
          <w:highlight w:val="none"/>
          <w:lang w:val="en-US" w:eastAsia="zh-CN"/>
          <w14:textFill>
            <w14:solidFill>
              <w14:schemeClr w14:val="tx1"/>
            </w14:solidFill>
          </w14:textFill>
        </w:rPr>
        <w:t>竞争性磋商文件</w:t>
      </w: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解释规则详见“供应商须知前附表”。</w:t>
      </w:r>
    </w:p>
    <w:p w14:paraId="11865F0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3</w:t>
      </w:r>
      <w:r>
        <w:rPr>
          <w:rFonts w:hint="eastAsia" w:ascii="Times New Roman" w:hAnsi="Times New Roman" w:cs="Times New Roman"/>
          <w:color w:val="000000" w:themeColor="text1"/>
          <w:kern w:val="2"/>
          <w:sz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.2 其他事项详见“供应商须知前附表”。</w:t>
      </w:r>
    </w:p>
    <w:p w14:paraId="2C3B35B7">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3</w:t>
      </w:r>
      <w:r>
        <w:rPr>
          <w:rFonts w:hint="eastAsia" w:ascii="Times New Roman" w:hAnsi="Times New Roman" w:cs="Times New Roman"/>
          <w:color w:val="000000" w:themeColor="text1"/>
          <w:kern w:val="2"/>
          <w:sz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为符合政策要求的中小企业</w:t>
      </w:r>
      <w:r>
        <w:rPr>
          <w:rFonts w:hint="default" w:ascii="Times New Roman" w:hAnsi="Times New Roman" w:eastAsia="宋体" w:cs="Times New Roman"/>
          <w:color w:val="000000" w:themeColor="text1"/>
          <w:sz w:val="21"/>
          <w:highlight w:val="none"/>
          <w14:textFill>
            <w14:solidFill>
              <w14:schemeClr w14:val="tx1"/>
            </w14:solidFill>
          </w14:textFill>
        </w:rPr>
        <w:t>，即</w:t>
      </w:r>
      <w:r>
        <w:rPr>
          <w:rFonts w:hint="eastAsia" w:ascii="Times New Roman" w:hAnsi="Times New Roman" w:cs="Times New Roman"/>
          <w:color w:val="000000" w:themeColor="text1"/>
          <w:sz w:val="21"/>
          <w:highlight w:val="none"/>
          <w:lang w:eastAsia="zh-CN"/>
          <w14:textFill>
            <w14:solidFill>
              <w14:schemeClr w14:val="tx1"/>
            </w14:solidFill>
          </w14:textFill>
        </w:rPr>
        <w:t>承接工程</w:t>
      </w:r>
      <w:r>
        <w:rPr>
          <w:rFonts w:hint="default" w:ascii="Times New Roman" w:hAnsi="Times New Roman" w:eastAsia="宋体" w:cs="Times New Roman"/>
          <w:color w:val="000000" w:themeColor="text1"/>
          <w:sz w:val="21"/>
          <w:highlight w:val="none"/>
          <w14:textFill>
            <w14:solidFill>
              <w14:schemeClr w14:val="tx1"/>
            </w14:solidFill>
          </w14:textFill>
        </w:rPr>
        <w:t>的人员为中小企业依照《中华人民共和国</w:t>
      </w:r>
      <w:r>
        <w:rPr>
          <w:rFonts w:hint="eastAsia" w:ascii="Times New Roman" w:hAnsi="Times New Roman" w:eastAsia="宋体" w:cs="Times New Roman"/>
          <w:color w:val="000000" w:themeColor="text1"/>
          <w:sz w:val="21"/>
          <w:highlight w:val="none"/>
          <w:lang w:eastAsia="zh-CN"/>
          <w14:textFill>
            <w14:solidFill>
              <w14:schemeClr w14:val="tx1"/>
            </w14:solidFill>
          </w14:textFill>
        </w:rPr>
        <w:t>民法典</w:t>
      </w:r>
      <w:r>
        <w:rPr>
          <w:rFonts w:hint="default" w:ascii="Times New Roman" w:hAnsi="Times New Roman" w:eastAsia="宋体" w:cs="Times New Roman"/>
          <w:color w:val="000000" w:themeColor="text1"/>
          <w:sz w:val="21"/>
          <w:highlight w:val="none"/>
          <w14:textFill>
            <w14:solidFill>
              <w14:schemeClr w14:val="tx1"/>
            </w14:solidFill>
          </w14:textFill>
        </w:rPr>
        <w:t>》订立劳动合同的从业人员</w:t>
      </w: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，享受本文件规定的中小企业扶持政策。</w:t>
      </w:r>
    </w:p>
    <w:p w14:paraId="2AD022C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highlight w:val="none"/>
          <w:lang w:val="en-US" w:eastAsia="zh-CN"/>
          <w14:textFill>
            <w14:solidFill>
              <w14:schemeClr w14:val="tx1"/>
            </w14:solidFill>
          </w14:textFill>
        </w:rPr>
        <w:t>依据本文件规定享受扶持政策获得政府采购合同的，小微企业不得将合同分包给大中型企业，中型企业不得将合同分包给大型企业。</w:t>
      </w:r>
      <w:bookmarkEnd w:id="139"/>
      <w:bookmarkEnd w:id="140"/>
      <w:bookmarkStart w:id="145" w:name="_TOC_250009"/>
      <w:bookmarkEnd w:id="145"/>
      <w:bookmarkStart w:id="146" w:name="_Toc12040"/>
      <w:bookmarkStart w:id="147" w:name="_Toc500469693"/>
      <w:bookmarkStart w:id="148" w:name="_Toc500469584"/>
    </w:p>
    <w:p w14:paraId="61AF4479">
      <w:pPr>
        <w:keepNext w:val="0"/>
        <w:keepLines w:val="0"/>
        <w:pageBreakBefore w:val="0"/>
        <w:widowControl w:val="0"/>
        <w:kinsoku/>
        <w:wordWrap/>
        <w:overflowPunct/>
        <w:topLinePunct w:val="0"/>
        <w:bidi w:val="0"/>
        <w:adjustRightInd/>
        <w:snapToGrid/>
        <w:spacing w:line="360" w:lineRule="auto"/>
        <w:rPr>
          <w:rFonts w:hint="default" w:ascii="Times New Roman" w:hAnsi="Times New Roman" w:eastAsia="宋体" w:cs="Times New Roman"/>
          <w:b/>
          <w:bCs w:val="0"/>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kern w:val="0"/>
          <w:sz w:val="28"/>
          <w:szCs w:val="28"/>
          <w:highlight w:val="none"/>
          <w:lang w:val="en-US" w:eastAsia="zh-CN" w:bidi="ar-SA"/>
          <w14:textFill>
            <w14:solidFill>
              <w14:schemeClr w14:val="tx1"/>
            </w14:solidFill>
          </w14:textFill>
        </w:rPr>
        <w:br w:type="page"/>
      </w:r>
    </w:p>
    <w:p w14:paraId="4846A5D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hAnsi="宋体"/>
          <w:color w:val="000000" w:themeColor="text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8"/>
          <w:szCs w:val="28"/>
          <w:highlight w:val="none"/>
          <w:lang w:val="en-US" w:eastAsia="zh-CN" w:bidi="ar-SA"/>
          <w14:textFill>
            <w14:solidFill>
              <w14:schemeClr w14:val="tx1"/>
            </w14:solidFill>
          </w14:textFill>
        </w:rPr>
        <w:t>附件1：</w:t>
      </w:r>
    </w:p>
    <w:p w14:paraId="64A1BC71">
      <w:pPr>
        <w:keepNext w:val="0"/>
        <w:keepLines w:val="0"/>
        <w:pageBreakBefore w:val="0"/>
        <w:widowControl/>
        <w:shd w:val="clear" w:color="auto" w:fill="FFFFFF"/>
        <w:kinsoku/>
        <w:wordWrap/>
        <w:overflowPunct/>
        <w:topLinePunct w:val="0"/>
        <w:autoSpaceDE/>
        <w:autoSpaceDN/>
        <w:bidi w:val="0"/>
        <w:adjustRightInd/>
        <w:snapToGrid/>
        <w:spacing w:after="477" w:afterLines="150" w:line="700" w:lineRule="exact"/>
        <w:jc w:val="center"/>
        <w:textAlignment w:val="auto"/>
        <w:rPr>
          <w:rFonts w:hint="eastAsia"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政府采购项目合同验收书（格式）</w:t>
      </w:r>
    </w:p>
    <w:p w14:paraId="10620FC3">
      <w:pPr>
        <w:keepNext w:val="0"/>
        <w:keepLines w:val="0"/>
        <w:pageBreakBefore w:val="0"/>
        <w:widowControl/>
        <w:shd w:val="clear" w:color="auto" w:fill="FFFFFF"/>
        <w:kinsoku/>
        <w:wordWrap/>
        <w:overflowPunct/>
        <w:topLinePunct w:val="0"/>
        <w:autoSpaceDE/>
        <w:autoSpaceDN/>
        <w:bidi w:val="0"/>
        <w:adjustRightInd/>
        <w:snapToGrid w:val="0"/>
        <w:spacing w:beforeAutospacing="0" w:after="96" w:afterLines="30" w:afterAutospacing="0" w:line="410" w:lineRule="exact"/>
        <w:ind w:firstLine="482"/>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根据政府采购项目（</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采购合同编号：</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softHyphen/>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）的约定，我单位对（</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项目名称</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政府采购项目成交供应商（</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公司名称</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提供的</w:t>
      </w:r>
      <w:r>
        <w:rPr>
          <w:rFonts w:hint="eastAsia" w:ascii="宋体" w:hAnsi="宋体" w:eastAsia="宋体" w:cs="宋体"/>
          <w:color w:val="000000" w:themeColor="text1"/>
          <w:kern w:val="0"/>
          <w:sz w:val="21"/>
          <w:szCs w:val="21"/>
          <w:highlight w:val="none"/>
          <w14:textFill>
            <w14:solidFill>
              <w14:schemeClr w14:val="tx1"/>
            </w14:solidFill>
          </w14:textFill>
        </w:rPr>
        <w:t>工程进行了验收，验收情况如下：</w:t>
      </w:r>
    </w:p>
    <w:tbl>
      <w:tblPr>
        <w:tblStyle w:val="43"/>
        <w:tblW w:w="0" w:type="auto"/>
        <w:jc w:val="center"/>
        <w:tblLayout w:type="fixed"/>
        <w:tblCellMar>
          <w:top w:w="0" w:type="dxa"/>
          <w:left w:w="0" w:type="dxa"/>
          <w:bottom w:w="0" w:type="dxa"/>
          <w:right w:w="0" w:type="dxa"/>
        </w:tblCellMar>
      </w:tblPr>
      <w:tblGrid>
        <w:gridCol w:w="1025"/>
        <w:gridCol w:w="825"/>
        <w:gridCol w:w="1489"/>
        <w:gridCol w:w="932"/>
        <w:gridCol w:w="102"/>
        <w:gridCol w:w="2002"/>
        <w:gridCol w:w="178"/>
        <w:gridCol w:w="685"/>
        <w:gridCol w:w="1569"/>
      </w:tblGrid>
      <w:tr w14:paraId="34C8F4CA">
        <w:tblPrEx>
          <w:tblCellMar>
            <w:top w:w="0" w:type="dxa"/>
            <w:left w:w="0" w:type="dxa"/>
            <w:bottom w:w="0" w:type="dxa"/>
            <w:right w:w="0" w:type="dxa"/>
          </w:tblCellMar>
        </w:tblPrEx>
        <w:trPr>
          <w:trHeight w:val="497" w:hRule="atLeast"/>
          <w:jc w:val="center"/>
        </w:trPr>
        <w:tc>
          <w:tcPr>
            <w:tcW w:w="3339" w:type="dxa"/>
            <w:gridSpan w:val="3"/>
            <w:tcBorders>
              <w:top w:val="single" w:color="auto" w:sz="8" w:space="0"/>
              <w:left w:val="single" w:color="auto" w:sz="8" w:space="0"/>
              <w:bottom w:val="single" w:color="auto" w:sz="8" w:space="0"/>
              <w:right w:val="single" w:color="auto" w:sz="8" w:space="0"/>
            </w:tcBorders>
            <w:noWrap w:val="0"/>
            <w:vAlign w:val="center"/>
          </w:tcPr>
          <w:p w14:paraId="78BB5E91">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5"/>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验收方式：</w:t>
            </w:r>
          </w:p>
        </w:tc>
        <w:tc>
          <w:tcPr>
            <w:tcW w:w="5468" w:type="dxa"/>
            <w:gridSpan w:val="6"/>
            <w:tcBorders>
              <w:top w:val="single" w:color="auto" w:sz="8" w:space="0"/>
              <w:left w:val="nil"/>
              <w:bottom w:val="single" w:color="auto" w:sz="8" w:space="0"/>
              <w:right w:val="single" w:color="auto" w:sz="8" w:space="0"/>
            </w:tcBorders>
            <w:noWrap w:val="0"/>
            <w:vAlign w:val="center"/>
          </w:tcPr>
          <w:p w14:paraId="5DEF4C4F">
            <w:pPr>
              <w:keepNext w:val="0"/>
              <w:keepLines w:val="0"/>
              <w:pageBreakBefore w:val="0"/>
              <w:widowControl/>
              <w:kinsoku/>
              <w:wordWrap/>
              <w:overflowPunct/>
              <w:topLinePunct w:val="0"/>
              <w:autoSpaceDE/>
              <w:autoSpaceDN/>
              <w:bidi w:val="0"/>
              <w:adjustRightInd/>
              <w:snapToGrid w:val="0"/>
              <w:spacing w:beforeAutospacing="0" w:afterAutospacing="0" w:line="39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自行验收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委托验收</w:t>
            </w:r>
          </w:p>
        </w:tc>
      </w:tr>
      <w:tr w14:paraId="32A8ED29">
        <w:tblPrEx>
          <w:tblCellMar>
            <w:top w:w="0" w:type="dxa"/>
            <w:left w:w="0" w:type="dxa"/>
            <w:bottom w:w="0" w:type="dxa"/>
            <w:right w:w="0" w:type="dxa"/>
          </w:tblCellMar>
        </w:tblPrEx>
        <w:trPr>
          <w:trHeight w:val="622" w:hRule="atLeast"/>
          <w:jc w:val="center"/>
        </w:trPr>
        <w:tc>
          <w:tcPr>
            <w:tcW w:w="1025" w:type="dxa"/>
            <w:tcBorders>
              <w:top w:val="nil"/>
              <w:left w:val="single" w:color="auto" w:sz="8" w:space="0"/>
              <w:bottom w:val="single" w:color="auto" w:sz="8" w:space="0"/>
              <w:right w:val="single" w:color="auto" w:sz="8" w:space="0"/>
            </w:tcBorders>
            <w:noWrap w:val="0"/>
            <w:vAlign w:val="center"/>
          </w:tcPr>
          <w:p w14:paraId="5C361AA2">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序号</w:t>
            </w:r>
          </w:p>
        </w:tc>
        <w:tc>
          <w:tcPr>
            <w:tcW w:w="2314" w:type="dxa"/>
            <w:gridSpan w:val="2"/>
            <w:tcBorders>
              <w:top w:val="nil"/>
              <w:left w:val="nil"/>
              <w:bottom w:val="single" w:color="auto" w:sz="8" w:space="0"/>
              <w:right w:val="single" w:color="auto" w:sz="8" w:space="0"/>
            </w:tcBorders>
            <w:noWrap w:val="0"/>
            <w:vAlign w:val="center"/>
          </w:tcPr>
          <w:p w14:paraId="2579FA95">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名称</w:t>
            </w:r>
          </w:p>
        </w:tc>
        <w:tc>
          <w:tcPr>
            <w:tcW w:w="3036" w:type="dxa"/>
            <w:gridSpan w:val="3"/>
            <w:tcBorders>
              <w:top w:val="nil"/>
              <w:left w:val="nil"/>
              <w:bottom w:val="single" w:color="auto" w:sz="8" w:space="0"/>
              <w:right w:val="single" w:color="auto" w:sz="8" w:space="0"/>
            </w:tcBorders>
            <w:noWrap w:val="0"/>
            <w:vAlign w:val="center"/>
          </w:tcPr>
          <w:p w14:paraId="72E29949">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hint="eastAsia" w:ascii="Verdana" w:hAnsi="Verdana" w:cs="宋体"/>
                <w:color w:val="000000" w:themeColor="text1"/>
                <w:kern w:val="0"/>
                <w:sz w:val="21"/>
                <w:szCs w:val="21"/>
                <w:highlight w:val="none"/>
                <w:lang w:eastAsia="zh-CN"/>
                <w14:textFill>
                  <w14:solidFill>
                    <w14:schemeClr w14:val="tx1"/>
                  </w14:solidFill>
                </w14:textFill>
              </w:rPr>
              <w:t>工程</w:t>
            </w:r>
            <w:r>
              <w:rPr>
                <w:rFonts w:ascii="Verdana" w:hAnsi="Verdana" w:cs="宋体"/>
                <w:color w:val="000000" w:themeColor="text1"/>
                <w:kern w:val="0"/>
                <w:sz w:val="21"/>
                <w:szCs w:val="21"/>
                <w:highlight w:val="none"/>
                <w14:textFill>
                  <w14:solidFill>
                    <w14:schemeClr w14:val="tx1"/>
                  </w14:solidFill>
                </w14:textFill>
              </w:rPr>
              <w:t>内容、标准</w:t>
            </w:r>
          </w:p>
        </w:tc>
        <w:tc>
          <w:tcPr>
            <w:tcW w:w="863" w:type="dxa"/>
            <w:gridSpan w:val="2"/>
            <w:tcBorders>
              <w:top w:val="nil"/>
              <w:left w:val="nil"/>
              <w:bottom w:val="single" w:color="auto" w:sz="8" w:space="0"/>
              <w:right w:val="single" w:color="auto" w:sz="8" w:space="0"/>
            </w:tcBorders>
            <w:noWrap w:val="0"/>
            <w:vAlign w:val="center"/>
          </w:tcPr>
          <w:p w14:paraId="51837C1A">
            <w:pPr>
              <w:keepNext w:val="0"/>
              <w:keepLines w:val="0"/>
              <w:pageBreakBefore w:val="0"/>
              <w:widowControl/>
              <w:kinsoku/>
              <w:wordWrap/>
              <w:overflowPunct/>
              <w:topLinePunct w:val="0"/>
              <w:autoSpaceDE/>
              <w:autoSpaceDN/>
              <w:bidi w:val="0"/>
              <w:adjustRightInd/>
              <w:snapToGrid w:val="0"/>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数量</w:t>
            </w:r>
          </w:p>
        </w:tc>
        <w:tc>
          <w:tcPr>
            <w:tcW w:w="1569" w:type="dxa"/>
            <w:tcBorders>
              <w:top w:val="nil"/>
              <w:left w:val="nil"/>
              <w:bottom w:val="single" w:color="auto" w:sz="8" w:space="0"/>
              <w:right w:val="single" w:color="auto" w:sz="8" w:space="0"/>
            </w:tcBorders>
            <w:noWrap w:val="0"/>
            <w:vAlign w:val="center"/>
          </w:tcPr>
          <w:p w14:paraId="3964F8DA">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金额</w:t>
            </w:r>
          </w:p>
        </w:tc>
      </w:tr>
      <w:tr w14:paraId="034BE2C9">
        <w:tblPrEx>
          <w:tblCellMar>
            <w:top w:w="0" w:type="dxa"/>
            <w:left w:w="0" w:type="dxa"/>
            <w:bottom w:w="0" w:type="dxa"/>
            <w:right w:w="0" w:type="dxa"/>
          </w:tblCellMar>
        </w:tblPrEx>
        <w:trPr>
          <w:trHeight w:val="487" w:hRule="atLeast"/>
          <w:jc w:val="center"/>
        </w:trPr>
        <w:tc>
          <w:tcPr>
            <w:tcW w:w="1025" w:type="dxa"/>
            <w:tcBorders>
              <w:top w:val="nil"/>
              <w:left w:val="single" w:color="auto" w:sz="8" w:space="0"/>
              <w:bottom w:val="single" w:color="auto" w:sz="8" w:space="0"/>
              <w:right w:val="single" w:color="auto" w:sz="8" w:space="0"/>
            </w:tcBorders>
            <w:noWrap w:val="0"/>
            <w:vAlign w:val="center"/>
          </w:tcPr>
          <w:p w14:paraId="4FF19DA5">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2314" w:type="dxa"/>
            <w:gridSpan w:val="2"/>
            <w:tcBorders>
              <w:top w:val="nil"/>
              <w:left w:val="nil"/>
              <w:bottom w:val="single" w:color="auto" w:sz="8" w:space="0"/>
              <w:right w:val="single" w:color="auto" w:sz="8" w:space="0"/>
            </w:tcBorders>
            <w:noWrap w:val="0"/>
            <w:vAlign w:val="center"/>
          </w:tcPr>
          <w:p w14:paraId="5E17B1AB">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3036" w:type="dxa"/>
            <w:gridSpan w:val="3"/>
            <w:tcBorders>
              <w:top w:val="nil"/>
              <w:left w:val="nil"/>
              <w:bottom w:val="single" w:color="auto" w:sz="8" w:space="0"/>
              <w:right w:val="single" w:color="auto" w:sz="8" w:space="0"/>
            </w:tcBorders>
            <w:noWrap w:val="0"/>
            <w:vAlign w:val="center"/>
          </w:tcPr>
          <w:p w14:paraId="409DC6AE">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1DA38948">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1569" w:type="dxa"/>
            <w:tcBorders>
              <w:top w:val="nil"/>
              <w:left w:val="nil"/>
              <w:bottom w:val="single" w:color="auto" w:sz="8" w:space="0"/>
              <w:right w:val="single" w:color="auto" w:sz="8" w:space="0"/>
            </w:tcBorders>
            <w:noWrap w:val="0"/>
            <w:vAlign w:val="center"/>
          </w:tcPr>
          <w:p w14:paraId="1896A0B0">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r>
      <w:tr w14:paraId="20265DF6">
        <w:tblPrEx>
          <w:tblCellMar>
            <w:top w:w="0" w:type="dxa"/>
            <w:left w:w="0" w:type="dxa"/>
            <w:bottom w:w="0" w:type="dxa"/>
            <w:right w:w="0" w:type="dxa"/>
          </w:tblCellMar>
        </w:tblPrEx>
        <w:trPr>
          <w:trHeight w:val="487" w:hRule="atLeast"/>
          <w:jc w:val="center"/>
        </w:trPr>
        <w:tc>
          <w:tcPr>
            <w:tcW w:w="1025" w:type="dxa"/>
            <w:tcBorders>
              <w:top w:val="nil"/>
              <w:left w:val="single" w:color="auto" w:sz="8" w:space="0"/>
              <w:bottom w:val="single" w:color="auto" w:sz="8" w:space="0"/>
              <w:right w:val="single" w:color="auto" w:sz="8" w:space="0"/>
            </w:tcBorders>
            <w:noWrap w:val="0"/>
            <w:vAlign w:val="center"/>
          </w:tcPr>
          <w:p w14:paraId="4C872789">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2314" w:type="dxa"/>
            <w:gridSpan w:val="2"/>
            <w:tcBorders>
              <w:top w:val="nil"/>
              <w:left w:val="nil"/>
              <w:bottom w:val="single" w:color="auto" w:sz="8" w:space="0"/>
              <w:right w:val="single" w:color="auto" w:sz="8" w:space="0"/>
            </w:tcBorders>
            <w:noWrap w:val="0"/>
            <w:vAlign w:val="center"/>
          </w:tcPr>
          <w:p w14:paraId="31BEE622">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3036" w:type="dxa"/>
            <w:gridSpan w:val="3"/>
            <w:tcBorders>
              <w:top w:val="nil"/>
              <w:left w:val="nil"/>
              <w:bottom w:val="single" w:color="auto" w:sz="8" w:space="0"/>
              <w:right w:val="single" w:color="auto" w:sz="8" w:space="0"/>
            </w:tcBorders>
            <w:noWrap w:val="0"/>
            <w:vAlign w:val="center"/>
          </w:tcPr>
          <w:p w14:paraId="0E183143">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4412DA1C">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1569" w:type="dxa"/>
            <w:tcBorders>
              <w:top w:val="nil"/>
              <w:left w:val="nil"/>
              <w:bottom w:val="single" w:color="auto" w:sz="8" w:space="0"/>
              <w:right w:val="single" w:color="auto" w:sz="8" w:space="0"/>
            </w:tcBorders>
            <w:noWrap w:val="0"/>
            <w:vAlign w:val="center"/>
          </w:tcPr>
          <w:p w14:paraId="3021EAA7">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r>
      <w:tr w14:paraId="29366B12">
        <w:trPr>
          <w:trHeight w:val="487" w:hRule="atLeast"/>
          <w:jc w:val="center"/>
        </w:trPr>
        <w:tc>
          <w:tcPr>
            <w:tcW w:w="1025" w:type="dxa"/>
            <w:tcBorders>
              <w:top w:val="nil"/>
              <w:left w:val="single" w:color="auto" w:sz="8" w:space="0"/>
              <w:bottom w:val="single" w:color="auto" w:sz="8" w:space="0"/>
              <w:right w:val="single" w:color="auto" w:sz="8" w:space="0"/>
            </w:tcBorders>
            <w:noWrap w:val="0"/>
            <w:vAlign w:val="center"/>
          </w:tcPr>
          <w:p w14:paraId="20FE6FEB">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2314" w:type="dxa"/>
            <w:gridSpan w:val="2"/>
            <w:tcBorders>
              <w:top w:val="nil"/>
              <w:left w:val="nil"/>
              <w:bottom w:val="single" w:color="auto" w:sz="8" w:space="0"/>
              <w:right w:val="single" w:color="auto" w:sz="8" w:space="0"/>
            </w:tcBorders>
            <w:noWrap w:val="0"/>
            <w:vAlign w:val="center"/>
          </w:tcPr>
          <w:p w14:paraId="54B3230B">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3036" w:type="dxa"/>
            <w:gridSpan w:val="3"/>
            <w:tcBorders>
              <w:top w:val="nil"/>
              <w:left w:val="nil"/>
              <w:bottom w:val="single" w:color="auto" w:sz="8" w:space="0"/>
              <w:right w:val="single" w:color="auto" w:sz="8" w:space="0"/>
            </w:tcBorders>
            <w:noWrap w:val="0"/>
            <w:vAlign w:val="center"/>
          </w:tcPr>
          <w:p w14:paraId="1BC7A850">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14:paraId="05A5552A">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1569" w:type="dxa"/>
            <w:tcBorders>
              <w:top w:val="nil"/>
              <w:left w:val="nil"/>
              <w:bottom w:val="single" w:color="auto" w:sz="8" w:space="0"/>
              <w:right w:val="single" w:color="auto" w:sz="8" w:space="0"/>
            </w:tcBorders>
            <w:noWrap w:val="0"/>
            <w:vAlign w:val="center"/>
          </w:tcPr>
          <w:p w14:paraId="26294C6A">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r>
      <w:tr w14:paraId="210DAC68">
        <w:tblPrEx>
          <w:tblCellMar>
            <w:top w:w="0" w:type="dxa"/>
            <w:left w:w="0" w:type="dxa"/>
            <w:bottom w:w="0" w:type="dxa"/>
            <w:right w:w="0" w:type="dxa"/>
          </w:tblCellMar>
        </w:tblPrEx>
        <w:trPr>
          <w:trHeight w:val="487" w:hRule="atLeast"/>
          <w:jc w:val="center"/>
        </w:trPr>
        <w:tc>
          <w:tcPr>
            <w:tcW w:w="6375" w:type="dxa"/>
            <w:gridSpan w:val="6"/>
            <w:tcBorders>
              <w:top w:val="nil"/>
              <w:left w:val="single" w:color="auto" w:sz="8" w:space="0"/>
              <w:bottom w:val="single" w:color="auto" w:sz="8" w:space="0"/>
              <w:right w:val="single" w:color="auto" w:sz="8" w:space="0"/>
            </w:tcBorders>
            <w:noWrap w:val="0"/>
            <w:vAlign w:val="center"/>
          </w:tcPr>
          <w:p w14:paraId="59B02A8B">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5"/>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noWrap w:val="0"/>
            <w:vAlign w:val="center"/>
          </w:tcPr>
          <w:p w14:paraId="59044AB6">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1569" w:type="dxa"/>
            <w:tcBorders>
              <w:top w:val="nil"/>
              <w:left w:val="nil"/>
              <w:bottom w:val="single" w:color="auto" w:sz="8" w:space="0"/>
              <w:right w:val="single" w:color="auto" w:sz="8" w:space="0"/>
            </w:tcBorders>
            <w:noWrap w:val="0"/>
            <w:vAlign w:val="center"/>
          </w:tcPr>
          <w:p w14:paraId="4BCA3468">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r>
      <w:tr w14:paraId="417E4C04">
        <w:tblPrEx>
          <w:tblCellMar>
            <w:top w:w="0" w:type="dxa"/>
            <w:left w:w="0" w:type="dxa"/>
            <w:bottom w:w="0" w:type="dxa"/>
            <w:right w:w="0" w:type="dxa"/>
          </w:tblCellMar>
        </w:tblPrEx>
        <w:trPr>
          <w:trHeight w:val="641" w:hRule="atLeast"/>
          <w:jc w:val="center"/>
        </w:trPr>
        <w:tc>
          <w:tcPr>
            <w:tcW w:w="8807" w:type="dxa"/>
            <w:gridSpan w:val="9"/>
            <w:tcBorders>
              <w:top w:val="nil"/>
              <w:left w:val="single" w:color="auto" w:sz="8" w:space="0"/>
              <w:bottom w:val="single" w:color="auto" w:sz="8" w:space="0"/>
              <w:right w:val="single" w:color="auto" w:sz="8" w:space="0"/>
            </w:tcBorders>
            <w:noWrap w:val="0"/>
            <w:vAlign w:val="center"/>
          </w:tcPr>
          <w:p w14:paraId="72049B62">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10" w:firstLineChars="100"/>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 xml:space="preserve">合计大写金额：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仟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佰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拾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万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仟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佰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拾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元</w:t>
            </w:r>
          </w:p>
        </w:tc>
      </w:tr>
      <w:tr w14:paraId="2DC84FCE">
        <w:tblPrEx>
          <w:tblCellMar>
            <w:top w:w="0" w:type="dxa"/>
            <w:left w:w="0" w:type="dxa"/>
            <w:bottom w:w="0" w:type="dxa"/>
            <w:right w:w="0" w:type="dxa"/>
          </w:tblCellMar>
        </w:tblPrEx>
        <w:trPr>
          <w:trHeight w:val="641" w:hRule="atLeast"/>
          <w:jc w:val="center"/>
        </w:trPr>
        <w:tc>
          <w:tcPr>
            <w:tcW w:w="1850" w:type="dxa"/>
            <w:gridSpan w:val="2"/>
            <w:tcBorders>
              <w:top w:val="nil"/>
              <w:left w:val="single" w:color="auto" w:sz="8" w:space="0"/>
              <w:bottom w:val="single" w:color="auto" w:sz="8" w:space="0"/>
              <w:right w:val="single" w:color="auto" w:sz="8" w:space="0"/>
            </w:tcBorders>
            <w:noWrap w:val="0"/>
            <w:vAlign w:val="center"/>
          </w:tcPr>
          <w:p w14:paraId="72A982BA">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2"/>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noWrap w:val="0"/>
            <w:vAlign w:val="center"/>
          </w:tcPr>
          <w:p w14:paraId="1CEC0D89">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14:paraId="6A542CE3">
            <w:pPr>
              <w:keepNext w:val="0"/>
              <w:keepLines w:val="0"/>
              <w:pageBreakBefore w:val="0"/>
              <w:widowControl/>
              <w:kinsoku/>
              <w:wordWrap/>
              <w:overflowPunct/>
              <w:topLinePunct w:val="0"/>
              <w:autoSpaceDE/>
              <w:autoSpaceDN/>
              <w:bidi w:val="0"/>
              <w:adjustRightInd/>
              <w:snapToGrid w:val="0"/>
              <w:spacing w:beforeAutospacing="0" w:afterAutospacing="0" w:line="390" w:lineRule="exact"/>
              <w:ind w:firstLine="46"/>
              <w:jc w:val="center"/>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合同验收日期</w:t>
            </w:r>
          </w:p>
        </w:tc>
        <w:tc>
          <w:tcPr>
            <w:tcW w:w="2254" w:type="dxa"/>
            <w:gridSpan w:val="2"/>
            <w:tcBorders>
              <w:top w:val="nil"/>
              <w:left w:val="nil"/>
              <w:bottom w:val="single" w:color="auto" w:sz="8" w:space="0"/>
              <w:right w:val="single" w:color="auto" w:sz="8" w:space="0"/>
            </w:tcBorders>
            <w:noWrap w:val="0"/>
            <w:vAlign w:val="center"/>
          </w:tcPr>
          <w:p w14:paraId="56F25E13">
            <w:pPr>
              <w:keepNext w:val="0"/>
              <w:keepLines w:val="0"/>
              <w:pageBreakBefore w:val="0"/>
              <w:widowControl/>
              <w:kinsoku/>
              <w:wordWrap/>
              <w:overflowPunct/>
              <w:topLinePunct w:val="0"/>
              <w:autoSpaceDE/>
              <w:autoSpaceDN/>
              <w:bidi w:val="0"/>
              <w:adjustRightInd/>
              <w:spacing w:beforeAutospacing="0" w:afterAutospacing="0" w:line="390" w:lineRule="exact"/>
              <w:jc w:val="center"/>
              <w:textAlignment w:val="auto"/>
              <w:rPr>
                <w:rFonts w:ascii="Verdana" w:hAnsi="Verdana" w:cs="宋体"/>
                <w:color w:val="000000" w:themeColor="text1"/>
                <w:kern w:val="0"/>
                <w:sz w:val="21"/>
                <w:szCs w:val="21"/>
                <w:highlight w:val="none"/>
                <w14:textFill>
                  <w14:solidFill>
                    <w14:schemeClr w14:val="tx1"/>
                  </w14:solidFill>
                </w14:textFill>
              </w:rPr>
            </w:pPr>
          </w:p>
        </w:tc>
      </w:tr>
      <w:tr w14:paraId="5DE2402F">
        <w:tblPrEx>
          <w:tblCellMar>
            <w:top w:w="0" w:type="dxa"/>
            <w:left w:w="0" w:type="dxa"/>
            <w:bottom w:w="0" w:type="dxa"/>
            <w:right w:w="0" w:type="dxa"/>
          </w:tblCellMar>
        </w:tblPrEx>
        <w:trPr>
          <w:trHeight w:val="693" w:hRule="atLeast"/>
          <w:jc w:val="center"/>
        </w:trPr>
        <w:tc>
          <w:tcPr>
            <w:tcW w:w="185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A11BE3">
            <w:pPr>
              <w:keepNext w:val="0"/>
              <w:keepLines w:val="0"/>
              <w:pageBreakBefore w:val="0"/>
              <w:widowControl/>
              <w:kinsoku/>
              <w:wordWrap/>
              <w:overflowPunct/>
              <w:topLinePunct w:val="0"/>
              <w:autoSpaceDE/>
              <w:autoSpaceDN/>
              <w:bidi w:val="0"/>
              <w:adjustRightInd/>
              <w:snapToGrid w:val="0"/>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验收具体内容</w:t>
            </w:r>
          </w:p>
        </w:tc>
        <w:tc>
          <w:tcPr>
            <w:tcW w:w="6957"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716647">
            <w:pPr>
              <w:keepNext w:val="0"/>
              <w:keepLines w:val="0"/>
              <w:pageBreakBefore w:val="0"/>
              <w:widowControl/>
              <w:kinsoku/>
              <w:wordWrap/>
              <w:overflowPunct/>
              <w:topLinePunct w:val="0"/>
              <w:autoSpaceDE/>
              <w:autoSpaceDN/>
              <w:bidi w:val="0"/>
              <w:adjustRightInd/>
              <w:snapToGrid w:val="0"/>
              <w:spacing w:beforeAutospacing="0" w:afterAutospacing="0" w:line="390" w:lineRule="exact"/>
              <w:jc w:val="left"/>
              <w:textAlignment w:val="auto"/>
              <w:rPr>
                <w:rFonts w:hint="eastAsia" w:ascii="Verdana" w:hAnsi="Verdana" w:eastAsia="宋体" w:cs="宋体"/>
                <w:color w:val="000000" w:themeColor="text1"/>
                <w:kern w:val="0"/>
                <w:sz w:val="21"/>
                <w:szCs w:val="21"/>
                <w:highlight w:val="none"/>
                <w:lang w:eastAsia="zh-CN"/>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（应按采购合同、</w:t>
            </w:r>
            <w:r>
              <w:rPr>
                <w:rFonts w:hint="eastAsia" w:ascii="Verdana" w:hAnsi="Verdana" w:cs="宋体"/>
                <w:color w:val="000000" w:themeColor="text1"/>
                <w:kern w:val="0"/>
                <w:sz w:val="21"/>
                <w:szCs w:val="21"/>
                <w:highlight w:val="none"/>
                <w:lang w:eastAsia="zh-CN"/>
                <w14:textFill>
                  <w14:solidFill>
                    <w14:schemeClr w14:val="tx1"/>
                  </w14:solidFill>
                </w14:textFill>
              </w:rPr>
              <w:t>竞争性磋商文件</w:t>
            </w:r>
            <w:r>
              <w:rPr>
                <w:rFonts w:ascii="Verdana" w:hAnsi="Verdana" w:cs="宋体"/>
                <w:color w:val="000000" w:themeColor="text1"/>
                <w:kern w:val="0"/>
                <w:sz w:val="21"/>
                <w:szCs w:val="21"/>
                <w:highlight w:val="none"/>
                <w14:textFill>
                  <w14:solidFill>
                    <w14:schemeClr w14:val="tx1"/>
                  </w14:solidFill>
                </w14:textFill>
              </w:rPr>
              <w:t>、竞标响应文件及验收方案等进行验收；并核对成交供应商在安装调试等方面是否违反合同约定或者服务规范要求、提供的质量保证证明材料是否齐全、应有的配件及附件是否达到合同约定等。可附件</w:t>
            </w:r>
            <w:r>
              <w:rPr>
                <w:rFonts w:hint="eastAsia" w:ascii="Verdana" w:hAnsi="Verdana" w:cs="宋体"/>
                <w:color w:val="000000" w:themeColor="text1"/>
                <w:kern w:val="0"/>
                <w:sz w:val="21"/>
                <w:szCs w:val="21"/>
                <w:highlight w:val="none"/>
                <w:lang w:val="en-US" w:eastAsia="zh-CN"/>
                <w14:textFill>
                  <w14:solidFill>
                    <w14:schemeClr w14:val="tx1"/>
                  </w14:solidFill>
                </w14:textFill>
              </w:rPr>
              <w:t>）</w:t>
            </w:r>
          </w:p>
        </w:tc>
      </w:tr>
      <w:tr w14:paraId="2FBD2850">
        <w:tblPrEx>
          <w:tblCellMar>
            <w:top w:w="0" w:type="dxa"/>
            <w:left w:w="0" w:type="dxa"/>
            <w:bottom w:w="0" w:type="dxa"/>
            <w:right w:w="0" w:type="dxa"/>
          </w:tblCellMar>
        </w:tblPrEx>
        <w:trPr>
          <w:trHeight w:val="1281" w:hRule="atLeast"/>
          <w:jc w:val="center"/>
        </w:trPr>
        <w:tc>
          <w:tcPr>
            <w:tcW w:w="1850"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1DAC63">
            <w:pPr>
              <w:keepNext w:val="0"/>
              <w:keepLines w:val="0"/>
              <w:pageBreakBefore w:val="0"/>
              <w:widowControl/>
              <w:kinsoku/>
              <w:wordWrap/>
              <w:overflowPunct/>
              <w:topLinePunct w:val="0"/>
              <w:autoSpaceDE/>
              <w:autoSpaceDN/>
              <w:bidi w:val="0"/>
              <w:adjustRightInd/>
              <w:spacing w:beforeAutospacing="0" w:afterAutospacing="0" w:line="390" w:lineRule="exac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验收小组意见</w:t>
            </w:r>
          </w:p>
        </w:tc>
        <w:tc>
          <w:tcPr>
            <w:tcW w:w="6957" w:type="dxa"/>
            <w:gridSpan w:val="7"/>
            <w:tcBorders>
              <w:top w:val="nil"/>
              <w:left w:val="nil"/>
              <w:bottom w:val="single" w:color="auto" w:sz="8" w:space="0"/>
              <w:right w:val="single" w:color="auto" w:sz="8" w:space="0"/>
            </w:tcBorders>
            <w:noWrap w:val="0"/>
            <w:vAlign w:val="center"/>
          </w:tcPr>
          <w:p w14:paraId="6E7BF26D">
            <w:pPr>
              <w:keepNext w:val="0"/>
              <w:keepLines w:val="0"/>
              <w:pageBreakBefore w:val="0"/>
              <w:widowControl/>
              <w:kinsoku/>
              <w:wordWrap/>
              <w:overflowPunct/>
              <w:topLinePunct w:val="0"/>
              <w:autoSpaceDE/>
              <w:autoSpaceDN/>
              <w:bidi w:val="0"/>
              <w:adjustRightInd/>
              <w:snapToGrid/>
              <w:spacing w:beforeAutospacing="0" w:afterAutospacing="0" w:line="390" w:lineRule="exact"/>
              <w:ind w:left="44" w:leftChars="20"/>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验收结论性意见：</w:t>
            </w:r>
          </w:p>
        </w:tc>
      </w:tr>
      <w:tr w14:paraId="41A56A69">
        <w:tblPrEx>
          <w:tblCellMar>
            <w:top w:w="0" w:type="dxa"/>
            <w:left w:w="0" w:type="dxa"/>
            <w:bottom w:w="0" w:type="dxa"/>
            <w:right w:w="0" w:type="dxa"/>
          </w:tblCellMar>
        </w:tblPrEx>
        <w:trPr>
          <w:trHeight w:val="607" w:hRule="atLeast"/>
          <w:jc w:val="center"/>
        </w:trPr>
        <w:tc>
          <w:tcPr>
            <w:tcW w:w="1850" w:type="dxa"/>
            <w:gridSpan w:val="2"/>
            <w:vMerge w:val="continue"/>
            <w:tcBorders>
              <w:top w:val="nil"/>
              <w:left w:val="single" w:color="auto" w:sz="8" w:space="0"/>
              <w:bottom w:val="single" w:color="auto" w:sz="8" w:space="0"/>
              <w:right w:val="single" w:color="auto" w:sz="8" w:space="0"/>
            </w:tcBorders>
            <w:noWrap w:val="0"/>
            <w:vAlign w:val="center"/>
          </w:tcPr>
          <w:p w14:paraId="54DE2359">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p>
        </w:tc>
        <w:tc>
          <w:tcPr>
            <w:tcW w:w="6957" w:type="dxa"/>
            <w:gridSpan w:val="7"/>
            <w:tcBorders>
              <w:top w:val="nil"/>
              <w:left w:val="nil"/>
              <w:bottom w:val="single" w:color="auto" w:sz="8" w:space="0"/>
              <w:right w:val="single" w:color="auto" w:sz="8" w:space="0"/>
            </w:tcBorders>
            <w:noWrap w:val="0"/>
            <w:vAlign w:val="center"/>
          </w:tcPr>
          <w:p w14:paraId="1F700FF0">
            <w:pPr>
              <w:keepNext w:val="0"/>
              <w:keepLines w:val="0"/>
              <w:pageBreakBefore w:val="0"/>
              <w:widowControl/>
              <w:kinsoku/>
              <w:wordWrap/>
              <w:overflowPunct/>
              <w:topLinePunct w:val="0"/>
              <w:autoSpaceDE/>
              <w:autoSpaceDN/>
              <w:bidi w:val="0"/>
              <w:adjustRightInd/>
              <w:snapToGrid/>
              <w:spacing w:beforeAutospacing="0" w:afterAutospacing="0" w:line="390" w:lineRule="exact"/>
              <w:ind w:left="44" w:leftChars="20"/>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有异议的意见和说明理由：</w:t>
            </w:r>
          </w:p>
          <w:p w14:paraId="023A2C8E">
            <w:pPr>
              <w:keepNext w:val="0"/>
              <w:keepLines w:val="0"/>
              <w:pageBreakBefore w:val="0"/>
              <w:widowControl/>
              <w:kinsoku/>
              <w:wordWrap/>
              <w:overflowPunct/>
              <w:topLinePunct w:val="0"/>
              <w:autoSpaceDE/>
              <w:autoSpaceDN/>
              <w:bidi w:val="0"/>
              <w:adjustRightInd/>
              <w:snapToGrid/>
              <w:spacing w:beforeAutospacing="0" w:afterAutospacing="0" w:line="390" w:lineRule="exact"/>
              <w:ind w:left="44" w:leftChars="20"/>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签字：</w:t>
            </w:r>
          </w:p>
        </w:tc>
      </w:tr>
      <w:tr w14:paraId="68F71EBF">
        <w:tblPrEx>
          <w:tblCellMar>
            <w:top w:w="0" w:type="dxa"/>
            <w:left w:w="0" w:type="dxa"/>
            <w:bottom w:w="0" w:type="dxa"/>
            <w:right w:w="0" w:type="dxa"/>
          </w:tblCellMar>
        </w:tblPrEx>
        <w:trPr>
          <w:trHeight w:val="507" w:hRule="atLeast"/>
          <w:jc w:val="center"/>
        </w:trPr>
        <w:tc>
          <w:tcPr>
            <w:tcW w:w="880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79FA0E">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验收小组成员签字：</w:t>
            </w:r>
          </w:p>
        </w:tc>
      </w:tr>
      <w:tr w14:paraId="480184E0">
        <w:tblPrEx>
          <w:tblCellMar>
            <w:top w:w="0" w:type="dxa"/>
            <w:left w:w="0" w:type="dxa"/>
            <w:bottom w:w="0" w:type="dxa"/>
            <w:right w:w="0" w:type="dxa"/>
          </w:tblCellMar>
        </w:tblPrEx>
        <w:trPr>
          <w:trHeight w:val="736" w:hRule="atLeast"/>
          <w:jc w:val="center"/>
        </w:trPr>
        <w:tc>
          <w:tcPr>
            <w:tcW w:w="880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11BBA2">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监督人员或者其他相关人员签字：</w:t>
            </w:r>
          </w:p>
          <w:p w14:paraId="61F13DD0">
            <w:pPr>
              <w:keepNext w:val="0"/>
              <w:keepLines w:val="0"/>
              <w:pageBreakBefore w:val="0"/>
              <w:widowControl/>
              <w:kinsoku/>
              <w:wordWrap/>
              <w:overflowPunct/>
              <w:topLinePunct w:val="0"/>
              <w:autoSpaceDE/>
              <w:autoSpaceDN/>
              <w:bidi w:val="0"/>
              <w:adjustRightInd/>
              <w:spacing w:beforeAutospacing="0" w:afterAutospacing="0" w:line="390" w:lineRule="exact"/>
              <w:ind w:firstLine="74"/>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或者受邀机构的意见（盖章）：</w:t>
            </w:r>
          </w:p>
        </w:tc>
      </w:tr>
      <w:tr w14:paraId="793DE74F">
        <w:tblPrEx>
          <w:tblCellMar>
            <w:top w:w="0" w:type="dxa"/>
            <w:left w:w="0" w:type="dxa"/>
            <w:bottom w:w="0" w:type="dxa"/>
            <w:right w:w="0" w:type="dxa"/>
          </w:tblCellMar>
        </w:tblPrEx>
        <w:trPr>
          <w:trHeight w:val="1357" w:hRule="atLeast"/>
          <w:jc w:val="center"/>
        </w:trPr>
        <w:tc>
          <w:tcPr>
            <w:tcW w:w="4373"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4646EED9">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成交供应商负责人签字或者盖章：</w:t>
            </w:r>
          </w:p>
          <w:p w14:paraId="115982EA">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p>
          <w:p w14:paraId="0BD127C1">
            <w:pPr>
              <w:keepNext w:val="0"/>
              <w:keepLines w:val="0"/>
              <w:pageBreakBefore w:val="0"/>
              <w:widowControl/>
              <w:kinsoku/>
              <w:wordWrap/>
              <w:overflowPunct/>
              <w:topLinePunct w:val="0"/>
              <w:autoSpaceDE/>
              <w:autoSpaceDN/>
              <w:bidi w:val="0"/>
              <w:adjustRightInd/>
              <w:spacing w:beforeAutospacing="0" w:afterAutospacing="0" w:line="390" w:lineRule="exact"/>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联系电话：</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 年</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 月 </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日</w:t>
            </w:r>
          </w:p>
        </w:tc>
        <w:tc>
          <w:tcPr>
            <w:tcW w:w="4434" w:type="dxa"/>
            <w:gridSpan w:val="4"/>
            <w:tcBorders>
              <w:top w:val="nil"/>
              <w:left w:val="nil"/>
              <w:bottom w:val="single" w:color="auto" w:sz="8" w:space="0"/>
              <w:right w:val="single" w:color="auto" w:sz="8" w:space="0"/>
            </w:tcBorders>
            <w:noWrap w:val="0"/>
            <w:vAlign w:val="center"/>
          </w:tcPr>
          <w:p w14:paraId="147E9C12">
            <w:pPr>
              <w:keepNext w:val="0"/>
              <w:keepLines w:val="0"/>
              <w:pageBreakBefore w:val="0"/>
              <w:widowControl/>
              <w:kinsoku/>
              <w:wordWrap/>
              <w:overflowPunct/>
              <w:topLinePunct w:val="0"/>
              <w:autoSpaceDE/>
              <w:autoSpaceDN/>
              <w:bidi w:val="0"/>
              <w:adjustRightInd/>
              <w:spacing w:beforeAutospacing="0" w:afterAutospacing="0" w:line="390" w:lineRule="exact"/>
              <w:ind w:firstLine="210" w:firstLineChars="100"/>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采购人或者受托机构的意见（盖章）：</w:t>
            </w:r>
          </w:p>
          <w:p w14:paraId="187D63BD">
            <w:pPr>
              <w:keepNext w:val="0"/>
              <w:keepLines w:val="0"/>
              <w:pageBreakBefore w:val="0"/>
              <w:widowControl/>
              <w:kinsoku/>
              <w:wordWrap/>
              <w:overflowPunct/>
              <w:topLinePunct w:val="0"/>
              <w:autoSpaceDE/>
              <w:autoSpaceDN/>
              <w:bidi w:val="0"/>
              <w:adjustRightInd/>
              <w:spacing w:beforeAutospacing="0" w:afterAutospacing="0" w:line="390" w:lineRule="exact"/>
              <w:ind w:firstLine="210" w:firstLineChars="100"/>
              <w:jc w:val="left"/>
              <w:textAlignment w:val="auto"/>
              <w:rPr>
                <w:rFonts w:ascii="Verdana" w:hAnsi="Verdana" w:cs="宋体"/>
                <w:color w:val="000000" w:themeColor="text1"/>
                <w:kern w:val="0"/>
                <w:sz w:val="21"/>
                <w:szCs w:val="21"/>
                <w:highlight w:val="none"/>
                <w14:textFill>
                  <w14:solidFill>
                    <w14:schemeClr w14:val="tx1"/>
                  </w14:solidFill>
                </w14:textFill>
              </w:rPr>
            </w:pPr>
          </w:p>
          <w:p w14:paraId="4E827653">
            <w:pPr>
              <w:keepNext w:val="0"/>
              <w:keepLines w:val="0"/>
              <w:pageBreakBefore w:val="0"/>
              <w:widowControl/>
              <w:kinsoku/>
              <w:wordWrap/>
              <w:overflowPunct/>
              <w:topLinePunct w:val="0"/>
              <w:autoSpaceDE/>
              <w:autoSpaceDN/>
              <w:bidi w:val="0"/>
              <w:adjustRightInd/>
              <w:spacing w:beforeAutospacing="0" w:afterAutospacing="0" w:line="390" w:lineRule="exact"/>
              <w:ind w:firstLine="210" w:firstLineChars="100"/>
              <w:jc w:val="left"/>
              <w:textAlignment w:val="auto"/>
              <w:rPr>
                <w:rFonts w:ascii="Verdana" w:hAnsi="Verdana" w:cs="宋体"/>
                <w:color w:val="000000" w:themeColor="text1"/>
                <w:kern w:val="0"/>
                <w:sz w:val="21"/>
                <w:szCs w:val="21"/>
                <w:highlight w:val="none"/>
                <w14:textFill>
                  <w14:solidFill>
                    <w14:schemeClr w14:val="tx1"/>
                  </w14:solidFill>
                </w14:textFill>
              </w:rPr>
            </w:pPr>
            <w:r>
              <w:rPr>
                <w:rFonts w:ascii="Verdana" w:hAnsi="Verdana" w:cs="宋体"/>
                <w:color w:val="000000" w:themeColor="text1"/>
                <w:kern w:val="0"/>
                <w:sz w:val="21"/>
                <w:szCs w:val="21"/>
                <w:highlight w:val="none"/>
                <w14:textFill>
                  <w14:solidFill>
                    <w14:schemeClr w14:val="tx1"/>
                  </w14:solidFill>
                </w14:textFill>
              </w:rPr>
              <w:t>联系电话：</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年</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 月</w:t>
            </w:r>
            <w:r>
              <w:rPr>
                <w:rFonts w:hint="eastAsia" w:ascii="Verdana" w:hAnsi="Verdana" w:cs="宋体"/>
                <w:color w:val="000000" w:themeColor="text1"/>
                <w:kern w:val="0"/>
                <w:sz w:val="21"/>
                <w:szCs w:val="21"/>
                <w:highlight w:val="none"/>
                <w14:textFill>
                  <w14:solidFill>
                    <w14:schemeClr w14:val="tx1"/>
                  </w14:solidFill>
                </w14:textFill>
              </w:rPr>
              <w:t xml:space="preserve"> </w:t>
            </w:r>
            <w:r>
              <w:rPr>
                <w:rFonts w:ascii="Verdana" w:hAnsi="Verdana" w:cs="宋体"/>
                <w:color w:val="000000" w:themeColor="text1"/>
                <w:kern w:val="0"/>
                <w:sz w:val="21"/>
                <w:szCs w:val="21"/>
                <w:highlight w:val="none"/>
                <w14:textFill>
                  <w14:solidFill>
                    <w14:schemeClr w14:val="tx1"/>
                  </w14:solidFill>
                </w14:textFill>
              </w:rPr>
              <w:t xml:space="preserve"> 日</w:t>
            </w:r>
          </w:p>
        </w:tc>
      </w:tr>
    </w:tbl>
    <w:p w14:paraId="2B087407">
      <w:pPr>
        <w:pStyle w:val="25"/>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default" w:ascii="Times New Roman" w:hAnsi="Times New Roman" w:eastAsia="宋体" w:cs="Times New Roman"/>
          <w:b/>
          <w:bCs/>
          <w:color w:val="000000" w:themeColor="text1"/>
          <w:sz w:val="28"/>
          <w:szCs w:val="28"/>
          <w:highlight w:val="none"/>
          <w14:textFill>
            <w14:solidFill>
              <w14:schemeClr w14:val="tx1"/>
            </w14:solidFill>
          </w14:textFill>
        </w:rPr>
        <w:t>附件2：</w:t>
      </w:r>
    </w:p>
    <w:p w14:paraId="1FBBD956">
      <w:pPr>
        <w:spacing w:after="477" w:afterLines="150" w:line="700" w:lineRule="exact"/>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政府采购项目履约保证金退付意见书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009"/>
      </w:tblGrid>
      <w:tr w14:paraId="50E5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80" w:type="dxa"/>
            <w:vMerge w:val="restart"/>
            <w:noWrap w:val="0"/>
            <w:vAlign w:val="center"/>
          </w:tcPr>
          <w:p w14:paraId="4F68543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w:t>
            </w:r>
          </w:p>
          <w:p w14:paraId="6E12C09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应</w:t>
            </w:r>
          </w:p>
          <w:p w14:paraId="62A844D0">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商</w:t>
            </w:r>
          </w:p>
          <w:p w14:paraId="352532F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申</w:t>
            </w:r>
          </w:p>
          <w:p w14:paraId="7C5FB44A">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请</w:t>
            </w:r>
          </w:p>
        </w:tc>
        <w:tc>
          <w:tcPr>
            <w:tcW w:w="8009" w:type="dxa"/>
            <w:noWrap w:val="0"/>
            <w:vAlign w:val="center"/>
          </w:tcPr>
          <w:p w14:paraId="1616657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项目编号：</w:t>
            </w:r>
          </w:p>
        </w:tc>
      </w:tr>
      <w:tr w14:paraId="4AA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80" w:type="dxa"/>
            <w:vMerge w:val="continue"/>
            <w:noWrap w:val="0"/>
            <w:vAlign w:val="center"/>
          </w:tcPr>
          <w:p w14:paraId="7C73396D">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tc>
        <w:tc>
          <w:tcPr>
            <w:tcW w:w="8009" w:type="dxa"/>
            <w:noWrap w:val="0"/>
            <w:vAlign w:val="center"/>
          </w:tcPr>
          <w:p w14:paraId="31EDFE66">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p>
        </w:tc>
      </w:tr>
      <w:tr w14:paraId="285B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dxa"/>
            <w:vMerge w:val="continue"/>
            <w:noWrap w:val="0"/>
            <w:vAlign w:val="top"/>
          </w:tcPr>
          <w:p w14:paraId="569CF00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tc>
        <w:tc>
          <w:tcPr>
            <w:tcW w:w="8009" w:type="dxa"/>
            <w:noWrap w:val="0"/>
            <w:vAlign w:val="top"/>
          </w:tcPr>
          <w:p w14:paraId="6CD860E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p>
          <w:p w14:paraId="7454ED3B">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该项目已于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日验收并交付使用。根据合同规定，该项目的履约保证金期限于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日已满，请将履约保证金</w:t>
            </w:r>
          </w:p>
          <w:p w14:paraId="711D059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（大写）¥</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（小写）退付到达以下帐户。</w:t>
            </w:r>
          </w:p>
          <w:p w14:paraId="6EF5D64C">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单位名称：</w:t>
            </w:r>
          </w:p>
          <w:p w14:paraId="0D33BFE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开户银行：</w:t>
            </w:r>
          </w:p>
          <w:p w14:paraId="37169164">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帐号：</w:t>
            </w:r>
          </w:p>
          <w:p w14:paraId="798D23E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联系人及电话：</w:t>
            </w:r>
          </w:p>
          <w:p w14:paraId="37300CD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p w14:paraId="131DB40A">
            <w:pPr>
              <w:pStyle w:val="5"/>
              <w:keepNext/>
              <w:keepLines/>
              <w:pageBreakBefore w:val="0"/>
              <w:widowControl w:val="0"/>
              <w:kinsoku/>
              <w:wordWrap/>
              <w:overflowPunct/>
              <w:topLinePunct w:val="0"/>
              <w:autoSpaceDE/>
              <w:autoSpaceDN/>
              <w:bidi w:val="0"/>
              <w:adjustRightInd/>
              <w:snapToGrid/>
              <w:spacing w:before="0" w:after="0" w:line="370" w:lineRule="exact"/>
              <w:textAlignment w:val="auto"/>
              <w:rPr>
                <w:rFonts w:hint="eastAsia"/>
                <w:color w:val="000000" w:themeColor="text1"/>
                <w:highlight w:val="none"/>
                <w14:textFill>
                  <w14:solidFill>
                    <w14:schemeClr w14:val="tx1"/>
                  </w14:solidFill>
                </w14:textFill>
              </w:rPr>
            </w:pPr>
          </w:p>
          <w:p w14:paraId="74FE113E">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供应商签章：</w:t>
            </w:r>
          </w:p>
          <w:p w14:paraId="75A303C5">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   月   日</w:t>
            </w:r>
          </w:p>
        </w:tc>
      </w:tr>
      <w:tr w14:paraId="6165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80" w:type="dxa"/>
            <w:noWrap w:val="0"/>
            <w:vAlign w:val="center"/>
          </w:tcPr>
          <w:p w14:paraId="0A910CBA">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w:t>
            </w:r>
          </w:p>
          <w:p w14:paraId="5BC18587">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购</w:t>
            </w:r>
          </w:p>
          <w:p w14:paraId="484457A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w:t>
            </w:r>
          </w:p>
          <w:p w14:paraId="454238D1">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位</w:t>
            </w:r>
          </w:p>
          <w:p w14:paraId="2564A87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意</w:t>
            </w:r>
          </w:p>
          <w:p w14:paraId="586D1764">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见</w:t>
            </w:r>
          </w:p>
        </w:tc>
        <w:tc>
          <w:tcPr>
            <w:tcW w:w="8009" w:type="dxa"/>
            <w:noWrap w:val="0"/>
            <w:vAlign w:val="top"/>
          </w:tcPr>
          <w:p w14:paraId="4D948530">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p w14:paraId="29A1571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退付意见：是否同意退付履约保证金及退付金额：</w:t>
            </w:r>
          </w:p>
          <w:p w14:paraId="7289B90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p w14:paraId="5F6093D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p w14:paraId="768F7934">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联系人及电话：                                </w:t>
            </w:r>
          </w:p>
          <w:p w14:paraId="5B160AB5">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p w14:paraId="4E16D54F">
            <w:pPr>
              <w:keepNext w:val="0"/>
              <w:keepLines w:val="0"/>
              <w:pageBreakBefore w:val="0"/>
              <w:widowControl w:val="0"/>
              <w:kinsoku/>
              <w:wordWrap/>
              <w:overflowPunct/>
              <w:topLinePunct w:val="0"/>
              <w:autoSpaceDE/>
              <w:autoSpaceDN/>
              <w:bidi w:val="0"/>
              <w:adjustRightInd/>
              <w:snapToGrid/>
              <w:spacing w:line="370" w:lineRule="exact"/>
              <w:ind w:firstLine="3990" w:firstLineChars="19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采购人签章：</w:t>
            </w:r>
          </w:p>
          <w:p w14:paraId="34719899">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   月   日</w:t>
            </w:r>
          </w:p>
        </w:tc>
      </w:tr>
      <w:tr w14:paraId="7D3D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80" w:type="dxa"/>
            <w:noWrap w:val="0"/>
            <w:vAlign w:val="center"/>
          </w:tcPr>
          <w:p w14:paraId="5D3B26F4">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c>
          <w:tcPr>
            <w:tcW w:w="8009" w:type="dxa"/>
            <w:noWrap w:val="0"/>
            <w:vAlign w:val="top"/>
          </w:tcPr>
          <w:p w14:paraId="5D4329C6">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color w:val="000000" w:themeColor="text1"/>
                <w:sz w:val="21"/>
                <w:szCs w:val="21"/>
                <w:highlight w:val="none"/>
                <w14:textFill>
                  <w14:solidFill>
                    <w14:schemeClr w14:val="tx1"/>
                  </w14:solidFill>
                </w14:textFill>
              </w:rPr>
            </w:pPr>
          </w:p>
        </w:tc>
      </w:tr>
    </w:tbl>
    <w:p w14:paraId="71629C5A">
      <w:pPr>
        <w:pStyle w:val="19"/>
        <w:keepNext w:val="0"/>
        <w:keepLines w:val="0"/>
        <w:pageBreakBefore w:val="0"/>
        <w:widowControl w:val="0"/>
        <w:kinsoku/>
        <w:wordWrap/>
        <w:overflowPunct/>
        <w:topLinePunct w:val="0"/>
        <w:autoSpaceDE/>
        <w:autoSpaceDN/>
        <w:bidi w:val="0"/>
        <w:adjustRightInd/>
        <w:snapToGrid/>
        <w:spacing w:before="96" w:beforeLines="30" w:after="0" w:line="370" w:lineRule="exact"/>
        <w:ind w:left="0" w:firstLine="2" w:firstLineChars="1"/>
        <w:textAlignment w:val="auto"/>
        <w:rPr>
          <w:rFonts w:hint="eastAsia"/>
          <w:color w:val="000000" w:themeColor="text1"/>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14:paraId="69C6CBCD">
      <w:pPr>
        <w:pStyle w:val="2"/>
        <w:keepNext/>
        <w:keepLines/>
        <w:pageBreakBefore w:val="0"/>
        <w:widowControl w:val="0"/>
        <w:kinsoku/>
        <w:wordWrap/>
        <w:overflowPunct/>
        <w:topLinePunct w:val="0"/>
        <w:autoSpaceDE/>
        <w:autoSpaceDN/>
        <w:bidi w:val="0"/>
        <w:adjustRightInd/>
        <w:snapToGrid/>
        <w:spacing w:before="0" w:after="937" w:afterLines="300" w:line="740" w:lineRule="exact"/>
        <w:ind w:left="0"/>
        <w:jc w:val="center"/>
        <w:textAlignment w:val="auto"/>
        <w:rPr>
          <w:rFonts w:hint="eastAsia" w:ascii="黑体" w:hAnsi="黑体" w:eastAsia="黑体" w:cs="黑体"/>
          <w:b/>
          <w:bCs/>
          <w:color w:val="000000" w:themeColor="text1"/>
          <w:kern w:val="44"/>
          <w:sz w:val="36"/>
          <w:szCs w:val="36"/>
          <w:highlight w:val="none"/>
          <w:lang w:val="en-US" w:bidi="ar-SA"/>
          <w14:textFill>
            <w14:solidFill>
              <w14:schemeClr w14:val="tx1"/>
            </w14:solidFill>
          </w14:textFill>
        </w:rPr>
      </w:pPr>
      <w:bookmarkStart w:id="149" w:name="_Toc8565"/>
      <w:r>
        <w:rPr>
          <w:rFonts w:hint="eastAsia" w:ascii="黑体" w:hAnsi="黑体" w:eastAsia="黑体" w:cs="黑体"/>
          <w:b/>
          <w:bCs/>
          <w:color w:val="000000" w:themeColor="text1"/>
          <w:kern w:val="44"/>
          <w:sz w:val="36"/>
          <w:szCs w:val="36"/>
          <w:highlight w:val="none"/>
          <w:lang w:val="en-US" w:bidi="ar-SA"/>
          <w14:textFill>
            <w14:solidFill>
              <w14:schemeClr w14:val="tx1"/>
            </w14:solidFill>
          </w14:textFill>
        </w:rPr>
        <w:t>第三章  采购需求</w:t>
      </w:r>
      <w:bookmarkEnd w:id="146"/>
      <w:bookmarkEnd w:id="149"/>
    </w:p>
    <w:p w14:paraId="4ACAF5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说明：</w:t>
      </w:r>
    </w:p>
    <w:p w14:paraId="77A0C4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1.为落实政府采购政策需满足的要求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本竞争性磋商文件所称中小企业必须符合《政府采购促进中小企业发展管理办法》（财库〔2020〕46号）的规定。</w:t>
      </w:r>
    </w:p>
    <w:p w14:paraId="7182FA83">
      <w:pPr>
        <w:keepNext w:val="0"/>
        <w:keepLines w:val="0"/>
        <w:pageBreakBefore w:val="0"/>
        <w:widowControl w:val="0"/>
        <w:kinsoku/>
        <w:wordWrap/>
        <w:overflowPunct/>
        <w:topLinePunct w:val="0"/>
        <w:autoSpaceDE/>
        <w:autoSpaceDN/>
        <w:bidi w:val="0"/>
        <w:adjustRightInd/>
        <w:snapToGrid/>
        <w:spacing w:line="360" w:lineRule="auto"/>
        <w:ind w:firstLine="426" w:firstLineChars="202"/>
        <w:jc w:val="left"/>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2.“实质性要求”是指采购需求中带“▲”的条款或者不能负偏离的条款或者已经指明不满足按</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作无效处理的条款。</w:t>
      </w:r>
    </w:p>
    <w:p w14:paraId="6CB1C02E">
      <w:pPr>
        <w:keepNext w:val="0"/>
        <w:keepLines w:val="0"/>
        <w:pageBreakBefore w:val="0"/>
        <w:widowControl w:val="0"/>
        <w:kinsoku/>
        <w:wordWrap/>
        <w:overflowPunct/>
        <w:topLinePunct w:val="0"/>
        <w:autoSpaceDE/>
        <w:autoSpaceDN/>
        <w:bidi w:val="0"/>
        <w:adjustRightInd/>
        <w:snapToGrid/>
        <w:spacing w:line="360" w:lineRule="auto"/>
        <w:ind w:firstLine="426" w:firstLineChars="202"/>
        <w:jc w:val="left"/>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.供应商应根据自身实际情况如实响应竞争性磋商文件，否则将作无效响应处理。</w:t>
      </w:r>
    </w:p>
    <w:p w14:paraId="577C45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采购预算：</w:t>
      </w:r>
      <w:r>
        <w:rPr>
          <w:rFonts w:hint="eastAsia" w:ascii="Times New Roman" w:hAnsi="Times New Roman" w:cs="Times New Roman"/>
          <w:b/>
          <w:bCs/>
          <w:color w:val="000000" w:themeColor="text1"/>
          <w:sz w:val="21"/>
          <w:szCs w:val="21"/>
          <w:highlight w:val="none"/>
          <w:u w:val="single"/>
          <w:lang w:eastAsia="zh-CN"/>
          <w14:textFill>
            <w14:solidFill>
              <w14:schemeClr w14:val="tx1"/>
            </w14:solidFill>
          </w14:textFill>
        </w:rPr>
        <w:t>796,607.69</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元</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2421"/>
        <w:gridCol w:w="1288"/>
        <w:gridCol w:w="1065"/>
        <w:gridCol w:w="3357"/>
      </w:tblGrid>
      <w:tr w14:paraId="4442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639" w:type="dxa"/>
            <w:noWrap w:val="0"/>
            <w:vAlign w:val="center"/>
          </w:tcPr>
          <w:p w14:paraId="456AFFB7">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2421" w:type="dxa"/>
            <w:noWrap w:val="0"/>
            <w:vAlign w:val="center"/>
          </w:tcPr>
          <w:p w14:paraId="2BB6244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标的的名称</w:t>
            </w:r>
          </w:p>
        </w:tc>
        <w:tc>
          <w:tcPr>
            <w:tcW w:w="1288" w:type="dxa"/>
            <w:noWrap w:val="0"/>
            <w:vAlign w:val="center"/>
          </w:tcPr>
          <w:p w14:paraId="63FA9F4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数量及单位</w:t>
            </w:r>
          </w:p>
        </w:tc>
        <w:tc>
          <w:tcPr>
            <w:tcW w:w="1065" w:type="dxa"/>
            <w:noWrap w:val="0"/>
            <w:vAlign w:val="center"/>
          </w:tcPr>
          <w:p w14:paraId="7C38421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所属行业</w:t>
            </w:r>
          </w:p>
        </w:tc>
        <w:tc>
          <w:tcPr>
            <w:tcW w:w="3357" w:type="dxa"/>
            <w:noWrap w:val="0"/>
            <w:vAlign w:val="center"/>
          </w:tcPr>
          <w:p w14:paraId="680E945D">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采购</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需求</w:t>
            </w:r>
          </w:p>
        </w:tc>
      </w:tr>
      <w:tr w14:paraId="2064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9" w:hRule="atLeast"/>
          <w:jc w:val="center"/>
        </w:trPr>
        <w:tc>
          <w:tcPr>
            <w:tcW w:w="639" w:type="dxa"/>
            <w:noWrap w:val="0"/>
            <w:vAlign w:val="center"/>
          </w:tcPr>
          <w:p w14:paraId="6AA2BBE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421" w:type="dxa"/>
            <w:noWrap w:val="0"/>
            <w:vAlign w:val="center"/>
          </w:tcPr>
          <w:p w14:paraId="0D5F112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zh-CN" w:eastAsia="zh-CN"/>
                <w14:textFill>
                  <w14:solidFill>
                    <w14:schemeClr w14:val="tx1"/>
                  </w14:solidFill>
                </w14:textFill>
              </w:rPr>
              <w:t>金秀瑶族自治县桐木镇耕地提质改造（旱改水）修复项目</w:t>
            </w:r>
          </w:p>
        </w:tc>
        <w:tc>
          <w:tcPr>
            <w:tcW w:w="1288" w:type="dxa"/>
            <w:noWrap w:val="0"/>
            <w:vAlign w:val="center"/>
          </w:tcPr>
          <w:p w14:paraId="68BD412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1项</w:t>
            </w:r>
          </w:p>
        </w:tc>
        <w:tc>
          <w:tcPr>
            <w:tcW w:w="1065" w:type="dxa"/>
            <w:noWrap w:val="0"/>
            <w:vAlign w:val="center"/>
          </w:tcPr>
          <w:p w14:paraId="74EA442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建筑业</w:t>
            </w:r>
          </w:p>
        </w:tc>
        <w:tc>
          <w:tcPr>
            <w:tcW w:w="3357" w:type="dxa"/>
            <w:noWrap w:val="0"/>
            <w:vAlign w:val="center"/>
          </w:tcPr>
          <w:p w14:paraId="3A133C75">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金秀瑶族自治县桐木镇耕地提质改造（旱改水）修复项目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工程地点位于金秀瑶族自治县桐木镇。本项目主要内容：（1）土地平整12084.50㎡;土地配肥12084.50㎡。（2）渠道清淤646米，新建渠道6米。（3）新建挡墙32米。（4）地力培肥12084.50㎡。如需进一步了解详细内容，详见竞争性磋商文件和施工图纸和、工程量清单。</w:t>
            </w:r>
          </w:p>
        </w:tc>
      </w:tr>
      <w:tr w14:paraId="7257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770" w:type="dxa"/>
            <w:gridSpan w:val="5"/>
            <w:tcBorders>
              <w:top w:val="single" w:color="auto" w:sz="4" w:space="0"/>
              <w:left w:val="single" w:color="auto" w:sz="4" w:space="0"/>
              <w:bottom w:val="single" w:color="auto" w:sz="4" w:space="0"/>
              <w:right w:val="single" w:color="auto" w:sz="4" w:space="0"/>
            </w:tcBorders>
            <w:noWrap w:val="0"/>
            <w:vAlign w:val="center"/>
          </w:tcPr>
          <w:p w14:paraId="379B86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b/>
                <w:color w:val="auto"/>
                <w:sz w:val="21"/>
                <w:szCs w:val="21"/>
                <w:highlight w:val="none"/>
              </w:rPr>
              <w:t>商务条款</w:t>
            </w:r>
          </w:p>
        </w:tc>
      </w:tr>
      <w:tr w14:paraId="61082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70" w:type="dxa"/>
            <w:gridSpan w:val="5"/>
            <w:tcBorders>
              <w:top w:val="single" w:color="auto" w:sz="4" w:space="0"/>
              <w:left w:val="single" w:color="auto" w:sz="4" w:space="0"/>
              <w:bottom w:val="single" w:color="auto" w:sz="4" w:space="0"/>
              <w:right w:val="single" w:color="auto" w:sz="4" w:space="0"/>
            </w:tcBorders>
            <w:noWrap w:val="0"/>
            <w:vAlign w:val="center"/>
          </w:tcPr>
          <w:p w14:paraId="0BD74CB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b/>
                <w:bCs/>
                <w:i w:val="0"/>
                <w:iCs w:val="0"/>
                <w:color w:val="auto"/>
                <w:sz w:val="21"/>
                <w:szCs w:val="21"/>
                <w:highlight w:val="none"/>
                <w:u w:val="none"/>
                <w:lang w:val="en-US" w:eastAsia="zh-CN"/>
              </w:rPr>
              <w:t>1.合同签订时间：</w:t>
            </w:r>
            <w:r>
              <w:rPr>
                <w:rFonts w:hint="default" w:ascii="Times New Roman" w:hAnsi="Times New Roman" w:eastAsia="宋体" w:cs="Times New Roman"/>
                <w:i w:val="0"/>
                <w:iCs w:val="0"/>
                <w:color w:val="auto"/>
                <w:sz w:val="21"/>
                <w:szCs w:val="21"/>
                <w:highlight w:val="none"/>
                <w:u w:val="none"/>
                <w:lang w:val="en-US" w:eastAsia="zh-CN"/>
              </w:rPr>
              <w:t>自成交通知书发出之日起25日内</w:t>
            </w:r>
            <w:r>
              <w:rPr>
                <w:rFonts w:hint="eastAsia" w:ascii="Times New Roman" w:hAnsi="Times New Roman" w:eastAsia="宋体" w:cs="Times New Roman"/>
                <w:i w:val="0"/>
                <w:iCs w:val="0"/>
                <w:color w:val="auto"/>
                <w:sz w:val="21"/>
                <w:szCs w:val="21"/>
                <w:highlight w:val="none"/>
                <w:u w:val="none"/>
                <w:lang w:val="en-US" w:eastAsia="zh-CN"/>
              </w:rPr>
              <w:t>。</w:t>
            </w:r>
          </w:p>
          <w:p w14:paraId="2FB5F36C">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b/>
                <w:bCs/>
                <w:i w:val="0"/>
                <w:iCs w:val="0"/>
                <w:color w:val="auto"/>
                <w:sz w:val="21"/>
                <w:szCs w:val="21"/>
                <w:highlight w:val="none"/>
                <w:u w:val="none"/>
                <w:lang w:val="en-US" w:eastAsia="zh-CN"/>
              </w:rPr>
              <w:t>2.</w:t>
            </w:r>
            <w:r>
              <w:rPr>
                <w:rFonts w:hint="eastAsia" w:ascii="Times New Roman" w:hAnsi="Times New Roman" w:eastAsia="宋体" w:cs="Times New Roman"/>
                <w:b/>
                <w:bCs/>
                <w:i w:val="0"/>
                <w:iCs w:val="0"/>
                <w:color w:val="auto"/>
                <w:sz w:val="21"/>
                <w:szCs w:val="21"/>
                <w:highlight w:val="none"/>
                <w:u w:val="none"/>
                <w:lang w:val="en-US" w:eastAsia="zh-CN"/>
              </w:rPr>
              <w:t>工期</w:t>
            </w:r>
            <w:r>
              <w:rPr>
                <w:rFonts w:hint="default" w:ascii="Times New Roman" w:hAnsi="Times New Roman" w:eastAsia="宋体" w:cs="Times New Roman"/>
                <w:b/>
                <w:bCs/>
                <w:i w:val="0"/>
                <w:iCs w:val="0"/>
                <w:color w:val="auto"/>
                <w:sz w:val="21"/>
                <w:szCs w:val="21"/>
                <w:highlight w:val="none"/>
                <w:u w:val="none"/>
                <w:lang w:val="en-US" w:eastAsia="zh-CN"/>
              </w:rPr>
              <w:t>：</w:t>
            </w:r>
            <w:r>
              <w:rPr>
                <w:rFonts w:hint="eastAsia" w:ascii="Times New Roman" w:hAnsi="Times New Roman" w:cs="Times New Roman"/>
                <w:i w:val="0"/>
                <w:iCs w:val="0"/>
                <w:color w:val="auto"/>
                <w:sz w:val="21"/>
                <w:szCs w:val="21"/>
                <w:highlight w:val="none"/>
                <w:u w:val="none"/>
                <w:lang w:val="en-US" w:eastAsia="zh-CN"/>
              </w:rPr>
              <w:t>90日历天</w:t>
            </w:r>
          </w:p>
          <w:p w14:paraId="03FF5FF5">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auto"/>
                <w:highlight w:val="none"/>
                <w:lang w:val="en-US" w:eastAsia="zh-CN"/>
              </w:rPr>
            </w:pPr>
            <w:r>
              <w:rPr>
                <w:rFonts w:hint="eastAsia" w:ascii="Times New Roman" w:hAnsi="Times New Roman" w:eastAsia="宋体" w:cs="Times New Roman"/>
                <w:i w:val="0"/>
                <w:iCs w:val="0"/>
                <w:color w:val="auto"/>
                <w:sz w:val="21"/>
                <w:szCs w:val="21"/>
                <w:highlight w:val="none"/>
                <w:u w:val="none"/>
                <w:lang w:val="en-US" w:eastAsia="zh-CN"/>
              </w:rPr>
              <w:t>3.</w:t>
            </w:r>
            <w:r>
              <w:rPr>
                <w:rFonts w:hint="eastAsia" w:ascii="Times New Roman" w:hAnsi="Times New Roman" w:eastAsia="宋体" w:cs="Times New Roman"/>
                <w:b/>
                <w:bCs/>
                <w:i w:val="0"/>
                <w:iCs w:val="0"/>
                <w:color w:val="auto"/>
                <w:sz w:val="21"/>
                <w:szCs w:val="21"/>
                <w:highlight w:val="none"/>
                <w:u w:val="none"/>
                <w:lang w:val="en-US" w:eastAsia="zh-CN" w:bidi="zh-CN"/>
              </w:rPr>
              <w:t>质量要求：</w:t>
            </w:r>
            <w:r>
              <w:rPr>
                <w:rFonts w:hint="eastAsia" w:ascii="Times New Roman" w:hAnsi="Times New Roman" w:eastAsia="宋体" w:cs="Times New Roman"/>
                <w:b w:val="0"/>
                <w:bCs w:val="0"/>
                <w:i w:val="0"/>
                <w:iCs w:val="0"/>
                <w:color w:val="auto"/>
                <w:sz w:val="21"/>
                <w:szCs w:val="21"/>
                <w:highlight w:val="none"/>
                <w:u w:val="none"/>
                <w:lang w:val="en-US" w:eastAsia="zh-CN" w:bidi="zh-CN"/>
              </w:rPr>
              <w:t>合格</w:t>
            </w:r>
          </w:p>
          <w:p w14:paraId="27C0440E">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val="0"/>
                <w:i w:val="0"/>
                <w:iCs w:val="0"/>
                <w:color w:val="auto"/>
                <w:sz w:val="21"/>
                <w:szCs w:val="21"/>
                <w:highlight w:val="none"/>
                <w:u w:val="none"/>
                <w:lang w:val="en-US" w:eastAsia="zh-CN"/>
              </w:rPr>
            </w:pPr>
            <w:r>
              <w:rPr>
                <w:rFonts w:hint="eastAsia" w:ascii="Times New Roman" w:hAnsi="Times New Roman" w:eastAsia="宋体" w:cs="Times New Roman"/>
                <w:b/>
                <w:bCs/>
                <w:i w:val="0"/>
                <w:iCs w:val="0"/>
                <w:color w:val="auto"/>
                <w:sz w:val="21"/>
                <w:szCs w:val="21"/>
                <w:highlight w:val="none"/>
                <w:u w:val="none"/>
                <w:lang w:val="en-US" w:eastAsia="zh-CN"/>
              </w:rPr>
              <w:t>4</w:t>
            </w:r>
            <w:r>
              <w:rPr>
                <w:rFonts w:hint="default" w:ascii="Times New Roman" w:hAnsi="Times New Roman" w:eastAsia="宋体" w:cs="Times New Roman"/>
                <w:b/>
                <w:bCs/>
                <w:i w:val="0"/>
                <w:iCs w:val="0"/>
                <w:color w:val="auto"/>
                <w:sz w:val="21"/>
                <w:szCs w:val="21"/>
                <w:highlight w:val="none"/>
                <w:u w:val="none"/>
                <w:lang w:val="en-US" w:eastAsia="zh-CN"/>
              </w:rPr>
              <w:t>.付款</w:t>
            </w:r>
            <w:r>
              <w:rPr>
                <w:rFonts w:hint="eastAsia" w:ascii="Times New Roman" w:hAnsi="Times New Roman" w:eastAsia="宋体" w:cs="Times New Roman"/>
                <w:b/>
                <w:bCs/>
                <w:i w:val="0"/>
                <w:iCs w:val="0"/>
                <w:color w:val="auto"/>
                <w:sz w:val="21"/>
                <w:szCs w:val="21"/>
                <w:highlight w:val="none"/>
                <w:u w:val="none"/>
                <w:lang w:val="en-US" w:eastAsia="zh-CN"/>
              </w:rPr>
              <w:t>周期</w:t>
            </w:r>
            <w:r>
              <w:rPr>
                <w:rFonts w:hint="default" w:ascii="Times New Roman" w:hAnsi="Times New Roman" w:eastAsia="宋体" w:cs="Times New Roman"/>
                <w:b/>
                <w:bCs/>
                <w:i w:val="0"/>
                <w:iCs w:val="0"/>
                <w:color w:val="auto"/>
                <w:sz w:val="21"/>
                <w:szCs w:val="21"/>
                <w:highlight w:val="none"/>
                <w:u w:val="none"/>
                <w:lang w:val="en-US" w:eastAsia="zh-CN"/>
              </w:rPr>
              <w:t>：</w:t>
            </w:r>
            <w:r>
              <w:rPr>
                <w:rFonts w:hint="default" w:ascii="Times New Roman" w:hAnsi="Times New Roman" w:eastAsia="宋体" w:cs="Times New Roman"/>
                <w:b w:val="0"/>
                <w:bCs w:val="0"/>
                <w:i w:val="0"/>
                <w:iCs w:val="0"/>
                <w:color w:val="auto"/>
                <w:sz w:val="21"/>
                <w:szCs w:val="21"/>
                <w:highlight w:val="none"/>
                <w:u w:val="none"/>
                <w:lang w:val="en-US" w:eastAsia="zh-CN"/>
              </w:rPr>
              <w:t>工程进度款按施工方进场施工后支付30％预付款，承包人于每月 25 日前将进度报至业主审核。工程竣工验收合格后，工程款累计支付至实际完成工程量造价的 85%。经审计部门结算审定后，工程进度款支付至工程结算价的100%，承包人按工程价款结算总额的3%预存履约的工程质量保修金待缺陷责任期(12 个月) 满后 30 天内，双方确认无质量返修问题后返还。</w:t>
            </w:r>
          </w:p>
          <w:p w14:paraId="5A04314D">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bCs/>
                <w:i w:val="0"/>
                <w:iCs w:val="0"/>
                <w:color w:val="auto"/>
                <w:sz w:val="21"/>
                <w:szCs w:val="21"/>
                <w:highlight w:val="none"/>
                <w:u w:val="none"/>
                <w:lang w:val="en-US" w:eastAsia="zh-CN"/>
              </w:rPr>
              <w:t>5.报价要求：</w:t>
            </w:r>
            <w:r>
              <w:rPr>
                <w:rFonts w:hint="default" w:ascii="Times New Roman" w:hAnsi="Times New Roman" w:eastAsia="宋体" w:cs="Times New Roman"/>
                <w:b w:val="0"/>
                <w:bCs w:val="0"/>
                <w:i w:val="0"/>
                <w:iCs w:val="0"/>
                <w:color w:val="auto"/>
                <w:sz w:val="21"/>
                <w:szCs w:val="21"/>
                <w:highlight w:val="none"/>
                <w:u w:val="none"/>
                <w:lang w:val="en-US" w:eastAsia="zh-CN"/>
              </w:rPr>
              <w:t>采用固定综合单价的工程量清单形式报价</w:t>
            </w:r>
            <w:r>
              <w:rPr>
                <w:rFonts w:hint="eastAsia" w:ascii="Times New Roman" w:hAnsi="宋体" w:eastAsia="宋体" w:cs="Times New Roman"/>
                <w:color w:val="auto"/>
                <w:sz w:val="21"/>
                <w:szCs w:val="22"/>
                <w:highlight w:val="none"/>
                <w:lang w:val="en-US" w:eastAsia="zh-CN" w:bidi="zh-CN"/>
              </w:rPr>
              <w:t>，包工包料，由供应商根据现场情况按市场价自行报价。供应商所填报的各项单价在合同实施期间不因市场变化因素而变动，供应商在计算报价时应考虑一定的风险因素和固定价格包括的范围。除非合同中另有规定，具有标价的工程量清单报价中所报单价和总价以及响应报价表中的价格应包括施工设备、劳务、管理、材料、安装、维护、保险、利润、税金、政策性文件规定及合同包含的应有风险、责任等各项应有费用</w:t>
            </w:r>
            <w:r>
              <w:rPr>
                <w:rFonts w:hint="default" w:ascii="Times New Roman" w:hAnsi="宋体" w:eastAsia="宋体" w:cs="Times New Roman"/>
                <w:color w:val="auto"/>
                <w:sz w:val="21"/>
                <w:szCs w:val="22"/>
                <w:highlight w:val="none"/>
                <w:lang w:val="en-US" w:eastAsia="zh-CN" w:bidi="zh-CN"/>
              </w:rPr>
              <w:t>。</w:t>
            </w:r>
          </w:p>
        </w:tc>
      </w:tr>
    </w:tbl>
    <w:p w14:paraId="18E7317A">
      <w:pPr>
        <w:rPr>
          <w:rFonts w:hint="eastAsia" w:ascii="黑体" w:eastAsia="黑体"/>
          <w:b/>
          <w:bCs/>
          <w:color w:val="000000" w:themeColor="text1"/>
          <w:sz w:val="36"/>
          <w:szCs w:val="36"/>
          <w:highlight w:val="none"/>
          <w:lang w:val="en-US"/>
          <w14:textFill>
            <w14:solidFill>
              <w14:schemeClr w14:val="tx1"/>
            </w14:solidFill>
          </w14:textFill>
        </w:rPr>
      </w:pPr>
      <w:bookmarkStart w:id="150" w:name="_Toc500469819"/>
      <w:bookmarkStart w:id="151" w:name="_Toc500469661"/>
      <w:r>
        <w:rPr>
          <w:rFonts w:hint="eastAsia" w:ascii="黑体" w:eastAsia="黑体"/>
          <w:b/>
          <w:bCs/>
          <w:color w:val="000000" w:themeColor="text1"/>
          <w:sz w:val="36"/>
          <w:szCs w:val="36"/>
          <w:highlight w:val="none"/>
          <w:lang w:val="en-US"/>
          <w14:textFill>
            <w14:solidFill>
              <w14:schemeClr w14:val="tx1"/>
            </w14:solidFill>
          </w14:textFill>
        </w:rPr>
        <w:br w:type="page"/>
      </w:r>
    </w:p>
    <w:p w14:paraId="5B705DA1">
      <w:pPr>
        <w:pStyle w:val="25"/>
        <w:spacing w:line="380" w:lineRule="exact"/>
        <w:textAlignment w:val="center"/>
        <w:rPr>
          <w:rFonts w:ascii="Times New Roman" w:hAnsi="Times New Roman"/>
          <w:b/>
          <w:bCs/>
          <w:color w:val="000000" w:themeColor="text1"/>
          <w:kern w:val="2"/>
          <w:sz w:val="24"/>
          <w:szCs w:val="24"/>
          <w:highlight w:val="none"/>
          <w14:textFill>
            <w14:solidFill>
              <w14:schemeClr w14:val="tx1"/>
            </w14:solidFill>
          </w14:textFill>
        </w:rPr>
      </w:pPr>
      <w:r>
        <w:rPr>
          <w:rFonts w:hint="eastAsia" w:ascii="Times New Roman" w:hAnsi="Times New Roman"/>
          <w:b/>
          <w:bCs/>
          <w:color w:val="000000" w:themeColor="text1"/>
          <w:kern w:val="2"/>
          <w:sz w:val="24"/>
          <w:szCs w:val="24"/>
          <w:highlight w:val="none"/>
          <w14:textFill>
            <w14:solidFill>
              <w14:schemeClr w14:val="tx1"/>
            </w14:solidFill>
          </w14:textFill>
        </w:rPr>
        <w:t>附件1：</w:t>
      </w:r>
    </w:p>
    <w:p w14:paraId="56BAF10B">
      <w:pPr>
        <w:spacing w:after="159" w:afterLines="50" w:line="480" w:lineRule="exact"/>
        <w:jc w:val="center"/>
        <w:rPr>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t>中小微企业划型标准</w:t>
      </w:r>
    </w:p>
    <w:tbl>
      <w:tblPr>
        <w:tblStyle w:val="43"/>
        <w:tblW w:w="9637" w:type="dxa"/>
        <w:tblInd w:w="-382" w:type="dxa"/>
        <w:tblLayout w:type="fixed"/>
        <w:tblCellMar>
          <w:top w:w="0" w:type="dxa"/>
          <w:left w:w="108" w:type="dxa"/>
          <w:bottom w:w="0" w:type="dxa"/>
          <w:right w:w="108" w:type="dxa"/>
        </w:tblCellMar>
      </w:tblPr>
      <w:tblGrid>
        <w:gridCol w:w="1975"/>
        <w:gridCol w:w="1650"/>
        <w:gridCol w:w="1200"/>
        <w:gridCol w:w="1875"/>
        <w:gridCol w:w="1787"/>
        <w:gridCol w:w="1150"/>
      </w:tblGrid>
      <w:tr w14:paraId="4F0F932B">
        <w:tblPrEx>
          <w:tblCellMar>
            <w:top w:w="0" w:type="dxa"/>
            <w:left w:w="108" w:type="dxa"/>
            <w:bottom w:w="0" w:type="dxa"/>
            <w:right w:w="108" w:type="dxa"/>
          </w:tblCellMar>
        </w:tblPrEx>
        <w:trPr>
          <w:trHeight w:val="417" w:hRule="atLeast"/>
        </w:trPr>
        <w:tc>
          <w:tcPr>
            <w:tcW w:w="1975" w:type="dxa"/>
            <w:tcBorders>
              <w:top w:val="single" w:color="auto" w:sz="4" w:space="0"/>
              <w:left w:val="single" w:color="auto" w:sz="4" w:space="0"/>
              <w:bottom w:val="single" w:color="auto" w:sz="4" w:space="0"/>
              <w:right w:val="single" w:color="auto" w:sz="4" w:space="0"/>
            </w:tcBorders>
            <w:vAlign w:val="center"/>
          </w:tcPr>
          <w:p w14:paraId="0E627842">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行业名称</w:t>
            </w:r>
          </w:p>
        </w:tc>
        <w:tc>
          <w:tcPr>
            <w:tcW w:w="1650" w:type="dxa"/>
            <w:tcBorders>
              <w:top w:val="single" w:color="auto" w:sz="4" w:space="0"/>
              <w:left w:val="nil"/>
              <w:bottom w:val="single" w:color="auto" w:sz="4" w:space="0"/>
              <w:right w:val="single" w:color="auto" w:sz="4" w:space="0"/>
            </w:tcBorders>
            <w:vAlign w:val="center"/>
          </w:tcPr>
          <w:p w14:paraId="4C59A896">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指标名称</w:t>
            </w:r>
          </w:p>
        </w:tc>
        <w:tc>
          <w:tcPr>
            <w:tcW w:w="1200" w:type="dxa"/>
            <w:tcBorders>
              <w:top w:val="single" w:color="auto" w:sz="4" w:space="0"/>
              <w:left w:val="nil"/>
              <w:bottom w:val="single" w:color="auto" w:sz="4" w:space="0"/>
              <w:right w:val="single" w:color="auto" w:sz="4" w:space="0"/>
            </w:tcBorders>
            <w:vAlign w:val="center"/>
          </w:tcPr>
          <w:p w14:paraId="6C002E03">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计量单位</w:t>
            </w:r>
          </w:p>
        </w:tc>
        <w:tc>
          <w:tcPr>
            <w:tcW w:w="1875" w:type="dxa"/>
            <w:tcBorders>
              <w:top w:val="single" w:color="auto" w:sz="4" w:space="0"/>
              <w:left w:val="nil"/>
              <w:bottom w:val="single" w:color="auto" w:sz="4" w:space="0"/>
              <w:right w:val="single" w:color="auto" w:sz="4" w:space="0"/>
            </w:tcBorders>
            <w:vAlign w:val="center"/>
          </w:tcPr>
          <w:p w14:paraId="219C7F65">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中型</w:t>
            </w:r>
          </w:p>
        </w:tc>
        <w:tc>
          <w:tcPr>
            <w:tcW w:w="1787" w:type="dxa"/>
            <w:tcBorders>
              <w:top w:val="single" w:color="auto" w:sz="4" w:space="0"/>
              <w:left w:val="nil"/>
              <w:bottom w:val="single" w:color="auto" w:sz="4" w:space="0"/>
              <w:right w:val="single" w:color="auto" w:sz="4" w:space="0"/>
            </w:tcBorders>
            <w:vAlign w:val="center"/>
          </w:tcPr>
          <w:p w14:paraId="3DCA125B">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小型</w:t>
            </w:r>
          </w:p>
        </w:tc>
        <w:tc>
          <w:tcPr>
            <w:tcW w:w="1150" w:type="dxa"/>
            <w:tcBorders>
              <w:top w:val="single" w:color="auto" w:sz="4" w:space="0"/>
              <w:left w:val="nil"/>
              <w:bottom w:val="single" w:color="auto" w:sz="4" w:space="0"/>
              <w:right w:val="single" w:color="auto" w:sz="4" w:space="0"/>
            </w:tcBorders>
            <w:vAlign w:val="center"/>
          </w:tcPr>
          <w:p w14:paraId="532A0D67">
            <w:pPr>
              <w:widowControl/>
              <w:spacing w:line="360" w:lineRule="exact"/>
              <w:jc w:val="cente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14:textFill>
                  <w14:solidFill>
                    <w14:schemeClr w14:val="tx1"/>
                  </w14:solidFill>
                </w14:textFill>
              </w:rPr>
              <w:t>微型</w:t>
            </w:r>
          </w:p>
        </w:tc>
      </w:tr>
      <w:tr w14:paraId="77A54984">
        <w:tblPrEx>
          <w:tblCellMar>
            <w:top w:w="0" w:type="dxa"/>
            <w:left w:w="108" w:type="dxa"/>
            <w:bottom w:w="0" w:type="dxa"/>
            <w:right w:w="108" w:type="dxa"/>
          </w:tblCellMar>
        </w:tblPrEx>
        <w:trPr>
          <w:trHeight w:val="225" w:hRule="atLeast"/>
        </w:trPr>
        <w:tc>
          <w:tcPr>
            <w:tcW w:w="1975" w:type="dxa"/>
            <w:tcBorders>
              <w:top w:val="nil"/>
              <w:left w:val="single" w:color="auto" w:sz="4" w:space="0"/>
              <w:bottom w:val="single" w:color="auto" w:sz="4" w:space="0"/>
              <w:right w:val="single" w:color="auto" w:sz="4" w:space="0"/>
            </w:tcBorders>
            <w:vAlign w:val="bottom"/>
          </w:tcPr>
          <w:p w14:paraId="4CEA55B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农、林、牧、渔</w:t>
            </w:r>
          </w:p>
        </w:tc>
        <w:tc>
          <w:tcPr>
            <w:tcW w:w="1650" w:type="dxa"/>
            <w:tcBorders>
              <w:top w:val="nil"/>
              <w:left w:val="nil"/>
              <w:bottom w:val="single" w:color="auto" w:sz="4" w:space="0"/>
              <w:right w:val="single" w:color="auto" w:sz="4" w:space="0"/>
            </w:tcBorders>
            <w:vAlign w:val="center"/>
          </w:tcPr>
          <w:p w14:paraId="60F8014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0B52507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1EDC654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Y＜20000</w:t>
            </w:r>
          </w:p>
        </w:tc>
        <w:tc>
          <w:tcPr>
            <w:tcW w:w="1787" w:type="dxa"/>
            <w:tcBorders>
              <w:top w:val="nil"/>
              <w:left w:val="nil"/>
              <w:bottom w:val="single" w:color="auto" w:sz="4" w:space="0"/>
              <w:right w:val="single" w:color="auto" w:sz="4" w:space="0"/>
            </w:tcBorders>
            <w:vAlign w:val="center"/>
          </w:tcPr>
          <w:p w14:paraId="1A6AE3E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w:t>
            </w:r>
          </w:p>
        </w:tc>
        <w:tc>
          <w:tcPr>
            <w:tcW w:w="1150" w:type="dxa"/>
            <w:tcBorders>
              <w:top w:val="nil"/>
              <w:left w:val="nil"/>
              <w:bottom w:val="single" w:color="auto" w:sz="4" w:space="0"/>
              <w:right w:val="single" w:color="auto" w:sz="4" w:space="0"/>
            </w:tcBorders>
            <w:vAlign w:val="center"/>
          </w:tcPr>
          <w:p w14:paraId="19CC7B3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w:t>
            </w:r>
          </w:p>
        </w:tc>
      </w:tr>
      <w:tr w14:paraId="5D47335A">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0CBCC1D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工业</w:t>
            </w:r>
          </w:p>
        </w:tc>
        <w:tc>
          <w:tcPr>
            <w:tcW w:w="1650" w:type="dxa"/>
            <w:tcBorders>
              <w:top w:val="nil"/>
              <w:left w:val="nil"/>
              <w:bottom w:val="single" w:color="auto" w:sz="4" w:space="0"/>
              <w:right w:val="single" w:color="auto" w:sz="4" w:space="0"/>
            </w:tcBorders>
            <w:vAlign w:val="center"/>
          </w:tcPr>
          <w:p w14:paraId="7B19697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175DFBB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559E615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X＜1000</w:t>
            </w:r>
          </w:p>
        </w:tc>
        <w:tc>
          <w:tcPr>
            <w:tcW w:w="1787" w:type="dxa"/>
            <w:tcBorders>
              <w:top w:val="nil"/>
              <w:left w:val="nil"/>
              <w:bottom w:val="single" w:color="auto" w:sz="4" w:space="0"/>
              <w:right w:val="single" w:color="auto" w:sz="4" w:space="0"/>
            </w:tcBorders>
            <w:vAlign w:val="center"/>
          </w:tcPr>
          <w:p w14:paraId="57A6318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150" w:type="dxa"/>
            <w:tcBorders>
              <w:top w:val="nil"/>
              <w:left w:val="nil"/>
              <w:bottom w:val="single" w:color="auto" w:sz="4" w:space="0"/>
              <w:right w:val="single" w:color="auto" w:sz="4" w:space="0"/>
            </w:tcBorders>
            <w:vAlign w:val="center"/>
          </w:tcPr>
          <w:p w14:paraId="01AB7E7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w:t>
            </w:r>
          </w:p>
        </w:tc>
      </w:tr>
      <w:tr w14:paraId="75D8B0E0">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5526695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1AB1238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5AA0D43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3BE20A8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Y＜40000</w:t>
            </w:r>
          </w:p>
        </w:tc>
        <w:tc>
          <w:tcPr>
            <w:tcW w:w="1787" w:type="dxa"/>
            <w:tcBorders>
              <w:top w:val="nil"/>
              <w:left w:val="nil"/>
              <w:bottom w:val="single" w:color="auto" w:sz="4" w:space="0"/>
              <w:right w:val="single" w:color="auto" w:sz="4" w:space="0"/>
            </w:tcBorders>
            <w:vAlign w:val="center"/>
          </w:tcPr>
          <w:p w14:paraId="3EE8625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w:t>
            </w:r>
          </w:p>
        </w:tc>
        <w:tc>
          <w:tcPr>
            <w:tcW w:w="1150" w:type="dxa"/>
            <w:tcBorders>
              <w:top w:val="nil"/>
              <w:left w:val="nil"/>
              <w:bottom w:val="single" w:color="auto" w:sz="4" w:space="0"/>
              <w:right w:val="single" w:color="auto" w:sz="4" w:space="0"/>
            </w:tcBorders>
            <w:vAlign w:val="center"/>
          </w:tcPr>
          <w:p w14:paraId="3D09FF1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w:t>
            </w:r>
          </w:p>
        </w:tc>
      </w:tr>
      <w:tr w14:paraId="62158D98">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3A081E1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建筑业</w:t>
            </w:r>
          </w:p>
        </w:tc>
        <w:tc>
          <w:tcPr>
            <w:tcW w:w="1650" w:type="dxa"/>
            <w:tcBorders>
              <w:top w:val="nil"/>
              <w:left w:val="nil"/>
              <w:bottom w:val="single" w:color="auto" w:sz="4" w:space="0"/>
              <w:right w:val="single" w:color="auto" w:sz="4" w:space="0"/>
            </w:tcBorders>
            <w:vAlign w:val="center"/>
          </w:tcPr>
          <w:p w14:paraId="717642F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595D222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68C5501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6000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Y＜80000</w:t>
            </w:r>
          </w:p>
        </w:tc>
        <w:tc>
          <w:tcPr>
            <w:tcW w:w="1787" w:type="dxa"/>
            <w:tcBorders>
              <w:top w:val="nil"/>
              <w:left w:val="nil"/>
              <w:bottom w:val="single" w:color="auto" w:sz="4" w:space="0"/>
              <w:right w:val="single" w:color="auto" w:sz="4" w:space="0"/>
            </w:tcBorders>
            <w:vAlign w:val="center"/>
          </w:tcPr>
          <w:p w14:paraId="02B9BA4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Y＜6000</w:t>
            </w:r>
          </w:p>
        </w:tc>
        <w:tc>
          <w:tcPr>
            <w:tcW w:w="1150" w:type="dxa"/>
            <w:tcBorders>
              <w:top w:val="nil"/>
              <w:left w:val="nil"/>
              <w:bottom w:val="single" w:color="auto" w:sz="4" w:space="0"/>
              <w:right w:val="single" w:color="auto" w:sz="4" w:space="0"/>
            </w:tcBorders>
            <w:vAlign w:val="center"/>
          </w:tcPr>
          <w:p w14:paraId="2313BFD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w:t>
            </w:r>
          </w:p>
        </w:tc>
      </w:tr>
      <w:tr w14:paraId="19187EAE">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6C99DB3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303FA60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14:paraId="2E4C097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1C77B22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Z＜80000</w:t>
            </w:r>
          </w:p>
        </w:tc>
        <w:tc>
          <w:tcPr>
            <w:tcW w:w="1787" w:type="dxa"/>
            <w:tcBorders>
              <w:top w:val="nil"/>
              <w:left w:val="nil"/>
              <w:bottom w:val="single" w:color="auto" w:sz="4" w:space="0"/>
              <w:right w:val="single" w:color="auto" w:sz="4" w:space="0"/>
            </w:tcBorders>
            <w:vAlign w:val="center"/>
          </w:tcPr>
          <w:p w14:paraId="103454A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Z＜5000</w:t>
            </w:r>
          </w:p>
        </w:tc>
        <w:tc>
          <w:tcPr>
            <w:tcW w:w="1150" w:type="dxa"/>
            <w:tcBorders>
              <w:top w:val="nil"/>
              <w:left w:val="nil"/>
              <w:bottom w:val="single" w:color="auto" w:sz="4" w:space="0"/>
              <w:right w:val="single" w:color="auto" w:sz="4" w:space="0"/>
            </w:tcBorders>
            <w:vAlign w:val="center"/>
          </w:tcPr>
          <w:p w14:paraId="7381944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Z＜300</w:t>
            </w:r>
          </w:p>
        </w:tc>
      </w:tr>
      <w:tr w14:paraId="5EF63430">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2CE6F46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批发业</w:t>
            </w:r>
          </w:p>
        </w:tc>
        <w:tc>
          <w:tcPr>
            <w:tcW w:w="1650" w:type="dxa"/>
            <w:tcBorders>
              <w:top w:val="nil"/>
              <w:left w:val="nil"/>
              <w:bottom w:val="single" w:color="auto" w:sz="4" w:space="0"/>
              <w:right w:val="single" w:color="auto" w:sz="4" w:space="0"/>
            </w:tcBorders>
            <w:vAlign w:val="center"/>
          </w:tcPr>
          <w:p w14:paraId="1B6B6C5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19D6993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3194CCC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X＜200</w:t>
            </w:r>
          </w:p>
        </w:tc>
        <w:tc>
          <w:tcPr>
            <w:tcW w:w="1787" w:type="dxa"/>
            <w:tcBorders>
              <w:top w:val="nil"/>
              <w:left w:val="nil"/>
              <w:bottom w:val="single" w:color="auto" w:sz="4" w:space="0"/>
              <w:right w:val="single" w:color="auto" w:sz="4" w:space="0"/>
            </w:tcBorders>
            <w:vAlign w:val="center"/>
          </w:tcPr>
          <w:p w14:paraId="0E9E697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w:t>
            </w:r>
          </w:p>
        </w:tc>
        <w:tc>
          <w:tcPr>
            <w:tcW w:w="1150" w:type="dxa"/>
            <w:tcBorders>
              <w:top w:val="nil"/>
              <w:left w:val="nil"/>
              <w:bottom w:val="single" w:color="auto" w:sz="4" w:space="0"/>
              <w:right w:val="single" w:color="auto" w:sz="4" w:space="0"/>
            </w:tcBorders>
            <w:vAlign w:val="center"/>
          </w:tcPr>
          <w:p w14:paraId="3763EAF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X＜5</w:t>
            </w:r>
          </w:p>
        </w:tc>
      </w:tr>
      <w:tr w14:paraId="3D4554AF">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4957DF1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4FE4992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131AEF6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6DF3AA2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Y＜40000</w:t>
            </w:r>
          </w:p>
        </w:tc>
        <w:tc>
          <w:tcPr>
            <w:tcW w:w="1787" w:type="dxa"/>
            <w:tcBorders>
              <w:top w:val="nil"/>
              <w:left w:val="nil"/>
              <w:bottom w:val="single" w:color="auto" w:sz="4" w:space="0"/>
              <w:right w:val="single" w:color="auto" w:sz="4" w:space="0"/>
            </w:tcBorders>
            <w:vAlign w:val="center"/>
          </w:tcPr>
          <w:p w14:paraId="0AB35A8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Y＜5000</w:t>
            </w:r>
          </w:p>
        </w:tc>
        <w:tc>
          <w:tcPr>
            <w:tcW w:w="1150" w:type="dxa"/>
            <w:tcBorders>
              <w:top w:val="nil"/>
              <w:left w:val="nil"/>
              <w:bottom w:val="single" w:color="auto" w:sz="4" w:space="0"/>
              <w:right w:val="single" w:color="auto" w:sz="4" w:space="0"/>
            </w:tcBorders>
            <w:vAlign w:val="center"/>
          </w:tcPr>
          <w:p w14:paraId="63CD4A5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w:t>
            </w:r>
          </w:p>
        </w:tc>
      </w:tr>
      <w:tr w14:paraId="3D400DE7">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557ADBB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零售业</w:t>
            </w:r>
          </w:p>
        </w:tc>
        <w:tc>
          <w:tcPr>
            <w:tcW w:w="1650" w:type="dxa"/>
            <w:tcBorders>
              <w:top w:val="nil"/>
              <w:left w:val="nil"/>
              <w:bottom w:val="single" w:color="auto" w:sz="4" w:space="0"/>
              <w:right w:val="single" w:color="auto" w:sz="4" w:space="0"/>
            </w:tcBorders>
            <w:vAlign w:val="center"/>
          </w:tcPr>
          <w:p w14:paraId="24ED880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527F772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7AC3454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76079C1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X＜50</w:t>
            </w:r>
          </w:p>
        </w:tc>
        <w:tc>
          <w:tcPr>
            <w:tcW w:w="1150" w:type="dxa"/>
            <w:tcBorders>
              <w:top w:val="nil"/>
              <w:left w:val="nil"/>
              <w:bottom w:val="single" w:color="auto" w:sz="4" w:space="0"/>
              <w:right w:val="single" w:color="auto" w:sz="4" w:space="0"/>
            </w:tcBorders>
            <w:vAlign w:val="center"/>
          </w:tcPr>
          <w:p w14:paraId="53489C7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6A61EF73">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65245B1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4D0FE0A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011E222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5A52F3D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Y＜20000</w:t>
            </w:r>
          </w:p>
        </w:tc>
        <w:tc>
          <w:tcPr>
            <w:tcW w:w="1787" w:type="dxa"/>
            <w:tcBorders>
              <w:top w:val="nil"/>
              <w:left w:val="nil"/>
              <w:bottom w:val="single" w:color="auto" w:sz="4" w:space="0"/>
              <w:right w:val="single" w:color="auto" w:sz="4" w:space="0"/>
            </w:tcBorders>
            <w:vAlign w:val="center"/>
          </w:tcPr>
          <w:p w14:paraId="67F4797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w:t>
            </w:r>
          </w:p>
        </w:tc>
        <w:tc>
          <w:tcPr>
            <w:tcW w:w="1150" w:type="dxa"/>
            <w:tcBorders>
              <w:top w:val="nil"/>
              <w:left w:val="nil"/>
              <w:bottom w:val="single" w:color="auto" w:sz="4" w:space="0"/>
              <w:right w:val="single" w:color="auto" w:sz="4" w:space="0"/>
            </w:tcBorders>
            <w:vAlign w:val="center"/>
          </w:tcPr>
          <w:p w14:paraId="479E7CE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0BFEAD69">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0AA937A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交通运输业</w:t>
            </w:r>
          </w:p>
        </w:tc>
        <w:tc>
          <w:tcPr>
            <w:tcW w:w="1650" w:type="dxa"/>
            <w:tcBorders>
              <w:top w:val="nil"/>
              <w:left w:val="nil"/>
              <w:bottom w:val="single" w:color="auto" w:sz="4" w:space="0"/>
              <w:right w:val="single" w:color="auto" w:sz="4" w:space="0"/>
            </w:tcBorders>
            <w:vAlign w:val="center"/>
          </w:tcPr>
          <w:p w14:paraId="0B05F63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7F22821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7FB1289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X＜1000</w:t>
            </w:r>
          </w:p>
        </w:tc>
        <w:tc>
          <w:tcPr>
            <w:tcW w:w="1787" w:type="dxa"/>
            <w:tcBorders>
              <w:top w:val="nil"/>
              <w:left w:val="nil"/>
              <w:bottom w:val="single" w:color="auto" w:sz="4" w:space="0"/>
              <w:right w:val="single" w:color="auto" w:sz="4" w:space="0"/>
            </w:tcBorders>
            <w:vAlign w:val="center"/>
          </w:tcPr>
          <w:p w14:paraId="5799A90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150" w:type="dxa"/>
            <w:tcBorders>
              <w:top w:val="nil"/>
              <w:left w:val="nil"/>
              <w:bottom w:val="single" w:color="auto" w:sz="4" w:space="0"/>
              <w:right w:val="single" w:color="auto" w:sz="4" w:space="0"/>
            </w:tcBorders>
            <w:vAlign w:val="center"/>
          </w:tcPr>
          <w:p w14:paraId="724DE8B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w:t>
            </w:r>
          </w:p>
        </w:tc>
      </w:tr>
      <w:tr w14:paraId="24D00568">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46BA7B54">
            <w:pPr>
              <w:widowControl/>
              <w:spacing w:line="360" w:lineRule="exact"/>
              <w:jc w:val="cente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75C8CA5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6B3F440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3E3AA6D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Y＜30000</w:t>
            </w:r>
          </w:p>
        </w:tc>
        <w:tc>
          <w:tcPr>
            <w:tcW w:w="1787" w:type="dxa"/>
            <w:tcBorders>
              <w:top w:val="nil"/>
              <w:left w:val="nil"/>
              <w:bottom w:val="single" w:color="auto" w:sz="4" w:space="0"/>
              <w:right w:val="single" w:color="auto" w:sz="4" w:space="0"/>
            </w:tcBorders>
            <w:vAlign w:val="center"/>
          </w:tcPr>
          <w:p w14:paraId="5FB177B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Y＜3000</w:t>
            </w:r>
          </w:p>
        </w:tc>
        <w:tc>
          <w:tcPr>
            <w:tcW w:w="1150" w:type="dxa"/>
            <w:tcBorders>
              <w:top w:val="nil"/>
              <w:left w:val="nil"/>
              <w:bottom w:val="single" w:color="auto" w:sz="4" w:space="0"/>
              <w:right w:val="single" w:color="auto" w:sz="4" w:space="0"/>
            </w:tcBorders>
            <w:vAlign w:val="center"/>
          </w:tcPr>
          <w:p w14:paraId="1A9020D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w:t>
            </w:r>
          </w:p>
        </w:tc>
      </w:tr>
      <w:tr w14:paraId="0AD1B458">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140047B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仓储业</w:t>
            </w:r>
          </w:p>
        </w:tc>
        <w:tc>
          <w:tcPr>
            <w:tcW w:w="1650" w:type="dxa"/>
            <w:tcBorders>
              <w:top w:val="nil"/>
              <w:left w:val="nil"/>
              <w:bottom w:val="single" w:color="auto" w:sz="4" w:space="0"/>
              <w:right w:val="single" w:color="auto" w:sz="4" w:space="0"/>
            </w:tcBorders>
            <w:vAlign w:val="center"/>
          </w:tcPr>
          <w:p w14:paraId="1AAD880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072C2FB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472F704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X＜200</w:t>
            </w:r>
          </w:p>
        </w:tc>
        <w:tc>
          <w:tcPr>
            <w:tcW w:w="1787" w:type="dxa"/>
            <w:tcBorders>
              <w:top w:val="nil"/>
              <w:left w:val="nil"/>
              <w:bottom w:val="single" w:color="auto" w:sz="4" w:space="0"/>
              <w:right w:val="single" w:color="auto" w:sz="4" w:space="0"/>
            </w:tcBorders>
            <w:vAlign w:val="center"/>
          </w:tcPr>
          <w:p w14:paraId="7F1F77E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3E0E4DF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w:t>
            </w:r>
          </w:p>
        </w:tc>
      </w:tr>
      <w:tr w14:paraId="3A41392F">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4C34977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06B2B11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7CB9847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741864D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Y＜30000</w:t>
            </w:r>
          </w:p>
        </w:tc>
        <w:tc>
          <w:tcPr>
            <w:tcW w:w="1787" w:type="dxa"/>
            <w:tcBorders>
              <w:top w:val="nil"/>
              <w:left w:val="nil"/>
              <w:bottom w:val="single" w:color="auto" w:sz="4" w:space="0"/>
              <w:right w:val="single" w:color="auto" w:sz="4" w:space="0"/>
            </w:tcBorders>
            <w:vAlign w:val="center"/>
          </w:tcPr>
          <w:p w14:paraId="1ED6679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w:t>
            </w:r>
          </w:p>
        </w:tc>
        <w:tc>
          <w:tcPr>
            <w:tcW w:w="1150" w:type="dxa"/>
            <w:tcBorders>
              <w:top w:val="nil"/>
              <w:left w:val="nil"/>
              <w:bottom w:val="single" w:color="auto" w:sz="4" w:space="0"/>
              <w:right w:val="single" w:color="auto" w:sz="4" w:space="0"/>
            </w:tcBorders>
            <w:vAlign w:val="center"/>
          </w:tcPr>
          <w:p w14:paraId="25A05F8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748381B7">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6E4BEE1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邮政业</w:t>
            </w:r>
          </w:p>
        </w:tc>
        <w:tc>
          <w:tcPr>
            <w:tcW w:w="1650" w:type="dxa"/>
            <w:tcBorders>
              <w:top w:val="nil"/>
              <w:left w:val="nil"/>
              <w:bottom w:val="single" w:color="auto" w:sz="4" w:space="0"/>
              <w:right w:val="single" w:color="auto" w:sz="4" w:space="0"/>
            </w:tcBorders>
            <w:vAlign w:val="center"/>
          </w:tcPr>
          <w:p w14:paraId="5375682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09259CB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6A190B3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X＜1000</w:t>
            </w:r>
          </w:p>
        </w:tc>
        <w:tc>
          <w:tcPr>
            <w:tcW w:w="1787" w:type="dxa"/>
            <w:tcBorders>
              <w:top w:val="nil"/>
              <w:left w:val="nil"/>
              <w:bottom w:val="single" w:color="auto" w:sz="4" w:space="0"/>
              <w:right w:val="single" w:color="auto" w:sz="4" w:space="0"/>
            </w:tcBorders>
            <w:vAlign w:val="center"/>
          </w:tcPr>
          <w:p w14:paraId="1E71856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150" w:type="dxa"/>
            <w:tcBorders>
              <w:top w:val="nil"/>
              <w:left w:val="nil"/>
              <w:bottom w:val="single" w:color="auto" w:sz="4" w:space="0"/>
              <w:right w:val="single" w:color="auto" w:sz="4" w:space="0"/>
            </w:tcBorders>
            <w:vAlign w:val="center"/>
          </w:tcPr>
          <w:p w14:paraId="4B50397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w:t>
            </w:r>
          </w:p>
        </w:tc>
      </w:tr>
      <w:tr w14:paraId="2D281247">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0218246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635BF68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797D8AC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204E7DA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Y＜30000</w:t>
            </w:r>
          </w:p>
        </w:tc>
        <w:tc>
          <w:tcPr>
            <w:tcW w:w="1787" w:type="dxa"/>
            <w:tcBorders>
              <w:top w:val="nil"/>
              <w:left w:val="nil"/>
              <w:bottom w:val="single" w:color="auto" w:sz="4" w:space="0"/>
              <w:right w:val="single" w:color="auto" w:sz="4" w:space="0"/>
            </w:tcBorders>
            <w:vAlign w:val="center"/>
          </w:tcPr>
          <w:p w14:paraId="61C466F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w:t>
            </w:r>
          </w:p>
        </w:tc>
        <w:tc>
          <w:tcPr>
            <w:tcW w:w="1150" w:type="dxa"/>
            <w:tcBorders>
              <w:top w:val="nil"/>
              <w:left w:val="nil"/>
              <w:bottom w:val="single" w:color="auto" w:sz="4" w:space="0"/>
              <w:right w:val="single" w:color="auto" w:sz="4" w:space="0"/>
            </w:tcBorders>
            <w:vAlign w:val="center"/>
          </w:tcPr>
          <w:p w14:paraId="500B7C3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0B2B5F3E">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3A1C86B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住宿业</w:t>
            </w:r>
          </w:p>
        </w:tc>
        <w:tc>
          <w:tcPr>
            <w:tcW w:w="1650" w:type="dxa"/>
            <w:tcBorders>
              <w:top w:val="nil"/>
              <w:left w:val="nil"/>
              <w:bottom w:val="single" w:color="auto" w:sz="4" w:space="0"/>
              <w:right w:val="single" w:color="auto" w:sz="4" w:space="0"/>
            </w:tcBorders>
            <w:vAlign w:val="center"/>
          </w:tcPr>
          <w:p w14:paraId="6ED2D37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5E42FF7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027A519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4C9D462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0C3D2B5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2E894BA5">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0F5E783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5D4DFDD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6F6CF41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49E3F43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Y＜10000</w:t>
            </w:r>
          </w:p>
        </w:tc>
        <w:tc>
          <w:tcPr>
            <w:tcW w:w="1787" w:type="dxa"/>
            <w:tcBorders>
              <w:top w:val="nil"/>
              <w:left w:val="nil"/>
              <w:bottom w:val="single" w:color="auto" w:sz="4" w:space="0"/>
              <w:right w:val="single" w:color="auto" w:sz="4" w:space="0"/>
            </w:tcBorders>
            <w:vAlign w:val="center"/>
          </w:tcPr>
          <w:p w14:paraId="41DC24A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w:t>
            </w:r>
          </w:p>
        </w:tc>
        <w:tc>
          <w:tcPr>
            <w:tcW w:w="1150" w:type="dxa"/>
            <w:tcBorders>
              <w:top w:val="nil"/>
              <w:left w:val="nil"/>
              <w:bottom w:val="single" w:color="auto" w:sz="4" w:space="0"/>
              <w:right w:val="single" w:color="auto" w:sz="4" w:space="0"/>
            </w:tcBorders>
            <w:vAlign w:val="center"/>
          </w:tcPr>
          <w:p w14:paraId="11FF75E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06BFC531">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01BF87D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餐饮业</w:t>
            </w:r>
          </w:p>
        </w:tc>
        <w:tc>
          <w:tcPr>
            <w:tcW w:w="1650" w:type="dxa"/>
            <w:tcBorders>
              <w:top w:val="nil"/>
              <w:left w:val="nil"/>
              <w:bottom w:val="single" w:color="auto" w:sz="4" w:space="0"/>
              <w:right w:val="single" w:color="auto" w:sz="4" w:space="0"/>
            </w:tcBorders>
            <w:vAlign w:val="center"/>
          </w:tcPr>
          <w:p w14:paraId="02EB59F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7069CD6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77F1F97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66FB80B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455C9E1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01CF3A3A">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2B36C10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6D257AB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78A39AC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23B5F9F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Y＜10000</w:t>
            </w:r>
          </w:p>
        </w:tc>
        <w:tc>
          <w:tcPr>
            <w:tcW w:w="1787" w:type="dxa"/>
            <w:tcBorders>
              <w:top w:val="nil"/>
              <w:left w:val="nil"/>
              <w:bottom w:val="single" w:color="auto" w:sz="4" w:space="0"/>
              <w:right w:val="single" w:color="auto" w:sz="4" w:space="0"/>
            </w:tcBorders>
            <w:vAlign w:val="center"/>
          </w:tcPr>
          <w:p w14:paraId="077B746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w:t>
            </w:r>
          </w:p>
        </w:tc>
        <w:tc>
          <w:tcPr>
            <w:tcW w:w="1150" w:type="dxa"/>
            <w:tcBorders>
              <w:top w:val="nil"/>
              <w:left w:val="nil"/>
              <w:bottom w:val="single" w:color="auto" w:sz="4" w:space="0"/>
              <w:right w:val="single" w:color="auto" w:sz="4" w:space="0"/>
            </w:tcBorders>
            <w:vAlign w:val="center"/>
          </w:tcPr>
          <w:p w14:paraId="1C4D6F8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788DBB0C">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10A88E8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信息传输业</w:t>
            </w:r>
          </w:p>
        </w:tc>
        <w:tc>
          <w:tcPr>
            <w:tcW w:w="1650" w:type="dxa"/>
            <w:tcBorders>
              <w:top w:val="nil"/>
              <w:left w:val="nil"/>
              <w:bottom w:val="single" w:color="auto" w:sz="4" w:space="0"/>
              <w:right w:val="single" w:color="auto" w:sz="4" w:space="0"/>
            </w:tcBorders>
            <w:vAlign w:val="center"/>
          </w:tcPr>
          <w:p w14:paraId="51F2992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64AD15B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34339DD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X＜2000</w:t>
            </w:r>
          </w:p>
        </w:tc>
        <w:tc>
          <w:tcPr>
            <w:tcW w:w="1787" w:type="dxa"/>
            <w:tcBorders>
              <w:top w:val="nil"/>
              <w:left w:val="nil"/>
              <w:bottom w:val="single" w:color="auto" w:sz="4" w:space="0"/>
              <w:right w:val="single" w:color="auto" w:sz="4" w:space="0"/>
            </w:tcBorders>
            <w:vAlign w:val="center"/>
          </w:tcPr>
          <w:p w14:paraId="647697D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268CA87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48C06571">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7EEBDAE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624445F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235ABD7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3EABA0F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Y＜100000</w:t>
            </w:r>
          </w:p>
        </w:tc>
        <w:tc>
          <w:tcPr>
            <w:tcW w:w="1787" w:type="dxa"/>
            <w:tcBorders>
              <w:top w:val="nil"/>
              <w:left w:val="nil"/>
              <w:bottom w:val="single" w:color="auto" w:sz="4" w:space="0"/>
              <w:right w:val="single" w:color="auto" w:sz="4" w:space="0"/>
            </w:tcBorders>
            <w:vAlign w:val="center"/>
          </w:tcPr>
          <w:p w14:paraId="20BD10C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w:t>
            </w:r>
          </w:p>
        </w:tc>
        <w:tc>
          <w:tcPr>
            <w:tcW w:w="1150" w:type="dxa"/>
            <w:tcBorders>
              <w:top w:val="nil"/>
              <w:left w:val="nil"/>
              <w:bottom w:val="single" w:color="auto" w:sz="4" w:space="0"/>
              <w:right w:val="single" w:color="auto" w:sz="4" w:space="0"/>
            </w:tcBorders>
            <w:vAlign w:val="center"/>
          </w:tcPr>
          <w:p w14:paraId="26287F1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6D1FB4F0">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30F2921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软件和信息技术服务业</w:t>
            </w:r>
          </w:p>
        </w:tc>
        <w:tc>
          <w:tcPr>
            <w:tcW w:w="1650" w:type="dxa"/>
            <w:tcBorders>
              <w:top w:val="nil"/>
              <w:left w:val="nil"/>
              <w:bottom w:val="single" w:color="auto" w:sz="4" w:space="0"/>
              <w:right w:val="single" w:color="auto" w:sz="4" w:space="0"/>
            </w:tcBorders>
            <w:vAlign w:val="center"/>
          </w:tcPr>
          <w:p w14:paraId="10EA378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630FFA9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3726B51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229FFD1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75EC7C4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75FFEEBB">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087F604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6E8B9B7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6D65378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0ED0364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Y＜10000</w:t>
            </w:r>
          </w:p>
        </w:tc>
        <w:tc>
          <w:tcPr>
            <w:tcW w:w="1787" w:type="dxa"/>
            <w:tcBorders>
              <w:top w:val="nil"/>
              <w:left w:val="nil"/>
              <w:bottom w:val="single" w:color="auto" w:sz="4" w:space="0"/>
              <w:right w:val="single" w:color="auto" w:sz="4" w:space="0"/>
            </w:tcBorders>
            <w:vAlign w:val="center"/>
          </w:tcPr>
          <w:p w14:paraId="07AD65D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w:t>
            </w:r>
          </w:p>
        </w:tc>
        <w:tc>
          <w:tcPr>
            <w:tcW w:w="1150" w:type="dxa"/>
            <w:tcBorders>
              <w:top w:val="nil"/>
              <w:left w:val="nil"/>
              <w:bottom w:val="single" w:color="auto" w:sz="4" w:space="0"/>
              <w:right w:val="single" w:color="auto" w:sz="4" w:space="0"/>
            </w:tcBorders>
            <w:vAlign w:val="center"/>
          </w:tcPr>
          <w:p w14:paraId="1C7D84A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w:t>
            </w:r>
          </w:p>
        </w:tc>
      </w:tr>
      <w:tr w14:paraId="6E1110A3">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44CC1FA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房地产开发经营</w:t>
            </w:r>
          </w:p>
        </w:tc>
        <w:tc>
          <w:tcPr>
            <w:tcW w:w="1650" w:type="dxa"/>
            <w:tcBorders>
              <w:top w:val="nil"/>
              <w:left w:val="nil"/>
              <w:bottom w:val="single" w:color="auto" w:sz="4" w:space="0"/>
              <w:right w:val="single" w:color="auto" w:sz="4" w:space="0"/>
            </w:tcBorders>
            <w:vAlign w:val="center"/>
          </w:tcPr>
          <w:p w14:paraId="0A75CA0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30B32530">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16BD312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Y＜200000</w:t>
            </w:r>
          </w:p>
        </w:tc>
        <w:tc>
          <w:tcPr>
            <w:tcW w:w="1787" w:type="dxa"/>
            <w:tcBorders>
              <w:top w:val="nil"/>
              <w:left w:val="nil"/>
              <w:bottom w:val="single" w:color="auto" w:sz="4" w:space="0"/>
              <w:right w:val="single" w:color="auto" w:sz="4" w:space="0"/>
            </w:tcBorders>
            <w:vAlign w:val="center"/>
          </w:tcPr>
          <w:p w14:paraId="37B3A01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X＜1000</w:t>
            </w:r>
          </w:p>
        </w:tc>
        <w:tc>
          <w:tcPr>
            <w:tcW w:w="1150" w:type="dxa"/>
            <w:tcBorders>
              <w:top w:val="nil"/>
              <w:left w:val="nil"/>
              <w:bottom w:val="single" w:color="auto" w:sz="4" w:space="0"/>
              <w:right w:val="single" w:color="auto" w:sz="4" w:space="0"/>
            </w:tcBorders>
            <w:vAlign w:val="center"/>
          </w:tcPr>
          <w:p w14:paraId="72DD106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r>
      <w:tr w14:paraId="0F353C84">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02A9A86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441EF46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14:paraId="287E694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05A4799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Z＜10000</w:t>
            </w:r>
          </w:p>
        </w:tc>
        <w:tc>
          <w:tcPr>
            <w:tcW w:w="1787" w:type="dxa"/>
            <w:tcBorders>
              <w:top w:val="nil"/>
              <w:left w:val="nil"/>
              <w:bottom w:val="single" w:color="auto" w:sz="4" w:space="0"/>
              <w:right w:val="single" w:color="auto" w:sz="4" w:space="0"/>
            </w:tcBorders>
            <w:vAlign w:val="center"/>
          </w:tcPr>
          <w:p w14:paraId="1095823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2000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Y＜5000</w:t>
            </w:r>
          </w:p>
        </w:tc>
        <w:tc>
          <w:tcPr>
            <w:tcW w:w="1150" w:type="dxa"/>
            <w:tcBorders>
              <w:top w:val="nil"/>
              <w:left w:val="nil"/>
              <w:bottom w:val="single" w:color="auto" w:sz="4" w:space="0"/>
              <w:right w:val="single" w:color="auto" w:sz="4" w:space="0"/>
            </w:tcBorders>
            <w:vAlign w:val="center"/>
          </w:tcPr>
          <w:p w14:paraId="385120F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Y＜2000</w:t>
            </w:r>
          </w:p>
        </w:tc>
      </w:tr>
      <w:tr w14:paraId="5A256D51">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04A45A4B">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物业管理</w:t>
            </w:r>
          </w:p>
        </w:tc>
        <w:tc>
          <w:tcPr>
            <w:tcW w:w="1650" w:type="dxa"/>
            <w:tcBorders>
              <w:top w:val="nil"/>
              <w:left w:val="nil"/>
              <w:bottom w:val="single" w:color="auto" w:sz="4" w:space="0"/>
              <w:right w:val="single" w:color="auto" w:sz="4" w:space="0"/>
            </w:tcBorders>
            <w:vAlign w:val="center"/>
          </w:tcPr>
          <w:p w14:paraId="4699406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77283FA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15D44F9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X＜1000</w:t>
            </w:r>
          </w:p>
        </w:tc>
        <w:tc>
          <w:tcPr>
            <w:tcW w:w="1787" w:type="dxa"/>
            <w:tcBorders>
              <w:top w:val="nil"/>
              <w:left w:val="nil"/>
              <w:bottom w:val="single" w:color="auto" w:sz="4" w:space="0"/>
              <w:right w:val="single" w:color="auto" w:sz="4" w:space="0"/>
            </w:tcBorders>
            <w:vAlign w:val="center"/>
          </w:tcPr>
          <w:p w14:paraId="0E2D71E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150" w:type="dxa"/>
            <w:tcBorders>
              <w:top w:val="nil"/>
              <w:left w:val="nil"/>
              <w:bottom w:val="single" w:color="auto" w:sz="4" w:space="0"/>
              <w:right w:val="single" w:color="auto" w:sz="4" w:space="0"/>
            </w:tcBorders>
            <w:vAlign w:val="center"/>
          </w:tcPr>
          <w:p w14:paraId="0685B85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r>
      <w:tr w14:paraId="0881FABC">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78F4AFC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459CDB58">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14:paraId="313EA326">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75889DBE">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Y＜5000</w:t>
            </w:r>
          </w:p>
        </w:tc>
        <w:tc>
          <w:tcPr>
            <w:tcW w:w="1787" w:type="dxa"/>
            <w:tcBorders>
              <w:top w:val="nil"/>
              <w:left w:val="nil"/>
              <w:bottom w:val="single" w:color="auto" w:sz="4" w:space="0"/>
              <w:right w:val="single" w:color="auto" w:sz="4" w:space="0"/>
            </w:tcBorders>
            <w:vAlign w:val="center"/>
          </w:tcPr>
          <w:p w14:paraId="0139DD2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500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Y＜1000</w:t>
            </w:r>
          </w:p>
        </w:tc>
        <w:tc>
          <w:tcPr>
            <w:tcW w:w="1150" w:type="dxa"/>
            <w:tcBorders>
              <w:top w:val="nil"/>
              <w:left w:val="nil"/>
              <w:bottom w:val="single" w:color="auto" w:sz="4" w:space="0"/>
              <w:right w:val="single" w:color="auto" w:sz="4" w:space="0"/>
            </w:tcBorders>
            <w:vAlign w:val="center"/>
          </w:tcPr>
          <w:p w14:paraId="46C54F1F">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Y＜500</w:t>
            </w:r>
          </w:p>
        </w:tc>
      </w:tr>
      <w:tr w14:paraId="153EF19A">
        <w:tblPrEx>
          <w:tblCellMar>
            <w:top w:w="0" w:type="dxa"/>
            <w:left w:w="108" w:type="dxa"/>
            <w:bottom w:w="0" w:type="dxa"/>
            <w:right w:w="108" w:type="dxa"/>
          </w:tblCellMar>
        </w:tblPrEx>
        <w:trPr>
          <w:trHeight w:val="225" w:hRule="atLeast"/>
        </w:trPr>
        <w:tc>
          <w:tcPr>
            <w:tcW w:w="1975" w:type="dxa"/>
            <w:vMerge w:val="restart"/>
            <w:tcBorders>
              <w:top w:val="nil"/>
              <w:left w:val="single" w:color="auto" w:sz="4" w:space="0"/>
              <w:bottom w:val="single" w:color="auto" w:sz="4" w:space="0"/>
              <w:right w:val="single" w:color="auto" w:sz="4" w:space="0"/>
            </w:tcBorders>
            <w:vAlign w:val="center"/>
          </w:tcPr>
          <w:p w14:paraId="569F460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租赁和商务服务业</w:t>
            </w:r>
          </w:p>
        </w:tc>
        <w:tc>
          <w:tcPr>
            <w:tcW w:w="1650" w:type="dxa"/>
            <w:tcBorders>
              <w:top w:val="nil"/>
              <w:left w:val="nil"/>
              <w:bottom w:val="single" w:color="auto" w:sz="4" w:space="0"/>
              <w:right w:val="single" w:color="auto" w:sz="4" w:space="0"/>
            </w:tcBorders>
            <w:vAlign w:val="center"/>
          </w:tcPr>
          <w:p w14:paraId="6AD23DF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61C12B5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69C664B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3CC5120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37BC3D73">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r w14:paraId="779E3037">
        <w:tblPrEx>
          <w:tblCellMar>
            <w:top w:w="0" w:type="dxa"/>
            <w:left w:w="108" w:type="dxa"/>
            <w:bottom w:w="0" w:type="dxa"/>
            <w:right w:w="108" w:type="dxa"/>
          </w:tblCellMar>
        </w:tblPrEx>
        <w:trPr>
          <w:trHeight w:val="225" w:hRule="atLeast"/>
        </w:trPr>
        <w:tc>
          <w:tcPr>
            <w:tcW w:w="1975" w:type="dxa"/>
            <w:vMerge w:val="continue"/>
            <w:tcBorders>
              <w:top w:val="nil"/>
              <w:left w:val="single" w:color="auto" w:sz="4" w:space="0"/>
              <w:bottom w:val="single" w:color="auto" w:sz="4" w:space="0"/>
              <w:right w:val="single" w:color="auto" w:sz="4" w:space="0"/>
            </w:tcBorders>
            <w:vAlign w:val="center"/>
          </w:tcPr>
          <w:p w14:paraId="7936173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650" w:type="dxa"/>
            <w:tcBorders>
              <w:top w:val="nil"/>
              <w:left w:val="nil"/>
              <w:bottom w:val="single" w:color="auto" w:sz="4" w:space="0"/>
              <w:right w:val="single" w:color="auto" w:sz="4" w:space="0"/>
            </w:tcBorders>
            <w:vAlign w:val="center"/>
          </w:tcPr>
          <w:p w14:paraId="130A923D">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14:paraId="02AD4092">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万元</w:t>
            </w:r>
          </w:p>
        </w:tc>
        <w:tc>
          <w:tcPr>
            <w:tcW w:w="1875" w:type="dxa"/>
            <w:tcBorders>
              <w:top w:val="nil"/>
              <w:left w:val="nil"/>
              <w:bottom w:val="single" w:color="auto" w:sz="4" w:space="0"/>
              <w:right w:val="single" w:color="auto" w:sz="4" w:space="0"/>
            </w:tcBorders>
            <w:vAlign w:val="center"/>
          </w:tcPr>
          <w:p w14:paraId="29470F3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8000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Z＜120000</w:t>
            </w:r>
          </w:p>
        </w:tc>
        <w:tc>
          <w:tcPr>
            <w:tcW w:w="1787" w:type="dxa"/>
            <w:tcBorders>
              <w:top w:val="nil"/>
              <w:left w:val="nil"/>
              <w:bottom w:val="single" w:color="auto" w:sz="4" w:space="0"/>
              <w:right w:val="single" w:color="auto" w:sz="4" w:space="0"/>
            </w:tcBorders>
            <w:vAlign w:val="center"/>
          </w:tcPr>
          <w:p w14:paraId="213C197C">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Z＜8000</w:t>
            </w:r>
          </w:p>
        </w:tc>
        <w:tc>
          <w:tcPr>
            <w:tcW w:w="1150" w:type="dxa"/>
            <w:tcBorders>
              <w:top w:val="nil"/>
              <w:left w:val="nil"/>
              <w:bottom w:val="single" w:color="auto" w:sz="4" w:space="0"/>
              <w:right w:val="single" w:color="auto" w:sz="4" w:space="0"/>
            </w:tcBorders>
            <w:vAlign w:val="center"/>
          </w:tcPr>
          <w:p w14:paraId="06759B71">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Y＜100</w:t>
            </w:r>
          </w:p>
        </w:tc>
      </w:tr>
      <w:tr w14:paraId="23C0738E">
        <w:tblPrEx>
          <w:tblCellMar>
            <w:top w:w="0" w:type="dxa"/>
            <w:left w:w="108" w:type="dxa"/>
            <w:bottom w:w="0" w:type="dxa"/>
            <w:right w:w="108" w:type="dxa"/>
          </w:tblCellMar>
        </w:tblPrEx>
        <w:trPr>
          <w:trHeight w:val="225" w:hRule="atLeast"/>
        </w:trPr>
        <w:tc>
          <w:tcPr>
            <w:tcW w:w="1975" w:type="dxa"/>
            <w:tcBorders>
              <w:top w:val="nil"/>
              <w:left w:val="single" w:color="auto" w:sz="4" w:space="0"/>
              <w:bottom w:val="single" w:color="auto" w:sz="4" w:space="0"/>
              <w:right w:val="single" w:color="auto" w:sz="4" w:space="0"/>
            </w:tcBorders>
            <w:vAlign w:val="center"/>
          </w:tcPr>
          <w:p w14:paraId="2DFF8A09">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其他未列明行业</w:t>
            </w:r>
          </w:p>
        </w:tc>
        <w:tc>
          <w:tcPr>
            <w:tcW w:w="1650" w:type="dxa"/>
            <w:tcBorders>
              <w:top w:val="nil"/>
              <w:left w:val="nil"/>
              <w:bottom w:val="single" w:color="auto" w:sz="4" w:space="0"/>
              <w:right w:val="single" w:color="auto" w:sz="4" w:space="0"/>
            </w:tcBorders>
            <w:vAlign w:val="center"/>
          </w:tcPr>
          <w:p w14:paraId="23154034">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14:paraId="69AD44E7">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人</w:t>
            </w:r>
          </w:p>
        </w:tc>
        <w:tc>
          <w:tcPr>
            <w:tcW w:w="1875" w:type="dxa"/>
            <w:tcBorders>
              <w:top w:val="nil"/>
              <w:left w:val="nil"/>
              <w:bottom w:val="single" w:color="auto" w:sz="4" w:space="0"/>
              <w:right w:val="single" w:color="auto" w:sz="4" w:space="0"/>
            </w:tcBorders>
            <w:vAlign w:val="center"/>
          </w:tcPr>
          <w:p w14:paraId="2384EF75">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X＜300</w:t>
            </w:r>
          </w:p>
        </w:tc>
        <w:tc>
          <w:tcPr>
            <w:tcW w:w="1787" w:type="dxa"/>
            <w:tcBorders>
              <w:top w:val="nil"/>
              <w:left w:val="nil"/>
              <w:bottom w:val="single" w:color="auto" w:sz="4" w:space="0"/>
              <w:right w:val="single" w:color="auto" w:sz="4" w:space="0"/>
            </w:tcBorders>
            <w:vAlign w:val="center"/>
          </w:tcPr>
          <w:p w14:paraId="5C0B0FD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X＜100</w:t>
            </w:r>
          </w:p>
        </w:tc>
        <w:tc>
          <w:tcPr>
            <w:tcW w:w="1150" w:type="dxa"/>
            <w:tcBorders>
              <w:top w:val="nil"/>
              <w:left w:val="nil"/>
              <w:bottom w:val="single" w:color="auto" w:sz="4" w:space="0"/>
              <w:right w:val="single" w:color="auto" w:sz="4" w:space="0"/>
            </w:tcBorders>
            <w:vAlign w:val="center"/>
          </w:tcPr>
          <w:p w14:paraId="473E503A">
            <w:pPr>
              <w:widowControl/>
              <w:spacing w:line="360" w:lineRule="exact"/>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X＜10</w:t>
            </w:r>
          </w:p>
        </w:tc>
      </w:tr>
    </w:tbl>
    <w:p w14:paraId="1B42CA2C">
      <w:pPr>
        <w:keepNext w:val="0"/>
        <w:keepLines w:val="0"/>
        <w:pageBreakBefore w:val="0"/>
        <w:widowControl w:val="0"/>
        <w:kinsoku/>
        <w:wordWrap/>
        <w:overflowPunct/>
        <w:topLinePunct w:val="0"/>
        <w:autoSpaceDE w:val="0"/>
        <w:autoSpaceDN w:val="0"/>
        <w:bidi w:val="0"/>
        <w:adjustRightInd/>
        <w:snapToGrid/>
        <w:spacing w:before="251" w:beforeLines="80" w:line="350" w:lineRule="exact"/>
        <w:ind w:left="-440" w:leftChars="-200" w:right="-264" w:rightChars="-120"/>
        <w:textAlignment w:val="auto"/>
        <w:rPr>
          <w:rFonts w:hint="default" w:ascii="Times New Roman" w:hAnsi="Times New Roman" w:eastAsia="黑体" w:cs="Times New Roman"/>
          <w:b/>
          <w:bCs/>
          <w:color w:val="000000" w:themeColor="text1"/>
          <w:sz w:val="21"/>
          <w:szCs w:val="21"/>
          <w:highlight w:val="none"/>
          <w:lang w:val="en-US"/>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217A66DE">
      <w:pPr>
        <w:rPr>
          <w:rFonts w:hint="eastAsia" w:ascii="黑体" w:eastAsia="黑体"/>
          <w:b/>
          <w:bCs/>
          <w:color w:val="000000" w:themeColor="text1"/>
          <w:sz w:val="36"/>
          <w:szCs w:val="36"/>
          <w:highlight w:val="none"/>
          <w:lang w:val="en-US"/>
          <w14:textFill>
            <w14:solidFill>
              <w14:schemeClr w14:val="tx1"/>
            </w14:solidFill>
          </w14:textFill>
        </w:rPr>
      </w:pPr>
      <w:r>
        <w:rPr>
          <w:rFonts w:hint="eastAsia" w:ascii="黑体" w:eastAsia="黑体"/>
          <w:b/>
          <w:bCs/>
          <w:color w:val="000000" w:themeColor="text1"/>
          <w:sz w:val="36"/>
          <w:szCs w:val="36"/>
          <w:highlight w:val="none"/>
          <w:lang w:val="en-US"/>
          <w14:textFill>
            <w14:solidFill>
              <w14:schemeClr w14:val="tx1"/>
            </w14:solidFill>
          </w14:textFill>
        </w:rPr>
        <w:br w:type="page"/>
      </w:r>
    </w:p>
    <w:p w14:paraId="20ED64EA">
      <w:pPr>
        <w:pStyle w:val="19"/>
        <w:keepNext w:val="0"/>
        <w:keepLines w:val="0"/>
        <w:pageBreakBefore w:val="0"/>
        <w:widowControl w:val="0"/>
        <w:kinsoku/>
        <w:wordWrap/>
        <w:overflowPunct/>
        <w:topLinePunct w:val="0"/>
        <w:autoSpaceDE w:val="0"/>
        <w:autoSpaceDN w:val="0"/>
        <w:bidi w:val="0"/>
        <w:adjustRightInd/>
        <w:snapToGrid/>
        <w:spacing w:before="120" w:beforeLines="50" w:after="480" w:afterLines="200" w:line="700" w:lineRule="exact"/>
        <w:ind w:firstLine="1084" w:firstLineChars="300"/>
        <w:jc w:val="both"/>
        <w:textAlignment w:val="auto"/>
        <w:outlineLvl w:val="0"/>
        <w:rPr>
          <w:rFonts w:hint="eastAsia" w:ascii="黑体" w:eastAsia="黑体"/>
          <w:b/>
          <w:bCs/>
          <w:color w:val="000000" w:themeColor="text1"/>
          <w:sz w:val="36"/>
          <w:szCs w:val="36"/>
          <w:highlight w:val="none"/>
          <w:lang w:val="en-US" w:eastAsia="zh-CN"/>
          <w14:textFill>
            <w14:solidFill>
              <w14:schemeClr w14:val="tx1"/>
            </w14:solidFill>
          </w14:textFill>
        </w:rPr>
      </w:pPr>
      <w:bookmarkStart w:id="152" w:name="_Toc23073"/>
      <w:r>
        <w:rPr>
          <w:rFonts w:hint="eastAsia" w:ascii="黑体" w:eastAsia="黑体"/>
          <w:b/>
          <w:bCs/>
          <w:color w:val="000000" w:themeColor="text1"/>
          <w:sz w:val="36"/>
          <w:szCs w:val="36"/>
          <w:highlight w:val="none"/>
          <w:lang w:val="en-US"/>
          <w14:textFill>
            <w14:solidFill>
              <w14:schemeClr w14:val="tx1"/>
            </w14:solidFill>
          </w14:textFill>
        </w:rPr>
        <w:t>第</w:t>
      </w:r>
      <w:r>
        <w:rPr>
          <w:rFonts w:hint="eastAsia" w:ascii="黑体" w:eastAsia="黑体"/>
          <w:b/>
          <w:bCs/>
          <w:color w:val="000000" w:themeColor="text1"/>
          <w:sz w:val="36"/>
          <w:szCs w:val="36"/>
          <w:highlight w:val="none"/>
          <w:lang w:val="en-US" w:eastAsia="zh-CN"/>
          <w14:textFill>
            <w14:solidFill>
              <w14:schemeClr w14:val="tx1"/>
            </w14:solidFill>
          </w14:textFill>
        </w:rPr>
        <w:t>四</w:t>
      </w:r>
      <w:r>
        <w:rPr>
          <w:rFonts w:hint="eastAsia" w:ascii="黑体" w:eastAsia="黑体"/>
          <w:b/>
          <w:bCs/>
          <w:color w:val="000000" w:themeColor="text1"/>
          <w:sz w:val="36"/>
          <w:szCs w:val="36"/>
          <w:highlight w:val="none"/>
          <w:lang w:val="en-US"/>
          <w14:textFill>
            <w14:solidFill>
              <w14:schemeClr w14:val="tx1"/>
            </w14:solidFill>
          </w14:textFill>
        </w:rPr>
        <w:t xml:space="preserve">章  </w:t>
      </w:r>
      <w:bookmarkEnd w:id="150"/>
      <w:bookmarkEnd w:id="151"/>
      <w:r>
        <w:rPr>
          <w:rFonts w:hint="eastAsia" w:ascii="黑体" w:eastAsia="黑体"/>
          <w:b/>
          <w:bCs/>
          <w:color w:val="000000" w:themeColor="text1"/>
          <w:sz w:val="36"/>
          <w:szCs w:val="36"/>
          <w:highlight w:val="none"/>
          <w:lang w:val="en-US" w:eastAsia="zh-CN"/>
          <w14:textFill>
            <w14:solidFill>
              <w14:schemeClr w14:val="tx1"/>
            </w14:solidFill>
          </w14:textFill>
        </w:rPr>
        <w:t>评审程序、评审方法和评审标准</w:t>
      </w:r>
      <w:bookmarkEnd w:id="152"/>
    </w:p>
    <w:p w14:paraId="4F967D39">
      <w:pPr>
        <w:keepNext w:val="0"/>
        <w:keepLines w:val="0"/>
        <w:pageBreakBefore w:val="0"/>
        <w:widowControl w:val="0"/>
        <w:kinsoku/>
        <w:wordWrap/>
        <w:overflowPunct/>
        <w:topLinePunct w:val="0"/>
        <w:autoSpaceDE/>
        <w:autoSpaceDN/>
        <w:bidi w:val="0"/>
        <w:adjustRightInd/>
        <w:snapToGrid/>
        <w:spacing w:after="96" w:afterLines="30" w:line="448" w:lineRule="exact"/>
        <w:jc w:val="left"/>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一、评审程序和评审方法</w:t>
      </w:r>
    </w:p>
    <w:p w14:paraId="2F854173">
      <w:pPr>
        <w:keepNext w:val="0"/>
        <w:keepLines w:val="0"/>
        <w:pageBreakBefore w:val="0"/>
        <w:widowControl w:val="0"/>
        <w:kinsoku/>
        <w:wordWrap/>
        <w:overflowPunct/>
        <w:topLinePunct w:val="0"/>
        <w:autoSpaceDE/>
        <w:autoSpaceDN/>
        <w:bidi w:val="0"/>
        <w:adjustRightInd/>
        <w:snapToGrid/>
        <w:spacing w:after="96" w:afterLines="30" w:line="448" w:lineRule="exact"/>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1.资格审查</w:t>
      </w:r>
    </w:p>
    <w:p w14:paraId="4EDB1AEF">
      <w:pPr>
        <w:keepNext w:val="0"/>
        <w:keepLines w:val="0"/>
        <w:pageBreakBefore w:val="0"/>
        <w:kinsoku/>
        <w:wordWrap/>
        <w:overflowPunct/>
        <w:topLinePunct w:val="0"/>
        <w:autoSpaceDE/>
        <w:autoSpaceDN/>
        <w:bidi w:val="0"/>
        <w:adjustRightInd/>
        <w:snapToGrid w:val="0"/>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lang w:eastAsia="zh-CN"/>
          <w14:textFill>
            <w14:solidFill>
              <w14:schemeClr w14:val="tx1"/>
            </w14:solidFill>
          </w14:textFill>
        </w:rPr>
        <w:t>解密</w:t>
      </w:r>
      <w:r>
        <w:rPr>
          <w:rFonts w:hint="default" w:ascii="Times New Roman" w:hAnsi="Times New Roman" w:cs="Times New Roman"/>
          <w:color w:val="000000" w:themeColor="text1"/>
          <w:sz w:val="21"/>
          <w:szCs w:val="21"/>
          <w:highlight w:val="none"/>
          <w14:textFill>
            <w14:solidFill>
              <w14:schemeClr w14:val="tx1"/>
            </w14:solidFill>
          </w14:textFill>
        </w:rPr>
        <w:t>后，磋商小组依法对供应商的资格证明文件进行审查。</w:t>
      </w:r>
    </w:p>
    <w:p w14:paraId="0215858A">
      <w:pPr>
        <w:keepNext w:val="0"/>
        <w:keepLines w:val="0"/>
        <w:pageBreakBefore w:val="0"/>
        <w:kinsoku/>
        <w:wordWrap/>
        <w:overflowPunct/>
        <w:topLinePunct w:val="0"/>
        <w:autoSpaceDE/>
        <w:autoSpaceDN/>
        <w:bidi w:val="0"/>
        <w:adjustRightInd/>
        <w:snapToGrid w:val="0"/>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注：磋商小组在资格审查结束前，对供应商进行信用查询。</w:t>
      </w:r>
    </w:p>
    <w:p w14:paraId="17B3118A">
      <w:pPr>
        <w:keepNext w:val="0"/>
        <w:keepLines w:val="0"/>
        <w:pageBreakBefore w:val="0"/>
        <w:kinsoku/>
        <w:wordWrap/>
        <w:overflowPunct/>
        <w:topLinePunct w:val="0"/>
        <w:autoSpaceDE/>
        <w:autoSpaceDN/>
        <w:bidi w:val="0"/>
        <w:adjustRightInd/>
        <w:snapToGrid w:val="0"/>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pacing w:val="-17"/>
          <w:sz w:val="21"/>
          <w:szCs w:val="21"/>
          <w:highlight w:val="none"/>
          <w14:textFill>
            <w14:solidFill>
              <w14:schemeClr w14:val="tx1"/>
            </w14:solidFill>
          </w14:textFill>
        </w:rPr>
        <w:t>查询渠道：“信用中国”网站</w:t>
      </w:r>
      <w:r>
        <w:rPr>
          <w:rFonts w:hint="default" w:ascii="Times New Roman" w:hAnsi="Times New Roman" w:cs="Times New Roman"/>
          <w:color w:val="000000" w:themeColor="text1"/>
          <w:spacing w:val="-17"/>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17"/>
          <w:sz w:val="21"/>
          <w:szCs w:val="21"/>
          <w:highlight w:val="none"/>
          <w14:textFill>
            <w14:solidFill>
              <w14:schemeClr w14:val="tx1"/>
            </w14:solidFill>
          </w14:textFill>
        </w:rPr>
        <w:t>www.creditchina.gov.cn</w:t>
      </w:r>
      <w:r>
        <w:rPr>
          <w:rFonts w:hint="default" w:ascii="Times New Roman" w:hAnsi="Times New Roman" w:cs="Times New Roman"/>
          <w:color w:val="000000" w:themeColor="text1"/>
          <w:spacing w:val="-17"/>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17"/>
          <w:sz w:val="21"/>
          <w:szCs w:val="21"/>
          <w:highlight w:val="none"/>
          <w14:textFill>
            <w14:solidFill>
              <w14:schemeClr w14:val="tx1"/>
            </w14:solidFill>
          </w14:textFill>
        </w:rPr>
        <w:t>、中国政府采购网</w:t>
      </w:r>
      <w:r>
        <w:rPr>
          <w:rFonts w:hint="default" w:ascii="Times New Roman" w:hAnsi="Times New Roman" w:cs="Times New Roman"/>
          <w:color w:val="000000" w:themeColor="text1"/>
          <w:spacing w:val="-17"/>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17"/>
          <w:sz w:val="21"/>
          <w:szCs w:val="21"/>
          <w:highlight w:val="none"/>
          <w14:textFill>
            <w14:solidFill>
              <w14:schemeClr w14:val="tx1"/>
            </w14:solidFill>
          </w14:textFill>
        </w:rPr>
        <w:t>www.ccgp.gov.cn</w:t>
      </w:r>
      <w:r>
        <w:rPr>
          <w:rFonts w:hint="default" w:ascii="Times New Roman" w:hAnsi="Times New Roman" w:cs="Times New Roman"/>
          <w:color w:val="000000" w:themeColor="text1"/>
          <w:spacing w:val="-17"/>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p w14:paraId="5406E599">
      <w:pPr>
        <w:keepNext w:val="0"/>
        <w:keepLines w:val="0"/>
        <w:pageBreakBefore w:val="0"/>
        <w:kinsoku/>
        <w:wordWrap/>
        <w:overflowPunct/>
        <w:topLinePunct w:val="0"/>
        <w:autoSpaceDE/>
        <w:autoSpaceDN/>
        <w:bidi w:val="0"/>
        <w:adjustRightInd/>
        <w:snapToGrid w:val="0"/>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（2）信用查询截止时点：资格审查结束前。</w:t>
      </w:r>
    </w:p>
    <w:p w14:paraId="5A2A09C4">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（3）信用信息使用规则：对在“信用中国”网站</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www.creditchina.gov.cn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 xml:space="preserve"> 、中国政府采购网</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www.ccgp.gov.cn</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被列入失信被执行人、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重大税收违法失信主体</w:t>
      </w:r>
      <w:r>
        <w:rPr>
          <w:rFonts w:hint="default" w:ascii="Times New Roman" w:hAnsi="Times New Roman" w:cs="Times New Roman"/>
          <w:color w:val="000000" w:themeColor="text1"/>
          <w:sz w:val="21"/>
          <w:szCs w:val="21"/>
          <w:highlight w:val="none"/>
          <w14:textFill>
            <w14:solidFill>
              <w14:schemeClr w14:val="tx1"/>
            </w14:solidFill>
          </w14:textFill>
        </w:rPr>
        <w:t>、政府采购严重违法失信行为记录名单及其他不符合《中华人民共和国政府采购法》第二十二条规定条件的供应商，资格审查不通过，不得参与政府采购活动。</w:t>
      </w:r>
    </w:p>
    <w:p w14:paraId="05311C27">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1.2资格审查标准为本</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中载明对供应商资格要求的条件。资格审查采用合格制，凡符合</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规定的供应商资格要求的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均通过资格审查。</w:t>
      </w:r>
    </w:p>
    <w:p w14:paraId="1B759D8C">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1.3供应商有下列情形之一的，资格审查不通过，其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按无效响应处理：</w:t>
      </w:r>
    </w:p>
    <w:p w14:paraId="4350DE3A">
      <w:pPr>
        <w:keepNext w:val="0"/>
        <w:keepLines w:val="0"/>
        <w:pageBreakBefore w:val="0"/>
        <w:kinsoku/>
        <w:wordWrap/>
        <w:overflowPunct/>
        <w:topLinePunct w:val="0"/>
        <w:autoSpaceDE/>
        <w:autoSpaceDN/>
        <w:bidi w:val="0"/>
        <w:adjustRightInd/>
        <w:snapToGrid w:val="0"/>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（1）不具备</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中规定的资格要求的；</w:t>
      </w:r>
    </w:p>
    <w:p w14:paraId="68778A7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未提供任一项“供应商须知前附表”资格证明文件规定的“必须提供”的文件资料的；</w:t>
      </w:r>
    </w:p>
    <w:p w14:paraId="379F172E">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提供的资格证明文件出现任一项不符合“供应商须知前附表”资格证明文件规定的“必须提供”的文件资料要求或者无效的。</w:t>
      </w:r>
    </w:p>
    <w:p w14:paraId="3B411AAC">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1.4通过资格审查的合格供应商不足3家的，不得进入符合性审查环节，采购人或者采购代理机构应当重新开展采购活动。</w:t>
      </w:r>
    </w:p>
    <w:p w14:paraId="27ABFCE7">
      <w:pPr>
        <w:keepNext w:val="0"/>
        <w:keepLines w:val="0"/>
        <w:pageBreakBefore w:val="0"/>
        <w:widowControl w:val="0"/>
        <w:kinsoku/>
        <w:wordWrap/>
        <w:overflowPunct/>
        <w:topLinePunct w:val="0"/>
        <w:autoSpaceDE/>
        <w:autoSpaceDN/>
        <w:bidi w:val="0"/>
        <w:adjustRightInd/>
        <w:snapToGrid/>
        <w:spacing w:before="96" w:beforeLines="30" w:after="96" w:afterLines="30" w:line="448" w:lineRule="exact"/>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2.符合性审查</w:t>
      </w:r>
    </w:p>
    <w:p w14:paraId="5832B711">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bookmarkStart w:id="153" w:name="_Hlk42528882"/>
      <w:r>
        <w:rPr>
          <w:rFonts w:hint="default" w:ascii="Times New Roman" w:hAnsi="Times New Roman" w:cs="Times New Roman"/>
          <w:color w:val="000000" w:themeColor="text1"/>
          <w:sz w:val="21"/>
          <w:szCs w:val="21"/>
          <w:highlight w:val="none"/>
          <w14:textFill>
            <w14:solidFill>
              <w14:schemeClr w14:val="tx1"/>
            </w14:solidFill>
          </w14:textFill>
        </w:rPr>
        <w:t>2.1由磋商小组对通过资格审查的合格供应商的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报价</w:t>
      </w:r>
      <w:r>
        <w:rPr>
          <w:rFonts w:hint="default" w:ascii="Times New Roman" w:hAnsi="Times New Roman" w:cs="Times New Roman"/>
          <w:color w:val="000000" w:themeColor="text1"/>
          <w:sz w:val="21"/>
          <w:szCs w:val="21"/>
          <w:highlight w:val="none"/>
          <w14:textFill>
            <w14:solidFill>
              <w14:schemeClr w14:val="tx1"/>
            </w14:solidFill>
          </w14:textFill>
        </w:rPr>
        <w:t>、商务</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技术等实质性要求进行符合性审查，以确定其是否满足</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的实质性要求。</w:t>
      </w:r>
    </w:p>
    <w:bookmarkEnd w:id="153"/>
    <w:p w14:paraId="05DF06F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2.2磋商小组在对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进行符合性审查时，可以要求供应商对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中含义不明确、同类问题表述不一致或者有明显文字和计算错误的内容等作出必要的澄清、说明或者更正。供应商的澄清、说明或者更正不得超出</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的范围或者改变</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的实质性内容。</w:t>
      </w:r>
    </w:p>
    <w:p w14:paraId="600CE50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2.3磋商小组要求供应商澄清、说明或者更正</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应当以书面形式作出。供应商的澄清、说明或者更正应当以书面形式按照磋商小组的要求作出明确的澄清、说明或者更正，未按磋商小组的要求作出明确澄清、说明或者更正的供应商的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将按照有利于采购人的原则由磋商小组进行判定。供应商的澄清、说明或者更正必须由法定代表人或其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委托代理人</w:t>
      </w:r>
      <w:r>
        <w:rPr>
          <w:rFonts w:hint="default" w:ascii="Times New Roman" w:hAnsi="Times New Roman" w:cs="Times New Roman"/>
          <w:color w:val="000000" w:themeColor="text1"/>
          <w:sz w:val="21"/>
          <w:szCs w:val="21"/>
          <w:highlight w:val="none"/>
          <w14:textFill>
            <w14:solidFill>
              <w14:schemeClr w14:val="tx1"/>
            </w14:solidFill>
          </w14:textFill>
        </w:rPr>
        <w:t>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或签章</w:t>
      </w:r>
      <w:r>
        <w:rPr>
          <w:rFonts w:hint="default" w:ascii="Times New Roman" w:hAnsi="Times New Roman" w:cs="Times New Roman"/>
          <w:color w:val="000000" w:themeColor="text1"/>
          <w:sz w:val="21"/>
          <w:szCs w:val="21"/>
          <w:highlight w:val="none"/>
          <w14:textFill>
            <w14:solidFill>
              <w14:schemeClr w14:val="tx1"/>
            </w14:solidFill>
          </w14:textFill>
        </w:rPr>
        <w:t>或加盖</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供应商单位</w:t>
      </w:r>
      <w:r>
        <w:rPr>
          <w:rFonts w:hint="default" w:ascii="Times New Roman" w:hAnsi="Times New Roman" w:cs="Times New Roman"/>
          <w:color w:val="000000" w:themeColor="text1"/>
          <w:sz w:val="21"/>
          <w:szCs w:val="21"/>
          <w:highlight w:val="none"/>
          <w14:textFill>
            <w14:solidFill>
              <w14:schemeClr w14:val="tx1"/>
            </w14:solidFill>
          </w14:textFill>
        </w:rPr>
        <w:t>公章。由委托代理人签字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或签章</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default" w:ascii="Times New Roman" w:hAnsi="Times New Roman" w:cs="Times New Roman"/>
          <w:bCs/>
          <w:color w:val="000000" w:themeColor="text1"/>
          <w:sz w:val="21"/>
          <w:szCs w:val="21"/>
          <w:highlight w:val="none"/>
          <w14:textFill>
            <w14:solidFill>
              <w14:schemeClr w14:val="tx1"/>
            </w14:solidFill>
          </w14:textFill>
        </w:rPr>
        <w:t>若委托代理人不是</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bCs/>
          <w:color w:val="000000" w:themeColor="text1"/>
          <w:sz w:val="21"/>
          <w:szCs w:val="21"/>
          <w:highlight w:val="none"/>
          <w14:textFill>
            <w14:solidFill>
              <w14:schemeClr w14:val="tx1"/>
            </w14:solidFill>
          </w14:textFill>
        </w:rPr>
        <w:t>中授权的委托代理人时，必须同时</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附上</w:t>
      </w:r>
      <w:r>
        <w:rPr>
          <w:rFonts w:hint="default" w:ascii="Times New Roman" w:hAnsi="Times New Roman" w:cs="Times New Roman"/>
          <w:bCs/>
          <w:color w:val="000000" w:themeColor="text1"/>
          <w:sz w:val="21"/>
          <w:szCs w:val="21"/>
          <w:highlight w:val="none"/>
          <w14:textFill>
            <w14:solidFill>
              <w14:schemeClr w14:val="tx1"/>
            </w14:solidFill>
          </w14:textFill>
        </w:rPr>
        <w:t>有效的法定代表人授权委托书</w:t>
      </w:r>
      <w:r>
        <w:rPr>
          <w:rFonts w:hint="default" w:ascii="Times New Roman" w:hAnsi="Times New Roman" w:cs="Times New Roman"/>
          <w:color w:val="000000" w:themeColor="text1"/>
          <w:spacing w:val="-6"/>
          <w:sz w:val="21"/>
          <w:szCs w:val="21"/>
          <w:highlight w:val="none"/>
          <w14:textFill>
            <w14:solidFill>
              <w14:schemeClr w14:val="tx1"/>
            </w14:solidFill>
          </w14:textFill>
        </w:rPr>
        <w:t>。</w:t>
      </w:r>
    </w:p>
    <w:p w14:paraId="41315606">
      <w:pPr>
        <w:pStyle w:val="4"/>
        <w:keepNext/>
        <w:keepLines/>
        <w:pageBreakBefore w:val="0"/>
        <w:widowControl w:val="0"/>
        <w:kinsoku/>
        <w:wordWrap/>
        <w:overflowPunct/>
        <w:topLinePunct w:val="0"/>
        <w:autoSpaceDE/>
        <w:autoSpaceDN/>
        <w:bidi w:val="0"/>
        <w:adjustRightInd/>
        <w:snapToGrid/>
        <w:spacing w:after="0" w:afterAutospacing="0" w:line="448" w:lineRule="exact"/>
        <w:ind w:left="0" w:leftChars="0" w:firstLine="422" w:firstLineChars="200"/>
        <w:textAlignment w:val="auto"/>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bookmarkStart w:id="154" w:name="_Toc28227"/>
      <w:bookmarkStart w:id="155" w:name="_Toc12355"/>
      <w:bookmarkStart w:id="156" w:name="_Toc12996"/>
      <w:bookmarkStart w:id="157" w:name="_Toc29719"/>
      <w:bookmarkStart w:id="158" w:name="_Toc2446"/>
      <w:bookmarkStart w:id="159" w:name="_Toc3462"/>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供应商通过政采云平台交换的数据电文必须进行电子签章。</w:t>
      </w:r>
      <w:bookmarkEnd w:id="154"/>
      <w:bookmarkEnd w:id="155"/>
      <w:bookmarkEnd w:id="156"/>
      <w:bookmarkEnd w:id="157"/>
      <w:bookmarkEnd w:id="158"/>
      <w:bookmarkEnd w:id="159"/>
    </w:p>
    <w:p w14:paraId="1FFA1E78">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2.4首次</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报价出现前后不一致的，按照下列规定修正： </w:t>
      </w:r>
    </w:p>
    <w:p w14:paraId="3A6E7B3D">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中报价表内容与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中相应内容不一致的，以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报价表为准；</w:t>
      </w:r>
    </w:p>
    <w:p w14:paraId="1F0F64DC">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（2）大写金额和小写金额不一致的，以大写金额为准；</w:t>
      </w:r>
    </w:p>
    <w:p w14:paraId="5546AC84">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（3）单价金额小数点或者百分比有明显错位的，以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报价表的总价为准，并修改单价；</w:t>
      </w:r>
    </w:p>
    <w:p w14:paraId="5266AB3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（4）总价金额与按单价汇总金额不一致的，以单价金额计算结果为准。</w:t>
      </w:r>
    </w:p>
    <w:p w14:paraId="1B15FC2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同时出现两种以上不一致的，按照以上（1）-（4）规定的顺序逐条进行修正。修正后的报价经供应商确认后产生约束力，供应商不确认的，其</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按无效响应处理。</w:t>
      </w:r>
    </w:p>
    <w:p w14:paraId="3DACAE52">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报价评审</w:t>
      </w:r>
    </w:p>
    <w:p w14:paraId="23E6098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未提供“供应商须知前附表” 报价文件中规定的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“响应函”、</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响应报价表</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D4F0EE7">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2）未采用人民币报价或者未按照</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标明的币种报价；</w:t>
      </w:r>
    </w:p>
    <w:p w14:paraId="71ED603E">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3）供应商未就所竞标进行报价或者存在漏项报价；供应商未就所竞标的单项内容作唯一报价；供应商未就所竞标的全部内容作唯一总价报价；供应商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中存在有选择、有条件报价的（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允许有备选方案或者其他约定的除外）；</w:t>
      </w:r>
    </w:p>
    <w:p w14:paraId="4B977FB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1"/>
          <w:szCs w:val="21"/>
          <w:highlight w:val="none"/>
          <w14:textFill>
            <w14:solidFill>
              <w14:schemeClr w14:val="tx1"/>
            </w14:solidFill>
          </w14:textFill>
        </w:rPr>
        <w:t>（包含首次报价、最后报价）超过所竞标规定的采购预算金额或者最高限价的（如本项目公布了最高限价）；</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1"/>
          <w:szCs w:val="21"/>
          <w:highlight w:val="none"/>
          <w14:textFill>
            <w14:solidFill>
              <w14:schemeClr w14:val="tx1"/>
            </w14:solidFill>
          </w14:textFill>
        </w:rPr>
        <w:t>（包含首次报价、最后报价）超过</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分项采购预算金额或者最高限价的（如本项目公布了最高限价）；</w:t>
      </w:r>
    </w:p>
    <w:p w14:paraId="2A8D775D">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5）修正后的报价，供应商不确认的；或者经供应商确认修正后的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1"/>
          <w:szCs w:val="21"/>
          <w:highlight w:val="none"/>
          <w14:textFill>
            <w14:solidFill>
              <w14:schemeClr w14:val="tx1"/>
            </w14:solidFill>
          </w14:textFill>
        </w:rPr>
        <w:t>（包含首次报价、最后报价）超过所竞标规定的采购预算金额或者最高限价（如本项目公布了最高限价）；或者经供应商确认修正后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1"/>
          <w:szCs w:val="21"/>
          <w:highlight w:val="none"/>
          <w14:textFill>
            <w14:solidFill>
              <w14:schemeClr w14:val="tx1"/>
            </w14:solidFill>
          </w14:textFill>
        </w:rPr>
        <w:t>（包含首次报价、最后报价）超过</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分项采购预算金额或者最高限价的（如本项目公布了最高限价）。</w:t>
      </w:r>
    </w:p>
    <w:p w14:paraId="3D4AE22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响应的标的</w:t>
      </w:r>
      <w:r>
        <w:rPr>
          <w:rFonts w:hint="default" w:ascii="Times New Roman" w:hAnsi="Times New Roman" w:eastAsia="宋体" w:cs="Times New Roman"/>
          <w:color w:val="000000" w:themeColor="text1"/>
          <w:sz w:val="21"/>
          <w:szCs w:val="21"/>
          <w:highlight w:val="none"/>
          <w14:textFill>
            <w14:solidFill>
              <w14:schemeClr w14:val="tx1"/>
            </w14:solidFill>
          </w14:textFill>
        </w:rPr>
        <w:t>已标价工程量清单的项目编码、</w:t>
      </w:r>
      <w:r>
        <w:rPr>
          <w:rFonts w:hint="eastAsia" w:ascii="Times New Roman" w:hAnsi="Times New Roman" w:eastAsia="宋体" w:cs="Times New Roman"/>
          <w:color w:val="000000" w:themeColor="text1"/>
          <w:sz w:val="21"/>
          <w:szCs w:val="21"/>
          <w:highlight w:val="none"/>
          <w14:textFill>
            <w14:solidFill>
              <w14:schemeClr w14:val="tx1"/>
            </w14:solidFill>
          </w14:textFill>
        </w:rPr>
        <w:t>项目名称及项目特征描述</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计量单位、工程量任何一处与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竞争性磋商文件中的</w:t>
      </w:r>
      <w:r>
        <w:rPr>
          <w:rFonts w:hint="default" w:ascii="Times New Roman" w:hAnsi="Times New Roman" w:eastAsia="宋体" w:cs="Times New Roman"/>
          <w:color w:val="000000" w:themeColor="text1"/>
          <w:sz w:val="21"/>
          <w:szCs w:val="21"/>
          <w:highlight w:val="none"/>
          <w14:textFill>
            <w14:solidFill>
              <w14:schemeClr w14:val="tx1"/>
            </w14:solidFill>
          </w14:textFill>
        </w:rPr>
        <w:t>工程量清单</w:t>
      </w:r>
      <w:r>
        <w:rPr>
          <w:rFonts w:hint="eastAsia" w:ascii="Times New Roman" w:hAnsi="Times New Roman" w:eastAsia="宋体" w:cs="Times New Roman"/>
          <w:color w:val="000000" w:themeColor="text1"/>
          <w:sz w:val="21"/>
          <w:szCs w:val="21"/>
          <w:highlight w:val="none"/>
          <w14:textFill>
            <w14:solidFill>
              <w14:schemeClr w14:val="tx1"/>
            </w14:solidFill>
          </w14:textFill>
        </w:rPr>
        <w:t>不一致的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76EAF176">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响应的标的</w:t>
      </w:r>
      <w:r>
        <w:rPr>
          <w:rFonts w:hint="default" w:ascii="Times New Roman" w:hAnsi="Times New Roman" w:eastAsia="宋体" w:cs="Times New Roman"/>
          <w:color w:val="000000" w:themeColor="text1"/>
          <w:sz w:val="21"/>
          <w:szCs w:val="21"/>
          <w:highlight w:val="none"/>
          <w14:textFill>
            <w14:solidFill>
              <w14:schemeClr w14:val="tx1"/>
            </w14:solidFill>
          </w14:textFill>
        </w:rPr>
        <w:t>已标价工程量清单的项目编码、项目名称、计量单位、工程</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数量</w:t>
      </w: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竞争性磋商文件中的</w:t>
      </w:r>
      <w:r>
        <w:rPr>
          <w:rFonts w:hint="default" w:ascii="Times New Roman" w:hAnsi="Times New Roman" w:eastAsia="宋体" w:cs="Times New Roman"/>
          <w:color w:val="000000" w:themeColor="text1"/>
          <w:sz w:val="21"/>
          <w:szCs w:val="21"/>
          <w:highlight w:val="none"/>
          <w14:textFill>
            <w14:solidFill>
              <w14:schemeClr w14:val="tx1"/>
            </w14:solidFill>
          </w14:textFill>
        </w:rPr>
        <w:t>工程量清单不一致，</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磋商小组</w:t>
      </w:r>
      <w:r>
        <w:rPr>
          <w:rFonts w:hint="default" w:ascii="Times New Roman" w:hAnsi="Times New Roman" w:eastAsia="宋体" w:cs="Times New Roman"/>
          <w:color w:val="000000" w:themeColor="text1"/>
          <w:sz w:val="21"/>
          <w:szCs w:val="21"/>
          <w:highlight w:val="none"/>
          <w14:textFill>
            <w14:solidFill>
              <w14:schemeClr w14:val="tx1"/>
            </w14:solidFill>
          </w14:textFill>
        </w:rPr>
        <w:t>要求澄清、说明或补正，但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1"/>
          <w:szCs w:val="21"/>
          <w:highlight w:val="none"/>
          <w14:textFill>
            <w14:solidFill>
              <w14:schemeClr w14:val="tx1"/>
            </w14:solidFill>
          </w14:textFill>
        </w:rPr>
        <w:t>拒绝澄清、说明或补正的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0B507E1">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14:textFill>
            <w14:solidFill>
              <w14:schemeClr w14:val="tx1"/>
            </w14:solidFill>
          </w14:textFill>
        </w:rPr>
        <w:t>）未对</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竞标</w:t>
      </w:r>
      <w:r>
        <w:rPr>
          <w:rFonts w:hint="eastAsia" w:ascii="Times New Roman" w:hAnsi="Times New Roman" w:eastAsia="宋体" w:cs="Times New Roman"/>
          <w:color w:val="000000" w:themeColor="text1"/>
          <w:sz w:val="21"/>
          <w:szCs w:val="21"/>
          <w:highlight w:val="none"/>
          <w14:textFill>
            <w14:solidFill>
              <w14:schemeClr w14:val="tx1"/>
            </w14:solidFill>
          </w14:textFill>
        </w:rPr>
        <w:t>有效期作出响应或者</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承诺的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竞标</w:t>
      </w:r>
      <w:r>
        <w:rPr>
          <w:rFonts w:hint="eastAsia" w:ascii="Times New Roman" w:hAnsi="Times New Roman" w:eastAsia="宋体" w:cs="Times New Roman"/>
          <w:color w:val="000000" w:themeColor="text1"/>
          <w:sz w:val="21"/>
          <w:szCs w:val="21"/>
          <w:highlight w:val="none"/>
          <w14:textFill>
            <w14:solidFill>
              <w14:schemeClr w14:val="tx1"/>
            </w14:solidFill>
          </w14:textFill>
        </w:rPr>
        <w:t>有效期不满足</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要求</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90C357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商务技术评审</w:t>
      </w:r>
    </w:p>
    <w:p w14:paraId="304C3CE7">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在评审时，如发现下列情形之一的，将被视为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无效处理：</w:t>
      </w:r>
    </w:p>
    <w:p w14:paraId="1119759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（1）响应文件未按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要求签署、盖章；</w:t>
      </w:r>
    </w:p>
    <w:p w14:paraId="463CEE3E">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（2）委托代理人未能出具有效身份证明或者出具的身份证明与授权委托书中的信息不符； </w:t>
      </w:r>
    </w:p>
    <w:p w14:paraId="2E523C5B">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（3）响应文件未提供任一项“供应商须知前附表” 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79860BC3">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（4）商务条款中标“▲”的条款发生负偏离的或者允许负偏离的条款数超过“供应商须知前附表”规定项数的或者标明实质性的要求发生负偏离；</w:t>
      </w:r>
    </w:p>
    <w:p w14:paraId="36E83B23">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（5）未对竞标有效期作出响应或者响应文件承诺的竞标有效期不满足</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要求；</w:t>
      </w:r>
    </w:p>
    <w:p w14:paraId="67B6C293">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（6）响应文件的实质性内容未使用中文表述、使用计量单位不符合</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要求；</w:t>
      </w:r>
    </w:p>
    <w:p w14:paraId="5724E9CA">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（7）响应文件中的文件资料因填写不齐全或者内容虚假或者出现其他情形而导致被磋商小组认定无效；</w:t>
      </w:r>
    </w:p>
    <w:p w14:paraId="4870E129">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（8）响应文件含有采购人不能接受的附加条件；</w:t>
      </w:r>
    </w:p>
    <w:p w14:paraId="4D27972D">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（9）属于“供应商须知正文”第</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14:textFill>
            <w14:solidFill>
              <w14:schemeClr w14:val="tx1"/>
            </w14:solidFill>
          </w14:textFill>
        </w:rPr>
        <w:t>.5条情形；</w:t>
      </w:r>
    </w:p>
    <w:p w14:paraId="7514A32B">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eastAsia="宋体" w:cs="Times New Roman"/>
          <w:color w:val="000000" w:themeColor="text1"/>
          <w:sz w:val="21"/>
          <w:szCs w:val="21"/>
          <w:highlight w:val="none"/>
          <w14:textFill>
            <w14:solidFill>
              <w14:schemeClr w14:val="tx1"/>
            </w14:solidFill>
          </w14:textFill>
        </w:rPr>
        <w:t>需求允许负偏离的条款数超过“供应商须知前附表”规定项数；</w:t>
      </w:r>
    </w:p>
    <w:p w14:paraId="23D45A03">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（11）虚假竞标，或者出现其他情形而导致被磋商小组认定无效；</w:t>
      </w:r>
    </w:p>
    <w:p w14:paraId="46B0C00B">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（12）竞标服务方案不明确，</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未允许但响应文件中存在一个或者一个以上备选（替代）竞标方案；</w:t>
      </w:r>
    </w:p>
    <w:p w14:paraId="23DA572E">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（13）响应文件标注的项目名称或者项目编号与竞争性磋商文件标注的项目名称或者项目编号不一致的；</w:t>
      </w:r>
    </w:p>
    <w:p w14:paraId="6D9322E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（14）未响应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实质性要求；</w:t>
      </w:r>
    </w:p>
    <w:p w14:paraId="216322BF">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（15）法律、法规和</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eastAsia" w:ascii="Times New Roman" w:hAnsi="Times New Roman" w:eastAsia="宋体" w:cs="Times New Roman"/>
          <w:color w:val="000000" w:themeColor="text1"/>
          <w:sz w:val="21"/>
          <w:szCs w:val="21"/>
          <w:highlight w:val="none"/>
          <w14:textFill>
            <w14:solidFill>
              <w14:schemeClr w14:val="tx1"/>
            </w14:solidFill>
          </w14:textFill>
        </w:rPr>
        <w:t>规定的其他无效情形。</w:t>
      </w:r>
    </w:p>
    <w:p w14:paraId="5292467A">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磋商小组对</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进行评审，未实质性响应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的</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按无效处理，磋商小组应当将资格和符合性不通过的情况告知有关供应商。磋商小组从符合</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规定的相应资格条件的供应商名单中确定不少于3家的供应商参加磋商。</w:t>
      </w:r>
    </w:p>
    <w:p w14:paraId="58392DE0">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通过符合性审查的合格供应商不足3家的，不得进入磋商环节，采购人或者采购代理机构应当重新开展采购活动。</w:t>
      </w:r>
    </w:p>
    <w:p w14:paraId="291F727F">
      <w:pPr>
        <w:keepNext w:val="0"/>
        <w:keepLines w:val="0"/>
        <w:pageBreakBefore w:val="0"/>
        <w:widowControl w:val="0"/>
        <w:kinsoku/>
        <w:wordWrap/>
        <w:overflowPunct/>
        <w:topLinePunct w:val="0"/>
        <w:autoSpaceDE/>
        <w:autoSpaceDN/>
        <w:bidi w:val="0"/>
        <w:adjustRightInd/>
        <w:snapToGrid/>
        <w:spacing w:before="96" w:beforeLines="30" w:after="96" w:afterLines="30" w:line="448" w:lineRule="exact"/>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3.磋商程序</w:t>
      </w:r>
    </w:p>
    <w:p w14:paraId="167C275B">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3.1磋商小组按照“供应商须知前附表”</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kern w:val="0"/>
          <w:sz w:val="21"/>
          <w:szCs w:val="21"/>
          <w:highlight w:val="none"/>
          <w14:textFill>
            <w14:solidFill>
              <w14:schemeClr w14:val="tx1"/>
            </w14:solidFill>
          </w14:textFill>
        </w:rPr>
        <w:t>确定的</w:t>
      </w:r>
      <w:r>
        <w:rPr>
          <w:rFonts w:hint="default" w:ascii="Times New Roman" w:hAnsi="Times New Roman" w:cs="Times New Roman"/>
          <w:color w:val="000000" w:themeColor="text1"/>
          <w:sz w:val="2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按无效响应处理。</w:t>
      </w:r>
    </w:p>
    <w:p w14:paraId="11ACFDFD">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3.2在磋商过程中，磋商小组可以根据</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和磋商情况实质性变动合同条款</w:t>
      </w:r>
      <w:r>
        <w:rPr>
          <w:rFonts w:hint="eastAsia" w:ascii="Times New Roman" w:hAnsi="Times New Roman" w:cs="Times New Roman"/>
          <w:color w:val="000000" w:themeColor="text1"/>
          <w:sz w:val="21"/>
          <w:szCs w:val="21"/>
          <w:highlight w:val="none"/>
          <w:lang w:eastAsia="zh-CN"/>
          <w14:textFill>
            <w14:solidFill>
              <w14:schemeClr w14:val="tx1"/>
            </w14:solidFill>
          </w14:textFill>
        </w:rPr>
        <w:t>及格式</w:t>
      </w:r>
      <w:r>
        <w:rPr>
          <w:rFonts w:hint="default" w:ascii="Times New Roman" w:hAnsi="Times New Roman" w:cs="Times New Roman"/>
          <w:color w:val="000000" w:themeColor="text1"/>
          <w:sz w:val="21"/>
          <w:szCs w:val="21"/>
          <w:highlight w:val="none"/>
          <w14:textFill>
            <w14:solidFill>
              <w14:schemeClr w14:val="tx1"/>
            </w14:solidFill>
          </w14:textFill>
        </w:rPr>
        <w:t>，但不得变动</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中的其他内容。实质性变动的内容，须经采购人代表确认。可能实质性变动的内容为合同条款</w:t>
      </w:r>
      <w:r>
        <w:rPr>
          <w:rFonts w:hint="eastAsia" w:ascii="Times New Roman" w:hAnsi="Times New Roman" w:cs="Times New Roman"/>
          <w:color w:val="000000" w:themeColor="text1"/>
          <w:sz w:val="21"/>
          <w:szCs w:val="21"/>
          <w:highlight w:val="none"/>
          <w:lang w:eastAsia="zh-CN"/>
          <w14:textFill>
            <w14:solidFill>
              <w14:schemeClr w14:val="tx1"/>
            </w14:solidFill>
          </w14:textFill>
        </w:rPr>
        <w:t>及格式</w:t>
      </w:r>
      <w:r>
        <w:rPr>
          <w:rFonts w:hint="default" w:ascii="Times New Roman" w:hAnsi="Times New Roman" w:cs="Times New Roman"/>
          <w:color w:val="000000" w:themeColor="text1"/>
          <w:sz w:val="21"/>
          <w:szCs w:val="21"/>
          <w:highlight w:val="none"/>
          <w14:textFill>
            <w14:solidFill>
              <w14:schemeClr w14:val="tx1"/>
            </w14:solidFill>
          </w14:textFill>
        </w:rPr>
        <w:t>。</w:t>
      </w:r>
    </w:p>
    <w:p w14:paraId="37A27203">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3.3对</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作出的实质性变动是</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的有效组成部分。</w:t>
      </w:r>
    </w:p>
    <w:p w14:paraId="25A8BF64">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3.4供应商必须按照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的变动情况和磋商小组的要求重新提交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，并由其法定代表人或者授权代表签字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或签章</w:t>
      </w:r>
      <w:r>
        <w:rPr>
          <w:rFonts w:hint="default" w:ascii="Times New Roman" w:hAnsi="Times New Roman" w:cs="Times New Roman"/>
          <w:color w:val="000000" w:themeColor="text1"/>
          <w:sz w:val="21"/>
          <w:szCs w:val="21"/>
          <w:highlight w:val="none"/>
          <w14:textFill>
            <w14:solidFill>
              <w14:schemeClr w14:val="tx1"/>
            </w14:solidFill>
          </w14:textFill>
        </w:rPr>
        <w:t>或加盖</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供应商单位</w:t>
      </w:r>
      <w:r>
        <w:rPr>
          <w:rFonts w:hint="default" w:ascii="Times New Roman" w:hAnsi="Times New Roman" w:cs="Times New Roman"/>
          <w:color w:val="000000" w:themeColor="text1"/>
          <w:sz w:val="21"/>
          <w:szCs w:val="21"/>
          <w:highlight w:val="none"/>
          <w14:textFill>
            <w14:solidFill>
              <w14:schemeClr w14:val="tx1"/>
            </w14:solidFill>
          </w14:textFill>
        </w:rPr>
        <w:t>公章。由委托代理人签字的，</w:t>
      </w:r>
      <w:r>
        <w:rPr>
          <w:rFonts w:hint="default" w:ascii="Times New Roman" w:hAnsi="Times New Roman" w:cs="Times New Roman"/>
          <w:bCs/>
          <w:color w:val="000000" w:themeColor="text1"/>
          <w:sz w:val="21"/>
          <w:szCs w:val="21"/>
          <w:highlight w:val="none"/>
          <w14:textFill>
            <w14:solidFill>
              <w14:schemeClr w14:val="tx1"/>
            </w14:solidFill>
          </w14:textFill>
        </w:rPr>
        <w:t>若委托代理人不是</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bCs/>
          <w:color w:val="000000" w:themeColor="text1"/>
          <w:sz w:val="21"/>
          <w:szCs w:val="21"/>
          <w:highlight w:val="none"/>
          <w14:textFill>
            <w14:solidFill>
              <w14:schemeClr w14:val="tx1"/>
            </w14:solidFill>
          </w14:textFill>
        </w:rPr>
        <w:t>中授权的委托代理人时，必须同时</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附上</w:t>
      </w:r>
      <w:r>
        <w:rPr>
          <w:rFonts w:hint="default" w:ascii="Times New Roman" w:hAnsi="Times New Roman" w:cs="Times New Roman"/>
          <w:bCs/>
          <w:color w:val="000000" w:themeColor="text1"/>
          <w:sz w:val="21"/>
          <w:szCs w:val="21"/>
          <w:highlight w:val="none"/>
          <w14:textFill>
            <w14:solidFill>
              <w14:schemeClr w14:val="tx1"/>
            </w14:solidFill>
          </w14:textFill>
        </w:rPr>
        <w:t>有效的法定代表人授权委托书</w:t>
      </w:r>
      <w:r>
        <w:rPr>
          <w:rFonts w:hint="default" w:ascii="Times New Roman" w:hAnsi="Times New Roman" w:cs="Times New Roman"/>
          <w:color w:val="000000" w:themeColor="text1"/>
          <w:sz w:val="21"/>
          <w:szCs w:val="21"/>
          <w:highlight w:val="none"/>
          <w14:textFill>
            <w14:solidFill>
              <w14:schemeClr w14:val="tx1"/>
            </w14:solidFill>
          </w14:textFill>
        </w:rPr>
        <w:t>。参加磋商的供应商未在规定时间内重新提交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的，视同退出磋商。</w:t>
      </w:r>
    </w:p>
    <w:p w14:paraId="0FA81C4C">
      <w:pPr>
        <w:keepNext w:val="0"/>
        <w:keepLines w:val="0"/>
        <w:pageBreakBefore w:val="0"/>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3.5磋商中，</w:t>
      </w:r>
      <w:r>
        <w:rPr>
          <w:rFonts w:hint="default" w:ascii="Times New Roman" w:hAnsi="Times New Roman" w:cs="Times New Roman"/>
          <w:color w:val="000000" w:themeColor="text1"/>
          <w:spacing w:val="-6"/>
          <w:sz w:val="21"/>
          <w:szCs w:val="21"/>
          <w:highlight w:val="none"/>
          <w14:textFill>
            <w14:solidFill>
              <w14:schemeClr w14:val="tx1"/>
            </w14:solidFill>
          </w14:textFill>
        </w:rPr>
        <w:t>磋商的任何一方不得透露与磋商有关的其他供应商的技术资料、价格和其他信息。</w:t>
      </w:r>
    </w:p>
    <w:p w14:paraId="09D00A2F">
      <w:pPr>
        <w:keepNext w:val="0"/>
        <w:keepLines w:val="0"/>
        <w:pageBreakBefore w:val="0"/>
        <w:widowControl/>
        <w:tabs>
          <w:tab w:val="left" w:pos="540"/>
        </w:tabs>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磋商过程中重新提交的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，供应商可以在开启前补充、修改。</w:t>
      </w:r>
    </w:p>
    <w:p w14:paraId="7B066A71">
      <w:pPr>
        <w:keepNext w:val="0"/>
        <w:keepLines w:val="0"/>
        <w:pageBreakBefore w:val="0"/>
        <w:tabs>
          <w:tab w:val="left" w:pos="2835"/>
        </w:tabs>
        <w:kinsoku/>
        <w:wordWrap/>
        <w:overflowPunct/>
        <w:topLinePunct w:val="0"/>
        <w:autoSpaceDE/>
        <w:autoSpaceDN/>
        <w:bidi w:val="0"/>
        <w:adjustRightInd/>
        <w:spacing w:line="448"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对磋商过程提交的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进行有效性、完整性和响应程度审查，通过审查的合格供应商不足3家的，采购人或者采购代理机构应当重新开展采购活动。</w:t>
      </w:r>
    </w:p>
    <w:p w14:paraId="6E905829">
      <w:pPr>
        <w:keepNext w:val="0"/>
        <w:keepLines w:val="0"/>
        <w:pageBreakBefore w:val="0"/>
        <w:widowControl w:val="0"/>
        <w:kinsoku/>
        <w:wordWrap/>
        <w:overflowPunct/>
        <w:topLinePunct w:val="0"/>
        <w:autoSpaceDE/>
        <w:autoSpaceDN/>
        <w:bidi w:val="0"/>
        <w:adjustRightInd/>
        <w:snapToGrid/>
        <w:spacing w:before="96" w:beforeLines="30" w:after="96" w:afterLines="30" w:line="440" w:lineRule="exact"/>
        <w:ind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4. 最后报价</w:t>
      </w:r>
    </w:p>
    <w:p w14:paraId="2773388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4.1</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能够详细列明采购标的的技术</w:t>
      </w:r>
      <w:r>
        <w:rPr>
          <w:rFonts w:hint="eastAsia" w:ascii="Times New Roman" w:hAnsi="Times New Roman" w:cs="Times New Roman"/>
          <w:color w:val="000000" w:themeColor="text1"/>
          <w:sz w:val="21"/>
          <w:szCs w:val="21"/>
          <w:highlight w:val="none"/>
          <w:lang w:eastAsia="zh-CN"/>
          <w14:textFill>
            <w14:solidFill>
              <w14:schemeClr w14:val="tx1"/>
            </w14:solidFill>
          </w14:textFill>
        </w:rPr>
        <w:t>要求</w:t>
      </w:r>
      <w:r>
        <w:rPr>
          <w:rFonts w:hint="default" w:ascii="Times New Roman" w:hAnsi="Times New Roman" w:cs="Times New Roman"/>
          <w:color w:val="000000" w:themeColor="text1"/>
          <w:sz w:val="21"/>
          <w:szCs w:val="21"/>
          <w:highlight w:val="none"/>
          <w14:textFill>
            <w14:solidFill>
              <w14:schemeClr w14:val="tx1"/>
            </w14:solidFill>
          </w14:textFill>
        </w:rPr>
        <w:t>的，磋商结束后，由磋商小组要求所有继续参加磋商的供应商在规定时间内提交最后报价，除本章第4.3条外，提交最后报价的供应商不得少于3家，否则必须重新采购。</w:t>
      </w:r>
    </w:p>
    <w:p w14:paraId="2DBD759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4.2</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不能详细列明采购标的的技术要求，需经磋商由供应商提供最后设计方案或者解决方案的，磋商结束后，由磋商小组按照少数服从多数的原则投票推荐3家以上供应商的设计方案或者解决方案，并要求其在规定时间内提交最后报价。</w:t>
      </w:r>
    </w:p>
    <w:p w14:paraId="648F5B6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4.3 属于市场竞争不充分的科研项目，以及需要扶持的科技成果转化项目，提交最后报价的供应商可以为2家。。</w:t>
      </w:r>
    </w:p>
    <w:p w14:paraId="6F0745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4.4</w:t>
      </w:r>
      <w:r>
        <w:rPr>
          <w:rFonts w:hint="default" w:ascii="Times New Roman" w:hAnsi="Times New Roman" w:cs="Times New Roman"/>
          <w:color w:val="000000" w:themeColor="text1"/>
          <w:sz w:val="21"/>
          <w:szCs w:val="21"/>
          <w:highlight w:val="none"/>
          <w14:textFill>
            <w14:solidFill>
              <w14:schemeClr w14:val="tx1"/>
            </w14:solidFill>
          </w14:textFill>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4BACA25B">
      <w:pPr>
        <w:pStyle w:val="30"/>
        <w:rPr>
          <w:rFonts w:hint="default" w:eastAsia="宋体"/>
          <w:lang w:val="en-US" w:eastAsia="zh-CN"/>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4.5 </w:t>
      </w:r>
      <w:r>
        <w:rPr>
          <w:rFonts w:hint="default" w:ascii="Times New Roman" w:hAnsi="Times New Roman" w:cs="Times New Roman"/>
          <w:color w:val="000000" w:themeColor="text1"/>
          <w:sz w:val="21"/>
          <w:szCs w:val="21"/>
          <w:highlight w:val="none"/>
          <w14:textFill>
            <w14:solidFill>
              <w14:schemeClr w14:val="tx1"/>
            </w14:solidFill>
          </w14:textFill>
        </w:rPr>
        <w:t>最后报价是供应商</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 xml:space="preserve">的有效组成部分。 </w:t>
      </w:r>
    </w:p>
    <w:p w14:paraId="7B0EF58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已经提交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的供应商，在提交最后报价之前，可以根据磋商情况退出磋商，退出磋商的供应商的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按无效响应处理。采购人、采购代理机构将退还退出磋商的供应商的保证金。</w:t>
      </w:r>
    </w:p>
    <w:p w14:paraId="4D8380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供应商未在规定时间内提交最后报价的，视同退出磋商。</w:t>
      </w:r>
    </w:p>
    <w:p w14:paraId="05F2BDC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磋商小组收齐最后报价后统一开启，磋商小组对最后报价进行有效性、完整性和响应程度的审查。</w:t>
      </w:r>
    </w:p>
    <w:p w14:paraId="4E8638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 xml:space="preserve">最后报价出现前后不一致的，按照本章第2.4条的规定修正。 </w:t>
      </w:r>
    </w:p>
    <w:p w14:paraId="01E5FF1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修正后的报价出现下列情形的，按无效响应处理：</w:t>
      </w:r>
    </w:p>
    <w:p w14:paraId="0515BD8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（1）供应商不确认的；</w:t>
      </w:r>
    </w:p>
    <w:p w14:paraId="181AE1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（2）经供应商确认修正后的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cs="Times New Roman"/>
          <w:color w:val="000000" w:themeColor="text1"/>
          <w:sz w:val="21"/>
          <w:szCs w:val="21"/>
          <w:highlight w:val="none"/>
          <w14:textFill>
            <w14:solidFill>
              <w14:schemeClr w14:val="tx1"/>
            </w14:solidFill>
          </w14:textFill>
        </w:rPr>
        <w:t>（包含首次报价、最后报价）超过所竞标规定的采购预算金额或者最高限价的（如本项目公布了最高限价）；</w:t>
      </w:r>
    </w:p>
    <w:p w14:paraId="080BFD4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（3）经供应商确认修正后的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cs="Times New Roman"/>
          <w:color w:val="000000" w:themeColor="text1"/>
          <w:sz w:val="21"/>
          <w:szCs w:val="21"/>
          <w:highlight w:val="none"/>
          <w14:textFill>
            <w14:solidFill>
              <w14:schemeClr w14:val="tx1"/>
            </w14:solidFill>
          </w14:textFill>
        </w:rPr>
        <w:t>（包含首次报价、最后报价）超过分项采购预算金额或者最高限价的（如本项目公布了最高限价）。</w:t>
      </w:r>
    </w:p>
    <w:p w14:paraId="7D53C3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4.9经供应商确认修正后的最后报价作为评审及签订合同的依据。</w:t>
      </w:r>
    </w:p>
    <w:p w14:paraId="470ED71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最后报价结束后，磋商小组不得再与供应商进行任何形式的商谈。</w:t>
      </w:r>
    </w:p>
    <w:p w14:paraId="5CBD2A3E">
      <w:pPr>
        <w:keepNext w:val="0"/>
        <w:keepLines w:val="0"/>
        <w:pageBreakBefore w:val="0"/>
        <w:widowControl w:val="0"/>
        <w:kinsoku/>
        <w:wordWrap/>
        <w:overflowPunct/>
        <w:topLinePunct w:val="0"/>
        <w:autoSpaceDE/>
        <w:autoSpaceDN/>
        <w:bidi w:val="0"/>
        <w:adjustRightInd/>
        <w:snapToGrid/>
        <w:spacing w:before="96" w:beforeLines="30" w:after="96" w:afterLines="30" w:line="440" w:lineRule="exact"/>
        <w:ind w:firstLine="482" w:firstLineChars="200"/>
        <w:jc w:val="left"/>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5.比较与评价</w:t>
      </w:r>
    </w:p>
    <w:p w14:paraId="4E3A15D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5.1评审方法：综合评分法。</w:t>
      </w:r>
    </w:p>
    <w:p w14:paraId="5AE3301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5.2经磋商确定提交最后报价的供应商后，由磋商小组采用综合评分法对提交最后报价的供应商的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和最后报价进行综合评分。</w:t>
      </w:r>
    </w:p>
    <w:p w14:paraId="56AC913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5.3评审时，磋商小组各成员应当独立对每个有效响应的文件进行评价、打分，然后汇总每个供应商每项评分因素的得分。</w:t>
      </w:r>
    </w:p>
    <w:p w14:paraId="21CDFA3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（1）磋商小组按照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中规定的评审标准计算各供应商的报价得分。项目评审过程中，不得去掉最后报价中的最高报价和最低报价。</w:t>
      </w:r>
    </w:p>
    <w:p w14:paraId="10FBCEF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（2）各供应商的得分为磋商小组所有成员的有效评分的算术平均数。</w:t>
      </w:r>
    </w:p>
    <w:p w14:paraId="2C63EBE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5.4最终成交供应商的成交金额等于最后报价（如有修正，以确认修正后的最后报价为准）。</w:t>
      </w:r>
    </w:p>
    <w:p w14:paraId="46B4C5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5.5由磋商小组根据综合评分情况，按照评审得分由高到低顺序推荐3名以上成交候选供应商，并编写评</w:t>
      </w:r>
      <w:r>
        <w:rPr>
          <w:rFonts w:hint="default" w:ascii="Times New Roman" w:hAnsi="Times New Roman" w:cs="Times New Roman"/>
          <w:color w:val="000000" w:themeColor="text1"/>
          <w:kern w:val="0"/>
          <w:sz w:val="21"/>
          <w:szCs w:val="21"/>
          <w:highlight w:val="none"/>
          <w14:textFill>
            <w14:solidFill>
              <w14:schemeClr w14:val="tx1"/>
            </w14:solidFill>
          </w14:textFill>
        </w:rPr>
        <w:t>审报告。符合本章第4.3条情形的，可以推荐2家成交候选供应商。评审得分相同的，按照最后报价由低到高的顺序推荐。评审得分且最后报价相同的，按照技术</w:t>
      </w:r>
      <w:r>
        <w:rPr>
          <w:rFonts w:hint="eastAsia" w:ascii="Times New Roman" w:hAnsi="Times New Roman" w:cs="Times New Roman"/>
          <w:color w:val="000000" w:themeColor="text1"/>
          <w:kern w:val="0"/>
          <w:sz w:val="21"/>
          <w:szCs w:val="21"/>
          <w:highlight w:val="none"/>
          <w:lang w:eastAsia="zh-CN"/>
          <w14:textFill>
            <w14:solidFill>
              <w14:schemeClr w14:val="tx1"/>
            </w14:solidFill>
          </w14:textFill>
        </w:rPr>
        <w:t>得分高低</w:t>
      </w:r>
      <w:r>
        <w:rPr>
          <w:rFonts w:hint="default" w:ascii="Times New Roman" w:hAnsi="Times New Roman" w:cs="Times New Roman"/>
          <w:color w:val="000000" w:themeColor="text1"/>
          <w:kern w:val="0"/>
          <w:sz w:val="21"/>
          <w:szCs w:val="21"/>
          <w:highlight w:val="none"/>
          <w14:textFill>
            <w14:solidFill>
              <w14:schemeClr w14:val="tx1"/>
            </w14:solidFill>
          </w14:textFill>
        </w:rPr>
        <w:t>顺序推荐。</w:t>
      </w:r>
    </w:p>
    <w:p w14:paraId="28F81B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891B0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二、评审标准</w:t>
      </w:r>
    </w:p>
    <w:p w14:paraId="6AFC9EDC">
      <w:pPr>
        <w:keepNext w:val="0"/>
        <w:keepLines w:val="0"/>
        <w:pageBreakBefore w:val="0"/>
        <w:widowControl w:val="0"/>
        <w:kinsoku/>
        <w:wordWrap/>
        <w:overflowPunct/>
        <w:topLinePunct w:val="0"/>
        <w:autoSpaceDE/>
        <w:autoSpaceDN/>
        <w:bidi w:val="0"/>
        <w:adjustRightInd/>
        <w:snapToGrid/>
        <w:spacing w:after="157" w:afterLines="50" w:line="440" w:lineRule="exact"/>
        <w:ind w:firstLine="420" w:firstLineChars="200"/>
        <w:jc w:val="left"/>
        <w:textAlignment w:val="auto"/>
        <w:rPr>
          <w:rFonts w:hint="default" w:ascii="Times New Roman" w:hAnsi="Times New Roman" w:cs="Times New Roman"/>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评审依据：磋商小组将以</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bCs/>
          <w:color w:val="000000" w:themeColor="text1"/>
          <w:sz w:val="21"/>
          <w:szCs w:val="21"/>
          <w:highlight w:val="none"/>
          <w14:textFill>
            <w14:solidFill>
              <w14:schemeClr w14:val="tx1"/>
            </w14:solidFill>
          </w14:textFill>
        </w:rPr>
        <w:t>为评审依据，对供应商的报价、</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技术</w:t>
      </w:r>
      <w:r>
        <w:rPr>
          <w:rFonts w:hint="default" w:ascii="Times New Roman" w:hAnsi="Times New Roman" w:cs="Times New Roman"/>
          <w:bCs/>
          <w:color w:val="000000" w:themeColor="text1"/>
          <w:sz w:val="21"/>
          <w:szCs w:val="21"/>
          <w:highlight w:val="none"/>
          <w14:textFill>
            <w14:solidFill>
              <w14:schemeClr w14:val="tx1"/>
            </w14:solidFill>
          </w14:textFill>
        </w:rPr>
        <w:t>、</w:t>
      </w:r>
      <w:r>
        <w:rPr>
          <w:rFonts w:hint="eastAsia" w:ascii="Times New Roman" w:hAnsi="Times New Roman" w:cs="Times New Roman"/>
          <w:bCs/>
          <w:color w:val="000000" w:themeColor="text1"/>
          <w:sz w:val="21"/>
          <w:szCs w:val="21"/>
          <w:highlight w:val="none"/>
          <w:lang w:eastAsia="zh-CN"/>
          <w14:textFill>
            <w14:solidFill>
              <w14:schemeClr w14:val="tx1"/>
            </w14:solidFill>
          </w14:textFill>
        </w:rPr>
        <w:t>商务</w:t>
      </w:r>
      <w:r>
        <w:rPr>
          <w:rFonts w:hint="default" w:ascii="Times New Roman" w:hAnsi="Times New Roman" w:cs="Times New Roman"/>
          <w:bCs/>
          <w:color w:val="000000" w:themeColor="text1"/>
          <w:sz w:val="21"/>
          <w:szCs w:val="21"/>
          <w:highlight w:val="none"/>
          <w14:textFill>
            <w14:solidFill>
              <w14:schemeClr w14:val="tx1"/>
            </w14:solidFill>
          </w14:textFill>
        </w:rPr>
        <w:t>等方面内容按百分制打分（计分方法按四舍五入取至百分位）</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w:t>
      </w:r>
    </w:p>
    <w:p w14:paraId="4B790ADA">
      <w:pPr>
        <w:pStyle w:val="30"/>
        <w:rPr>
          <w:rFonts w:hint="default"/>
          <w:lang w:eastAsia="zh-CN"/>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w:t>
      </w:r>
    </w:p>
    <w:tbl>
      <w:tblPr>
        <w:tblStyle w:val="43"/>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15"/>
        <w:gridCol w:w="6465"/>
        <w:gridCol w:w="1242"/>
      </w:tblGrid>
      <w:tr w14:paraId="2A2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10B060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序号</w:t>
            </w:r>
          </w:p>
        </w:tc>
        <w:tc>
          <w:tcPr>
            <w:tcW w:w="1515" w:type="dxa"/>
            <w:noWrap w:val="0"/>
            <w:vAlign w:val="center"/>
          </w:tcPr>
          <w:p w14:paraId="70B267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评审因素</w:t>
            </w:r>
          </w:p>
        </w:tc>
        <w:tc>
          <w:tcPr>
            <w:tcW w:w="6465" w:type="dxa"/>
            <w:noWrap w:val="0"/>
            <w:vAlign w:val="center"/>
          </w:tcPr>
          <w:p w14:paraId="65D8F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评审因素</w:t>
            </w:r>
          </w:p>
        </w:tc>
        <w:tc>
          <w:tcPr>
            <w:tcW w:w="1242" w:type="dxa"/>
            <w:noWrap w:val="0"/>
            <w:vAlign w:val="center"/>
          </w:tcPr>
          <w:p w14:paraId="5E8730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分值</w:t>
            </w:r>
          </w:p>
        </w:tc>
      </w:tr>
      <w:tr w14:paraId="7EB2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24C2F0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1</w:t>
            </w:r>
          </w:p>
        </w:tc>
        <w:tc>
          <w:tcPr>
            <w:tcW w:w="1515" w:type="dxa"/>
            <w:noWrap w:val="0"/>
            <w:vAlign w:val="center"/>
          </w:tcPr>
          <w:p w14:paraId="720AE0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价格分</w:t>
            </w:r>
          </w:p>
        </w:tc>
        <w:tc>
          <w:tcPr>
            <w:tcW w:w="6465" w:type="dxa"/>
            <w:noWrap w:val="0"/>
            <w:vAlign w:val="top"/>
          </w:tcPr>
          <w:p w14:paraId="3D2A3F83">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pPr>
            <w:bookmarkStart w:id="160" w:name="OLE_LINK18"/>
            <w:r>
              <w:rPr>
                <w:color w:val="000000" w:themeColor="text1"/>
                <w:sz w:val="21"/>
                <w:szCs w:val="21"/>
                <w:highlight w:val="none"/>
                <w14:textFill>
                  <w14:solidFill>
                    <w14:schemeClr w14:val="tx1"/>
                  </w14:solidFill>
                </w14:textFill>
              </w:rPr>
              <w:t>本项目为专门面向中小企业采购的项目</w:t>
            </w:r>
            <w:r>
              <w:rPr>
                <w:rFonts w:hint="default" w:ascii="Times New Roman" w:hAnsi="Times New Roman" w:cs="Times New Roman"/>
                <w:color w:val="000000" w:themeColor="text1"/>
                <w:kern w:val="2"/>
                <w:sz w:val="21"/>
                <w:highlight w:val="none"/>
                <w14:textFill>
                  <w14:solidFill>
                    <w14:schemeClr w14:val="tx1"/>
                  </w14:solidFill>
                </w14:textFill>
              </w:rPr>
              <w:t>，不再给予小微企业价格扣除。</w:t>
            </w:r>
          </w:p>
          <w:p w14:paraId="4F4FE66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pPr>
            <w:r>
              <w:rPr>
                <w:rFonts w:hint="eastAsia" w:ascii="Times New Roman" w:hAnsi="Times New Roman" w:cs="Times New Roman"/>
                <w:bCs/>
                <w:color w:val="000000" w:themeColor="text1"/>
                <w:kern w:val="2"/>
                <w:sz w:val="21"/>
                <w:szCs w:val="21"/>
                <w:highlight w:val="none"/>
                <w:lang w:val="en-US" w:eastAsia="zh-CN"/>
                <w14:textFill>
                  <w14:solidFill>
                    <w14:schemeClr w14:val="tx1"/>
                  </w14:solidFill>
                </w14:textFill>
              </w:rPr>
              <w:t>1.</w:t>
            </w: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以进入比较与评价环节的最低的</w:t>
            </w:r>
            <w:r>
              <w:rPr>
                <w:rFonts w:hint="eastAsia" w:ascii="Times New Roman" w:hAnsi="Times New Roman" w:cs="Times New Roman"/>
                <w:bCs/>
                <w:color w:val="000000" w:themeColor="text1"/>
                <w:kern w:val="2"/>
                <w:sz w:val="21"/>
                <w:szCs w:val="21"/>
                <w:highlight w:val="none"/>
                <w:lang w:val="en-US" w:eastAsia="zh-CN"/>
                <w14:textFill>
                  <w14:solidFill>
                    <w14:schemeClr w14:val="tx1"/>
                  </w14:solidFill>
                </w14:textFill>
              </w:rPr>
              <w:t>最后</w:t>
            </w: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报价为基准价，基准价得分为</w:t>
            </w:r>
            <w:r>
              <w:rPr>
                <w:rFonts w:hint="eastAsia" w:ascii="Times New Roman" w:hAnsi="Times New Roman" w:cs="Times New Roman"/>
                <w:b w:val="0"/>
                <w:bCs/>
                <w:color w:val="000000" w:themeColor="text1"/>
                <w:kern w:val="2"/>
                <w:sz w:val="21"/>
                <w:szCs w:val="21"/>
                <w:highlight w:val="none"/>
                <w:u w:val="none"/>
                <w:lang w:val="en-US" w:eastAsia="zh-CN"/>
                <w14:textFill>
                  <w14:solidFill>
                    <w14:schemeClr w14:val="tx1"/>
                  </w14:solidFill>
                </w14:textFill>
              </w:rPr>
              <w:t>20</w:t>
            </w:r>
            <w:r>
              <w:rPr>
                <w:rFonts w:hint="default" w:ascii="Times New Roman" w:hAnsi="Times New Roman" w:cs="Times New Roman"/>
                <w:b w:val="0"/>
                <w:bCs/>
                <w:color w:val="000000" w:themeColor="text1"/>
                <w:kern w:val="2"/>
                <w:sz w:val="21"/>
                <w:szCs w:val="21"/>
                <w:highlight w:val="none"/>
                <w:u w:val="none"/>
                <w:lang w:val="en-US" w:eastAsia="zh-CN"/>
                <w14:textFill>
                  <w14:solidFill>
                    <w14:schemeClr w14:val="tx1"/>
                  </w14:solidFill>
                </w14:textFill>
              </w:rPr>
              <w:t>分</w:t>
            </w: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w:t>
            </w:r>
          </w:p>
          <w:p w14:paraId="56F86FE7">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pPr>
            <w:r>
              <w:rPr>
                <w:rFonts w:hint="eastAsia" w:ascii="Times New Roman" w:hAnsi="Times New Roman" w:cs="Times New Roman"/>
                <w:bCs/>
                <w:color w:val="000000" w:themeColor="text1"/>
                <w:kern w:val="2"/>
                <w:sz w:val="21"/>
                <w:szCs w:val="21"/>
                <w:highlight w:val="none"/>
                <w:lang w:val="en-US" w:eastAsia="zh-CN"/>
                <w14:textFill>
                  <w14:solidFill>
                    <w14:schemeClr w14:val="tx1"/>
                  </w14:solidFill>
                </w14:textFill>
              </w:rPr>
              <w:t>2.</w:t>
            </w: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价格分计算公式：</w:t>
            </w:r>
          </w:p>
          <w:p w14:paraId="2096CF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kern w:val="2"/>
                <w:sz w:val="21"/>
                <w:szCs w:val="21"/>
                <w:highlight w:val="none"/>
                <w:lang w:val="en-US" w:eastAsia="zh-CN"/>
                <w14:textFill>
                  <w14:solidFill>
                    <w14:schemeClr w14:val="tx1"/>
                  </w14:solidFill>
                </w14:textFill>
              </w:rPr>
              <w:t>价格得分=（基准价/最后报价）</w:t>
            </w:r>
            <w:r>
              <w:rPr>
                <w:rFonts w:hint="default" w:ascii="Times New Roman" w:hAnsi="Times New Roman" w:cs="Times New Roman"/>
                <w:b/>
                <w:bCs w:val="0"/>
                <w:color w:val="000000" w:themeColor="text1"/>
                <w:kern w:val="2"/>
                <w:sz w:val="21"/>
                <w:szCs w:val="21"/>
                <w:highlight w:val="none"/>
                <w:lang w:val="en-US" w:eastAsia="zh-CN"/>
                <w14:textFill>
                  <w14:solidFill>
                    <w14:schemeClr w14:val="tx1"/>
                  </w14:solidFill>
                </w14:textFill>
              </w:rPr>
              <w:t>×</w:t>
            </w:r>
            <w:r>
              <w:rPr>
                <w:rFonts w:hint="eastAsia" w:ascii="Times New Roman" w:hAnsi="Times New Roman" w:cs="Times New Roman"/>
                <w:b/>
                <w:bCs w:val="0"/>
                <w:color w:val="000000" w:themeColor="text1"/>
                <w:kern w:val="2"/>
                <w:sz w:val="21"/>
                <w:szCs w:val="21"/>
                <w:highlight w:val="none"/>
                <w:lang w:val="en-US" w:eastAsia="zh-CN"/>
                <w14:textFill>
                  <w14:solidFill>
                    <w14:schemeClr w14:val="tx1"/>
                  </w14:solidFill>
                </w14:textFill>
              </w:rPr>
              <w:t>20</w:t>
            </w:r>
            <w:r>
              <w:rPr>
                <w:rFonts w:hint="default" w:ascii="Times New Roman" w:hAnsi="Times New Roman" w:cs="Times New Roman"/>
                <w:b w:val="0"/>
                <w:bCs/>
                <w:color w:val="000000" w:themeColor="text1"/>
                <w:kern w:val="2"/>
                <w:sz w:val="21"/>
                <w:szCs w:val="21"/>
                <w:highlight w:val="none"/>
                <w:u w:val="none"/>
                <w:lang w:val="en-US" w:eastAsia="zh-CN"/>
                <w14:textFill>
                  <w14:solidFill>
                    <w14:schemeClr w14:val="tx1"/>
                  </w14:solidFill>
                </w14:textFill>
              </w:rPr>
              <w:t>分</w:t>
            </w:r>
            <w:bookmarkEnd w:id="160"/>
          </w:p>
        </w:tc>
        <w:tc>
          <w:tcPr>
            <w:tcW w:w="1242" w:type="dxa"/>
            <w:noWrap w:val="0"/>
            <w:vAlign w:val="center"/>
          </w:tcPr>
          <w:p w14:paraId="464577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eastAsia" w:ascii="Times New Roman" w:hAnsi="Times New Roman" w:cs="Times New Roman"/>
                <w:b/>
                <w:bCs/>
                <w:color w:val="000000" w:themeColor="text1"/>
                <w:kern w:val="0"/>
                <w:sz w:val="21"/>
                <w:szCs w:val="21"/>
                <w:highlight w:val="none"/>
                <w:lang w:val="en-US" w:eastAsia="zh-CN"/>
                <w14:textFill>
                  <w14:solidFill>
                    <w14:schemeClr w14:val="tx1"/>
                  </w14:solidFill>
                </w14:textFill>
              </w:rPr>
              <w:t>20</w:t>
            </w:r>
            <w:r>
              <w:rPr>
                <w:rFonts w:hint="default" w:ascii="Times New Roman" w:hAnsi="Times New Roman" w:cs="Times New Roman"/>
                <w:b/>
                <w:bCs/>
                <w:color w:val="000000" w:themeColor="text1"/>
                <w:kern w:val="0"/>
                <w:sz w:val="21"/>
                <w:szCs w:val="21"/>
                <w:highlight w:val="none"/>
                <w14:textFill>
                  <w14:solidFill>
                    <w14:schemeClr w14:val="tx1"/>
                  </w14:solidFill>
                </w14:textFill>
              </w:rPr>
              <w:t>分</w:t>
            </w:r>
          </w:p>
        </w:tc>
      </w:tr>
      <w:tr w14:paraId="5857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196EA7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b/>
                <w:bCs w:val="0"/>
                <w:color w:val="000000" w:themeColor="text1"/>
                <w:kern w:val="0"/>
                <w:sz w:val="21"/>
                <w:szCs w:val="21"/>
                <w:highlight w:val="none"/>
                <w14:textFill>
                  <w14:solidFill>
                    <w14:schemeClr w14:val="tx1"/>
                  </w14:solidFill>
                </w14:textFill>
              </w:rPr>
              <w:t>2</w:t>
            </w:r>
          </w:p>
        </w:tc>
        <w:tc>
          <w:tcPr>
            <w:tcW w:w="1515" w:type="dxa"/>
            <w:noWrap w:val="0"/>
            <w:vAlign w:val="center"/>
          </w:tcPr>
          <w:p w14:paraId="0FC765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b/>
                <w:bCs w:val="0"/>
                <w:color w:val="000000" w:themeColor="text1"/>
                <w:kern w:val="0"/>
                <w:sz w:val="21"/>
                <w:szCs w:val="21"/>
                <w:highlight w:val="none"/>
                <w14:textFill>
                  <w14:solidFill>
                    <w14:schemeClr w14:val="tx1"/>
                  </w14:solidFill>
                </w14:textFill>
              </w:rPr>
              <w:t>技术分</w:t>
            </w:r>
          </w:p>
        </w:tc>
        <w:tc>
          <w:tcPr>
            <w:tcW w:w="6465" w:type="dxa"/>
            <w:noWrap w:val="0"/>
            <w:vAlign w:val="center"/>
          </w:tcPr>
          <w:p w14:paraId="44F7C2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cs="Times New Roman"/>
                <w:b/>
                <w:bCs w:val="0"/>
                <w:color w:val="000000" w:themeColor="text1"/>
                <w:kern w:val="0"/>
                <w:sz w:val="21"/>
                <w:szCs w:val="21"/>
                <w:highlight w:val="none"/>
                <w14:textFill>
                  <w14:solidFill>
                    <w14:schemeClr w14:val="tx1"/>
                  </w14:solidFill>
                </w14:textFill>
              </w:rPr>
              <w:t>评审因素</w:t>
            </w:r>
          </w:p>
        </w:tc>
        <w:tc>
          <w:tcPr>
            <w:tcW w:w="1242" w:type="dxa"/>
            <w:noWrap w:val="0"/>
            <w:vAlign w:val="center"/>
          </w:tcPr>
          <w:p w14:paraId="1EF03D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kern w:val="0"/>
                <w:sz w:val="21"/>
                <w:szCs w:val="21"/>
                <w:highlight w:val="none"/>
                <w:lang w:val="en-US" w:eastAsia="zh-CN"/>
                <w14:textFill>
                  <w14:solidFill>
                    <w14:schemeClr w14:val="tx1"/>
                  </w14:solidFill>
                </w14:textFill>
              </w:rPr>
              <w:t>70</w:t>
            </w:r>
            <w:r>
              <w:rPr>
                <w:rFonts w:hint="default" w:ascii="Times New Roman" w:hAnsi="Times New Roman" w:cs="Times New Roman"/>
                <w:b/>
                <w:bCs w:val="0"/>
                <w:color w:val="000000" w:themeColor="text1"/>
                <w:kern w:val="0"/>
                <w:sz w:val="21"/>
                <w:szCs w:val="21"/>
                <w:highlight w:val="none"/>
                <w:lang w:val="en-US" w:eastAsia="zh-CN"/>
                <w14:textFill>
                  <w14:solidFill>
                    <w14:schemeClr w14:val="tx1"/>
                  </w14:solidFill>
                </w14:textFill>
              </w:rPr>
              <w:t>分</w:t>
            </w:r>
          </w:p>
        </w:tc>
      </w:tr>
      <w:tr w14:paraId="0203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21963A8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0"/>
                <w:sz w:val="21"/>
                <w:szCs w:val="21"/>
                <w:highlight w:val="none"/>
                <w14:textFill>
                  <w14:solidFill>
                    <w14:schemeClr w14:val="tx1"/>
                  </w14:solidFill>
                </w14:textFill>
              </w:rPr>
              <w:t>2.</w:t>
            </w:r>
            <w:r>
              <w:rPr>
                <w:rFonts w:hint="default" w:ascii="Times New Roman" w:hAnsi="Times New Roman" w:eastAsia="宋体" w:cs="Times New Roman"/>
                <w:b/>
                <w:bCs w:val="0"/>
                <w:color w:val="000000" w:themeColor="text1"/>
                <w:kern w:val="0"/>
                <w:sz w:val="21"/>
                <w:szCs w:val="21"/>
                <w:highlight w:val="none"/>
                <w:lang w:val="en-US" w:eastAsia="zh-CN"/>
                <w14:textFill>
                  <w14:solidFill>
                    <w14:schemeClr w14:val="tx1"/>
                  </w14:solidFill>
                </w14:textFill>
              </w:rPr>
              <w:t>1</w:t>
            </w:r>
          </w:p>
        </w:tc>
        <w:tc>
          <w:tcPr>
            <w:tcW w:w="1515" w:type="dxa"/>
            <w:noWrap w:val="0"/>
            <w:vAlign w:val="center"/>
          </w:tcPr>
          <w:p w14:paraId="6295F09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施工组织设计</w:t>
            </w:r>
          </w:p>
        </w:tc>
        <w:tc>
          <w:tcPr>
            <w:tcW w:w="6465" w:type="dxa"/>
            <w:noWrap w:val="0"/>
            <w:vAlign w:val="center"/>
          </w:tcPr>
          <w:p w14:paraId="78E9DB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bCs w:val="0"/>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t>由磋商小组在打分前根据各供应商的施工组织设计，集体讨论确定各供应商所属档次，然后由磋商小组在相应档次内独立打分。</w:t>
            </w:r>
          </w:p>
        </w:tc>
        <w:tc>
          <w:tcPr>
            <w:tcW w:w="1242" w:type="dxa"/>
            <w:noWrap w:val="0"/>
            <w:vAlign w:val="center"/>
          </w:tcPr>
          <w:p w14:paraId="6A1569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val="0"/>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bCs w:val="0"/>
                <w:color w:val="000000" w:themeColor="text1"/>
                <w:kern w:val="0"/>
                <w:sz w:val="21"/>
                <w:szCs w:val="21"/>
                <w:highlight w:val="none"/>
                <w:lang w:val="en-US" w:eastAsia="zh-CN"/>
                <w14:textFill>
                  <w14:solidFill>
                    <w14:schemeClr w14:val="tx1"/>
                  </w14:solidFill>
                </w14:textFill>
              </w:rPr>
              <w:t>60</w:t>
            </w:r>
            <w:r>
              <w:rPr>
                <w:rFonts w:hint="default" w:ascii="Times New Roman" w:hAnsi="Times New Roman" w:cs="Times New Roman"/>
                <w:b/>
                <w:bCs w:val="0"/>
                <w:color w:val="000000" w:themeColor="text1"/>
                <w:kern w:val="0"/>
                <w:sz w:val="21"/>
                <w:szCs w:val="21"/>
                <w:highlight w:val="none"/>
                <w14:textFill>
                  <w14:solidFill>
                    <w14:schemeClr w14:val="tx1"/>
                  </w14:solidFill>
                </w14:textFill>
              </w:rPr>
              <w:t>分</w:t>
            </w:r>
          </w:p>
        </w:tc>
      </w:tr>
      <w:tr w14:paraId="2FA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4067AE6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（1）</w:t>
            </w:r>
          </w:p>
        </w:tc>
        <w:tc>
          <w:tcPr>
            <w:tcW w:w="1515" w:type="dxa"/>
            <w:noWrap w:val="0"/>
            <w:vAlign w:val="center"/>
          </w:tcPr>
          <w:p w14:paraId="3D8246F4">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内容完整性和</w:t>
            </w:r>
          </w:p>
          <w:p w14:paraId="79A48FBC">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编制水平</w:t>
            </w:r>
          </w:p>
          <w:p w14:paraId="4907583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46921AB6">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分）：对项目内容全面了解，总体布置合理，完全满足施工要求，编制内容满足本项目的需要，编制水平较高。</w:t>
            </w:r>
          </w:p>
          <w:p w14:paraId="45D5F0DA">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分）：对项目内容较好了解，总体布置较为合理，满足施工要求，编制内容较为满足本项目的需要，编制水平较好。</w:t>
            </w:r>
          </w:p>
          <w:p w14:paraId="79C7C54A">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分）：对项目内容了解一般，总体布置基 本合理，基本满足施工要求，编制内容基本满足本项目的需要，编制水平一般。</w:t>
            </w:r>
          </w:p>
          <w:p w14:paraId="6AF297E9">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分）：对项目内容了解较差，总体布置不合理，不满足施工要求，编制内容不满足本项目的需要，编制水平较差。</w:t>
            </w:r>
          </w:p>
        </w:tc>
        <w:tc>
          <w:tcPr>
            <w:tcW w:w="1242" w:type="dxa"/>
            <w:noWrap w:val="0"/>
            <w:vAlign w:val="center"/>
          </w:tcPr>
          <w:p w14:paraId="5FEFCD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5分</w:t>
            </w:r>
          </w:p>
        </w:tc>
      </w:tr>
      <w:tr w14:paraId="3DEB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5084A6D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（2）</w:t>
            </w:r>
          </w:p>
        </w:tc>
        <w:tc>
          <w:tcPr>
            <w:tcW w:w="1515" w:type="dxa"/>
            <w:noWrap w:val="0"/>
            <w:vAlign w:val="center"/>
          </w:tcPr>
          <w:p w14:paraId="69D17E2D">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施工方案与技</w:t>
            </w:r>
          </w:p>
          <w:p w14:paraId="36FFAADA">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术措施</w:t>
            </w:r>
          </w:p>
          <w:p w14:paraId="496655B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5CE81AF0">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分）：对项目的施工总体条件有全面认识，施工段划分合理，划分清晰、合理、切合本工程实际，施工方法合理，技术措施具体、先进、有效；</w:t>
            </w:r>
          </w:p>
          <w:p w14:paraId="1544D54C">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分）：对项目的施工总体条件有大致认识，施工段划分较合理，划分较为清晰、合理、切合本工程实际，施工方法较为合理，技术措施较为具体、先进、有效；</w:t>
            </w:r>
          </w:p>
          <w:p w14:paraId="680A4ADC">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分）：对项目的施工总体条件有认识，施工段划分基本合理、基本切合实际，施工方法基本合理，施工技术措施不够具体；</w:t>
            </w:r>
          </w:p>
          <w:p w14:paraId="55A808F9">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分）：对项目的施工总体条件认识不足，施工方案不完整，技术措施不具体，施工段划分不合理。</w:t>
            </w:r>
          </w:p>
        </w:tc>
        <w:tc>
          <w:tcPr>
            <w:tcW w:w="1242" w:type="dxa"/>
            <w:noWrap w:val="0"/>
            <w:vAlign w:val="center"/>
          </w:tcPr>
          <w:p w14:paraId="069CCF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15分</w:t>
            </w:r>
          </w:p>
        </w:tc>
      </w:tr>
      <w:tr w14:paraId="0924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53FD263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（3）</w:t>
            </w:r>
          </w:p>
        </w:tc>
        <w:tc>
          <w:tcPr>
            <w:tcW w:w="1515" w:type="dxa"/>
            <w:noWrap w:val="0"/>
            <w:vAlign w:val="center"/>
          </w:tcPr>
          <w:p w14:paraId="454B35F7">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质量管理体系</w:t>
            </w:r>
          </w:p>
          <w:p w14:paraId="1D96B570">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与措施</w:t>
            </w:r>
          </w:p>
          <w:p w14:paraId="4211169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758445EE">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质量目标明确，质量管理体系总体思路清晰，质量管控体系健全（包括组织结构、人员分工、施工现场质量控制的措施和手段、原材料质量检测、单元工程验收和质量评定、质量控制奖罚机制等），质量事件（缺陷、事故）应急处理措施得当、可行。对关键部位的工程质量保证措施有针对性、切实可行。</w:t>
            </w:r>
          </w:p>
          <w:p w14:paraId="6511AE09">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质量目标比较明确，质量管理体系总体思路较清晰，质量管控体系较健全（包括组织结构、人员分工、施工现场质量控制的措施和手段、原材料质量检测、单元工程验收和质量评定、质量控制奖罚机制等），质量事件（缺陷、事故）应急处理措施较为可行。对关键部位的工程质量保证措施有一定的针对 性、较为可行。</w:t>
            </w:r>
          </w:p>
          <w:p w14:paraId="6B2C256F">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质量目标基本明确，质量管理体系总体思路基本清晰，质量管控体系基本健全（包括组织结构、人员分工、施工现场质量控制的措施和手段、原材料质量检测、单元工程验收和质量评定、质量控制奖罚机制等），质量事件（缺陷、事故）应急处理措施基本可行。对关键部位的工程质量保证措施有针对性、基本可行。</w:t>
            </w:r>
          </w:p>
          <w:p w14:paraId="013B47D3">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分）：质量目标不明确，质量管理体系总体思路不清晰，质量管控体系不健全（包括组织结构、人员分工、施工现场质量控制的措施和手段、原材料质量检 测、单元工程验收和质量评</w:t>
            </w:r>
          </w:p>
          <w:p w14:paraId="1001B30F">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定、质量控制奖罚机制等），质量事件（缺陷、事故）应急处理措施不可行。对关键部位的工程质量保证措施没有针对性、不可行。</w:t>
            </w:r>
          </w:p>
        </w:tc>
        <w:tc>
          <w:tcPr>
            <w:tcW w:w="1242" w:type="dxa"/>
            <w:noWrap w:val="0"/>
            <w:vAlign w:val="center"/>
          </w:tcPr>
          <w:p w14:paraId="0DAC0A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10分</w:t>
            </w:r>
          </w:p>
        </w:tc>
      </w:tr>
      <w:tr w14:paraId="0D4F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2253883D">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（4）</w:t>
            </w:r>
          </w:p>
        </w:tc>
        <w:tc>
          <w:tcPr>
            <w:tcW w:w="1515" w:type="dxa"/>
            <w:noWrap w:val="0"/>
            <w:vAlign w:val="center"/>
          </w:tcPr>
          <w:p w14:paraId="4B694A8D">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安全管理体系与措施</w:t>
            </w:r>
          </w:p>
          <w:p w14:paraId="3C9E7C0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1C5EE57D">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分）：安全生产和文明施工目标明确，安全生产和文明施工管理体系健全，安全文明措施到位、有针对性；风险源预测和辨识准确，防范措施切实具体可行；有事故应急预案考虑全面，切实可行。</w:t>
            </w:r>
          </w:p>
          <w:p w14:paraId="0FC58C0B">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分）：安全生产和文明施工目标较为明确，安全生产和文明施工管理体系较为健全，安全文明措施到位、有针对性；风险源预测和辨识准确性一般，防范措施可行；有事故应急预案考虑基本全面、较为可行。</w:t>
            </w:r>
          </w:p>
          <w:p w14:paraId="67043A99">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安全生产和文明施工目标基本明确，安全生产和文明施工管理体系基本健全，安全文明措施基本到位、有一定的针对性；风险源预测和辨识基本准确，防范措施基本可行；有事故应急预案考虑不够全面，基本可行。</w:t>
            </w:r>
          </w:p>
          <w:p w14:paraId="65F0AC60">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分）：安全生产和文明施工目标不明确，安全生产和文明施工管理体系不健全，安全文明措施不到位、无针对性；风险源预测和辨识不准确，防范措施不可行；有事故应急预 案但考虑不</w:t>
            </w:r>
          </w:p>
          <w:p w14:paraId="74CDB6BF">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全面、不可行。</w:t>
            </w:r>
          </w:p>
        </w:tc>
        <w:tc>
          <w:tcPr>
            <w:tcW w:w="1242" w:type="dxa"/>
            <w:noWrap w:val="0"/>
            <w:vAlign w:val="center"/>
          </w:tcPr>
          <w:p w14:paraId="0EBA29D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10</w:t>
            </w:r>
            <w:r>
              <w:rPr>
                <w:rFonts w:hint="eastAsia" w:ascii="Times New Roman" w:hAnsi="Times New Roman" w:cs="Times New Roman"/>
                <w:bCs/>
                <w:color w:val="000000" w:themeColor="text1"/>
                <w:kern w:val="0"/>
                <w:sz w:val="21"/>
                <w:szCs w:val="21"/>
                <w:highlight w:val="none"/>
                <w:lang w:val="en-US" w:eastAsia="zh-CN"/>
                <w14:textFill>
                  <w14:solidFill>
                    <w14:schemeClr w14:val="tx1"/>
                  </w14:solidFill>
                </w14:textFill>
              </w:rPr>
              <w:t>分</w:t>
            </w:r>
          </w:p>
        </w:tc>
      </w:tr>
      <w:tr w14:paraId="3B9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40E9B03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（5）</w:t>
            </w:r>
          </w:p>
        </w:tc>
        <w:tc>
          <w:tcPr>
            <w:tcW w:w="1515" w:type="dxa"/>
            <w:noWrap w:val="0"/>
            <w:vAlign w:val="center"/>
          </w:tcPr>
          <w:p w14:paraId="7EEDC247">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环境保护管理体系与措施</w:t>
            </w:r>
          </w:p>
          <w:p w14:paraId="62C5770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32E07182">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分）：环境保护目标明确，环境保护管理体系健全，预防和控制措施（包括大气、水、噪声、固体废物、人群等环保工程）具有针对性、内容具体全面、切实可行。</w:t>
            </w:r>
          </w:p>
          <w:p w14:paraId="3B213C4D">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分）：环境保护目标比较明确，环境保护管理体系比较健全，预防和控制措施（包括大气、水、噪声、固体废物、人群等环保工程）有针对性、内容比较全面、较为可行。</w:t>
            </w:r>
          </w:p>
          <w:p w14:paraId="5D1BE5EF">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分）：环境保护目标基本明确，环境保护管理体系基本健全，预防和控制措施（包括大气、水、噪声、固体废物、人群等环保工程）有一定针对性、内容基本全面、基本可行。</w:t>
            </w:r>
          </w:p>
          <w:p w14:paraId="1DB06A0D">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分）：环境保护目标不明确，环境保护管理体系不健全，预防和控制措施（包括大气、水、噪声、固体废物、人群等环保工程）无针对性、不可行。</w:t>
            </w:r>
          </w:p>
        </w:tc>
        <w:tc>
          <w:tcPr>
            <w:tcW w:w="1242" w:type="dxa"/>
            <w:noWrap w:val="0"/>
            <w:vAlign w:val="center"/>
          </w:tcPr>
          <w:p w14:paraId="1E0744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10分</w:t>
            </w:r>
          </w:p>
        </w:tc>
      </w:tr>
      <w:tr w14:paraId="39F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777DE47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（6）</w:t>
            </w:r>
          </w:p>
        </w:tc>
        <w:tc>
          <w:tcPr>
            <w:tcW w:w="1515" w:type="dxa"/>
            <w:noWrap w:val="0"/>
            <w:vAlign w:val="center"/>
          </w:tcPr>
          <w:p w14:paraId="4EFBA9AB">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工程进度计划与措施</w:t>
            </w:r>
          </w:p>
          <w:p w14:paraId="0F47A09E">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p>
          <w:p w14:paraId="0D4DD33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264EEFC6">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分）：施工总体进度计划得当， 进度计划网络图清晰合理，完全满足</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竞争性磋商文件</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要求，施工强度分析可靠，各关键节点的工期切实施科学，工程进度补救措施可行，完全能保证在</w:t>
            </w:r>
          </w:p>
          <w:p w14:paraId="059B8689">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规定的总工期内完成。</w:t>
            </w:r>
          </w:p>
          <w:p w14:paraId="6C07263A">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 分）：施工总体进度计划较为得当，进度计划网络图较为清晰合理，满足</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竞争性磋商文件</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要求，施工强度分析较为可靠，各关键节点的工期可行，控制性项目安排较为得当，保证工期的措</w:t>
            </w:r>
          </w:p>
          <w:p w14:paraId="1FCEE09B">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施较为科学，工程进度补救措施较为可行，能保证在规定的总工期内完成。</w:t>
            </w:r>
          </w:p>
          <w:p w14:paraId="515B6DEA">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分）：施工总体进度计划基本得当，进度计划网络图基本合理，基本满足</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竞争性磋商文件</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要求，施工强度分析基本合理，各关键节点的工期基本可行，控制性项目安排基本得当，保证工期的措施基本可行，工程进度补救措施基本可行，基本能保证在规定的总工期内完成。</w:t>
            </w:r>
          </w:p>
          <w:p w14:paraId="3C8E5081">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分）：施工总体进度计划不得当，进度计划网络图不合理，不满足</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竞争性磋商文件</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要求，施工强度分析不合理，各关键节点的工期不可行，控制性项目安排不得当，保证工期的措施不可行，工程进度补救措施不可行，不能保证在规定的总工期内完成。</w:t>
            </w:r>
          </w:p>
        </w:tc>
        <w:tc>
          <w:tcPr>
            <w:tcW w:w="1242" w:type="dxa"/>
            <w:noWrap w:val="0"/>
            <w:vAlign w:val="center"/>
          </w:tcPr>
          <w:p w14:paraId="059E84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5分</w:t>
            </w:r>
          </w:p>
        </w:tc>
      </w:tr>
      <w:tr w14:paraId="687F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27B74B9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Cs/>
                <w:color w:val="000000" w:themeColor="text1"/>
                <w:kern w:val="0"/>
                <w:sz w:val="21"/>
                <w:szCs w:val="21"/>
                <w:highlight w:val="none"/>
                <w:lang w:val="en-US" w:eastAsia="zh-CN"/>
                <w14:textFill>
                  <w14:solidFill>
                    <w14:schemeClr w14:val="tx1"/>
                  </w14:solidFill>
                </w14:textFill>
              </w:rPr>
              <w:t>（7）</w:t>
            </w:r>
          </w:p>
        </w:tc>
        <w:tc>
          <w:tcPr>
            <w:tcW w:w="1515" w:type="dxa"/>
            <w:noWrap w:val="0"/>
            <w:vAlign w:val="center"/>
          </w:tcPr>
          <w:p w14:paraId="456BE60B">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资源配置计划</w:t>
            </w:r>
          </w:p>
          <w:p w14:paraId="3B7D2E7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p>
        </w:tc>
        <w:tc>
          <w:tcPr>
            <w:tcW w:w="6465" w:type="dxa"/>
            <w:noWrap w:val="0"/>
            <w:vAlign w:val="center"/>
          </w:tcPr>
          <w:p w14:paraId="0D1BE96A">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各类施工及试验设备的配备类型、进场时间与施工组织设计相符，设备数量合理、类型齐全，有保证设备良好运行工况的措施，完足满足施工需要。各类人员的配备专业、进场时间与施工组织设计相符，人员数量、专业技能完于满足施工要求，有保证施工人员相对稳定的措施。</w:t>
            </w:r>
          </w:p>
          <w:p w14:paraId="3910152D">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各类施工及试验设备的配备类型、进场时间与施工组织设计较为相符，设备数量较为合理、类型齐全，能满足施工需要。各类人员的配备专业、进场时间与施工组织设计较为相符，人员数量、专业技能满足施工要求。</w:t>
            </w:r>
          </w:p>
          <w:p w14:paraId="0F77D326">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中（</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各类施工及试验设备的配备类型、进场时间与施工组织设计基本相符，设备数量基本合理、类型基本齐全，基本满足施工需要。各类人员的配备专业、进场时间与施工组织设计基本相符，人员数量、专业技能基本满足施工要求。</w:t>
            </w:r>
          </w:p>
          <w:p w14:paraId="7C9822FF">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分）：各类施工及试验设备的配备类型、进场时间与施工组织设计不相符，设备数量不合理、类型不齐全，不满足施工需要。各类人员的配备专业、进场时间与施工组织设计不相符，人员数量、专业技能不满足施工要求。</w:t>
            </w:r>
          </w:p>
        </w:tc>
        <w:tc>
          <w:tcPr>
            <w:tcW w:w="1242" w:type="dxa"/>
            <w:noWrap w:val="0"/>
            <w:vAlign w:val="center"/>
          </w:tcPr>
          <w:p w14:paraId="0B1EC5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5分</w:t>
            </w:r>
          </w:p>
        </w:tc>
      </w:tr>
      <w:tr w14:paraId="3D40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3113E2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b/>
                <w:bCs w:val="0"/>
                <w:color w:val="000000" w:themeColor="text1"/>
                <w:kern w:val="0"/>
                <w:sz w:val="21"/>
                <w:szCs w:val="21"/>
                <w:highlight w:val="none"/>
                <w:lang w:val="en-US" w:eastAsia="zh-CN"/>
                <w14:textFill>
                  <w14:solidFill>
                    <w14:schemeClr w14:val="tx1"/>
                  </w14:solidFill>
                </w14:textFill>
              </w:rPr>
              <w:t>2.2</w:t>
            </w:r>
          </w:p>
        </w:tc>
        <w:tc>
          <w:tcPr>
            <w:tcW w:w="1515" w:type="dxa"/>
            <w:noWrap w:val="0"/>
            <w:vAlign w:val="center"/>
          </w:tcPr>
          <w:p w14:paraId="686CDC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14:textFill>
                  <w14:solidFill>
                    <w14:schemeClr w14:val="tx1"/>
                  </w14:solidFill>
                </w14:textFill>
              </w:rPr>
              <w:t>项目管理机构</w:t>
            </w:r>
          </w:p>
        </w:tc>
        <w:tc>
          <w:tcPr>
            <w:tcW w:w="6465" w:type="dxa"/>
            <w:noWrap w:val="0"/>
            <w:vAlign w:val="center"/>
          </w:tcPr>
          <w:p w14:paraId="5BF4862D">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val="0"/>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t>由磋商小组在打分前根据各供应商的</w:t>
            </w:r>
            <w:r>
              <w:rPr>
                <w:rFonts w:hint="eastAsia"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t>项目管理机构</w:t>
            </w:r>
            <w:r>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t>，集体讨论</w:t>
            </w:r>
            <w:r>
              <w:rPr>
                <w:rFonts w:hint="eastAsia" w:ascii="Times New Roman" w:hAnsi="Times New Roman" w:cs="Times New Roman"/>
                <w:b/>
                <w:bCs w:val="0"/>
                <w:color w:val="000000" w:themeColor="text1"/>
                <w:kern w:val="2"/>
                <w:sz w:val="21"/>
                <w:szCs w:val="21"/>
                <w:highlight w:val="none"/>
                <w:lang w:val="en-US" w:eastAsia="zh-CN" w:bidi="ar-SA"/>
                <w14:textFill>
                  <w14:solidFill>
                    <w14:schemeClr w14:val="tx1"/>
                  </w14:solidFill>
                </w14:textFill>
              </w:rPr>
              <w:t>后</w:t>
            </w:r>
            <w:r>
              <w:rPr>
                <w:rFonts w:hint="default" w:ascii="Times New Roman" w:hAnsi="Times New Roman" w:eastAsia="宋体" w:cs="Times New Roman"/>
                <w:b/>
                <w:bCs w:val="0"/>
                <w:color w:val="000000" w:themeColor="text1"/>
                <w:kern w:val="2"/>
                <w:sz w:val="21"/>
                <w:szCs w:val="21"/>
                <w:highlight w:val="none"/>
                <w:lang w:val="en-US" w:eastAsia="zh-CN" w:bidi="ar-SA"/>
                <w14:textFill>
                  <w14:solidFill>
                    <w14:schemeClr w14:val="tx1"/>
                  </w14:solidFill>
                </w14:textFill>
              </w:rPr>
              <w:t>打分。</w:t>
            </w:r>
          </w:p>
        </w:tc>
        <w:tc>
          <w:tcPr>
            <w:tcW w:w="1242" w:type="dxa"/>
            <w:noWrap w:val="0"/>
            <w:vAlign w:val="center"/>
          </w:tcPr>
          <w:p w14:paraId="626296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val="0"/>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b/>
                <w:bCs w:val="0"/>
                <w:color w:val="000000" w:themeColor="text1"/>
                <w:kern w:val="0"/>
                <w:sz w:val="21"/>
                <w:szCs w:val="21"/>
                <w:highlight w:val="none"/>
                <w:lang w:val="en-US" w:eastAsia="zh-CN"/>
                <w14:textFill>
                  <w14:solidFill>
                    <w14:schemeClr w14:val="tx1"/>
                  </w14:solidFill>
                </w14:textFill>
              </w:rPr>
              <w:t>10分</w:t>
            </w:r>
          </w:p>
        </w:tc>
      </w:tr>
      <w:tr w14:paraId="1EF5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5343AF19">
            <w:pPr>
              <w:keepNext w:val="0"/>
              <w:keepLines w:val="0"/>
              <w:pageBreakBefore w:val="0"/>
              <w:widowControl/>
              <w:kinsoku/>
              <w:wordWrap/>
              <w:overflowPunct/>
              <w:topLinePunct w:val="0"/>
              <w:autoSpaceDE/>
              <w:autoSpaceDN/>
              <w:bidi w:val="0"/>
              <w:adjustRightInd/>
              <w:snapToGrid/>
              <w:spacing w:line="360" w:lineRule="auto"/>
              <w:ind w:left="-110" w:leftChars="-50" w:right="-110" w:rightChars="-50"/>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p>
        </w:tc>
        <w:tc>
          <w:tcPr>
            <w:tcW w:w="1515" w:type="dxa"/>
            <w:noWrap w:val="0"/>
            <w:vAlign w:val="center"/>
          </w:tcPr>
          <w:p w14:paraId="3CB4C7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项目经理资信、能力</w:t>
            </w:r>
          </w:p>
        </w:tc>
        <w:tc>
          <w:tcPr>
            <w:tcW w:w="6465" w:type="dxa"/>
            <w:noWrap w:val="0"/>
            <w:vAlign w:val="center"/>
          </w:tcPr>
          <w:p w14:paraId="6BA1D859">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1.拟投入的项目经理具有水利水电工程类专业贰级及以上建造师注册证书的得</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分，满分</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分。 </w:t>
            </w:r>
          </w:p>
          <w:p w14:paraId="368712CF">
            <w:pPr>
              <w:keepNext w:val="0"/>
              <w:keepLines w:val="0"/>
              <w:pageBreakBefore w:val="0"/>
              <w:widowControl/>
              <w:suppressLineNumbers w:val="0"/>
              <w:kinsoku/>
              <w:wordWrap/>
              <w:overflowPunct/>
              <w:topLinePunct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2.项目经理具有中级及以上技术职称的得</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 分，满分</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分。 </w:t>
            </w:r>
          </w:p>
        </w:tc>
        <w:tc>
          <w:tcPr>
            <w:tcW w:w="1242" w:type="dxa"/>
            <w:noWrap w:val="0"/>
            <w:vAlign w:val="center"/>
          </w:tcPr>
          <w:p w14:paraId="306E07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5分</w:t>
            </w:r>
          </w:p>
        </w:tc>
      </w:tr>
      <w:tr w14:paraId="4CD2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21DE8D44">
            <w:pPr>
              <w:keepNext w:val="0"/>
              <w:keepLines w:val="0"/>
              <w:pageBreakBefore w:val="0"/>
              <w:widowControl/>
              <w:kinsoku/>
              <w:wordWrap/>
              <w:overflowPunct/>
              <w:topLinePunct w:val="0"/>
              <w:autoSpaceDE/>
              <w:autoSpaceDN/>
              <w:bidi w:val="0"/>
              <w:adjustRightInd/>
              <w:snapToGrid/>
              <w:spacing w:line="360" w:lineRule="auto"/>
              <w:ind w:left="-110" w:leftChars="-50" w:right="-110" w:rightChars="-50"/>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2</w:t>
            </w: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p>
        </w:tc>
        <w:tc>
          <w:tcPr>
            <w:tcW w:w="1515" w:type="dxa"/>
            <w:noWrap w:val="0"/>
            <w:vAlign w:val="center"/>
          </w:tcPr>
          <w:p w14:paraId="1DBC80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 xml:space="preserve">主要管理人员 配置 </w:t>
            </w:r>
          </w:p>
        </w:tc>
        <w:tc>
          <w:tcPr>
            <w:tcW w:w="6465" w:type="dxa"/>
            <w:noWrap w:val="0"/>
            <w:vAlign w:val="center"/>
          </w:tcPr>
          <w:p w14:paraId="5720C3E5">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优（</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5</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分）：完全满足施工需要，管理人员配备齐全、人员数量为7人（含7人）以上且具备中级及以上职称人数 1 人及以上，初级职称人数 3 人及以上。</w:t>
            </w:r>
          </w:p>
          <w:p w14:paraId="7CE25DE7">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良（</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分）：基本满足施工需要，管理人员配备齐全、人员数量为5人及以上且具备中级及以上职称人数 1 人及以上，初级职称人数 2 人及以上。 </w:t>
            </w:r>
          </w:p>
          <w:p w14:paraId="6B66EBC7">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差（</w:t>
            </w: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分）：不完全满足施工需要，管理人员配备不齐全，人员数量为 3人以下。 </w:t>
            </w:r>
          </w:p>
          <w:p w14:paraId="79617966">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注：主要管理人员指项目经理、技术负责人、质量管理员、安全管理员、计划、材料、财务、统 计管理等人员。评价其合理性时应考虑岗位设置和人员素质是否满足项目施工的需要，配备的人员数量专业是否与采购项目相适应。</w:t>
            </w:r>
          </w:p>
        </w:tc>
        <w:tc>
          <w:tcPr>
            <w:tcW w:w="1242" w:type="dxa"/>
            <w:noWrap w:val="0"/>
            <w:vAlign w:val="center"/>
          </w:tcPr>
          <w:p w14:paraId="208F5D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5分</w:t>
            </w:r>
          </w:p>
        </w:tc>
      </w:tr>
      <w:tr w14:paraId="43FC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3A73CE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Cs/>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3</w:t>
            </w:r>
          </w:p>
        </w:tc>
        <w:tc>
          <w:tcPr>
            <w:tcW w:w="1515" w:type="dxa"/>
            <w:noWrap w:val="0"/>
            <w:vAlign w:val="center"/>
          </w:tcPr>
          <w:p w14:paraId="1C172E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商务分</w:t>
            </w:r>
          </w:p>
        </w:tc>
        <w:tc>
          <w:tcPr>
            <w:tcW w:w="6465" w:type="dxa"/>
            <w:noWrap w:val="0"/>
            <w:vAlign w:val="center"/>
          </w:tcPr>
          <w:p w14:paraId="2D5F5D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kern w:val="0"/>
                <w:sz w:val="21"/>
                <w:szCs w:val="21"/>
                <w:highlight w:val="none"/>
                <w14:textFill>
                  <w14:solidFill>
                    <w14:schemeClr w14:val="tx1"/>
                  </w14:solidFill>
                </w14:textFill>
              </w:rPr>
              <w:t>评审因素</w:t>
            </w:r>
          </w:p>
        </w:tc>
        <w:tc>
          <w:tcPr>
            <w:tcW w:w="1242" w:type="dxa"/>
            <w:noWrap w:val="0"/>
            <w:vAlign w:val="center"/>
          </w:tcPr>
          <w:p w14:paraId="6C3D42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kern w:val="0"/>
                <w:sz w:val="21"/>
                <w:szCs w:val="21"/>
                <w:highlight w:val="none"/>
                <w:lang w:val="en-US" w:eastAsia="zh-CN"/>
                <w14:textFill>
                  <w14:solidFill>
                    <w14:schemeClr w14:val="tx1"/>
                  </w14:solidFill>
                </w14:textFill>
              </w:rPr>
              <w:t>10分</w:t>
            </w:r>
          </w:p>
        </w:tc>
      </w:tr>
      <w:tr w14:paraId="4BDA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noWrap w:val="0"/>
            <w:vAlign w:val="center"/>
          </w:tcPr>
          <w:p w14:paraId="13A5A6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宋体" w:cs="Times New Roman"/>
                <w:b w:val="0"/>
                <w:bCs/>
                <w:color w:val="000000" w:themeColor="text1"/>
                <w:kern w:val="0"/>
                <w:sz w:val="21"/>
                <w:szCs w:val="21"/>
                <w:highlight w:val="none"/>
                <w:lang w:val="en-US" w:eastAsia="zh-CN"/>
                <w14:textFill>
                  <w14:solidFill>
                    <w14:schemeClr w14:val="tx1"/>
                  </w14:solidFill>
                </w14:textFill>
              </w:rPr>
              <w:t>1</w:t>
            </w:r>
            <w:r>
              <w:rPr>
                <w:rFonts w:hint="eastAsia" w:ascii="Times New Roman" w:hAnsi="Times New Roman" w:eastAsia="宋体" w:cs="Times New Roman"/>
                <w:b w:val="0"/>
                <w:bCs/>
                <w:color w:val="000000" w:themeColor="text1"/>
                <w:kern w:val="0"/>
                <w:sz w:val="21"/>
                <w:szCs w:val="21"/>
                <w:highlight w:val="none"/>
                <w:lang w:eastAsia="zh-CN"/>
                <w14:textFill>
                  <w14:solidFill>
                    <w14:schemeClr w14:val="tx1"/>
                  </w14:solidFill>
                </w14:textFill>
              </w:rPr>
              <w:t>）</w:t>
            </w:r>
          </w:p>
        </w:tc>
        <w:tc>
          <w:tcPr>
            <w:tcW w:w="1515" w:type="dxa"/>
            <w:noWrap w:val="0"/>
            <w:vAlign w:val="center"/>
          </w:tcPr>
          <w:p w14:paraId="134103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cs="Times New Roman"/>
                <w:b w:val="0"/>
                <w:bCs w:val="0"/>
                <w:color w:val="000000" w:themeColor="text1"/>
                <w:kern w:val="0"/>
                <w:sz w:val="21"/>
                <w:szCs w:val="22"/>
                <w:highlight w:val="none"/>
                <w:lang w:val="en-US" w:eastAsia="zh-CN" w:bidi="zh-CN"/>
                <w14:textFill>
                  <w14:solidFill>
                    <w14:schemeClr w14:val="tx1"/>
                  </w14:solidFill>
                </w14:textFill>
              </w:rPr>
              <w:t>业绩</w:t>
            </w:r>
            <w:r>
              <w:rPr>
                <w:rFonts w:hint="eastAsia" w:ascii="Times New Roman" w:eastAsia="宋体" w:cs="Times New Roman"/>
                <w:b w:val="0"/>
                <w:bCs w:val="0"/>
                <w:color w:val="000000" w:themeColor="text1"/>
                <w:kern w:val="0"/>
                <w:sz w:val="21"/>
                <w:szCs w:val="22"/>
                <w:highlight w:val="none"/>
                <w:lang w:val="en-US" w:eastAsia="zh-CN" w:bidi="zh-CN"/>
                <w14:textFill>
                  <w14:solidFill>
                    <w14:schemeClr w14:val="tx1"/>
                  </w14:solidFill>
                </w14:textFill>
              </w:rPr>
              <w:t>分</w:t>
            </w:r>
          </w:p>
        </w:tc>
        <w:tc>
          <w:tcPr>
            <w:tcW w:w="6465" w:type="dxa"/>
            <w:noWrap w:val="0"/>
            <w:vAlign w:val="center"/>
          </w:tcPr>
          <w:p w14:paraId="55FB0B7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供应商</w:t>
            </w:r>
            <w:r>
              <w:rPr>
                <w:rFonts w:hint="eastAsia" w:ascii="Times New Roman" w:cs="Times New Roman"/>
                <w:b w:val="0"/>
                <w:bCs w:val="0"/>
                <w:color w:val="000000" w:themeColor="text1"/>
                <w:kern w:val="0"/>
                <w:sz w:val="21"/>
                <w:szCs w:val="22"/>
                <w:highlight w:val="none"/>
                <w:lang w:val="en-US" w:eastAsia="zh-CN" w:bidi="zh-CN"/>
                <w14:textFill>
                  <w14:solidFill>
                    <w14:schemeClr w14:val="tx1"/>
                  </w14:solidFill>
                </w14:textFill>
              </w:rPr>
              <w:t>2022年1月1日</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至</w:t>
            </w:r>
            <w:r>
              <w:rPr>
                <w:rFonts w:hint="eastAsia" w:ascii="Times New Roman" w:hAnsi="宋体" w:cs="Times New Roman"/>
                <w:b w:val="0"/>
                <w:bCs w:val="0"/>
                <w:color w:val="000000" w:themeColor="text1"/>
                <w:kern w:val="0"/>
                <w:sz w:val="21"/>
                <w:szCs w:val="22"/>
                <w:highlight w:val="none"/>
                <w:lang w:val="zh-CN" w:eastAsia="zh-CN" w:bidi="zh-CN"/>
                <w14:textFill>
                  <w14:solidFill>
                    <w14:schemeClr w14:val="tx1"/>
                  </w14:solidFill>
                </w14:textFill>
              </w:rPr>
              <w:t>竞标截止日期</w:t>
            </w:r>
            <w:r>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t>止已完成类似项目</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业绩</w:t>
            </w:r>
            <w:r>
              <w:rPr>
                <w:rFonts w:hint="eastAsia" w:ascii="Times New Roman" w:hAnsi="Times New Roman" w:cs="Times New Roman"/>
                <w:color w:val="000000" w:themeColor="text1"/>
                <w:sz w:val="21"/>
                <w:szCs w:val="21"/>
                <w:highlight w:val="none"/>
                <w:lang w:eastAsia="zh-CN"/>
                <w14:textFill>
                  <w14:solidFill>
                    <w14:schemeClr w14:val="tx1"/>
                  </w14:solidFill>
                </w14:textFill>
              </w:rPr>
              <w:t>（以</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中标（成交）通知书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或</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合同</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协议书为准</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cs="Times New Roman"/>
                <w:b w:val="0"/>
                <w:bCs w:val="0"/>
                <w:color w:val="000000" w:themeColor="text1"/>
                <w:kern w:val="0"/>
                <w:sz w:val="21"/>
                <w:szCs w:val="22"/>
                <w:highlight w:val="none"/>
                <w:lang w:val="zh-CN" w:eastAsia="zh-CN" w:bidi="zh-CN"/>
                <w14:textFill>
                  <w14:solidFill>
                    <w14:schemeClr w14:val="tx1"/>
                  </w14:solidFill>
                </w14:textFill>
              </w:rPr>
              <w:t>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每项</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得</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分，满分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分。</w:t>
            </w:r>
          </w:p>
        </w:tc>
        <w:tc>
          <w:tcPr>
            <w:tcW w:w="1242" w:type="dxa"/>
            <w:noWrap w:val="0"/>
            <w:vAlign w:val="center"/>
          </w:tcPr>
          <w:p w14:paraId="3BD35B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14:textFill>
                  <w14:solidFill>
                    <w14:schemeClr w14:val="tx1"/>
                  </w14:solidFill>
                </w14:textFill>
              </w:rPr>
              <w:t>10分</w:t>
            </w:r>
          </w:p>
        </w:tc>
      </w:tr>
      <w:tr w14:paraId="39EA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5" w:type="dxa"/>
            <w:gridSpan w:val="4"/>
            <w:noWrap w:val="0"/>
            <w:vAlign w:val="center"/>
          </w:tcPr>
          <w:p w14:paraId="796CD366">
            <w:pPr>
              <w:keepNext w:val="0"/>
              <w:keepLines w:val="0"/>
              <w:pageBreakBefore w:val="0"/>
              <w:kinsoku/>
              <w:wordWrap/>
              <w:overflowPunct/>
              <w:topLinePunct w:val="0"/>
              <w:bidi w:val="0"/>
              <w:adjustRightInd/>
              <w:snapToGrid/>
              <w:spacing w:line="360" w:lineRule="auto"/>
              <w:textAlignment w:val="auto"/>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t>总得分＝1＋2</w:t>
            </w:r>
            <w:r>
              <w:rPr>
                <w:rFonts w:hint="eastAsia" w:ascii="Times New Roman" w:hAnsi="Times New Roman" w:eastAsia="宋体" w:cs="Times New Roman"/>
                <w:bCs/>
                <w:color w:val="000000" w:themeColor="text1"/>
                <w:kern w:val="2"/>
                <w:sz w:val="21"/>
                <w:szCs w:val="21"/>
                <w:highlight w:val="none"/>
                <w:lang w:val="en-US" w:eastAsia="zh-CN" w:bidi="zh-CN"/>
                <w14:textFill>
                  <w14:solidFill>
                    <w14:schemeClr w14:val="tx1"/>
                  </w14:solidFill>
                </w14:textFill>
              </w:rPr>
              <w:t>+3</w:t>
            </w:r>
          </w:p>
        </w:tc>
      </w:tr>
    </w:tbl>
    <w:p w14:paraId="7FB0F654">
      <w:pPr>
        <w:keepNext w:val="0"/>
        <w:keepLines w:val="0"/>
        <w:pageBreakBefore w:val="0"/>
        <w:widowControl w:val="0"/>
        <w:kinsoku/>
        <w:wordWrap/>
        <w:overflowPunct/>
        <w:topLinePunct w:val="0"/>
        <w:autoSpaceDE/>
        <w:autoSpaceDN/>
        <w:bidi w:val="0"/>
        <w:adjustRightInd/>
        <w:snapToGrid/>
        <w:spacing w:before="251" w:beforeLines="80" w:line="520" w:lineRule="exact"/>
        <w:ind w:firstLine="482" w:firstLineChars="200"/>
        <w:textAlignment w:val="auto"/>
        <w:rPr>
          <w:rFonts w:hint="default" w:ascii="Times New Roman" w:hAnsi="Times New Roman" w:eastAsia="宋体" w:cs="Times New Roman"/>
          <w:b/>
          <w:bCs w:val="0"/>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三</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由磋商小组根据综合评分情况，按照评审得分由高到低顺序推荐3名以上成交候选供应商，并编写</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报告。符合本章第4.3条情形的，可以推荐2家成交候选供应商。评审得分相同的，按照最后报价（不计算价格折扣）由低到高的顺序推荐。评审得分且最后报价（不计算价格折扣）相同的，按照技术</w:t>
      </w:r>
      <w:r>
        <w:rPr>
          <w:rFonts w:hint="eastAsia" w:ascii="Times New Roman" w:hAnsi="Times New Roman" w:eastAsia="宋体" w:cs="Times New Roman"/>
          <w:b/>
          <w:bCs w:val="0"/>
          <w:color w:val="000000" w:themeColor="text1"/>
          <w:sz w:val="24"/>
          <w:szCs w:val="24"/>
          <w:highlight w:val="none"/>
          <w:lang w:eastAsia="zh-CN"/>
          <w14:textFill>
            <w14:solidFill>
              <w14:schemeClr w14:val="tx1"/>
            </w14:solidFill>
          </w14:textFill>
        </w:rPr>
        <w:t>得分高低</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顺序推荐（按技术得分由高到低排序，技术得分相同的按照</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商务得分</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由高到低排序）。评审得分、最后报价（不计算价格折扣）、技术得分、</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商务得分</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均相同的，由磋商小组随机抽取推荐。</w:t>
      </w:r>
    </w:p>
    <w:p w14:paraId="02A28B31">
      <w:pPr>
        <w:keepNext w:val="0"/>
        <w:keepLines w:val="0"/>
        <w:pageBreakBefore w:val="0"/>
        <w:widowControl w:val="0"/>
        <w:kinsoku/>
        <w:wordWrap/>
        <w:overflowPunct/>
        <w:topLinePunct w:val="0"/>
        <w:autoSpaceDE w:val="0"/>
        <w:autoSpaceDN w:val="0"/>
        <w:bidi w:val="0"/>
        <w:adjustRightInd/>
        <w:snapToGrid/>
        <w:spacing w:after="781" w:afterLines="250" w:line="700" w:lineRule="exact"/>
        <w:ind w:right="0"/>
        <w:jc w:val="center"/>
        <w:textAlignment w:val="auto"/>
        <w:outlineLvl w:val="0"/>
        <w:rPr>
          <w:rFonts w:hint="eastAsia" w:ascii="宋体" w:hAnsi="宋体"/>
          <w:b/>
          <w:bCs/>
          <w:color w:val="000000" w:themeColor="text1"/>
          <w:sz w:val="36"/>
          <w:szCs w:val="36"/>
          <w:highlight w:val="none"/>
          <w:lang w:eastAsia="zh-CN"/>
          <w14:textFill>
            <w14:solidFill>
              <w14:schemeClr w14:val="tx1"/>
            </w14:solidFill>
          </w14:textFill>
        </w:rPr>
      </w:pPr>
      <w:r>
        <w:rPr>
          <w:rFonts w:hint="eastAsia" w:ascii="黑体" w:eastAsia="黑体" w:cs="Times New Roman"/>
          <w:b/>
          <w:color w:val="000000" w:themeColor="text1"/>
          <w:sz w:val="36"/>
          <w:highlight w:val="none"/>
          <w14:textFill>
            <w14:solidFill>
              <w14:schemeClr w14:val="tx1"/>
            </w14:solidFill>
          </w14:textFill>
        </w:rPr>
        <w:br w:type="page"/>
      </w:r>
      <w:bookmarkEnd w:id="147"/>
      <w:bookmarkEnd w:id="148"/>
      <w:bookmarkStart w:id="161" w:name="_TOC_250006"/>
      <w:bookmarkEnd w:id="161"/>
      <w:bookmarkStart w:id="162" w:name="_TOC_250005"/>
      <w:bookmarkEnd w:id="162"/>
      <w:bookmarkStart w:id="163" w:name="_Toc500469632"/>
      <w:bookmarkStart w:id="164" w:name="_Toc500469775"/>
      <w:bookmarkStart w:id="165" w:name="_Toc2234"/>
      <w:r>
        <w:rPr>
          <w:rFonts w:hint="eastAsia" w:ascii="黑体" w:eastAsia="黑体"/>
          <w:b/>
          <w:color w:val="000000" w:themeColor="text1"/>
          <w:sz w:val="36"/>
          <w:highlight w:val="none"/>
          <w14:textFill>
            <w14:solidFill>
              <w14:schemeClr w14:val="tx1"/>
            </w14:solidFill>
          </w14:textFill>
        </w:rPr>
        <w:t>第</w:t>
      </w:r>
      <w:r>
        <w:rPr>
          <w:rFonts w:hint="eastAsia" w:ascii="黑体" w:eastAsia="黑体"/>
          <w:b/>
          <w:color w:val="000000" w:themeColor="text1"/>
          <w:sz w:val="36"/>
          <w:highlight w:val="none"/>
          <w:lang w:eastAsia="zh-CN"/>
          <w14:textFill>
            <w14:solidFill>
              <w14:schemeClr w14:val="tx1"/>
            </w14:solidFill>
          </w14:textFill>
        </w:rPr>
        <w:t>五</w:t>
      </w:r>
      <w:r>
        <w:rPr>
          <w:rFonts w:hint="eastAsia" w:ascii="黑体" w:eastAsia="黑体"/>
          <w:b/>
          <w:color w:val="000000" w:themeColor="text1"/>
          <w:sz w:val="36"/>
          <w:highlight w:val="none"/>
          <w14:textFill>
            <w14:solidFill>
              <w14:schemeClr w14:val="tx1"/>
            </w14:solidFill>
          </w14:textFill>
        </w:rPr>
        <w:t>章</w:t>
      </w:r>
      <w:r>
        <w:rPr>
          <w:rFonts w:hint="eastAsia" w:ascii="黑体" w:eastAsia="黑体"/>
          <w:b/>
          <w:color w:val="000000" w:themeColor="text1"/>
          <w:sz w:val="36"/>
          <w:highlight w:val="none"/>
          <w:lang w:val="en-US"/>
          <w14:textFill>
            <w14:solidFill>
              <w14:schemeClr w14:val="tx1"/>
            </w14:solidFill>
          </w14:textFill>
        </w:rPr>
        <w:t xml:space="preserve">  </w:t>
      </w:r>
      <w:r>
        <w:rPr>
          <w:rFonts w:hint="eastAsia" w:ascii="黑体" w:eastAsia="黑体"/>
          <w:b/>
          <w:color w:val="000000" w:themeColor="text1"/>
          <w:sz w:val="36"/>
          <w:highlight w:val="none"/>
          <w:lang w:val="en-US" w:eastAsia="zh-CN"/>
          <w14:textFill>
            <w14:solidFill>
              <w14:schemeClr w14:val="tx1"/>
            </w14:solidFill>
          </w14:textFill>
        </w:rPr>
        <w:t>响应文件</w:t>
      </w:r>
      <w:r>
        <w:rPr>
          <w:rFonts w:hint="eastAsia" w:ascii="黑体" w:eastAsia="黑体"/>
          <w:b/>
          <w:color w:val="000000" w:themeColor="text1"/>
          <w:sz w:val="36"/>
          <w:highlight w:val="none"/>
          <w14:textFill>
            <w14:solidFill>
              <w14:schemeClr w14:val="tx1"/>
            </w14:solidFill>
          </w14:textFill>
        </w:rPr>
        <w:t>格式</w:t>
      </w:r>
      <w:bookmarkEnd w:id="163"/>
      <w:bookmarkEnd w:id="164"/>
      <w:bookmarkEnd w:id="165"/>
      <w:bookmarkStart w:id="166" w:name="_Toc3747"/>
      <w:bookmarkStart w:id="167" w:name="_Toc18801"/>
      <w:bookmarkStart w:id="168" w:name="_Toc11580"/>
      <w:bookmarkStart w:id="169" w:name="_Toc32589"/>
      <w:bookmarkStart w:id="170" w:name="_Toc30346"/>
    </w:p>
    <w:p w14:paraId="6E75DF6A">
      <w:pPr>
        <w:keepNext w:val="0"/>
        <w:keepLines w:val="0"/>
        <w:pageBreakBefore w:val="0"/>
        <w:widowControl w:val="0"/>
        <w:kinsoku/>
        <w:wordWrap/>
        <w:overflowPunct/>
        <w:topLinePunct w:val="0"/>
        <w:autoSpaceDE/>
        <w:autoSpaceDN/>
        <w:bidi w:val="0"/>
        <w:adjustRightInd/>
        <w:snapToGrid w:val="0"/>
        <w:spacing w:after="160" w:afterLines="50" w:line="700" w:lineRule="exact"/>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171" w:name="_Toc22513"/>
      <w:r>
        <w:rPr>
          <w:rFonts w:hint="eastAsia"/>
          <w:b/>
          <w:bCs/>
          <w:color w:val="000000" w:themeColor="text1"/>
          <w:sz w:val="36"/>
          <w:szCs w:val="36"/>
          <w:highlight w:val="none"/>
          <w:lang w:eastAsia="zh-CN"/>
          <w14:textFill>
            <w14:solidFill>
              <w14:schemeClr w14:val="tx1"/>
            </w14:solidFill>
          </w14:textFill>
        </w:rPr>
        <w:t>一</w:t>
      </w:r>
      <w:r>
        <w:rPr>
          <w:rFonts w:hint="eastAsia" w:ascii="宋体" w:hAnsi="宋体"/>
          <w:b/>
          <w:bCs/>
          <w:color w:val="000000" w:themeColor="text1"/>
          <w:sz w:val="36"/>
          <w:szCs w:val="36"/>
          <w:highlight w:val="none"/>
          <w:lang w:eastAsia="zh-CN"/>
          <w14:textFill>
            <w14:solidFill>
              <w14:schemeClr w14:val="tx1"/>
            </w14:solidFill>
          </w14:textFill>
        </w:rPr>
        <w:t>、资格证明文件格式</w:t>
      </w:r>
      <w:bookmarkEnd w:id="166"/>
      <w:bookmarkEnd w:id="167"/>
      <w:bookmarkEnd w:id="168"/>
      <w:bookmarkEnd w:id="169"/>
      <w:bookmarkEnd w:id="170"/>
      <w:bookmarkEnd w:id="171"/>
    </w:p>
    <w:p w14:paraId="0EC3F7F3">
      <w:pPr>
        <w:keepNext w:val="0"/>
        <w:keepLines w:val="0"/>
        <w:pageBreakBefore w:val="0"/>
        <w:widowControl w:val="0"/>
        <w:kinsoku/>
        <w:wordWrap/>
        <w:overflowPunct/>
        <w:topLinePunct w:val="0"/>
        <w:autoSpaceDE/>
        <w:autoSpaceDN/>
        <w:bidi w:val="0"/>
        <w:adjustRightInd/>
        <w:snapToGrid w:val="0"/>
        <w:spacing w:after="2965" w:afterLines="950" w:line="700" w:lineRule="exact"/>
        <w:jc w:val="left"/>
        <w:textAlignment w:val="auto"/>
        <w:rPr>
          <w:rFonts w:hint="eastAsia" w:ascii="宋体" w:hAnsi="宋体" w:eastAsia="宋体"/>
          <w:color w:val="000000" w:themeColor="text1"/>
          <w:sz w:val="24"/>
          <w:szCs w:val="20"/>
          <w:highlight w:val="none"/>
          <w:lang w:eastAsia="zh-CN"/>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1.资格证明文件封面格式</w:t>
      </w:r>
    </w:p>
    <w:p w14:paraId="6AF5DF3A">
      <w:pPr>
        <w:keepNext w:val="0"/>
        <w:keepLines w:val="0"/>
        <w:pageBreakBefore w:val="0"/>
        <w:widowControl w:val="0"/>
        <w:kinsoku/>
        <w:wordWrap/>
        <w:overflowPunct/>
        <w:topLinePunct w:val="0"/>
        <w:autoSpaceDE/>
        <w:autoSpaceDN/>
        <w:bidi w:val="0"/>
        <w:adjustRightInd/>
        <w:snapToGrid w:val="0"/>
        <w:spacing w:after="2809" w:afterLines="900" w:line="960" w:lineRule="exact"/>
        <w:jc w:val="center"/>
        <w:textAlignment w:val="auto"/>
        <w:rPr>
          <w:rFonts w:hint="eastAsia" w:ascii="宋体" w:hAnsi="宋体"/>
          <w:bCs/>
          <w:color w:val="000000" w:themeColor="text1"/>
          <w:sz w:val="24"/>
          <w:szCs w:val="20"/>
          <w:highlight w:val="none"/>
          <w14:textFill>
            <w14:solidFill>
              <w14:schemeClr w14:val="tx1"/>
            </w14:solidFill>
          </w14:textFill>
        </w:rPr>
      </w:pPr>
      <w:r>
        <w:rPr>
          <w:rFonts w:hint="eastAsia" w:ascii="宋体" w:hAnsi="宋体"/>
          <w:b/>
          <w:color w:val="000000" w:themeColor="text1"/>
          <w:sz w:val="84"/>
          <w:szCs w:val="84"/>
          <w:highlight w:val="none"/>
          <w:lang w:eastAsia="zh-CN"/>
          <w14:textFill>
            <w14:solidFill>
              <w14:schemeClr w14:val="tx1"/>
            </w14:solidFill>
          </w14:textFill>
        </w:rPr>
        <w:t>资格证明文件</w:t>
      </w:r>
    </w:p>
    <w:p w14:paraId="171F68BA">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5F4EB405">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08CDB055">
      <w:pPr>
        <w:pStyle w:val="7"/>
        <w:keepNext w:val="0"/>
        <w:keepLines w:val="0"/>
        <w:pageBreakBefore w:val="0"/>
        <w:widowControl w:val="0"/>
        <w:kinsoku/>
        <w:wordWrap/>
        <w:overflowPunct/>
        <w:topLinePunct w:val="0"/>
        <w:autoSpaceDE/>
        <w:autoSpaceDN/>
        <w:bidi w:val="0"/>
        <w:adjustRightInd/>
        <w:snapToGrid w:val="0"/>
        <w:spacing w:after="937" w:afterLines="300"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274DB110">
      <w:pPr>
        <w:keepNext w:val="0"/>
        <w:keepLines w:val="0"/>
        <w:pageBreakBefore w:val="0"/>
        <w:widowControl w:val="0"/>
        <w:kinsoku/>
        <w:wordWrap/>
        <w:overflowPunct/>
        <w:topLinePunct w:val="0"/>
        <w:autoSpaceDE/>
        <w:autoSpaceDN/>
        <w:bidi w:val="0"/>
        <w:adjustRightInd/>
        <w:snapToGrid w:val="0"/>
        <w:spacing w:line="1100" w:lineRule="exact"/>
        <w:jc w:val="center"/>
        <w:textAlignment w:val="auto"/>
        <w:rPr>
          <w:rFonts w:hint="default" w:ascii="Times New Roman" w:hAnsi="Times New Roman" w:cs="Times New Roman"/>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41207CB3">
      <w:pPr>
        <w:keepNext w:val="0"/>
        <w:keepLines w:val="0"/>
        <w:pageBreakBefore w:val="0"/>
        <w:widowControl w:val="0"/>
        <w:kinsoku/>
        <w:wordWrap/>
        <w:overflowPunct/>
        <w:topLinePunct w:val="0"/>
        <w:autoSpaceDE/>
        <w:autoSpaceDN/>
        <w:bidi w:val="0"/>
        <w:adjustRightInd/>
        <w:snapToGrid w:val="0"/>
        <w:spacing w:after="160" w:afterLines="50" w:line="700" w:lineRule="exact"/>
        <w:jc w:val="left"/>
        <w:textAlignment w:val="auto"/>
        <w:rPr>
          <w:rFonts w:hint="default" w:ascii="Times New Roman" w:hAnsi="Times New Roman" w:cs="Times New Roman"/>
          <w:b/>
          <w:color w:val="000000" w:themeColor="text1"/>
          <w:sz w:val="32"/>
          <w:szCs w:val="32"/>
          <w:highlight w:val="none"/>
          <w14:textFill>
            <w14:solidFill>
              <w14:schemeClr w14:val="tx1"/>
            </w14:solidFill>
          </w14:textFill>
        </w:rPr>
      </w:pPr>
    </w:p>
    <w:p w14:paraId="16990AA7">
      <w:pPr>
        <w:keepNext w:val="0"/>
        <w:keepLines w:val="0"/>
        <w:pageBreakBefore w:val="0"/>
        <w:widowControl w:val="0"/>
        <w:kinsoku/>
        <w:wordWrap/>
        <w:overflowPunct/>
        <w:topLinePunct w:val="0"/>
        <w:autoSpaceDE/>
        <w:autoSpaceDN/>
        <w:bidi w:val="0"/>
        <w:adjustRightInd/>
        <w:snapToGrid w:val="0"/>
        <w:spacing w:after="160" w:afterLines="50" w:line="700" w:lineRule="exact"/>
        <w:jc w:val="left"/>
        <w:textAlignment w:val="auto"/>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2.资格证明文件目录</w:t>
      </w:r>
    </w:p>
    <w:p w14:paraId="188EB8D1">
      <w:pPr>
        <w:keepNext w:val="0"/>
        <w:keepLines w:val="0"/>
        <w:pageBreakBefore w:val="0"/>
        <w:widowControl w:val="0"/>
        <w:kinsoku/>
        <w:wordWrap/>
        <w:overflowPunct/>
        <w:topLinePunct w:val="0"/>
        <w:autoSpaceDE/>
        <w:autoSpaceDN/>
        <w:bidi w:val="0"/>
        <w:adjustRightInd/>
        <w:snapToGrid w:val="0"/>
        <w:spacing w:before="120" w:beforeLines="50" w:line="70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竞争性磋商文件</w:t>
      </w:r>
      <w:r>
        <w:rPr>
          <w:rFonts w:hint="eastAsia" w:ascii="宋体" w:hAnsi="宋体"/>
          <w:color w:val="000000" w:themeColor="text1"/>
          <w:sz w:val="24"/>
          <w:szCs w:val="24"/>
          <w:highlight w:val="none"/>
          <w14:textFill>
            <w14:solidFill>
              <w14:schemeClr w14:val="tx1"/>
            </w14:solidFill>
          </w14:textFill>
        </w:rPr>
        <w:t>规定及供应商提供的材料自行编写目录（部分格式后附）</w:t>
      </w:r>
    </w:p>
    <w:p w14:paraId="041FD6A5">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5FE038B4">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58170A0D">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4342370F">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4B571406">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303F3483">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60B6D69D">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2DF99157">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25D8832E">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0D97AD07">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4DC22149">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6180A79A">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37AACA5C">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28FC4140">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3A9B76F6">
      <w:pPr>
        <w:snapToGrid w:val="0"/>
        <w:spacing w:after="159" w:afterLines="50" w:line="700" w:lineRule="exact"/>
        <w:rPr>
          <w:rFonts w:ascii="Times New Roman" w:hAnsi="Times New Roman"/>
          <w:b/>
          <w:color w:val="000000" w:themeColor="text1"/>
          <w:sz w:val="32"/>
          <w:szCs w:val="32"/>
          <w:highlight w:val="none"/>
          <w14:textFill>
            <w14:solidFill>
              <w14:schemeClr w14:val="tx1"/>
            </w14:solidFill>
          </w14:textFill>
        </w:rPr>
      </w:pPr>
    </w:p>
    <w:p w14:paraId="32ACC87E">
      <w:pPr>
        <w:keepNext w:val="0"/>
        <w:keepLines w:val="0"/>
        <w:pageBreakBefore w:val="0"/>
        <w:widowControl w:val="0"/>
        <w:kinsoku/>
        <w:wordWrap/>
        <w:overflowPunct/>
        <w:topLinePunct w:val="0"/>
        <w:autoSpaceDE w:val="0"/>
        <w:autoSpaceDN w:val="0"/>
        <w:bidi w:val="0"/>
        <w:adjustRightInd/>
        <w:snapToGrid w:val="0"/>
        <w:spacing w:after="313" w:afterLines="100" w:line="700" w:lineRule="exact"/>
        <w:textAlignment w:val="auto"/>
        <w:rPr>
          <w:rFonts w:hint="eastAsia" w:ascii="Times New Roman" w:hAnsi="Times New Roman" w:eastAsia="宋体"/>
          <w:b/>
          <w:color w:val="000000" w:themeColor="text1"/>
          <w:sz w:val="32"/>
          <w:szCs w:val="32"/>
          <w:highlight w:val="none"/>
          <w:lang w:eastAsia="zh-CN"/>
          <w14:textFill>
            <w14:solidFill>
              <w14:schemeClr w14:val="tx1"/>
            </w14:solidFill>
          </w14:textFill>
        </w:rPr>
      </w:pPr>
      <w:r>
        <w:rPr>
          <w:rFonts w:hint="eastAsia" w:ascii="Times New Roman" w:hAnsi="Times New Roman"/>
          <w:b/>
          <w:color w:val="000000" w:themeColor="text1"/>
          <w:sz w:val="32"/>
          <w:szCs w:val="32"/>
          <w:highlight w:val="none"/>
          <w:lang w:val="en-US" w:eastAsia="zh-CN"/>
          <w14:textFill>
            <w14:solidFill>
              <w14:schemeClr w14:val="tx1"/>
            </w14:solidFill>
          </w14:textFill>
        </w:rPr>
        <w:t>3.</w:t>
      </w:r>
      <w:r>
        <w:rPr>
          <w:rFonts w:ascii="Times New Roman" w:hAnsi="Times New Roman"/>
          <w:b/>
          <w:color w:val="000000" w:themeColor="text1"/>
          <w:sz w:val="32"/>
          <w:szCs w:val="32"/>
          <w:highlight w:val="none"/>
          <w14:textFill>
            <w14:solidFill>
              <w14:schemeClr w14:val="tx1"/>
            </w14:solidFill>
          </w14:textFill>
        </w:rPr>
        <w:t>供应商直接控股、管理关系信息表格式</w:t>
      </w:r>
    </w:p>
    <w:p w14:paraId="08D11A99">
      <w:pPr>
        <w:keepNext w:val="0"/>
        <w:keepLines w:val="0"/>
        <w:pageBreakBefore w:val="0"/>
        <w:widowControl w:val="0"/>
        <w:kinsoku/>
        <w:wordWrap/>
        <w:overflowPunct/>
        <w:topLinePunct w:val="0"/>
        <w:autoSpaceDE w:val="0"/>
        <w:autoSpaceDN w:val="0"/>
        <w:bidi w:val="0"/>
        <w:adjustRightInd/>
        <w:snapToGrid w:val="0"/>
        <w:spacing w:after="625" w:afterLines="200" w:line="700" w:lineRule="exact"/>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25"/>
        <w:gridCol w:w="1239"/>
        <w:gridCol w:w="3608"/>
        <w:gridCol w:w="1110"/>
      </w:tblGrid>
      <w:tr w14:paraId="1178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14:paraId="22F634B3">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b/>
                <w:bCs/>
                <w:color w:val="000000" w:themeColor="text1"/>
                <w:kern w:val="0"/>
                <w:sz w:val="21"/>
                <w:szCs w:val="21"/>
                <w:highlight w:val="none"/>
                <w14:textFill>
                  <w14:solidFill>
                    <w14:schemeClr w14:val="tx1"/>
                  </w14:solidFill>
                </w14:textFill>
              </w:rPr>
              <w:t>序号</w:t>
            </w:r>
          </w:p>
        </w:tc>
        <w:tc>
          <w:tcPr>
            <w:tcW w:w="2361" w:type="dxa"/>
            <w:noWrap w:val="0"/>
            <w:vAlign w:val="center"/>
          </w:tcPr>
          <w:p w14:paraId="596D6406">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b/>
                <w:bCs/>
                <w:color w:val="000000" w:themeColor="text1"/>
                <w:kern w:val="0"/>
                <w:sz w:val="21"/>
                <w:szCs w:val="21"/>
                <w:highlight w:val="none"/>
                <w14:textFill>
                  <w14:solidFill>
                    <w14:schemeClr w14:val="tx1"/>
                  </w14:solidFill>
                </w14:textFill>
              </w:rPr>
              <w:t>直接控股股东名称</w:t>
            </w:r>
          </w:p>
        </w:tc>
        <w:tc>
          <w:tcPr>
            <w:tcW w:w="1254" w:type="dxa"/>
            <w:noWrap w:val="0"/>
            <w:vAlign w:val="center"/>
          </w:tcPr>
          <w:p w14:paraId="298BFC77">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b/>
                <w:bCs/>
                <w:color w:val="000000" w:themeColor="text1"/>
                <w:kern w:val="0"/>
                <w:sz w:val="21"/>
                <w:szCs w:val="21"/>
                <w:highlight w:val="none"/>
                <w14:textFill>
                  <w14:solidFill>
                    <w14:schemeClr w14:val="tx1"/>
                  </w14:solidFill>
                </w14:textFill>
              </w:rPr>
              <w:t>出资比例</w:t>
            </w:r>
          </w:p>
        </w:tc>
        <w:tc>
          <w:tcPr>
            <w:tcW w:w="3668" w:type="dxa"/>
            <w:noWrap w:val="0"/>
            <w:vAlign w:val="center"/>
          </w:tcPr>
          <w:p w14:paraId="43AFB5D8">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b/>
                <w:bCs/>
                <w:color w:val="000000" w:themeColor="text1"/>
                <w:kern w:val="0"/>
                <w:sz w:val="21"/>
                <w:szCs w:val="21"/>
                <w:highlight w:val="none"/>
                <w14:textFill>
                  <w14:solidFill>
                    <w14:schemeClr w14:val="tx1"/>
                  </w14:solidFill>
                </w14:textFill>
              </w:rPr>
              <w:t>身份证号码或者统一社会信用代码</w:t>
            </w:r>
          </w:p>
        </w:tc>
        <w:tc>
          <w:tcPr>
            <w:tcW w:w="1122" w:type="dxa"/>
            <w:noWrap w:val="0"/>
            <w:vAlign w:val="center"/>
          </w:tcPr>
          <w:p w14:paraId="1321F52A">
            <w:pPr>
              <w:spacing w:line="380" w:lineRule="exact"/>
              <w:jc w:val="center"/>
              <w:rPr>
                <w:color w:val="000000" w:themeColor="text1"/>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备注</w:t>
            </w:r>
          </w:p>
        </w:tc>
      </w:tr>
      <w:tr w14:paraId="0CA5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14:paraId="5F37B783">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1</w:t>
            </w:r>
          </w:p>
        </w:tc>
        <w:tc>
          <w:tcPr>
            <w:tcW w:w="2361" w:type="dxa"/>
            <w:noWrap w:val="0"/>
            <w:vAlign w:val="top"/>
          </w:tcPr>
          <w:p w14:paraId="6FE69320">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254" w:type="dxa"/>
            <w:noWrap w:val="0"/>
            <w:vAlign w:val="top"/>
          </w:tcPr>
          <w:p w14:paraId="201F9200">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668" w:type="dxa"/>
            <w:noWrap w:val="0"/>
            <w:vAlign w:val="top"/>
          </w:tcPr>
          <w:p w14:paraId="1D332239">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122" w:type="dxa"/>
            <w:noWrap w:val="0"/>
            <w:vAlign w:val="top"/>
          </w:tcPr>
          <w:p w14:paraId="04F312E5">
            <w:pPr>
              <w:pStyle w:val="19"/>
              <w:spacing w:line="370" w:lineRule="exact"/>
              <w:rPr>
                <w:color w:val="000000" w:themeColor="text1"/>
                <w:sz w:val="21"/>
                <w:szCs w:val="21"/>
                <w:highlight w:val="none"/>
                <w14:textFill>
                  <w14:solidFill>
                    <w14:schemeClr w14:val="tx1"/>
                  </w14:solidFill>
                </w14:textFill>
              </w:rPr>
            </w:pPr>
          </w:p>
        </w:tc>
      </w:tr>
      <w:tr w14:paraId="235E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14:paraId="1C54DA6F">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2</w:t>
            </w:r>
          </w:p>
        </w:tc>
        <w:tc>
          <w:tcPr>
            <w:tcW w:w="2361" w:type="dxa"/>
            <w:noWrap w:val="0"/>
            <w:vAlign w:val="top"/>
          </w:tcPr>
          <w:p w14:paraId="03AE80FE">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254" w:type="dxa"/>
            <w:noWrap w:val="0"/>
            <w:vAlign w:val="top"/>
          </w:tcPr>
          <w:p w14:paraId="0461ED6F">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668" w:type="dxa"/>
            <w:noWrap w:val="0"/>
            <w:vAlign w:val="top"/>
          </w:tcPr>
          <w:p w14:paraId="57BA357D">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122" w:type="dxa"/>
            <w:noWrap w:val="0"/>
            <w:vAlign w:val="top"/>
          </w:tcPr>
          <w:p w14:paraId="72F3C436">
            <w:pPr>
              <w:pStyle w:val="19"/>
              <w:spacing w:line="370" w:lineRule="exact"/>
              <w:rPr>
                <w:color w:val="000000" w:themeColor="text1"/>
                <w:sz w:val="21"/>
                <w:szCs w:val="21"/>
                <w:highlight w:val="none"/>
                <w14:textFill>
                  <w14:solidFill>
                    <w14:schemeClr w14:val="tx1"/>
                  </w14:solidFill>
                </w14:textFill>
              </w:rPr>
            </w:pPr>
          </w:p>
        </w:tc>
      </w:tr>
      <w:tr w14:paraId="34D4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14:paraId="7E933155">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3</w:t>
            </w:r>
          </w:p>
        </w:tc>
        <w:tc>
          <w:tcPr>
            <w:tcW w:w="2361" w:type="dxa"/>
            <w:noWrap w:val="0"/>
            <w:vAlign w:val="top"/>
          </w:tcPr>
          <w:p w14:paraId="607ABFCD">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254" w:type="dxa"/>
            <w:noWrap w:val="0"/>
            <w:vAlign w:val="top"/>
          </w:tcPr>
          <w:p w14:paraId="6362CCA0">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668" w:type="dxa"/>
            <w:noWrap w:val="0"/>
            <w:vAlign w:val="top"/>
          </w:tcPr>
          <w:p w14:paraId="4195354E">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122" w:type="dxa"/>
            <w:noWrap w:val="0"/>
            <w:vAlign w:val="top"/>
          </w:tcPr>
          <w:p w14:paraId="753D33AC">
            <w:pPr>
              <w:pStyle w:val="19"/>
              <w:spacing w:line="370" w:lineRule="exact"/>
              <w:rPr>
                <w:color w:val="000000" w:themeColor="text1"/>
                <w:sz w:val="21"/>
                <w:szCs w:val="21"/>
                <w:highlight w:val="none"/>
                <w14:textFill>
                  <w14:solidFill>
                    <w14:schemeClr w14:val="tx1"/>
                  </w14:solidFill>
                </w14:textFill>
              </w:rPr>
            </w:pPr>
          </w:p>
        </w:tc>
      </w:tr>
      <w:tr w14:paraId="6224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14:paraId="25EFD092">
            <w:pPr>
              <w:spacing w:line="38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w:t>
            </w:r>
          </w:p>
        </w:tc>
        <w:tc>
          <w:tcPr>
            <w:tcW w:w="2361" w:type="dxa"/>
            <w:noWrap w:val="0"/>
            <w:vAlign w:val="top"/>
          </w:tcPr>
          <w:p w14:paraId="11E45CDC">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254" w:type="dxa"/>
            <w:noWrap w:val="0"/>
            <w:vAlign w:val="top"/>
          </w:tcPr>
          <w:p w14:paraId="06BB9DF9">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668" w:type="dxa"/>
            <w:noWrap w:val="0"/>
            <w:vAlign w:val="top"/>
          </w:tcPr>
          <w:p w14:paraId="1C2595E7">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122" w:type="dxa"/>
            <w:noWrap w:val="0"/>
            <w:vAlign w:val="top"/>
          </w:tcPr>
          <w:p w14:paraId="427174E7">
            <w:pPr>
              <w:pStyle w:val="19"/>
              <w:spacing w:line="370" w:lineRule="exact"/>
              <w:rPr>
                <w:color w:val="000000" w:themeColor="text1"/>
                <w:sz w:val="21"/>
                <w:szCs w:val="21"/>
                <w:highlight w:val="none"/>
                <w14:textFill>
                  <w14:solidFill>
                    <w14:schemeClr w14:val="tx1"/>
                  </w14:solidFill>
                </w14:textFill>
              </w:rPr>
            </w:pPr>
          </w:p>
        </w:tc>
      </w:tr>
    </w:tbl>
    <w:p w14:paraId="5AB2A87B">
      <w:pPr>
        <w:keepNext w:val="0"/>
        <w:keepLines w:val="0"/>
        <w:pageBreakBefore w:val="0"/>
        <w:widowControl w:val="0"/>
        <w:kinsoku/>
        <w:wordWrap/>
        <w:overflowPunct/>
        <w:topLinePunct w:val="0"/>
        <w:autoSpaceDE w:val="0"/>
        <w:autoSpaceDN w:val="0"/>
        <w:bidi w:val="0"/>
        <w:adjustRightInd/>
        <w:snapToGrid/>
        <w:spacing w:before="159" w:beforeLines="50" w:line="470" w:lineRule="exact"/>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注：</w:t>
      </w:r>
    </w:p>
    <w:p w14:paraId="4A1E5BF2">
      <w:pPr>
        <w:keepNext w:val="0"/>
        <w:keepLines w:val="0"/>
        <w:pageBreakBefore w:val="0"/>
        <w:widowControl w:val="0"/>
        <w:kinsoku/>
        <w:wordWrap/>
        <w:overflowPunct/>
        <w:topLinePunct w:val="0"/>
        <w:autoSpaceDE w:val="0"/>
        <w:autoSpaceDN w:val="0"/>
        <w:bidi w:val="0"/>
        <w:adjustRightInd/>
        <w:snapToGrid/>
        <w:spacing w:line="47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B706B4C">
      <w:pPr>
        <w:keepNext w:val="0"/>
        <w:keepLines w:val="0"/>
        <w:pageBreakBefore w:val="0"/>
        <w:widowControl w:val="0"/>
        <w:kinsoku/>
        <w:wordWrap/>
        <w:overflowPunct/>
        <w:topLinePunct w:val="0"/>
        <w:autoSpaceDE w:val="0"/>
        <w:autoSpaceDN w:val="0"/>
        <w:bidi w:val="0"/>
        <w:adjustRightInd/>
        <w:snapToGrid/>
        <w:spacing w:line="47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56C71870">
      <w:pPr>
        <w:keepNext w:val="0"/>
        <w:keepLines w:val="0"/>
        <w:pageBreakBefore w:val="0"/>
        <w:widowControl w:val="0"/>
        <w:kinsoku/>
        <w:wordWrap/>
        <w:overflowPunct/>
        <w:topLinePunct w:val="0"/>
        <w:autoSpaceDE w:val="0"/>
        <w:autoSpaceDN w:val="0"/>
        <w:bidi w:val="0"/>
        <w:adjustRightInd/>
        <w:snapToGrid/>
        <w:spacing w:line="470" w:lineRule="exact"/>
        <w:ind w:firstLine="420" w:firstLineChars="200"/>
        <w:contextualSpacing/>
        <w:jc w:val="left"/>
        <w:textAlignment w:val="auto"/>
        <w:rPr>
          <w:rFonts w:hint="eastAsia" w:ascii="宋体" w:hAnsi="宋体"/>
          <w:b/>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3.供应商不存在直接控股股东的，则填“无”。</w:t>
      </w:r>
    </w:p>
    <w:p w14:paraId="5770C679">
      <w:pPr>
        <w:spacing w:line="600" w:lineRule="exact"/>
        <w:contextualSpacing/>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p>
    <w:p w14:paraId="7EBD9175">
      <w:pPr>
        <w:spacing w:line="600" w:lineRule="exact"/>
        <w:contextualSpacing/>
        <w:jc w:val="left"/>
        <w:rPr>
          <w:rFonts w:hint="eastAsia" w:ascii="宋体" w:hAnsi="宋体" w:cs="宋体"/>
          <w:color w:val="000000" w:themeColor="text1"/>
          <w:sz w:val="21"/>
          <w:szCs w:val="21"/>
          <w:highlight w:val="none"/>
          <w14:textFill>
            <w14:solidFill>
              <w14:schemeClr w14:val="tx1"/>
            </w14:solidFill>
          </w14:textFill>
        </w:rPr>
      </w:pPr>
    </w:p>
    <w:p w14:paraId="7770F4E0">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08C80C4F">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20F4156A">
      <w:pPr>
        <w:spacing w:line="600" w:lineRule="exact"/>
        <w:ind w:firstLine="3570" w:firstLineChars="17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   年   月   日</w:t>
      </w:r>
    </w:p>
    <w:p w14:paraId="32D673A9">
      <w:pPr>
        <w:pStyle w:val="4"/>
        <w:rPr>
          <w:rFonts w:hint="eastAsia"/>
          <w:color w:val="000000" w:themeColor="text1"/>
          <w:highlight w:val="none"/>
          <w14:textFill>
            <w14:solidFill>
              <w14:schemeClr w14:val="tx1"/>
            </w14:solidFill>
          </w14:textFill>
        </w:rPr>
      </w:pPr>
    </w:p>
    <w:p w14:paraId="5F08E381">
      <w:pPr>
        <w:snapToGrid w:val="0"/>
        <w:spacing w:after="477" w:afterLines="150" w:line="700" w:lineRule="exact"/>
        <w:jc w:val="both"/>
        <w:rPr>
          <w:rFonts w:hint="eastAsia" w:ascii="宋体" w:hAnsi="宋体"/>
          <w:b/>
          <w:color w:val="000000" w:themeColor="text1"/>
          <w:sz w:val="32"/>
          <w:szCs w:val="32"/>
          <w:highlight w:val="none"/>
          <w14:textFill>
            <w14:solidFill>
              <w14:schemeClr w14:val="tx1"/>
            </w14:solidFill>
          </w14:textFill>
        </w:rPr>
      </w:pPr>
    </w:p>
    <w:p w14:paraId="0A2B29BA">
      <w:pPr>
        <w:keepNext w:val="0"/>
        <w:keepLines w:val="0"/>
        <w:pageBreakBefore w:val="0"/>
        <w:widowControl w:val="0"/>
        <w:kinsoku/>
        <w:wordWrap/>
        <w:overflowPunct/>
        <w:topLinePunct w:val="0"/>
        <w:autoSpaceDE w:val="0"/>
        <w:autoSpaceDN w:val="0"/>
        <w:bidi w:val="0"/>
        <w:adjustRightInd/>
        <w:snapToGrid w:val="0"/>
        <w:spacing w:after="477" w:afterLines="150" w:line="700" w:lineRule="exact"/>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250"/>
        <w:gridCol w:w="3317"/>
        <w:gridCol w:w="1579"/>
      </w:tblGrid>
      <w:tr w14:paraId="791E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noWrap w:val="0"/>
            <w:vAlign w:val="center"/>
          </w:tcPr>
          <w:p w14:paraId="1A18C1F0">
            <w:pPr>
              <w:spacing w:line="370" w:lineRule="exact"/>
              <w:jc w:val="center"/>
              <w:rPr>
                <w:rFonts w:hint="eastAsia"/>
                <w:color w:val="000000" w:themeColor="text1"/>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序号</w:t>
            </w:r>
          </w:p>
        </w:tc>
        <w:tc>
          <w:tcPr>
            <w:tcW w:w="3300" w:type="dxa"/>
            <w:noWrap w:val="0"/>
            <w:vAlign w:val="center"/>
          </w:tcPr>
          <w:p w14:paraId="4A216588">
            <w:pPr>
              <w:spacing w:line="370" w:lineRule="exact"/>
              <w:jc w:val="center"/>
              <w:rPr>
                <w:rFonts w:hint="eastAsia"/>
                <w:color w:val="000000" w:themeColor="text1"/>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直接管理关系单位名称</w:t>
            </w:r>
          </w:p>
        </w:tc>
        <w:tc>
          <w:tcPr>
            <w:tcW w:w="3368" w:type="dxa"/>
            <w:noWrap w:val="0"/>
            <w:vAlign w:val="center"/>
          </w:tcPr>
          <w:p w14:paraId="53B30537">
            <w:pPr>
              <w:spacing w:line="370" w:lineRule="exact"/>
              <w:jc w:val="center"/>
              <w:rPr>
                <w:rFonts w:hint="eastAsia"/>
                <w:color w:val="000000" w:themeColor="text1"/>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统一社会信用代码</w:t>
            </w:r>
          </w:p>
        </w:tc>
        <w:tc>
          <w:tcPr>
            <w:tcW w:w="1599" w:type="dxa"/>
            <w:noWrap w:val="0"/>
            <w:vAlign w:val="center"/>
          </w:tcPr>
          <w:p w14:paraId="2E1E0863">
            <w:pPr>
              <w:spacing w:line="370" w:lineRule="exact"/>
              <w:jc w:val="center"/>
              <w:rPr>
                <w:rFonts w:hint="eastAsia"/>
                <w:color w:val="000000" w:themeColor="text1"/>
                <w:sz w:val="21"/>
                <w:szCs w:val="21"/>
                <w:highlight w:val="none"/>
                <w14:textFill>
                  <w14:solidFill>
                    <w14:schemeClr w14:val="tx1"/>
                  </w14:solidFill>
                </w14:textFill>
              </w:rPr>
            </w:pPr>
            <w:r>
              <w:rPr>
                <w:b/>
                <w:bCs/>
                <w:color w:val="000000" w:themeColor="text1"/>
                <w:kern w:val="0"/>
                <w:sz w:val="21"/>
                <w:szCs w:val="21"/>
                <w:highlight w:val="none"/>
                <w14:textFill>
                  <w14:solidFill>
                    <w14:schemeClr w14:val="tx1"/>
                  </w14:solidFill>
                </w14:textFill>
              </w:rPr>
              <w:t>备注</w:t>
            </w:r>
          </w:p>
        </w:tc>
      </w:tr>
      <w:tr w14:paraId="3F2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noWrap w:val="0"/>
            <w:vAlign w:val="center"/>
          </w:tcPr>
          <w:p w14:paraId="5B3F7CB6">
            <w:pPr>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1</w:t>
            </w:r>
          </w:p>
        </w:tc>
        <w:tc>
          <w:tcPr>
            <w:tcW w:w="3300" w:type="dxa"/>
            <w:noWrap w:val="0"/>
            <w:vAlign w:val="top"/>
          </w:tcPr>
          <w:p w14:paraId="03E7EBE8">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368" w:type="dxa"/>
            <w:noWrap w:val="0"/>
            <w:vAlign w:val="top"/>
          </w:tcPr>
          <w:p w14:paraId="2FC07DCE">
            <w:pPr>
              <w:pStyle w:val="19"/>
              <w:spacing w:line="370" w:lineRule="exact"/>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 xml:space="preserve"> </w:t>
            </w:r>
          </w:p>
        </w:tc>
        <w:tc>
          <w:tcPr>
            <w:tcW w:w="1599" w:type="dxa"/>
            <w:noWrap w:val="0"/>
            <w:vAlign w:val="top"/>
          </w:tcPr>
          <w:p w14:paraId="5BB0C4F6">
            <w:pPr>
              <w:pStyle w:val="19"/>
              <w:spacing w:line="370" w:lineRule="exact"/>
              <w:rPr>
                <w:rFonts w:hint="eastAsia"/>
                <w:color w:val="000000" w:themeColor="text1"/>
                <w:sz w:val="21"/>
                <w:szCs w:val="21"/>
                <w:highlight w:val="none"/>
                <w14:textFill>
                  <w14:solidFill>
                    <w14:schemeClr w14:val="tx1"/>
                  </w14:solidFill>
                </w14:textFill>
              </w:rPr>
            </w:pPr>
          </w:p>
        </w:tc>
      </w:tr>
      <w:tr w14:paraId="27E2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noWrap w:val="0"/>
            <w:vAlign w:val="center"/>
          </w:tcPr>
          <w:p w14:paraId="567C48CF">
            <w:pPr>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2</w:t>
            </w:r>
          </w:p>
        </w:tc>
        <w:tc>
          <w:tcPr>
            <w:tcW w:w="3300" w:type="dxa"/>
            <w:noWrap w:val="0"/>
            <w:vAlign w:val="top"/>
          </w:tcPr>
          <w:p w14:paraId="4C2381C2">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368" w:type="dxa"/>
            <w:noWrap w:val="0"/>
            <w:vAlign w:val="top"/>
          </w:tcPr>
          <w:p w14:paraId="6CC8C113">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599" w:type="dxa"/>
            <w:noWrap w:val="0"/>
            <w:vAlign w:val="top"/>
          </w:tcPr>
          <w:p w14:paraId="7CFC710A">
            <w:pPr>
              <w:pStyle w:val="19"/>
              <w:spacing w:line="370" w:lineRule="exact"/>
              <w:rPr>
                <w:rFonts w:hint="eastAsia"/>
                <w:color w:val="000000" w:themeColor="text1"/>
                <w:sz w:val="21"/>
                <w:szCs w:val="21"/>
                <w:highlight w:val="none"/>
                <w14:textFill>
                  <w14:solidFill>
                    <w14:schemeClr w14:val="tx1"/>
                  </w14:solidFill>
                </w14:textFill>
              </w:rPr>
            </w:pPr>
          </w:p>
        </w:tc>
      </w:tr>
      <w:tr w14:paraId="5A6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noWrap w:val="0"/>
            <w:vAlign w:val="center"/>
          </w:tcPr>
          <w:p w14:paraId="31C890F9">
            <w:pPr>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3</w:t>
            </w:r>
          </w:p>
        </w:tc>
        <w:tc>
          <w:tcPr>
            <w:tcW w:w="3300" w:type="dxa"/>
            <w:noWrap w:val="0"/>
            <w:vAlign w:val="top"/>
          </w:tcPr>
          <w:p w14:paraId="46DD484F">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368" w:type="dxa"/>
            <w:noWrap w:val="0"/>
            <w:vAlign w:val="top"/>
          </w:tcPr>
          <w:p w14:paraId="42C79A27">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599" w:type="dxa"/>
            <w:noWrap w:val="0"/>
            <w:vAlign w:val="top"/>
          </w:tcPr>
          <w:p w14:paraId="23EBBA69">
            <w:pPr>
              <w:pStyle w:val="19"/>
              <w:spacing w:line="370" w:lineRule="exact"/>
              <w:rPr>
                <w:rFonts w:hint="eastAsia"/>
                <w:color w:val="000000" w:themeColor="text1"/>
                <w:sz w:val="21"/>
                <w:szCs w:val="21"/>
                <w:highlight w:val="none"/>
                <w14:textFill>
                  <w14:solidFill>
                    <w14:schemeClr w14:val="tx1"/>
                  </w14:solidFill>
                </w14:textFill>
              </w:rPr>
            </w:pPr>
          </w:p>
        </w:tc>
      </w:tr>
      <w:tr w14:paraId="7524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noWrap w:val="0"/>
            <w:vAlign w:val="center"/>
          </w:tcPr>
          <w:p w14:paraId="13038A1F">
            <w:pPr>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w:t>
            </w:r>
          </w:p>
        </w:tc>
        <w:tc>
          <w:tcPr>
            <w:tcW w:w="3300" w:type="dxa"/>
            <w:noWrap w:val="0"/>
            <w:vAlign w:val="top"/>
          </w:tcPr>
          <w:p w14:paraId="4A423425">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3368" w:type="dxa"/>
            <w:noWrap w:val="0"/>
            <w:vAlign w:val="top"/>
          </w:tcPr>
          <w:p w14:paraId="6B0515D4">
            <w:pPr>
              <w:pStyle w:val="19"/>
              <w:spacing w:line="370" w:lineRule="exact"/>
              <w:rPr>
                <w:rFonts w:ascii="Times New Roman" w:hAnsi="Times New Roman"/>
                <w:color w:val="000000" w:themeColor="text1"/>
                <w:sz w:val="21"/>
                <w:szCs w:val="21"/>
                <w:highlight w:val="none"/>
                <w14:textFill>
                  <w14:solidFill>
                    <w14:schemeClr w14:val="tx1"/>
                  </w14:solidFill>
                </w14:textFill>
              </w:rPr>
            </w:pPr>
          </w:p>
        </w:tc>
        <w:tc>
          <w:tcPr>
            <w:tcW w:w="1599" w:type="dxa"/>
            <w:noWrap w:val="0"/>
            <w:vAlign w:val="top"/>
          </w:tcPr>
          <w:p w14:paraId="7EEEA396">
            <w:pPr>
              <w:pStyle w:val="19"/>
              <w:spacing w:line="370" w:lineRule="exact"/>
              <w:rPr>
                <w:rFonts w:hint="eastAsia"/>
                <w:color w:val="000000" w:themeColor="text1"/>
                <w:sz w:val="21"/>
                <w:szCs w:val="21"/>
                <w:highlight w:val="none"/>
                <w14:textFill>
                  <w14:solidFill>
                    <w14:schemeClr w14:val="tx1"/>
                  </w14:solidFill>
                </w14:textFill>
              </w:rPr>
            </w:pPr>
          </w:p>
        </w:tc>
      </w:tr>
    </w:tbl>
    <w:p w14:paraId="4345AAE6">
      <w:pPr>
        <w:keepNext w:val="0"/>
        <w:keepLines w:val="0"/>
        <w:pageBreakBefore w:val="0"/>
        <w:widowControl w:val="0"/>
        <w:kinsoku/>
        <w:wordWrap/>
        <w:overflowPunct/>
        <w:topLinePunct w:val="0"/>
        <w:autoSpaceDE w:val="0"/>
        <w:autoSpaceDN w:val="0"/>
        <w:bidi w:val="0"/>
        <w:adjustRightInd/>
        <w:snapToGrid/>
        <w:spacing w:before="159" w:beforeLines="50" w:line="460" w:lineRule="exact"/>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注：</w:t>
      </w:r>
    </w:p>
    <w:p w14:paraId="2A386A92">
      <w:pPr>
        <w:keepNext w:val="0"/>
        <w:keepLines w:val="0"/>
        <w:pageBreakBefore w:val="0"/>
        <w:widowControl w:val="0"/>
        <w:kinsoku/>
        <w:wordWrap/>
        <w:overflowPunct/>
        <w:topLinePunct w:val="0"/>
        <w:autoSpaceDE w:val="0"/>
        <w:autoSpaceDN w:val="0"/>
        <w:bidi w:val="0"/>
        <w:adjustRightInd/>
        <w:snapToGrid/>
        <w:spacing w:line="46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4108D1B3">
      <w:pPr>
        <w:keepNext w:val="0"/>
        <w:keepLines w:val="0"/>
        <w:pageBreakBefore w:val="0"/>
        <w:widowControl w:val="0"/>
        <w:kinsoku/>
        <w:wordWrap/>
        <w:overflowPunct/>
        <w:topLinePunct w:val="0"/>
        <w:autoSpaceDE w:val="0"/>
        <w:autoSpaceDN w:val="0"/>
        <w:bidi w:val="0"/>
        <w:adjustRightInd/>
        <w:snapToGrid/>
        <w:spacing w:line="46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w:t>
      </w:r>
      <w:r>
        <w:rPr>
          <w:rFonts w:ascii="Times New Roman" w:hAnsi="Times New Roman"/>
          <w:color w:val="000000" w:themeColor="text1"/>
          <w:spacing w:val="-6"/>
          <w:sz w:val="21"/>
          <w:szCs w:val="21"/>
          <w:highlight w:val="none"/>
          <w14:textFill>
            <w14:solidFill>
              <w14:schemeClr w14:val="tx1"/>
            </w14:solidFill>
          </w14:textFill>
        </w:rPr>
        <w:t>本表所指的管理关系仅限于直接管理关系，不包括间接的管理关系。</w:t>
      </w:r>
    </w:p>
    <w:p w14:paraId="22DC191B">
      <w:pPr>
        <w:keepNext w:val="0"/>
        <w:keepLines w:val="0"/>
        <w:pageBreakBefore w:val="0"/>
        <w:widowControl w:val="0"/>
        <w:kinsoku/>
        <w:wordWrap/>
        <w:overflowPunct/>
        <w:topLinePunct w:val="0"/>
        <w:autoSpaceDE w:val="0"/>
        <w:autoSpaceDN w:val="0"/>
        <w:bidi w:val="0"/>
        <w:adjustRightInd/>
        <w:snapToGrid/>
        <w:spacing w:line="46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3.供应商不存在直接管理关系的，则填“无”。</w:t>
      </w:r>
    </w:p>
    <w:p w14:paraId="781E9916">
      <w:pPr>
        <w:spacing w:line="360" w:lineRule="auto"/>
        <w:contextualSpacing/>
        <w:jc w:val="left"/>
        <w:rPr>
          <w:rFonts w:hint="eastAsia" w:ascii="宋体" w:hAnsi="宋体"/>
          <w:color w:val="000000" w:themeColor="text1"/>
          <w:sz w:val="21"/>
          <w:szCs w:val="21"/>
          <w:highlight w:val="none"/>
          <w14:textFill>
            <w14:solidFill>
              <w14:schemeClr w14:val="tx1"/>
            </w14:solidFill>
          </w14:textFill>
        </w:rPr>
      </w:pPr>
    </w:p>
    <w:p w14:paraId="6DD16201">
      <w:pPr>
        <w:spacing w:line="360" w:lineRule="auto"/>
        <w:contextualSpacing/>
        <w:jc w:val="left"/>
        <w:rPr>
          <w:rFonts w:hint="eastAsia"/>
          <w:color w:val="000000" w:themeColor="text1"/>
          <w:sz w:val="21"/>
          <w:szCs w:val="21"/>
          <w:highlight w:val="none"/>
          <w14:textFill>
            <w14:solidFill>
              <w14:schemeClr w14:val="tx1"/>
            </w14:solidFill>
          </w14:textFill>
        </w:rPr>
      </w:pPr>
    </w:p>
    <w:p w14:paraId="5207609A">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00924383">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785BC13A">
      <w:pPr>
        <w:spacing w:line="600" w:lineRule="exact"/>
        <w:ind w:firstLine="3570" w:firstLineChars="17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   年   月   日</w:t>
      </w:r>
    </w:p>
    <w:p w14:paraId="0F13562A">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43F58406">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15542A84">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503E7BF4">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76C3ECA1">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12C4A061">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73306D2">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347ADF8A">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5F757288">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11E361B1">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523875A3">
      <w:pPr>
        <w:pStyle w:val="4"/>
        <w:rPr>
          <w:rFonts w:hint="eastAsia"/>
          <w:color w:val="000000" w:themeColor="text1"/>
          <w:highlight w:val="none"/>
          <w14:textFill>
            <w14:solidFill>
              <w14:schemeClr w14:val="tx1"/>
            </w14:solidFill>
          </w14:textFill>
        </w:rPr>
      </w:pPr>
    </w:p>
    <w:p w14:paraId="3972BB14">
      <w:pPr>
        <w:rPr>
          <w:rFonts w:hint="eastAsia"/>
          <w:color w:val="000000" w:themeColor="text1"/>
          <w:highlight w:val="none"/>
          <w14:textFill>
            <w14:solidFill>
              <w14:schemeClr w14:val="tx1"/>
            </w14:solidFill>
          </w14:textFill>
        </w:rPr>
      </w:pPr>
    </w:p>
    <w:p w14:paraId="7B1755B1">
      <w:pPr>
        <w:pStyle w:val="5"/>
        <w:rPr>
          <w:rFonts w:hint="eastAsia"/>
          <w:color w:val="000000" w:themeColor="text1"/>
          <w:highlight w:val="none"/>
          <w14:textFill>
            <w14:solidFill>
              <w14:schemeClr w14:val="tx1"/>
            </w14:solidFill>
          </w14:textFill>
        </w:rPr>
      </w:pPr>
    </w:p>
    <w:p w14:paraId="6782BAA6">
      <w:pPr>
        <w:spacing w:line="320" w:lineRule="exact"/>
        <w:jc w:val="center"/>
        <w:rPr>
          <w:rFonts w:hint="eastAsia" w:ascii="宋体" w:hAnsi="宋体"/>
          <w:b/>
          <w:color w:val="000000" w:themeColor="text1"/>
          <w:sz w:val="32"/>
          <w:szCs w:val="32"/>
          <w:highlight w:val="none"/>
          <w14:textFill>
            <w14:solidFill>
              <w14:schemeClr w14:val="tx1"/>
            </w14:solidFill>
          </w14:textFill>
        </w:rPr>
      </w:pPr>
    </w:p>
    <w:p w14:paraId="79B92969">
      <w:pPr>
        <w:keepNext w:val="0"/>
        <w:keepLines w:val="0"/>
        <w:pageBreakBefore w:val="0"/>
        <w:widowControl w:val="0"/>
        <w:kinsoku/>
        <w:wordWrap/>
        <w:overflowPunct/>
        <w:topLinePunct w:val="0"/>
        <w:autoSpaceDE w:val="0"/>
        <w:autoSpaceDN w:val="0"/>
        <w:bidi w:val="0"/>
        <w:adjustRightInd/>
        <w:snapToGrid/>
        <w:spacing w:line="700" w:lineRule="exact"/>
        <w:jc w:val="left"/>
        <w:textAlignment w:val="auto"/>
        <w:rPr>
          <w:rFonts w:hint="default"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4.</w:t>
      </w:r>
      <w:r>
        <w:rPr>
          <w:rFonts w:hint="default" w:ascii="Times New Roman" w:hAnsi="Times New Roman" w:cs="Times New Roman"/>
          <w:b/>
          <w:color w:val="000000" w:themeColor="text1"/>
          <w:sz w:val="32"/>
          <w:szCs w:val="32"/>
          <w:highlight w:val="none"/>
          <w14:textFill>
            <w14:solidFill>
              <w14:schemeClr w14:val="tx1"/>
            </w14:solidFill>
          </w14:textFill>
        </w:rPr>
        <w:t>竞标声明格式</w:t>
      </w:r>
    </w:p>
    <w:p w14:paraId="37D4B4C1">
      <w:pPr>
        <w:keepNext w:val="0"/>
        <w:keepLines w:val="0"/>
        <w:pageBreakBefore w:val="0"/>
        <w:widowControl w:val="0"/>
        <w:kinsoku/>
        <w:wordWrap/>
        <w:overflowPunct/>
        <w:topLinePunct w:val="0"/>
        <w:autoSpaceDE/>
        <w:autoSpaceDN/>
        <w:bidi w:val="0"/>
        <w:adjustRightInd/>
        <w:snapToGrid/>
        <w:spacing w:after="478" w:afterLines="150" w:line="740" w:lineRule="exact"/>
        <w:jc w:val="center"/>
        <w:textAlignment w:val="auto"/>
        <w:rPr>
          <w:rFonts w:hint="eastAsia" w:ascii="方正小标宋简体" w:hAnsi="宋体" w:eastAsia="方正小标宋简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w:t>
      </w:r>
    </w:p>
    <w:p w14:paraId="265EF7C0">
      <w:pPr>
        <w:keepNext w:val="0"/>
        <w:keepLines w:val="0"/>
        <w:pageBreakBefore w:val="0"/>
        <w:widowControl w:val="0"/>
        <w:kinsoku/>
        <w:wordWrap/>
        <w:overflowPunct/>
        <w:topLinePunct w:val="0"/>
        <w:autoSpaceDE/>
        <w:autoSpaceDN/>
        <w:bidi w:val="0"/>
        <w:adjustRightInd/>
        <w:snapToGrid/>
        <w:spacing w:line="470" w:lineRule="exact"/>
        <w:contextualSpacing/>
        <w:textAlignment w:val="auto"/>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致：</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（采购人名称）</w:t>
      </w:r>
      <w:r>
        <w:rPr>
          <w:rFonts w:hint="eastAsia"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 xml:space="preserve"> </w:t>
      </w:r>
    </w:p>
    <w:p w14:paraId="19CC534C">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我方</w:t>
      </w:r>
      <w:r>
        <w:rPr>
          <w:rFonts w:hint="eastAsia" w:ascii="Times New Roman" w:hAnsi="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（供应商名称）</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系中华人民共和国合法供应商，经营地址</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6830A443">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我方愿意参加贵方组织的</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cs="Times New Roman"/>
          <w:color w:val="000000" w:themeColor="text1"/>
          <w:sz w:val="21"/>
          <w:szCs w:val="21"/>
          <w:highlight w:val="none"/>
          <w:u w:val="single"/>
          <w14:textFill>
            <w14:solidFill>
              <w14:schemeClr w14:val="tx1"/>
            </w14:solidFill>
          </w14:textFill>
        </w:rPr>
        <w:t>（</w:t>
      </w:r>
      <w:r>
        <w:rPr>
          <w:rFonts w:hint="eastAsia" w:ascii="Times New Roman" w:cs="Times New Roman"/>
          <w:color w:val="000000" w:themeColor="text1"/>
          <w:sz w:val="21"/>
          <w:szCs w:val="21"/>
          <w:highlight w:val="none"/>
          <w:u w:val="single"/>
          <w14:textFill>
            <w14:solidFill>
              <w14:schemeClr w14:val="tx1"/>
            </w14:solidFill>
          </w14:textFill>
        </w:rPr>
        <w:t>项目名称）</w:t>
      </w:r>
      <w:r>
        <w:rPr>
          <w:rFonts w:hint="eastAsia" w:asci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（项目编号：</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项目的竞标，为便于贵方公正、择优地确定成交供应商，我方就本次竞标有关事项郑重声明如下：</w:t>
      </w:r>
    </w:p>
    <w:p w14:paraId="05EEDFC3">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1.我方向贵方提交的所有</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、资料都是准确的和真实的。</w:t>
      </w:r>
    </w:p>
    <w:p w14:paraId="7B89EF56">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70CBFB">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3.在此，我方宣布同意如下：</w:t>
      </w:r>
    </w:p>
    <w:p w14:paraId="3066C58D">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（1）将按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的约定履行合同责任和义务；</w:t>
      </w:r>
    </w:p>
    <w:p w14:paraId="3674145E">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（2）已详细审查全部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，包括澄清或者更正公告（如有）；</w:t>
      </w:r>
    </w:p>
    <w:p w14:paraId="2B203B8E">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（3）同意提供按照贵方可能要求的与磋商有关的一切数据或者资料；</w:t>
      </w:r>
    </w:p>
    <w:p w14:paraId="40E81C81">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规定的竞标有效期。</w:t>
      </w:r>
    </w:p>
    <w:p w14:paraId="6785A448">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4.我方承诺符合《中华人民共和国政府采购法》第二十二条规定：</w:t>
      </w:r>
    </w:p>
    <w:p w14:paraId="5936CADD">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14:paraId="544E0D1D">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14:paraId="52DDACF1">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14:paraId="2DD3B8AB">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（4）有依法缴纳税收和社会保障资金的良好记录；</w:t>
      </w:r>
    </w:p>
    <w:p w14:paraId="4A01E5EC">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（5）参加政府采购活动前三年内，在经营活动中没有重大违法记录；</w:t>
      </w:r>
    </w:p>
    <w:p w14:paraId="7BD2A3F1">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14:paraId="0FB4B9AC">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重大税收违法失信主体</w:t>
      </w:r>
      <w:r>
        <w:rPr>
          <w:rFonts w:hint="default" w:ascii="Times New Roman" w:hAnsi="Times New Roman" w:eastAsia="宋体" w:cs="Times New Roman"/>
          <w:color w:val="000000" w:themeColor="text1"/>
          <w:sz w:val="21"/>
          <w:szCs w:val="21"/>
          <w:highlight w:val="none"/>
          <w14:textFill>
            <w14:solidFill>
              <w14:schemeClr w14:val="tx1"/>
            </w14:solidFill>
          </w14:textFill>
        </w:rPr>
        <w:t>、政府采购严重违法失信行为记录名单，完全符合《中华人民共和国政府采购法》第二十二条规定的供应商资格条件，我方对此声明负全部法律责任。</w:t>
      </w:r>
    </w:p>
    <w:p w14:paraId="32EF780F">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1"/>
          <w:szCs w:val="21"/>
          <w:highlight w:val="none"/>
          <w14:textFill>
            <w14:solidFill>
              <w14:schemeClr w14:val="tx1"/>
            </w14:solidFill>
          </w14:textFill>
        </w:rPr>
        <w:t>进行注明如下：（两项内容中必须选择一项）</w:t>
      </w:r>
    </w:p>
    <w:p w14:paraId="3E339EA2">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我方本次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内容中</w:t>
      </w:r>
      <w:r>
        <w:rPr>
          <w:rFonts w:hint="default" w:ascii="Times New Roman" w:hAnsi="Times New Roman" w:eastAsia="宋体" w:cs="Times New Roman"/>
          <w:color w:val="000000" w:themeColor="text1"/>
          <w:sz w:val="21"/>
          <w:szCs w:val="21"/>
          <w:highlight w:val="none"/>
          <w14:textFill>
            <w14:solidFill>
              <w14:schemeClr w14:val="tx1"/>
            </w14:solidFill>
          </w14:textFill>
        </w:rPr>
        <w:t>未</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涉及商业秘密；</w:t>
      </w:r>
    </w:p>
    <w:p w14:paraId="6FC87267">
      <w:pPr>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我方本次</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涉及商业秘密的内容有：</w:t>
      </w:r>
      <w:r>
        <w:rPr>
          <w:rFonts w:hint="default" w:ascii="Times New Roman" w:hAnsi="Times New Roman" w:eastAsia="宋体" w:cs="Times New Roman"/>
          <w:color w:val="000000" w:themeColor="text1"/>
          <w:kern w:val="0"/>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p w14:paraId="134C72AE">
      <w:pPr>
        <w:pStyle w:val="25"/>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7.与本磋商有关的一切正式往来信函请寄：</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邮政编号：</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p>
    <w:p w14:paraId="7C0120B3">
      <w:pPr>
        <w:pStyle w:val="25"/>
        <w:keepNext w:val="0"/>
        <w:keepLines w:val="0"/>
        <w:pageBreakBefore w:val="0"/>
        <w:widowControl w:val="0"/>
        <w:kinsoku/>
        <w:wordWrap/>
        <w:overflowPunct/>
        <w:topLinePunct w:val="0"/>
        <w:autoSpaceDE/>
        <w:autoSpaceDN/>
        <w:bidi w:val="0"/>
        <w:adjustRightInd/>
        <w:snapToGrid/>
        <w:spacing w:line="470" w:lineRule="exact"/>
        <w:ind w:firstLine="420" w:firstLineChars="200"/>
        <w:contextualSpacing/>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电话/传真：</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电子函件：</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14:paraId="01B74854">
      <w:pPr>
        <w:pStyle w:val="21"/>
        <w:keepNext w:val="0"/>
        <w:keepLines w:val="0"/>
        <w:pageBreakBefore w:val="0"/>
        <w:widowControl w:val="0"/>
        <w:tabs>
          <w:tab w:val="left" w:pos="939"/>
        </w:tabs>
        <w:kinsoku/>
        <w:wordWrap/>
        <w:overflowPunct/>
        <w:topLinePunct w:val="0"/>
        <w:autoSpaceDE/>
        <w:autoSpaceDN/>
        <w:bidi w:val="0"/>
        <w:adjustRightInd/>
        <w:snapToGrid/>
        <w:spacing w:line="470" w:lineRule="exact"/>
        <w:ind w:left="147" w:leftChars="67" w:firstLine="315" w:firstLineChars="15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开户银行：</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帐号：</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p>
    <w:p w14:paraId="6313B572">
      <w:pPr>
        <w:pStyle w:val="21"/>
        <w:keepNext w:val="0"/>
        <w:keepLines w:val="0"/>
        <w:pageBreakBefore w:val="0"/>
        <w:widowControl w:val="0"/>
        <w:tabs>
          <w:tab w:val="left" w:pos="939"/>
        </w:tabs>
        <w:kinsoku/>
        <w:wordWrap/>
        <w:overflowPunct/>
        <w:topLinePunct w:val="0"/>
        <w:autoSpaceDE/>
        <w:autoSpaceDN/>
        <w:bidi w:val="0"/>
        <w:adjustRightInd/>
        <w:snapToGrid/>
        <w:spacing w:line="470" w:lineRule="exact"/>
        <w:ind w:left="0" w:leftChars="0"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8.以上事项如有虚假或者隐瞒，我方愿意承担一切后果，并不再寻求任何旨在减轻或者免除法律责任的辩解。</w:t>
      </w:r>
    </w:p>
    <w:p w14:paraId="0B9A7185">
      <w:pPr>
        <w:pStyle w:val="21"/>
        <w:keepNext w:val="0"/>
        <w:keepLines w:val="0"/>
        <w:pageBreakBefore w:val="0"/>
        <w:widowControl w:val="0"/>
        <w:tabs>
          <w:tab w:val="left" w:pos="939"/>
        </w:tabs>
        <w:kinsoku/>
        <w:wordWrap/>
        <w:overflowPunct/>
        <w:topLinePunct w:val="0"/>
        <w:autoSpaceDE/>
        <w:autoSpaceDN/>
        <w:bidi w:val="0"/>
        <w:adjustRightInd/>
        <w:snapToGrid/>
        <w:spacing w:line="470" w:lineRule="exact"/>
        <w:ind w:left="147" w:leftChars="67"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特此承诺。</w:t>
      </w:r>
    </w:p>
    <w:p w14:paraId="51CFF2F9">
      <w:pPr>
        <w:pStyle w:val="21"/>
        <w:keepNext w:val="0"/>
        <w:keepLines w:val="0"/>
        <w:pageBreakBefore w:val="0"/>
        <w:widowControl w:val="0"/>
        <w:tabs>
          <w:tab w:val="left" w:pos="939"/>
        </w:tabs>
        <w:kinsoku/>
        <w:wordWrap/>
        <w:overflowPunct/>
        <w:topLinePunct w:val="0"/>
        <w:autoSpaceDE/>
        <w:autoSpaceDN/>
        <w:bidi w:val="0"/>
        <w:adjustRightInd/>
        <w:snapToGrid/>
        <w:spacing w:line="430" w:lineRule="exact"/>
        <w:ind w:left="147" w:leftChars="67"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F15A9A0">
      <w:pPr>
        <w:pStyle w:val="21"/>
        <w:tabs>
          <w:tab w:val="left" w:pos="939"/>
        </w:tabs>
        <w:spacing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p>
    <w:p w14:paraId="704A2D1D">
      <w:pPr>
        <w:spacing w:line="600" w:lineRule="exact"/>
        <w:contextualSpacing/>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p>
    <w:p w14:paraId="68DFC1FB">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4BEBDD58">
      <w:pPr>
        <w:spacing w:line="600" w:lineRule="exact"/>
        <w:ind w:firstLine="3570" w:firstLineChars="17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66272E2F">
      <w:pPr>
        <w:spacing w:line="600" w:lineRule="exact"/>
        <w:ind w:right="482" w:firstLine="3570" w:firstLineChars="1700"/>
        <w:contextualSpacing/>
        <w:rPr>
          <w:rFonts w:ascii="宋体" w:hAns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   月   日</w:t>
      </w:r>
    </w:p>
    <w:p w14:paraId="03679972">
      <w:pPr>
        <w:pStyle w:val="39"/>
        <w:rPr>
          <w:rFonts w:hint="eastAsia"/>
          <w:color w:val="000000" w:themeColor="text1"/>
          <w:highlight w:val="none"/>
          <w:lang w:val="en-US"/>
          <w14:textFill>
            <w14:solidFill>
              <w14:schemeClr w14:val="tx1"/>
            </w14:solidFill>
          </w14:textFill>
        </w:rPr>
      </w:pPr>
    </w:p>
    <w:p w14:paraId="4C236F2E">
      <w:pPr>
        <w:rPr>
          <w:rFonts w:hint="eastAsia"/>
          <w:color w:val="000000" w:themeColor="text1"/>
          <w:highlight w:val="none"/>
          <w:lang w:val="en-US"/>
          <w14:textFill>
            <w14:solidFill>
              <w14:schemeClr w14:val="tx1"/>
            </w14:solidFill>
          </w14:textFill>
        </w:rPr>
      </w:pPr>
    </w:p>
    <w:p w14:paraId="1BAF8FEF">
      <w:pPr>
        <w:pStyle w:val="39"/>
        <w:rPr>
          <w:rFonts w:hint="eastAsia"/>
          <w:color w:val="000000" w:themeColor="text1"/>
          <w:highlight w:val="none"/>
          <w:lang w:val="en-US"/>
          <w14:textFill>
            <w14:solidFill>
              <w14:schemeClr w14:val="tx1"/>
            </w14:solidFill>
          </w14:textFill>
        </w:rPr>
      </w:pPr>
    </w:p>
    <w:p w14:paraId="7AC5AF6D">
      <w:pPr>
        <w:rPr>
          <w:rFonts w:hint="eastAsia"/>
          <w:color w:val="000000" w:themeColor="text1"/>
          <w:highlight w:val="none"/>
          <w:lang w:val="en-US"/>
          <w14:textFill>
            <w14:solidFill>
              <w14:schemeClr w14:val="tx1"/>
            </w14:solidFill>
          </w14:textFill>
        </w:rPr>
      </w:pPr>
    </w:p>
    <w:p w14:paraId="573F8BA2">
      <w:pPr>
        <w:pStyle w:val="39"/>
        <w:rPr>
          <w:rFonts w:hint="eastAsia"/>
          <w:color w:val="000000" w:themeColor="text1"/>
          <w:highlight w:val="none"/>
          <w:lang w:val="en-US"/>
          <w14:textFill>
            <w14:solidFill>
              <w14:schemeClr w14:val="tx1"/>
            </w14:solidFill>
          </w14:textFill>
        </w:rPr>
      </w:pPr>
    </w:p>
    <w:p w14:paraId="622FE727">
      <w:pPr>
        <w:rPr>
          <w:rFonts w:hint="eastAsia"/>
          <w:color w:val="000000" w:themeColor="text1"/>
          <w:highlight w:val="none"/>
          <w:lang w:val="en-US"/>
          <w14:textFill>
            <w14:solidFill>
              <w14:schemeClr w14:val="tx1"/>
            </w14:solidFill>
          </w14:textFill>
        </w:rPr>
      </w:pPr>
    </w:p>
    <w:p w14:paraId="12395B90">
      <w:pPr>
        <w:pStyle w:val="39"/>
        <w:rPr>
          <w:rFonts w:hint="eastAsia"/>
          <w:color w:val="000000" w:themeColor="text1"/>
          <w:highlight w:val="none"/>
          <w:lang w:val="en-US"/>
          <w14:textFill>
            <w14:solidFill>
              <w14:schemeClr w14:val="tx1"/>
            </w14:solidFill>
          </w14:textFill>
        </w:rPr>
      </w:pPr>
    </w:p>
    <w:p w14:paraId="3BAF2472">
      <w:pPr>
        <w:rPr>
          <w:rFonts w:hint="eastAsia"/>
          <w:color w:val="000000" w:themeColor="text1"/>
          <w:highlight w:val="none"/>
          <w:lang w:val="en-US"/>
          <w14:textFill>
            <w14:solidFill>
              <w14:schemeClr w14:val="tx1"/>
            </w14:solidFill>
          </w14:textFill>
        </w:rPr>
      </w:pPr>
    </w:p>
    <w:p w14:paraId="67A9BF08">
      <w:pPr>
        <w:pStyle w:val="39"/>
        <w:rPr>
          <w:rFonts w:hint="eastAsia"/>
          <w:color w:val="000000" w:themeColor="text1"/>
          <w:highlight w:val="none"/>
          <w:lang w:val="en-US"/>
          <w14:textFill>
            <w14:solidFill>
              <w14:schemeClr w14:val="tx1"/>
            </w14:solidFill>
          </w14:textFill>
        </w:rPr>
      </w:pPr>
    </w:p>
    <w:p w14:paraId="2868F6EE">
      <w:pPr>
        <w:rPr>
          <w:rFonts w:hint="eastAsia"/>
          <w:color w:val="000000" w:themeColor="text1"/>
          <w:highlight w:val="none"/>
          <w:lang w:val="en-US"/>
          <w14:textFill>
            <w14:solidFill>
              <w14:schemeClr w14:val="tx1"/>
            </w14:solidFill>
          </w14:textFill>
        </w:rPr>
      </w:pPr>
    </w:p>
    <w:p w14:paraId="430FBB17">
      <w:pPr>
        <w:pStyle w:val="30"/>
        <w:rPr>
          <w:rFonts w:hint="eastAsia"/>
          <w:color w:val="000000" w:themeColor="text1"/>
          <w:highlight w:val="none"/>
          <w:lang w:val="en-US"/>
          <w14:textFill>
            <w14:solidFill>
              <w14:schemeClr w14:val="tx1"/>
            </w14:solidFill>
          </w14:textFill>
        </w:rPr>
      </w:pPr>
    </w:p>
    <w:p w14:paraId="0A970688">
      <w:pPr>
        <w:pStyle w:val="30"/>
        <w:rPr>
          <w:rFonts w:hint="eastAsia"/>
          <w:color w:val="000000" w:themeColor="text1"/>
          <w:highlight w:val="none"/>
          <w:lang w:val="en-US"/>
          <w14:textFill>
            <w14:solidFill>
              <w14:schemeClr w14:val="tx1"/>
            </w14:solidFill>
          </w14:textFill>
        </w:rPr>
      </w:pPr>
    </w:p>
    <w:p w14:paraId="3B3F90C3">
      <w:pPr>
        <w:pStyle w:val="30"/>
        <w:rPr>
          <w:rFonts w:hint="eastAsia"/>
          <w:color w:val="000000" w:themeColor="text1"/>
          <w:highlight w:val="none"/>
          <w:lang w:val="en-US"/>
          <w14:textFill>
            <w14:solidFill>
              <w14:schemeClr w14:val="tx1"/>
            </w14:solidFill>
          </w14:textFill>
        </w:rPr>
      </w:pPr>
    </w:p>
    <w:p w14:paraId="5047D4D4">
      <w:pPr>
        <w:rPr>
          <w:rFonts w:hint="eastAsia"/>
          <w:color w:val="000000" w:themeColor="text1"/>
          <w:highlight w:val="none"/>
          <w:lang w:val="en-US"/>
          <w14:textFill>
            <w14:solidFill>
              <w14:schemeClr w14:val="tx1"/>
            </w14:solidFill>
          </w14:textFill>
        </w:rPr>
      </w:pPr>
    </w:p>
    <w:p w14:paraId="7D86B42C">
      <w:pPr>
        <w:keepNext w:val="0"/>
        <w:keepLines w:val="0"/>
        <w:pageBreakBefore w:val="0"/>
        <w:widowControl w:val="0"/>
        <w:kinsoku/>
        <w:wordWrap/>
        <w:overflowPunct/>
        <w:topLinePunct w:val="0"/>
        <w:autoSpaceDE w:val="0"/>
        <w:autoSpaceDN w:val="0"/>
        <w:bidi w:val="0"/>
        <w:adjustRightInd/>
        <w:snapToGrid/>
        <w:spacing w:after="313" w:afterLines="100" w:line="740" w:lineRule="exact"/>
        <w:jc w:val="left"/>
        <w:textAlignment w:val="auto"/>
        <w:rPr>
          <w:rFonts w:hint="default" w:ascii="Times New Roman" w:hAnsi="Times New Roman" w:eastAsia="宋体" w:cs="Times New Roman"/>
          <w:b/>
          <w:color w:val="000000" w:themeColor="text1"/>
          <w:sz w:val="32"/>
          <w:szCs w:val="32"/>
          <w:highlight w:val="none"/>
          <w14:textFill>
            <w14:solidFill>
              <w14:schemeClr w14:val="tx1"/>
            </w14:solidFill>
          </w14:textFill>
        </w:rPr>
      </w:pPr>
      <w:bookmarkStart w:id="172" w:name="_Toc4210"/>
      <w:bookmarkStart w:id="173" w:name="_Toc9326"/>
      <w:r>
        <w:rPr>
          <w:rFonts w:hint="default" w:ascii="Times New Roman" w:hAnsi="Times New Roman" w:eastAsia="宋体" w:cs="Times New Roman"/>
          <w:b/>
          <w:color w:val="000000" w:themeColor="text1"/>
          <w:sz w:val="32"/>
          <w:szCs w:val="32"/>
          <w:highlight w:val="none"/>
          <w14:textFill>
            <w14:solidFill>
              <w14:schemeClr w14:val="tx1"/>
            </w14:solidFill>
          </w14:textFill>
        </w:rPr>
        <w:t>5.中小企业声明函格式</w:t>
      </w:r>
    </w:p>
    <w:p w14:paraId="3265077E">
      <w:pPr>
        <w:pStyle w:val="2"/>
        <w:keepNext w:val="0"/>
        <w:keepLines w:val="0"/>
        <w:pageBreakBefore w:val="0"/>
        <w:widowControl w:val="0"/>
        <w:kinsoku/>
        <w:wordWrap/>
        <w:overflowPunct/>
        <w:topLinePunct w:val="0"/>
        <w:autoSpaceDE w:val="0"/>
        <w:autoSpaceDN w:val="0"/>
        <w:bidi w:val="0"/>
        <w:adjustRightInd/>
        <w:snapToGrid/>
        <w:spacing w:before="0" w:after="795" w:afterLines="250" w:line="740" w:lineRule="exact"/>
        <w:ind w:left="0" w:right="0"/>
        <w:jc w:val="center"/>
        <w:textAlignment w:val="auto"/>
        <w:rPr>
          <w:rFonts w:hint="default" w:ascii="Times New Roman" w:hAnsi="Times New Roman" w:eastAsia="宋体" w:cs="Times New Roman"/>
          <w:b/>
          <w:bCs w:val="0"/>
          <w:color w:val="000000" w:themeColor="text1"/>
          <w:sz w:val="32"/>
          <w:szCs w:val="32"/>
          <w:highlight w:val="none"/>
          <w:lang w:val="zh-CN" w:eastAsia="zh-CN" w:bidi="zh-CN"/>
          <w14:textFill>
            <w14:solidFill>
              <w14:schemeClr w14:val="tx1"/>
            </w14:solidFill>
          </w14:textFill>
        </w:rPr>
      </w:pPr>
      <w:bookmarkStart w:id="174" w:name="_Toc25821"/>
      <w:bookmarkStart w:id="175" w:name="_Toc16547"/>
      <w:bookmarkStart w:id="176" w:name="_Toc31550"/>
      <w:r>
        <w:rPr>
          <w:rFonts w:hint="default" w:ascii="Times New Roman" w:hAnsi="Times New Roman" w:eastAsia="宋体" w:cs="Times New Roman"/>
          <w:b/>
          <w:bCs w:val="0"/>
          <w:color w:val="000000" w:themeColor="text1"/>
          <w:sz w:val="32"/>
          <w:szCs w:val="32"/>
          <w:highlight w:val="none"/>
          <w:lang w:val="zh-CN" w:eastAsia="zh-CN" w:bidi="zh-CN"/>
          <w14:textFill>
            <w14:solidFill>
              <w14:schemeClr w14:val="tx1"/>
            </w14:solidFill>
          </w14:textFill>
        </w:rPr>
        <w:t>中小企业声明函（</w:t>
      </w:r>
      <w:r>
        <w:rPr>
          <w:rFonts w:hint="eastAsia" w:ascii="Times New Roman" w:hAnsi="Times New Roman" w:eastAsia="宋体" w:cs="Times New Roman"/>
          <w:b/>
          <w:bCs w:val="0"/>
          <w:color w:val="000000" w:themeColor="text1"/>
          <w:sz w:val="32"/>
          <w:szCs w:val="32"/>
          <w:highlight w:val="none"/>
          <w:lang w:val="zh-CN" w:eastAsia="zh-CN" w:bidi="zh-CN"/>
          <w14:textFill>
            <w14:solidFill>
              <w14:schemeClr w14:val="tx1"/>
            </w14:solidFill>
          </w14:textFill>
        </w:rPr>
        <w:t>工程</w:t>
      </w:r>
      <w:r>
        <w:rPr>
          <w:rFonts w:hint="default" w:ascii="Times New Roman" w:hAnsi="Times New Roman" w:eastAsia="宋体" w:cs="Times New Roman"/>
          <w:b/>
          <w:bCs w:val="0"/>
          <w:color w:val="000000" w:themeColor="text1"/>
          <w:sz w:val="32"/>
          <w:szCs w:val="32"/>
          <w:highlight w:val="none"/>
          <w:lang w:val="zh-CN" w:eastAsia="zh-CN" w:bidi="zh-CN"/>
          <w14:textFill>
            <w14:solidFill>
              <w14:schemeClr w14:val="tx1"/>
            </w14:solidFill>
          </w14:textFill>
        </w:rPr>
        <w:t>）</w:t>
      </w:r>
      <w:bookmarkEnd w:id="172"/>
      <w:bookmarkEnd w:id="173"/>
      <w:bookmarkEnd w:id="174"/>
      <w:bookmarkEnd w:id="175"/>
      <w:bookmarkEnd w:id="176"/>
    </w:p>
    <w:p w14:paraId="62865DEC">
      <w:pPr>
        <w:pStyle w:val="19"/>
        <w:keepNext w:val="0"/>
        <w:keepLines w:val="0"/>
        <w:pageBreakBefore w:val="0"/>
        <w:widowControl w:val="0"/>
        <w:kinsoku/>
        <w:wordWrap/>
        <w:overflowPunct/>
        <w:topLinePunct w:val="0"/>
        <w:autoSpaceDE w:val="0"/>
        <w:autoSpaceDN w:val="0"/>
        <w:bidi w:val="0"/>
        <w:adjustRightInd/>
        <w:snapToGrid/>
        <w:spacing w:after="0" w:line="470" w:lineRule="exact"/>
        <w:ind w:right="142" w:firstLine="617" w:firstLineChars="294"/>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本公司（联合体）郑重声明，根据《政府采购促进中小企业发展管理办法》（财库﹝2020﹞46号）的规定，本公司（联合体）参加</w:t>
      </w:r>
      <w:r>
        <w:rPr>
          <w:rFonts w:hint="default" w:ascii="Times New Roman" w:hAnsi="Times New Roman" w:cs="Times New Roman"/>
          <w:color w:val="000000" w:themeColor="text1"/>
          <w:sz w:val="21"/>
          <w:szCs w:val="21"/>
          <w:highlight w:val="none"/>
          <w:u w:val="single"/>
          <w14:textFill>
            <w14:solidFill>
              <w14:schemeClr w14:val="tx1"/>
            </w14:solidFill>
          </w14:textFill>
        </w:rPr>
        <w:t>（采购人名称）</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default" w:ascii="Times New Roman" w:hAnsi="Times New Roman" w:cs="Times New Roman"/>
          <w:color w:val="000000" w:themeColor="text1"/>
          <w:sz w:val="21"/>
          <w:szCs w:val="21"/>
          <w:highlight w:val="none"/>
          <w:u w:val="single"/>
          <w14:textFill>
            <w14:solidFill>
              <w14:schemeClr w14:val="tx1"/>
            </w14:solidFill>
          </w14:textFill>
        </w:rPr>
        <w:t>（项目名称）</w:t>
      </w:r>
      <w:r>
        <w:rPr>
          <w:rFonts w:hint="default" w:ascii="Times New Roman" w:hAnsi="Times New Roman" w:cs="Times New Roman"/>
          <w:color w:val="000000" w:themeColor="text1"/>
          <w:sz w:val="21"/>
          <w:szCs w:val="21"/>
          <w:highlight w:val="none"/>
          <w14:textFill>
            <w14:solidFill>
              <w14:schemeClr w14:val="tx1"/>
            </w14:solidFill>
          </w14:textFill>
        </w:rPr>
        <w:t>采购活动，</w:t>
      </w:r>
      <w:r>
        <w:rPr>
          <w:rFonts w:hint="eastAsia" w:ascii="Times New Roman" w:hAnsi="Times New Roman" w:cs="Times New Roman"/>
          <w:color w:val="000000" w:themeColor="text1"/>
          <w:sz w:val="21"/>
          <w:szCs w:val="21"/>
          <w:highlight w:val="none"/>
          <w:lang w:eastAsia="zh-CN"/>
          <w14:textFill>
            <w14:solidFill>
              <w14:schemeClr w14:val="tx1"/>
            </w14:solidFill>
          </w14:textFill>
        </w:rPr>
        <w:t>工程施工</w:t>
      </w:r>
      <w:r>
        <w:rPr>
          <w:rFonts w:hint="default" w:ascii="Times New Roman" w:hAnsi="Times New Roman" w:cs="Times New Roman"/>
          <w:color w:val="000000" w:themeColor="text1"/>
          <w:sz w:val="21"/>
          <w:szCs w:val="21"/>
          <w:highlight w:val="none"/>
          <w14:textFill>
            <w14:solidFill>
              <w14:schemeClr w14:val="tx1"/>
            </w14:solidFill>
          </w14:textFill>
        </w:rPr>
        <w:t>全部由符合政策要求的中小企业承接。相关企业（含联合体中的中小企业、签订分包意向协议的中小企业）的具体情况如下：</w:t>
      </w:r>
    </w:p>
    <w:p w14:paraId="225600F1">
      <w:pPr>
        <w:keepNext w:val="0"/>
        <w:keepLines w:val="0"/>
        <w:pageBreakBefore w:val="0"/>
        <w:widowControl w:val="0"/>
        <w:tabs>
          <w:tab w:val="left" w:pos="1384"/>
          <w:tab w:val="left" w:pos="4562"/>
          <w:tab w:val="left" w:pos="6803"/>
        </w:tabs>
        <w:kinsoku/>
        <w:wordWrap/>
        <w:overflowPunct/>
        <w:topLinePunct w:val="0"/>
        <w:autoSpaceDE w:val="0"/>
        <w:autoSpaceDN w:val="0"/>
        <w:bidi w:val="0"/>
        <w:adjustRightInd/>
        <w:snapToGrid/>
        <w:spacing w:line="470" w:lineRule="exact"/>
        <w:ind w:right="142" w:firstLine="676" w:firstLineChars="322"/>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u w:val="single"/>
          <w14:textFill>
            <w14:solidFill>
              <w14:schemeClr w14:val="tx1"/>
            </w14:solidFill>
          </w14:textFill>
        </w:rPr>
        <w:t>（标的名称）</w:t>
      </w:r>
      <w:r>
        <w:rPr>
          <w:rFonts w:hint="default" w:ascii="Times New Roman" w:hAnsi="Times New Roman" w:cs="Times New Roman"/>
          <w:color w:val="000000" w:themeColor="text1"/>
          <w:sz w:val="21"/>
          <w:szCs w:val="21"/>
          <w:highlight w:val="none"/>
          <w14:textFill>
            <w14:solidFill>
              <w14:schemeClr w14:val="tx1"/>
            </w14:solidFill>
          </w14:textFill>
        </w:rPr>
        <w:t>，属于</w:t>
      </w:r>
      <w:r>
        <w:rPr>
          <w:rFonts w:hint="default" w:ascii="Times New Roman" w:hAnsi="Times New Roman" w:cs="Times New Roman"/>
          <w:color w:val="000000" w:themeColor="text1"/>
          <w:sz w:val="21"/>
          <w:szCs w:val="21"/>
          <w:highlight w:val="none"/>
          <w:u w:val="single"/>
          <w14:textFill>
            <w14:solidFill>
              <w14:schemeClr w14:val="tx1"/>
            </w14:solidFill>
          </w14:textFill>
        </w:rPr>
        <w:t>（竞争性磋商文件中明确的所属行业）</w:t>
      </w:r>
      <w:r>
        <w:rPr>
          <w:rFonts w:hint="default" w:ascii="Times New Roman" w:hAnsi="Times New Roman" w:cs="Times New Roman"/>
          <w:color w:val="000000" w:themeColor="text1"/>
          <w:sz w:val="21"/>
          <w:szCs w:val="21"/>
          <w:highlight w:val="none"/>
          <w14:textFill>
            <w14:solidFill>
              <w14:schemeClr w14:val="tx1"/>
            </w14:solidFill>
          </w14:textFill>
        </w:rPr>
        <w:t>；承接企业为</w:t>
      </w:r>
      <w:r>
        <w:rPr>
          <w:rFonts w:hint="default" w:ascii="Times New Roman" w:hAnsi="Times New Roman" w:cs="Times New Roman"/>
          <w:color w:val="000000" w:themeColor="text1"/>
          <w:sz w:val="21"/>
          <w:szCs w:val="21"/>
          <w:highlight w:val="none"/>
          <w:u w:val="single"/>
          <w14:textFill>
            <w14:solidFill>
              <w14:schemeClr w14:val="tx1"/>
            </w14:solidFill>
          </w14:textFill>
        </w:rPr>
        <w:t>（企业名称）</w:t>
      </w:r>
      <w:r>
        <w:rPr>
          <w:rFonts w:hint="default" w:ascii="Times New Roman" w:hAnsi="Times New Roman" w:cs="Times New Roman"/>
          <w:color w:val="000000" w:themeColor="text1"/>
          <w:sz w:val="21"/>
          <w:szCs w:val="21"/>
          <w:highlight w:val="none"/>
          <w14:textFill>
            <w14:solidFill>
              <w14:schemeClr w14:val="tx1"/>
            </w14:solidFill>
          </w14:textFill>
        </w:rPr>
        <w:t>，从业人员人，营业收入为万元，资产总额为万元，属于</w:t>
      </w:r>
      <w:r>
        <w:rPr>
          <w:rFonts w:hint="default" w:ascii="Times New Roman" w:hAnsi="Times New Roman" w:cs="Times New Roman"/>
          <w:color w:val="000000" w:themeColor="text1"/>
          <w:sz w:val="21"/>
          <w:szCs w:val="21"/>
          <w:highlight w:val="none"/>
          <w:u w:val="single"/>
          <w14:textFill>
            <w14:solidFill>
              <w14:schemeClr w14:val="tx1"/>
            </w14:solidFill>
          </w14:textFill>
        </w:rPr>
        <w:t>（中型企业、小型企业、微型企业）</w:t>
      </w:r>
      <w:r>
        <w:rPr>
          <w:rFonts w:hint="default" w:ascii="Times New Roman" w:hAnsi="Times New Roman" w:cs="Times New Roman"/>
          <w:color w:val="000000" w:themeColor="text1"/>
          <w:sz w:val="21"/>
          <w:szCs w:val="21"/>
          <w:highlight w:val="none"/>
          <w14:textFill>
            <w14:solidFill>
              <w14:schemeClr w14:val="tx1"/>
            </w14:solidFill>
          </w14:textFill>
        </w:rPr>
        <w:t>；</w:t>
      </w:r>
    </w:p>
    <w:p w14:paraId="2C0EEE14">
      <w:pPr>
        <w:keepNext w:val="0"/>
        <w:keepLines w:val="0"/>
        <w:pageBreakBefore w:val="0"/>
        <w:widowControl w:val="0"/>
        <w:tabs>
          <w:tab w:val="left" w:pos="1065"/>
          <w:tab w:val="left" w:pos="4262"/>
          <w:tab w:val="left" w:pos="6477"/>
        </w:tabs>
        <w:kinsoku/>
        <w:wordWrap/>
        <w:overflowPunct/>
        <w:topLinePunct w:val="0"/>
        <w:autoSpaceDE w:val="0"/>
        <w:autoSpaceDN w:val="0"/>
        <w:bidi w:val="0"/>
        <w:adjustRightInd/>
        <w:snapToGrid/>
        <w:spacing w:line="470" w:lineRule="exact"/>
        <w:ind w:right="84" w:firstLine="676" w:firstLineChars="322"/>
        <w:textAlignment w:val="auto"/>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default" w:ascii="Times New Roman" w:hAnsi="Times New Roman" w:cs="Times New Roman"/>
          <w:color w:val="000000" w:themeColor="text1"/>
          <w:sz w:val="21"/>
          <w:szCs w:val="21"/>
          <w:highlight w:val="none"/>
          <w:u w:val="single"/>
          <w14:textFill>
            <w14:solidFill>
              <w14:schemeClr w14:val="tx1"/>
            </w14:solidFill>
          </w14:textFill>
        </w:rPr>
        <w:t>（标的名称）</w:t>
      </w:r>
      <w:r>
        <w:rPr>
          <w:rFonts w:hint="default" w:ascii="Times New Roman" w:hAnsi="Times New Roman" w:cs="Times New Roman"/>
          <w:color w:val="000000" w:themeColor="text1"/>
          <w:sz w:val="21"/>
          <w:szCs w:val="21"/>
          <w:highlight w:val="none"/>
          <w14:textFill>
            <w14:solidFill>
              <w14:schemeClr w14:val="tx1"/>
            </w14:solidFill>
          </w14:textFill>
        </w:rPr>
        <w:t>，属于</w:t>
      </w:r>
      <w:r>
        <w:rPr>
          <w:rFonts w:hint="default" w:ascii="Times New Roman" w:hAnsi="Times New Roman" w:cs="Times New Roman"/>
          <w:color w:val="000000" w:themeColor="text1"/>
          <w:sz w:val="21"/>
          <w:szCs w:val="21"/>
          <w:highlight w:val="none"/>
          <w:u w:val="single"/>
          <w14:textFill>
            <w14:solidFill>
              <w14:schemeClr w14:val="tx1"/>
            </w14:solidFill>
          </w14:textFill>
        </w:rPr>
        <w:t>（竞争性磋商文件中明确的所属行业）</w:t>
      </w:r>
      <w:r>
        <w:rPr>
          <w:rFonts w:hint="default" w:ascii="Times New Roman" w:hAnsi="Times New Roman" w:cs="Times New Roman"/>
          <w:color w:val="000000" w:themeColor="text1"/>
          <w:sz w:val="21"/>
          <w:szCs w:val="21"/>
          <w:highlight w:val="none"/>
          <w14:textFill>
            <w14:solidFill>
              <w14:schemeClr w14:val="tx1"/>
            </w14:solidFill>
          </w14:textFill>
        </w:rPr>
        <w:t>；承接企业为</w:t>
      </w:r>
      <w:r>
        <w:rPr>
          <w:rFonts w:hint="default" w:ascii="Times New Roman" w:hAnsi="Times New Roman" w:cs="Times New Roman"/>
          <w:color w:val="000000" w:themeColor="text1"/>
          <w:sz w:val="21"/>
          <w:szCs w:val="21"/>
          <w:highlight w:val="none"/>
          <w:u w:val="single"/>
          <w14:textFill>
            <w14:solidFill>
              <w14:schemeClr w14:val="tx1"/>
            </w14:solidFill>
          </w14:textFill>
        </w:rPr>
        <w:t>（企业名称）</w:t>
      </w:r>
      <w:r>
        <w:rPr>
          <w:rFonts w:hint="default" w:ascii="Times New Roman" w:hAnsi="Times New Roman" w:cs="Times New Roman"/>
          <w:color w:val="000000" w:themeColor="text1"/>
          <w:sz w:val="21"/>
          <w:szCs w:val="21"/>
          <w:highlight w:val="none"/>
          <w14:textFill>
            <w14:solidFill>
              <w14:schemeClr w14:val="tx1"/>
            </w14:solidFill>
          </w14:textFill>
        </w:rPr>
        <w:t>，从业人员人，营业收入为万元，资产总额为万元，属于</w:t>
      </w:r>
      <w:r>
        <w:rPr>
          <w:rFonts w:hint="default" w:ascii="Times New Roman" w:hAnsi="Times New Roman" w:cs="Times New Roman"/>
          <w:color w:val="000000" w:themeColor="text1"/>
          <w:sz w:val="21"/>
          <w:szCs w:val="21"/>
          <w:highlight w:val="none"/>
          <w:u w:val="single"/>
          <w14:textFill>
            <w14:solidFill>
              <w14:schemeClr w14:val="tx1"/>
            </w14:solidFill>
          </w14:textFill>
        </w:rPr>
        <w:t>（中型企业、小型企业、微型企业）</w:t>
      </w:r>
      <w:r>
        <w:rPr>
          <w:rFonts w:hint="default" w:ascii="Times New Roman" w:hAnsi="Times New Roman" w:cs="Times New Roman"/>
          <w:color w:val="000000" w:themeColor="text1"/>
          <w:sz w:val="21"/>
          <w:szCs w:val="21"/>
          <w:highlight w:val="none"/>
          <w14:textFill>
            <w14:solidFill>
              <w14:schemeClr w14:val="tx1"/>
            </w14:solidFill>
          </w14:textFill>
        </w:rPr>
        <w:t>；</w:t>
      </w:r>
    </w:p>
    <w:p w14:paraId="73550910">
      <w:pPr>
        <w:pStyle w:val="19"/>
        <w:keepNext w:val="0"/>
        <w:keepLines w:val="0"/>
        <w:pageBreakBefore w:val="0"/>
        <w:widowControl w:val="0"/>
        <w:kinsoku/>
        <w:wordWrap/>
        <w:overflowPunct/>
        <w:topLinePunct w:val="0"/>
        <w:autoSpaceDE w:val="0"/>
        <w:autoSpaceDN w:val="0"/>
        <w:bidi w:val="0"/>
        <w:adjustRightInd/>
        <w:snapToGrid/>
        <w:spacing w:after="0" w:line="470" w:lineRule="exact"/>
        <w:ind w:right="142" w:firstLine="617" w:firstLineChars="294"/>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w:t>
      </w:r>
    </w:p>
    <w:p w14:paraId="155A4460">
      <w:pPr>
        <w:pStyle w:val="19"/>
        <w:keepNext w:val="0"/>
        <w:keepLines w:val="0"/>
        <w:pageBreakBefore w:val="0"/>
        <w:widowControl w:val="0"/>
        <w:kinsoku/>
        <w:wordWrap/>
        <w:overflowPunct/>
        <w:topLinePunct w:val="0"/>
        <w:autoSpaceDE w:val="0"/>
        <w:autoSpaceDN w:val="0"/>
        <w:bidi w:val="0"/>
        <w:adjustRightInd/>
        <w:snapToGrid/>
        <w:spacing w:after="0" w:line="470" w:lineRule="exact"/>
        <w:ind w:right="142" w:firstLine="617" w:firstLineChars="294"/>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0011A6E2">
      <w:pPr>
        <w:pStyle w:val="19"/>
        <w:keepNext w:val="0"/>
        <w:keepLines w:val="0"/>
        <w:pageBreakBefore w:val="0"/>
        <w:widowControl w:val="0"/>
        <w:kinsoku/>
        <w:wordWrap/>
        <w:overflowPunct/>
        <w:topLinePunct w:val="0"/>
        <w:autoSpaceDE w:val="0"/>
        <w:autoSpaceDN w:val="0"/>
        <w:bidi w:val="0"/>
        <w:adjustRightInd/>
        <w:snapToGrid/>
        <w:spacing w:after="0" w:line="470" w:lineRule="exact"/>
        <w:ind w:right="142" w:firstLine="617" w:firstLineChars="294"/>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本企业对上述声明内容的真实性负责。如有虚假，将依法承担相应责任。</w:t>
      </w:r>
    </w:p>
    <w:p w14:paraId="4C9E27E4">
      <w:pPr>
        <w:pStyle w:val="19"/>
        <w:spacing w:before="56" w:line="500" w:lineRule="exact"/>
        <w:ind w:right="1808" w:firstLine="617" w:firstLineChars="294"/>
        <w:rPr>
          <w:color w:val="000000" w:themeColor="text1"/>
          <w:sz w:val="21"/>
          <w:szCs w:val="21"/>
          <w:highlight w:val="none"/>
          <w14:textFill>
            <w14:solidFill>
              <w14:schemeClr w14:val="tx1"/>
            </w14:solidFill>
          </w14:textFill>
        </w:rPr>
      </w:pPr>
    </w:p>
    <w:p w14:paraId="75C83D02">
      <w:pPr>
        <w:pStyle w:val="19"/>
        <w:spacing w:before="56" w:line="500" w:lineRule="exact"/>
        <w:ind w:right="1808" w:firstLine="617" w:firstLineChars="294"/>
        <w:rPr>
          <w:color w:val="000000" w:themeColor="text1"/>
          <w:sz w:val="21"/>
          <w:szCs w:val="21"/>
          <w:highlight w:val="none"/>
          <w14:textFill>
            <w14:solidFill>
              <w14:schemeClr w14:val="tx1"/>
            </w14:solidFill>
          </w14:textFill>
        </w:rPr>
      </w:pPr>
    </w:p>
    <w:p w14:paraId="1D9ABEE1">
      <w:pPr>
        <w:spacing w:line="520" w:lineRule="exact"/>
        <w:ind w:right="482" w:firstLine="3990" w:firstLineChars="1900"/>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7E848DAA">
      <w:pPr>
        <w:pStyle w:val="19"/>
        <w:spacing w:after="0" w:line="520" w:lineRule="exact"/>
        <w:ind w:right="1808" w:firstLine="4200" w:firstLineChars="2000"/>
        <w:contextualSpacing/>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   年   月   日</w:t>
      </w:r>
    </w:p>
    <w:p w14:paraId="1605AA9C">
      <w:pPr>
        <w:pStyle w:val="19"/>
        <w:spacing w:before="56" w:line="500" w:lineRule="exact"/>
        <w:ind w:right="1808"/>
        <w:rPr>
          <w:rFonts w:ascii="宋体" w:hAnsi="宋体"/>
          <w:color w:val="000000" w:themeColor="text1"/>
          <w:sz w:val="21"/>
          <w:szCs w:val="21"/>
          <w:highlight w:val="none"/>
          <w14:textFill>
            <w14:solidFill>
              <w14:schemeClr w14:val="tx1"/>
            </w14:solidFill>
          </w14:textFill>
        </w:rPr>
      </w:pPr>
    </w:p>
    <w:p w14:paraId="0A399972">
      <w:pPr>
        <w:spacing w:line="430" w:lineRule="exact"/>
        <w:jc w:val="left"/>
        <w:rPr>
          <w:color w:val="000000" w:themeColor="text1"/>
          <w:sz w:val="21"/>
          <w:szCs w:val="21"/>
          <w:highlight w:val="none"/>
          <w14:textFill>
            <w14:solidFill>
              <w14:schemeClr w14:val="tx1"/>
            </w14:solidFill>
          </w14:textFill>
        </w:rPr>
      </w:pPr>
    </w:p>
    <w:p w14:paraId="531D74BD">
      <w:pPr>
        <w:spacing w:line="430" w:lineRule="exact"/>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BBD19B4">
      <w:pPr>
        <w:keepNext w:val="0"/>
        <w:keepLines w:val="0"/>
        <w:pageBreakBefore w:val="0"/>
        <w:widowControl w:val="0"/>
        <w:kinsoku/>
        <w:wordWrap/>
        <w:overflowPunct/>
        <w:topLinePunct w:val="0"/>
        <w:autoSpaceDE w:val="0"/>
        <w:autoSpaceDN w:val="0"/>
        <w:bidi w:val="0"/>
        <w:adjustRightInd/>
        <w:snapToGrid/>
        <w:spacing w:after="477" w:afterLines="150" w:line="740" w:lineRule="exact"/>
        <w:textAlignment w:val="auto"/>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Times New Roman" w:hAnsi="Times New Roman" w:eastAsia="宋体" w:cs="Times New Roman"/>
          <w:b/>
          <w:color w:val="000000" w:themeColor="text1"/>
          <w:sz w:val="32"/>
          <w:szCs w:val="32"/>
          <w:highlight w:val="none"/>
          <w14:textFill>
            <w14:solidFill>
              <w14:schemeClr w14:val="tx1"/>
            </w14:solidFill>
          </w14:textFill>
        </w:rPr>
        <w:t>6.残疾人福利性单位声明函格式</w:t>
      </w:r>
    </w:p>
    <w:p w14:paraId="0BB93690">
      <w:pPr>
        <w:keepNext w:val="0"/>
        <w:keepLines w:val="0"/>
        <w:pageBreakBefore w:val="0"/>
        <w:widowControl w:val="0"/>
        <w:kinsoku/>
        <w:wordWrap/>
        <w:overflowPunct/>
        <w:topLinePunct w:val="0"/>
        <w:autoSpaceDE w:val="0"/>
        <w:autoSpaceDN w:val="0"/>
        <w:bidi w:val="0"/>
        <w:adjustRightInd/>
        <w:snapToGrid/>
        <w:spacing w:after="1093" w:afterLines="350" w:line="740" w:lineRule="exact"/>
        <w:jc w:val="center"/>
        <w:textAlignment w:val="auto"/>
        <w:rPr>
          <w:rFonts w:hint="eastAsia" w:ascii="Times New Roman" w:hAnsi="Times New Roman" w:eastAsia="宋体" w:cs="Times New Roman"/>
          <w:b/>
          <w:color w:val="000000" w:themeColor="text1"/>
          <w:sz w:val="32"/>
          <w:szCs w:val="32"/>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残疾人福利性单位声明函</w:t>
      </w:r>
    </w:p>
    <w:p w14:paraId="447AEF36">
      <w:pPr>
        <w:keepNext w:val="0"/>
        <w:keepLines w:val="0"/>
        <w:pageBreakBefore w:val="0"/>
        <w:widowControl w:val="0"/>
        <w:kinsoku/>
        <w:wordWrap/>
        <w:overflowPunct/>
        <w:topLinePunct w:val="0"/>
        <w:autoSpaceDE w:val="0"/>
        <w:autoSpaceDN w:val="0"/>
        <w:bidi w:val="0"/>
        <w:adjustRightInd/>
        <w:snapToGrid/>
        <w:spacing w:line="60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（采购人名称） </w:t>
      </w:r>
      <w:r>
        <w:rPr>
          <w:rFonts w:hint="default" w:ascii="Times New Roman" w:hAnsi="Times New Roman" w:cs="Times New Roman"/>
          <w:color w:val="000000" w:themeColor="text1"/>
          <w:sz w:val="21"/>
          <w:szCs w:val="21"/>
          <w:highlight w:val="none"/>
          <w14:textFill>
            <w14:solidFill>
              <w14:schemeClr w14:val="tx1"/>
            </w14:solidFill>
          </w14:textFill>
        </w:rPr>
        <w:t>单位的</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（项目名称） </w:t>
      </w:r>
      <w:r>
        <w:rPr>
          <w:rFonts w:hint="default" w:ascii="Times New Roman" w:hAnsi="Times New Roman" w:cs="Times New Roman"/>
          <w:color w:val="000000" w:themeColor="text1"/>
          <w:sz w:val="21"/>
          <w:szCs w:val="21"/>
          <w:highlight w:val="none"/>
          <w14:textFill>
            <w14:solidFill>
              <w14:schemeClr w14:val="tx1"/>
            </w14:solidFill>
          </w14:textFill>
        </w:rPr>
        <w:t>项目采购活动由本单位承担工程（提供本单位制造的货物/提供服务），或者提供其他残疾人福利性单位制造的货物（不包括使用非残疾人福利性单位注册商标的货物）。</w:t>
      </w:r>
    </w:p>
    <w:p w14:paraId="609659D6">
      <w:pPr>
        <w:keepNext w:val="0"/>
        <w:keepLines w:val="0"/>
        <w:pageBreakBefore w:val="0"/>
        <w:widowControl w:val="0"/>
        <w:kinsoku/>
        <w:wordWrap/>
        <w:overflowPunct/>
        <w:topLinePunct w:val="0"/>
        <w:autoSpaceDE w:val="0"/>
        <w:autoSpaceDN w:val="0"/>
        <w:bidi w:val="0"/>
        <w:adjustRightInd/>
        <w:snapToGrid/>
        <w:spacing w:line="60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本单位对上述声明的真实性负责。如有虚假，将依法承担相应责任。</w:t>
      </w:r>
    </w:p>
    <w:p w14:paraId="66A4F036">
      <w:pPr>
        <w:keepNext w:val="0"/>
        <w:keepLines w:val="0"/>
        <w:pageBreakBefore w:val="0"/>
        <w:widowControl w:val="0"/>
        <w:kinsoku/>
        <w:wordWrap/>
        <w:overflowPunct/>
        <w:topLinePunct w:val="0"/>
        <w:autoSpaceDE w:val="0"/>
        <w:autoSpaceDN w:val="0"/>
        <w:bidi w:val="0"/>
        <w:adjustRightInd/>
        <w:snapToGrid/>
        <w:spacing w:line="530" w:lineRule="exact"/>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p w14:paraId="7FAC6315">
      <w:pPr>
        <w:keepNext w:val="0"/>
        <w:keepLines w:val="0"/>
        <w:pageBreakBefore w:val="0"/>
        <w:widowControl w:val="0"/>
        <w:kinsoku/>
        <w:wordWrap/>
        <w:overflowPunct/>
        <w:topLinePunct w:val="0"/>
        <w:autoSpaceDE w:val="0"/>
        <w:autoSpaceDN w:val="0"/>
        <w:bidi w:val="0"/>
        <w:adjustRightInd/>
        <w:snapToGrid/>
        <w:spacing w:line="530" w:lineRule="exact"/>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p w14:paraId="57EBA222">
      <w:pPr>
        <w:pStyle w:val="4"/>
        <w:rPr>
          <w:rFonts w:hint="default" w:ascii="Times New Roman" w:hAnsi="Times New Roman" w:cs="Times New Roman"/>
          <w:color w:val="000000" w:themeColor="text1"/>
          <w:sz w:val="21"/>
          <w:szCs w:val="21"/>
          <w:highlight w:val="none"/>
          <w14:textFill>
            <w14:solidFill>
              <w14:schemeClr w14:val="tx1"/>
            </w14:solidFill>
          </w14:textFill>
        </w:rPr>
      </w:pPr>
    </w:p>
    <w:p w14:paraId="566A63D9">
      <w:pPr>
        <w:spacing w:line="360" w:lineRule="auto"/>
        <w:contextualSpacing/>
        <w:rPr>
          <w:rFonts w:hint="default" w:ascii="Times New Roman" w:hAnsi="Times New Roman" w:cs="Times New Roman"/>
          <w:color w:val="000000" w:themeColor="text1"/>
          <w:sz w:val="21"/>
          <w:szCs w:val="21"/>
          <w:highlight w:val="none"/>
          <w14:textFill>
            <w14:solidFill>
              <w14:schemeClr w14:val="tx1"/>
            </w14:solidFill>
          </w14:textFill>
        </w:rPr>
      </w:pPr>
    </w:p>
    <w:p w14:paraId="4B2FA92B">
      <w:pPr>
        <w:keepNext w:val="0"/>
        <w:keepLines w:val="0"/>
        <w:pageBreakBefore w:val="0"/>
        <w:widowControl w:val="0"/>
        <w:kinsoku/>
        <w:wordWrap/>
        <w:overflowPunct/>
        <w:topLinePunct w:val="0"/>
        <w:autoSpaceDE w:val="0"/>
        <w:autoSpaceDN w:val="0"/>
        <w:bidi w:val="0"/>
        <w:adjustRightInd/>
        <w:snapToGrid/>
        <w:spacing w:line="600" w:lineRule="exact"/>
        <w:ind w:right="482" w:firstLine="4200" w:firstLineChars="20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供应商名称（盖公章）：                                      </w:t>
      </w:r>
    </w:p>
    <w:p w14:paraId="7B0ACF10">
      <w:pPr>
        <w:pStyle w:val="19"/>
        <w:keepNext w:val="0"/>
        <w:keepLines w:val="0"/>
        <w:pageBreakBefore w:val="0"/>
        <w:widowControl w:val="0"/>
        <w:kinsoku/>
        <w:wordWrap/>
        <w:overflowPunct/>
        <w:topLinePunct w:val="0"/>
        <w:autoSpaceDE w:val="0"/>
        <w:autoSpaceDN w:val="0"/>
        <w:bidi w:val="0"/>
        <w:adjustRightInd/>
        <w:snapToGrid/>
        <w:spacing w:after="0" w:line="600" w:lineRule="exact"/>
        <w:ind w:right="1808" w:firstLine="4410" w:firstLineChars="21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日期：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年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月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 xml:space="preserve"> 日</w:t>
      </w:r>
    </w:p>
    <w:p w14:paraId="71387F19">
      <w:pPr>
        <w:spacing w:line="360" w:lineRule="auto"/>
        <w:contextualSpacing/>
        <w:rPr>
          <w:rFonts w:ascii="宋体" w:hAnsi="宋体" w:cs="仿宋_GB2312"/>
          <w:color w:val="000000" w:themeColor="text1"/>
          <w:sz w:val="21"/>
          <w:szCs w:val="21"/>
          <w:highlight w:val="none"/>
          <w14:textFill>
            <w14:solidFill>
              <w14:schemeClr w14:val="tx1"/>
            </w14:solidFill>
          </w14:textFill>
        </w:rPr>
      </w:pPr>
    </w:p>
    <w:p w14:paraId="75479D2A">
      <w:pPr>
        <w:spacing w:line="360" w:lineRule="auto"/>
        <w:contextualSpacing/>
        <w:rPr>
          <w:rFonts w:ascii="宋体" w:hAnsi="宋体" w:cs="仿宋_GB2312"/>
          <w:color w:val="000000" w:themeColor="text1"/>
          <w:sz w:val="24"/>
          <w:highlight w:val="none"/>
          <w14:textFill>
            <w14:solidFill>
              <w14:schemeClr w14:val="tx1"/>
            </w14:solidFill>
          </w14:textFill>
        </w:rPr>
      </w:pPr>
    </w:p>
    <w:p w14:paraId="394594DF">
      <w:pPr>
        <w:spacing w:line="360" w:lineRule="auto"/>
        <w:contextualSpacing/>
        <w:rPr>
          <w:rFonts w:ascii="宋体" w:hAnsi="宋体" w:cs="仿宋_GB2312"/>
          <w:color w:val="000000" w:themeColor="text1"/>
          <w:sz w:val="24"/>
          <w:highlight w:val="none"/>
          <w14:textFill>
            <w14:solidFill>
              <w14:schemeClr w14:val="tx1"/>
            </w14:solidFill>
          </w14:textFill>
        </w:rPr>
      </w:pPr>
    </w:p>
    <w:p w14:paraId="7C8A4FE2">
      <w:pPr>
        <w:pStyle w:val="4"/>
        <w:rPr>
          <w:color w:val="000000" w:themeColor="text1"/>
          <w:highlight w:val="none"/>
          <w14:textFill>
            <w14:solidFill>
              <w14:schemeClr w14:val="tx1"/>
            </w14:solidFill>
          </w14:textFill>
        </w:rPr>
      </w:pPr>
    </w:p>
    <w:p w14:paraId="5A90B254">
      <w:pPr>
        <w:rPr>
          <w:color w:val="000000" w:themeColor="text1"/>
          <w:highlight w:val="none"/>
          <w14:textFill>
            <w14:solidFill>
              <w14:schemeClr w14:val="tx1"/>
            </w14:solidFill>
          </w14:textFill>
        </w:rPr>
      </w:pPr>
    </w:p>
    <w:p w14:paraId="69E4EC03">
      <w:pPr>
        <w:rPr>
          <w:color w:val="000000" w:themeColor="text1"/>
          <w:highlight w:val="none"/>
          <w14:textFill>
            <w14:solidFill>
              <w14:schemeClr w14:val="tx1"/>
            </w14:solidFill>
          </w14:textFill>
        </w:rPr>
      </w:pPr>
    </w:p>
    <w:p w14:paraId="13C605EB">
      <w:pPr>
        <w:spacing w:line="470" w:lineRule="exact"/>
        <w:contextualSpacing/>
        <w:rPr>
          <w:rFonts w:ascii="宋体" w:hAnsi="宋体" w:cs="仿宋_GB2312"/>
          <w:color w:val="000000" w:themeColor="text1"/>
          <w:sz w:val="21"/>
          <w:szCs w:val="21"/>
          <w:highlight w:val="none"/>
          <w14:textFill>
            <w14:solidFill>
              <w14:schemeClr w14:val="tx1"/>
            </w14:solidFill>
          </w14:textFill>
        </w:rPr>
      </w:pPr>
      <w:bookmarkStart w:id="177" w:name="OLE_LINK12"/>
      <w:r>
        <w:rPr>
          <w:rFonts w:hint="eastAsia" w:ascii="宋体" w:hAnsi="宋体" w:cs="仿宋_GB2312"/>
          <w:color w:val="000000" w:themeColor="text1"/>
          <w:sz w:val="21"/>
          <w:szCs w:val="21"/>
          <w:highlight w:val="none"/>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w:t>
      </w:r>
    </w:p>
    <w:bookmarkEnd w:id="177"/>
    <w:p w14:paraId="562E6FC8">
      <w:pPr>
        <w:spacing w:after="477" w:afterLines="150" w:line="700" w:lineRule="exact"/>
        <w:jc w:val="center"/>
        <w:rPr>
          <w:rFonts w:ascii="宋体" w:hAnsi="宋体" w:cs="仿宋_GB2312"/>
          <w:color w:val="000000" w:themeColor="text1"/>
          <w:sz w:val="24"/>
          <w:highlight w:val="none"/>
          <w14:textFill>
            <w14:solidFill>
              <w14:schemeClr w14:val="tx1"/>
            </w14:solidFill>
          </w14:textFill>
        </w:rPr>
      </w:pPr>
    </w:p>
    <w:p w14:paraId="77047365">
      <w:pPr>
        <w:keepNext w:val="0"/>
        <w:keepLines w:val="0"/>
        <w:pageBreakBefore w:val="0"/>
        <w:widowControl w:val="0"/>
        <w:kinsoku/>
        <w:wordWrap/>
        <w:overflowPunct/>
        <w:topLinePunct w:val="0"/>
        <w:autoSpaceDE w:val="0"/>
        <w:autoSpaceDN w:val="0"/>
        <w:bidi w:val="0"/>
        <w:adjustRightInd/>
        <w:snapToGrid/>
        <w:spacing w:after="477" w:afterLines="150" w:line="700" w:lineRule="exac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7.监狱企业声明函格式</w:t>
      </w:r>
    </w:p>
    <w:p w14:paraId="1DFC5175">
      <w:pPr>
        <w:spacing w:after="954" w:afterLines="300" w:line="700" w:lineRule="exact"/>
        <w:jc w:val="center"/>
        <w:rPr>
          <w:b/>
          <w:color w:val="000000" w:themeColor="text1"/>
          <w:sz w:val="26"/>
          <w:highlight w:val="none"/>
          <w14:textFill>
            <w14:solidFill>
              <w14:schemeClr w14:val="tx1"/>
            </w14:solidFill>
          </w14:textFill>
        </w:rPr>
      </w:pPr>
      <w:r>
        <w:rPr>
          <w:rFonts w:hint="eastAsia"/>
          <w:b/>
          <w:bCs/>
          <w:color w:val="000000" w:themeColor="text1"/>
          <w:kern w:val="44"/>
          <w:sz w:val="32"/>
          <w:szCs w:val="32"/>
          <w:highlight w:val="none"/>
          <w14:textFill>
            <w14:solidFill>
              <w14:schemeClr w14:val="tx1"/>
            </w14:solidFill>
          </w14:textFill>
        </w:rPr>
        <w:t>监狱企业声明函</w:t>
      </w:r>
    </w:p>
    <w:p w14:paraId="0E2A3EDE">
      <w:pPr>
        <w:pStyle w:val="19"/>
        <w:keepNext w:val="0"/>
        <w:keepLines w:val="0"/>
        <w:pageBreakBefore w:val="0"/>
        <w:widowControl w:val="0"/>
        <w:tabs>
          <w:tab w:val="right" w:pos="6712"/>
        </w:tabs>
        <w:kinsoku/>
        <w:wordWrap/>
        <w:overflowPunct/>
        <w:topLinePunct w:val="0"/>
        <w:autoSpaceDE w:val="0"/>
        <w:autoSpaceDN w:val="0"/>
        <w:bidi w:val="0"/>
        <w:adjustRightInd/>
        <w:snapToGrid/>
        <w:spacing w:line="520" w:lineRule="exact"/>
        <w:ind w:firstLine="510" w:firstLineChars="250"/>
        <w:jc w:val="left"/>
        <w:textAlignment w:val="auto"/>
        <w:rPr>
          <w:rFonts w:hint="default" w:ascii="Times New Roman" w:hAnsi="Times New Roman" w:cs="Times New Roman"/>
          <w:color w:val="000000" w:themeColor="text1"/>
          <w:spacing w:val="-3"/>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 xml:space="preserve">本公司郑重声明，根据《财政部、司法部关于政府采购支持监狱企业发展有关问题的通知》（财库〔2014〕68 号）的规定，本公司为 </w:t>
      </w:r>
      <w:r>
        <w:rPr>
          <w:rFonts w:hint="default" w:ascii="Times New Roman" w:hAnsi="Times New Roman" w:cs="Times New Roman"/>
          <w:color w:val="000000" w:themeColor="text1"/>
          <w:spacing w:val="-3"/>
          <w:sz w:val="21"/>
          <w:szCs w:val="21"/>
          <w:highlight w:val="none"/>
          <w:u w:val="single"/>
          <w14:textFill>
            <w14:solidFill>
              <w14:schemeClr w14:val="tx1"/>
            </w14:solidFill>
          </w14:textFill>
        </w:rPr>
        <w:tab/>
      </w:r>
      <w:r>
        <w:rPr>
          <w:rFonts w:hint="default" w:ascii="Times New Roman" w:hAnsi="Times New Roman" w:cs="Times New Roman"/>
          <w:color w:val="000000" w:themeColor="text1"/>
          <w:spacing w:val="-3"/>
          <w:sz w:val="21"/>
          <w:szCs w:val="21"/>
          <w:highlight w:val="none"/>
          <w14:textFill>
            <w14:solidFill>
              <w14:schemeClr w14:val="tx1"/>
            </w14:solidFill>
          </w14:textFill>
        </w:rPr>
        <w:t>（请填写：监狱）企业。即本公司同时满足以下条件：</w:t>
      </w:r>
    </w:p>
    <w:p w14:paraId="76F84A89">
      <w:pPr>
        <w:pStyle w:val="19"/>
        <w:keepNext w:val="0"/>
        <w:keepLines w:val="0"/>
        <w:pageBreakBefore w:val="0"/>
        <w:widowControl w:val="0"/>
        <w:tabs>
          <w:tab w:val="right" w:pos="6712"/>
        </w:tabs>
        <w:kinsoku/>
        <w:wordWrap/>
        <w:overflowPunct/>
        <w:topLinePunct w:val="0"/>
        <w:autoSpaceDE w:val="0"/>
        <w:autoSpaceDN w:val="0"/>
        <w:bidi w:val="0"/>
        <w:adjustRightInd/>
        <w:snapToGrid/>
        <w:spacing w:line="520" w:lineRule="exact"/>
        <w:ind w:firstLine="510" w:firstLineChars="250"/>
        <w:jc w:val="left"/>
        <w:textAlignment w:val="auto"/>
        <w:rPr>
          <w:rFonts w:hint="default" w:ascii="Times New Roman" w:hAnsi="Times New Roman" w:cs="Times New Roman"/>
          <w:color w:val="000000" w:themeColor="text1"/>
          <w:spacing w:val="-3"/>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1.我公司为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CF44C6">
      <w:pPr>
        <w:pStyle w:val="19"/>
        <w:keepNext w:val="0"/>
        <w:keepLines w:val="0"/>
        <w:pageBreakBefore w:val="0"/>
        <w:widowControl w:val="0"/>
        <w:tabs>
          <w:tab w:val="right" w:pos="6712"/>
        </w:tabs>
        <w:kinsoku/>
        <w:wordWrap/>
        <w:overflowPunct/>
        <w:topLinePunct w:val="0"/>
        <w:autoSpaceDE w:val="0"/>
        <w:autoSpaceDN w:val="0"/>
        <w:bidi w:val="0"/>
        <w:adjustRightInd/>
        <w:snapToGrid/>
        <w:spacing w:line="520" w:lineRule="exact"/>
        <w:ind w:firstLine="510" w:firstLineChars="250"/>
        <w:jc w:val="left"/>
        <w:textAlignment w:val="auto"/>
        <w:rPr>
          <w:rFonts w:hint="default" w:ascii="Times New Roman" w:hAnsi="Times New Roman" w:cs="Times New Roman"/>
          <w:color w:val="000000" w:themeColor="text1"/>
          <w:spacing w:val="-3"/>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2.我公司参加政府采购活动时，视同小型、微型企业，提供由省级以上监狱管理局、戒毒管理局（含新疆生产建设兵团）出具的属于监狱企业的证明文件。</w:t>
      </w:r>
    </w:p>
    <w:p w14:paraId="39C035EE">
      <w:pPr>
        <w:pStyle w:val="19"/>
        <w:keepNext w:val="0"/>
        <w:keepLines w:val="0"/>
        <w:pageBreakBefore w:val="0"/>
        <w:widowControl w:val="0"/>
        <w:tabs>
          <w:tab w:val="right" w:pos="6712"/>
        </w:tabs>
        <w:kinsoku/>
        <w:wordWrap/>
        <w:overflowPunct/>
        <w:topLinePunct w:val="0"/>
        <w:autoSpaceDE w:val="0"/>
        <w:autoSpaceDN w:val="0"/>
        <w:bidi w:val="0"/>
        <w:adjustRightInd/>
        <w:snapToGrid/>
        <w:spacing w:line="520" w:lineRule="exact"/>
        <w:ind w:firstLine="408" w:firstLineChars="200"/>
        <w:jc w:val="left"/>
        <w:textAlignment w:val="auto"/>
        <w:rPr>
          <w:rFonts w:hint="default" w:ascii="Times New Roman" w:hAnsi="Times New Roman" w:cs="Times New Roman"/>
          <w:color w:val="000000" w:themeColor="text1"/>
          <w:spacing w:val="-3"/>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本公司对上述声明的真实性负责。如有虚假，将依法承担相应责任。</w:t>
      </w:r>
    </w:p>
    <w:p w14:paraId="3DC93465">
      <w:pPr>
        <w:spacing w:line="360" w:lineRule="exact"/>
        <w:ind w:left="225" w:right="270"/>
        <w:rPr>
          <w:b/>
          <w:color w:val="000000" w:themeColor="text1"/>
          <w:spacing w:val="-6"/>
          <w:sz w:val="21"/>
          <w:szCs w:val="21"/>
          <w:highlight w:val="none"/>
          <w14:textFill>
            <w14:solidFill>
              <w14:schemeClr w14:val="tx1"/>
            </w14:solidFill>
          </w14:textFill>
        </w:rPr>
      </w:pPr>
    </w:p>
    <w:p w14:paraId="6EBDAB78">
      <w:pPr>
        <w:pStyle w:val="39"/>
        <w:jc w:val="both"/>
        <w:rPr>
          <w:rFonts w:ascii="Times New Roman" w:hAnsi="Times New Roman"/>
          <w:b w:val="0"/>
          <w:color w:val="000000" w:themeColor="text1"/>
          <w:spacing w:val="-6"/>
          <w:sz w:val="21"/>
          <w:szCs w:val="21"/>
          <w:highlight w:val="none"/>
          <w14:textFill>
            <w14:solidFill>
              <w14:schemeClr w14:val="tx1"/>
            </w14:solidFill>
          </w14:textFill>
        </w:rPr>
      </w:pPr>
    </w:p>
    <w:p w14:paraId="1A8ABC07">
      <w:pPr>
        <w:rPr>
          <w:b/>
          <w:color w:val="000000" w:themeColor="text1"/>
          <w:spacing w:val="-6"/>
          <w:sz w:val="21"/>
          <w:szCs w:val="21"/>
          <w:highlight w:val="none"/>
          <w14:textFill>
            <w14:solidFill>
              <w14:schemeClr w14:val="tx1"/>
            </w14:solidFill>
          </w14:textFill>
        </w:rPr>
      </w:pPr>
    </w:p>
    <w:p w14:paraId="23A8F9A4">
      <w:pPr>
        <w:pStyle w:val="39"/>
        <w:rPr>
          <w:rFonts w:ascii="Times New Roman" w:hAnsi="Times New Roman"/>
          <w:b w:val="0"/>
          <w:color w:val="000000" w:themeColor="text1"/>
          <w:spacing w:val="-6"/>
          <w:sz w:val="21"/>
          <w:szCs w:val="21"/>
          <w:highlight w:val="none"/>
          <w14:textFill>
            <w14:solidFill>
              <w14:schemeClr w14:val="tx1"/>
            </w14:solidFill>
          </w14:textFill>
        </w:rPr>
      </w:pPr>
    </w:p>
    <w:p w14:paraId="32329E29">
      <w:pPr>
        <w:rPr>
          <w:b/>
          <w:color w:val="000000" w:themeColor="text1"/>
          <w:spacing w:val="-6"/>
          <w:sz w:val="21"/>
          <w:szCs w:val="21"/>
          <w:highlight w:val="none"/>
          <w14:textFill>
            <w14:solidFill>
              <w14:schemeClr w14:val="tx1"/>
            </w14:solidFill>
          </w14:textFill>
        </w:rPr>
      </w:pPr>
    </w:p>
    <w:p w14:paraId="2D3C77D3">
      <w:pPr>
        <w:keepNext w:val="0"/>
        <w:keepLines w:val="0"/>
        <w:pageBreakBefore w:val="0"/>
        <w:widowControl w:val="0"/>
        <w:kinsoku/>
        <w:wordWrap/>
        <w:overflowPunct/>
        <w:topLinePunct w:val="0"/>
        <w:autoSpaceDE w:val="0"/>
        <w:autoSpaceDN w:val="0"/>
        <w:bidi w:val="0"/>
        <w:adjustRightInd/>
        <w:snapToGrid/>
        <w:spacing w:line="600" w:lineRule="exact"/>
        <w:ind w:right="482" w:firstLine="3990" w:firstLineChars="1900"/>
        <w:contextualSpacing/>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2E7026AE">
      <w:pPr>
        <w:pStyle w:val="19"/>
        <w:keepNext w:val="0"/>
        <w:keepLines w:val="0"/>
        <w:pageBreakBefore w:val="0"/>
        <w:widowControl w:val="0"/>
        <w:kinsoku/>
        <w:wordWrap/>
        <w:overflowPunct/>
        <w:topLinePunct w:val="0"/>
        <w:autoSpaceDE w:val="0"/>
        <w:autoSpaceDN w:val="0"/>
        <w:bidi w:val="0"/>
        <w:adjustRightInd/>
        <w:snapToGrid/>
        <w:spacing w:after="0" w:line="600" w:lineRule="exact"/>
        <w:ind w:right="1808" w:firstLine="4200" w:firstLineChars="2000"/>
        <w:contextualSpacing/>
        <w:textAlignment w:val="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日期：   年   月   日</w:t>
      </w:r>
    </w:p>
    <w:p w14:paraId="3DA62DF0">
      <w:pPr>
        <w:pStyle w:val="39"/>
        <w:rPr>
          <w:rFonts w:ascii="Times New Roman" w:hAnsi="Times New Roman"/>
          <w:b w:val="0"/>
          <w:color w:val="000000" w:themeColor="text1"/>
          <w:spacing w:val="-6"/>
          <w:sz w:val="21"/>
          <w:szCs w:val="21"/>
          <w:highlight w:val="none"/>
          <w14:textFill>
            <w14:solidFill>
              <w14:schemeClr w14:val="tx1"/>
            </w14:solidFill>
          </w14:textFill>
        </w:rPr>
      </w:pPr>
    </w:p>
    <w:p w14:paraId="3E5E78AE">
      <w:pPr>
        <w:rPr>
          <w:b/>
          <w:color w:val="000000" w:themeColor="text1"/>
          <w:spacing w:val="-6"/>
          <w:highlight w:val="none"/>
          <w14:textFill>
            <w14:solidFill>
              <w14:schemeClr w14:val="tx1"/>
            </w14:solidFill>
          </w14:textFill>
        </w:rPr>
      </w:pPr>
    </w:p>
    <w:p w14:paraId="7AD23983">
      <w:pPr>
        <w:pStyle w:val="39"/>
        <w:jc w:val="both"/>
        <w:rPr>
          <w:rFonts w:ascii="Times New Roman" w:hAnsi="Times New Roman"/>
          <w:b w:val="0"/>
          <w:color w:val="000000" w:themeColor="text1"/>
          <w:spacing w:val="-6"/>
          <w:sz w:val="21"/>
          <w:highlight w:val="none"/>
          <w14:textFill>
            <w14:solidFill>
              <w14:schemeClr w14:val="tx1"/>
            </w14:solidFill>
          </w14:textFill>
        </w:rPr>
      </w:pPr>
    </w:p>
    <w:p w14:paraId="458A4BB4">
      <w:pPr>
        <w:rPr>
          <w:rFonts w:ascii="Times New Roman" w:hAnsi="Times New Roman"/>
          <w:b w:val="0"/>
          <w:color w:val="000000" w:themeColor="text1"/>
          <w:spacing w:val="-6"/>
          <w:sz w:val="21"/>
          <w:highlight w:val="none"/>
          <w14:textFill>
            <w14:solidFill>
              <w14:schemeClr w14:val="tx1"/>
            </w14:solidFill>
          </w14:textFill>
        </w:rPr>
      </w:pPr>
    </w:p>
    <w:p w14:paraId="67CB2AEC">
      <w:pPr>
        <w:rPr>
          <w:rFonts w:ascii="Times New Roman" w:hAnsi="Times New Roman"/>
          <w:b w:val="0"/>
          <w:color w:val="000000" w:themeColor="text1"/>
          <w:spacing w:val="-6"/>
          <w:sz w:val="21"/>
          <w:highlight w:val="none"/>
          <w14:textFill>
            <w14:solidFill>
              <w14:schemeClr w14:val="tx1"/>
            </w14:solidFill>
          </w14:textFill>
        </w:rPr>
      </w:pPr>
    </w:p>
    <w:p w14:paraId="29067791">
      <w:pPr>
        <w:rPr>
          <w:b/>
          <w:color w:val="000000" w:themeColor="text1"/>
          <w:spacing w:val="-6"/>
          <w:highlight w:val="none"/>
          <w14:textFill>
            <w14:solidFill>
              <w14:schemeClr w14:val="tx1"/>
            </w14:solidFill>
          </w14:textFill>
        </w:rPr>
      </w:pPr>
    </w:p>
    <w:p w14:paraId="6A55F3C2">
      <w:pPr>
        <w:spacing w:line="470" w:lineRule="exact"/>
        <w:contextualSpacing/>
        <w:rPr>
          <w:rFonts w:hint="eastAsia"/>
          <w:color w:val="000000" w:themeColor="text1"/>
          <w:sz w:val="21"/>
          <w:szCs w:val="21"/>
          <w:highlight w:val="none"/>
          <w:lang w:val="en-US"/>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注：请根据自己的真实情况出具《</w:t>
      </w:r>
      <w:r>
        <w:rPr>
          <w:rFonts w:hint="eastAsia" w:cs="仿宋_GB2312"/>
          <w:color w:val="000000" w:themeColor="text1"/>
          <w:sz w:val="21"/>
          <w:szCs w:val="21"/>
          <w:highlight w:val="none"/>
          <w14:textFill>
            <w14:solidFill>
              <w14:schemeClr w14:val="tx1"/>
            </w14:solidFill>
          </w14:textFill>
        </w:rPr>
        <w:t>监狱企业</w:t>
      </w:r>
      <w:r>
        <w:rPr>
          <w:rFonts w:hint="eastAsia" w:ascii="宋体" w:hAnsi="宋体" w:cs="仿宋_GB2312"/>
          <w:color w:val="000000" w:themeColor="text1"/>
          <w:sz w:val="21"/>
          <w:szCs w:val="21"/>
          <w:highlight w:val="none"/>
          <w14:textFill>
            <w14:solidFill>
              <w14:schemeClr w14:val="tx1"/>
            </w14:solidFill>
          </w14:textFill>
        </w:rPr>
        <w:t>声明函》。依法享受中小企业优惠政策的，采购人或者采购代理机构在公告成交结果时，同时公告其《</w:t>
      </w:r>
      <w:r>
        <w:rPr>
          <w:rFonts w:hint="eastAsia" w:cs="仿宋_GB2312"/>
          <w:color w:val="000000" w:themeColor="text1"/>
          <w:sz w:val="21"/>
          <w:szCs w:val="21"/>
          <w:highlight w:val="none"/>
          <w14:textFill>
            <w14:solidFill>
              <w14:schemeClr w14:val="tx1"/>
            </w14:solidFill>
          </w14:textFill>
        </w:rPr>
        <w:t>监狱企业</w:t>
      </w:r>
      <w:r>
        <w:rPr>
          <w:rFonts w:hint="eastAsia" w:ascii="宋体" w:hAnsi="宋体" w:cs="仿宋_GB2312"/>
          <w:color w:val="000000" w:themeColor="text1"/>
          <w:sz w:val="21"/>
          <w:szCs w:val="21"/>
          <w:highlight w:val="none"/>
          <w14:textFill>
            <w14:solidFill>
              <w14:schemeClr w14:val="tx1"/>
            </w14:solidFill>
          </w14:textFill>
        </w:rPr>
        <w:t>声明函》，接受社会监督。</w:t>
      </w:r>
    </w:p>
    <w:p w14:paraId="057D000C">
      <w:pPr>
        <w:keepNext w:val="0"/>
        <w:keepLines w:val="0"/>
        <w:pageBreakBefore w:val="0"/>
        <w:widowControl w:val="0"/>
        <w:kinsoku/>
        <w:wordWrap/>
        <w:overflowPunct/>
        <w:topLinePunct w:val="0"/>
        <w:autoSpaceDE/>
        <w:autoSpaceDN/>
        <w:bidi w:val="0"/>
        <w:adjustRightInd/>
        <w:snapToGrid w:val="0"/>
        <w:spacing w:after="160" w:afterLines="50" w:line="700" w:lineRule="exact"/>
        <w:ind w:right="0"/>
        <w:jc w:val="both"/>
        <w:textAlignment w:val="auto"/>
        <w:rPr>
          <w:rFonts w:hint="eastAsia" w:ascii="宋体" w:hAnsi="宋体"/>
          <w:b/>
          <w:bCs/>
          <w:color w:val="000000" w:themeColor="text1"/>
          <w:sz w:val="36"/>
          <w:szCs w:val="36"/>
          <w:highlight w:val="none"/>
          <w:lang w:eastAsia="zh-CN"/>
          <w14:textFill>
            <w14:solidFill>
              <w14:schemeClr w14:val="tx1"/>
            </w14:solidFill>
          </w14:textFill>
        </w:rPr>
      </w:pPr>
    </w:p>
    <w:p w14:paraId="68614654">
      <w:pPr>
        <w:keepNext w:val="0"/>
        <w:keepLines w:val="0"/>
        <w:pageBreakBefore w:val="0"/>
        <w:widowControl w:val="0"/>
        <w:kinsoku/>
        <w:wordWrap/>
        <w:overflowPunct/>
        <w:topLinePunct w:val="0"/>
        <w:autoSpaceDE/>
        <w:autoSpaceDN/>
        <w:bidi w:val="0"/>
        <w:adjustRightInd/>
        <w:snapToGrid w:val="0"/>
        <w:spacing w:after="160" w:afterLines="50" w:line="700" w:lineRule="exact"/>
        <w:ind w:right="0"/>
        <w:jc w:val="both"/>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bCs/>
          <w:color w:val="000000" w:themeColor="text1"/>
          <w:sz w:val="36"/>
          <w:szCs w:val="36"/>
          <w:highlight w:val="none"/>
          <w:lang w:eastAsia="zh-CN"/>
          <w14:textFill>
            <w14:solidFill>
              <w14:schemeClr w14:val="tx1"/>
            </w14:solidFill>
          </w14:textFill>
        </w:rPr>
        <w:t>二</w:t>
      </w:r>
      <w:r>
        <w:rPr>
          <w:rFonts w:hint="eastAsia" w:ascii="宋体" w:hAnsi="宋体"/>
          <w:b/>
          <w:bCs/>
          <w:color w:val="000000" w:themeColor="text1"/>
          <w:sz w:val="36"/>
          <w:szCs w:val="36"/>
          <w:highlight w:val="none"/>
          <w14:textFill>
            <w14:solidFill>
              <w14:schemeClr w14:val="tx1"/>
            </w14:solidFill>
          </w14:textFill>
        </w:rPr>
        <w:t>、</w:t>
      </w:r>
      <w:r>
        <w:rPr>
          <w:rFonts w:hint="eastAsia" w:ascii="宋体" w:hAnsi="宋体"/>
          <w:b/>
          <w:color w:val="000000" w:themeColor="text1"/>
          <w:sz w:val="36"/>
          <w:szCs w:val="36"/>
          <w:highlight w:val="none"/>
          <w14:textFill>
            <w14:solidFill>
              <w14:schemeClr w14:val="tx1"/>
            </w14:solidFill>
          </w14:textFill>
        </w:rPr>
        <w:t>报价文件格式</w:t>
      </w:r>
    </w:p>
    <w:p w14:paraId="35F4954D">
      <w:pPr>
        <w:keepNext w:val="0"/>
        <w:keepLines w:val="0"/>
        <w:pageBreakBefore w:val="0"/>
        <w:widowControl w:val="0"/>
        <w:kinsoku/>
        <w:wordWrap/>
        <w:overflowPunct/>
        <w:topLinePunct w:val="0"/>
        <w:autoSpaceDE/>
        <w:autoSpaceDN/>
        <w:bidi w:val="0"/>
        <w:adjustRightInd/>
        <w:snapToGrid w:val="0"/>
        <w:spacing w:after="2809" w:afterLines="900" w:line="700" w:lineRule="exact"/>
        <w:jc w:val="left"/>
        <w:textAlignment w:val="auto"/>
        <w:rPr>
          <w:rFonts w:hint="eastAsia" w:ascii="宋体" w:hAnsi="宋体"/>
          <w:color w:val="000000" w:themeColor="text1"/>
          <w:sz w:val="24"/>
          <w:szCs w:val="20"/>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1.报价文件封面格式</w:t>
      </w:r>
      <w:r>
        <w:rPr>
          <w:rFonts w:hint="default" w:ascii="Times New Roman" w:hAnsi="Times New Roman" w:cs="Times New Roman"/>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0804AD90">
      <w:pPr>
        <w:keepNext w:val="0"/>
        <w:keepLines w:val="0"/>
        <w:pageBreakBefore w:val="0"/>
        <w:widowControl w:val="0"/>
        <w:kinsoku/>
        <w:wordWrap/>
        <w:overflowPunct/>
        <w:topLinePunct w:val="0"/>
        <w:autoSpaceDE/>
        <w:autoSpaceDN/>
        <w:bidi w:val="0"/>
        <w:adjustRightInd/>
        <w:snapToGrid w:val="0"/>
        <w:spacing w:after="3901" w:afterLines="1250" w:line="960" w:lineRule="exact"/>
        <w:jc w:val="center"/>
        <w:textAlignment w:val="auto"/>
        <w:rPr>
          <w:rFonts w:hint="eastAsia" w:ascii="宋体" w:hAnsi="宋体"/>
          <w:bCs/>
          <w:color w:val="000000" w:themeColor="text1"/>
          <w:sz w:val="24"/>
          <w:szCs w:val="20"/>
          <w:highlight w:val="none"/>
          <w14:textFill>
            <w14:solidFill>
              <w14:schemeClr w14:val="tx1"/>
            </w14:solidFill>
          </w14:textFill>
        </w:rPr>
      </w:pPr>
      <w:r>
        <w:rPr>
          <w:rFonts w:hint="eastAsia" w:ascii="宋体" w:hAnsi="宋体" w:eastAsia="宋体" w:cs="Times New Roman"/>
          <w:b/>
          <w:color w:val="000000" w:themeColor="text1"/>
          <w:sz w:val="84"/>
          <w:szCs w:val="84"/>
          <w:highlight w:val="none"/>
          <w:lang w:eastAsia="zh-CN"/>
          <w14:textFill>
            <w14:solidFill>
              <w14:schemeClr w14:val="tx1"/>
            </w14:solidFill>
          </w14:textFill>
        </w:rPr>
        <w:t>报价文件</w:t>
      </w:r>
    </w:p>
    <w:p w14:paraId="01266260">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3F675E3B">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7F0F9296">
      <w:pPr>
        <w:pStyle w:val="7"/>
        <w:keepNext w:val="0"/>
        <w:keepLines w:val="0"/>
        <w:pageBreakBefore w:val="0"/>
        <w:widowControl w:val="0"/>
        <w:kinsoku/>
        <w:wordWrap/>
        <w:overflowPunct/>
        <w:topLinePunct w:val="0"/>
        <w:autoSpaceDE/>
        <w:autoSpaceDN/>
        <w:bidi w:val="0"/>
        <w:adjustRightInd/>
        <w:snapToGrid w:val="0"/>
        <w:spacing w:after="1405" w:afterLines="450"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598CD6EC">
      <w:pPr>
        <w:keepNext w:val="0"/>
        <w:keepLines w:val="0"/>
        <w:pageBreakBefore w:val="0"/>
        <w:widowControl w:val="0"/>
        <w:kinsoku/>
        <w:wordWrap/>
        <w:overflowPunct/>
        <w:topLinePunct w:val="0"/>
        <w:autoSpaceDE/>
        <w:autoSpaceDN/>
        <w:bidi w:val="0"/>
        <w:adjustRightInd/>
        <w:snapToGrid w:val="0"/>
        <w:spacing w:after="157" w:afterLines="50" w:line="1100" w:lineRule="exact"/>
        <w:jc w:val="center"/>
        <w:textAlignment w:val="auto"/>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54AD1E28">
      <w:pPr>
        <w:keepNext w:val="0"/>
        <w:keepLines w:val="0"/>
        <w:pageBreakBefore w:val="0"/>
        <w:widowControl w:val="0"/>
        <w:kinsoku/>
        <w:wordWrap/>
        <w:overflowPunct/>
        <w:topLinePunct w:val="0"/>
        <w:autoSpaceDE/>
        <w:autoSpaceDN/>
        <w:bidi w:val="0"/>
        <w:adjustRightInd/>
        <w:snapToGrid w:val="0"/>
        <w:spacing w:after="160" w:afterLines="50" w:line="700" w:lineRule="exact"/>
        <w:ind w:left="142"/>
        <w:jc w:val="left"/>
        <w:textAlignment w:val="auto"/>
        <w:rPr>
          <w:rFonts w:hint="eastAsia" w:ascii="Times New Roman" w:hAnsi="Times New Roman" w:eastAsia="宋体" w:cs="Times New Roman"/>
          <w:b/>
          <w:color w:val="000000" w:themeColor="text1"/>
          <w:sz w:val="32"/>
          <w:szCs w:val="32"/>
          <w:highlight w:val="none"/>
          <w14:textFill>
            <w14:solidFill>
              <w14:schemeClr w14:val="tx1"/>
            </w14:solidFill>
          </w14:textFill>
        </w:rPr>
      </w:pPr>
    </w:p>
    <w:p w14:paraId="7857B076">
      <w:pPr>
        <w:keepNext w:val="0"/>
        <w:keepLines w:val="0"/>
        <w:pageBreakBefore w:val="0"/>
        <w:widowControl w:val="0"/>
        <w:kinsoku/>
        <w:wordWrap/>
        <w:overflowPunct/>
        <w:topLinePunct w:val="0"/>
        <w:autoSpaceDE/>
        <w:autoSpaceDN/>
        <w:bidi w:val="0"/>
        <w:adjustRightInd/>
        <w:snapToGrid w:val="0"/>
        <w:spacing w:after="160" w:afterLines="50" w:line="700" w:lineRule="exact"/>
        <w:ind w:left="0"/>
        <w:jc w:val="left"/>
        <w:textAlignment w:val="auto"/>
        <w:rPr>
          <w:rFonts w:hint="eastAsia" w:ascii="宋体" w:hAnsi="宋体"/>
          <w:b/>
          <w:bCs/>
          <w:color w:val="000000" w:themeColor="text1"/>
          <w:sz w:val="24"/>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2.报价文件目录</w:t>
      </w:r>
    </w:p>
    <w:p w14:paraId="798E7D9F">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竞争性磋商文件</w:t>
      </w:r>
      <w:r>
        <w:rPr>
          <w:rFonts w:hint="eastAsia" w:ascii="宋体" w:hAnsi="宋体"/>
          <w:color w:val="000000" w:themeColor="text1"/>
          <w:sz w:val="24"/>
          <w:szCs w:val="24"/>
          <w:highlight w:val="none"/>
          <w14:textFill>
            <w14:solidFill>
              <w14:schemeClr w14:val="tx1"/>
            </w14:solidFill>
          </w14:textFill>
        </w:rPr>
        <w:t>规定及供应商提供的材料自行编写目录（部分格式后附）</w:t>
      </w:r>
    </w:p>
    <w:p w14:paraId="0D552D5F">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3C120F42">
      <w:pPr>
        <w:keepNext w:val="0"/>
        <w:keepLines w:val="0"/>
        <w:pageBreakBefore w:val="0"/>
        <w:widowControl w:val="0"/>
        <w:kinsoku/>
        <w:wordWrap/>
        <w:overflowPunct/>
        <w:topLinePunct w:val="0"/>
        <w:autoSpaceDE w:val="0"/>
        <w:autoSpaceDN w:val="0"/>
        <w:bidi w:val="0"/>
        <w:adjustRightInd/>
        <w:snapToGrid/>
        <w:spacing w:line="700" w:lineRule="exact"/>
        <w:ind w:left="0" w:right="0"/>
        <w:jc w:val="both"/>
        <w:textAlignment w:val="auto"/>
        <w:rPr>
          <w:rFonts w:hint="default"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b/>
          <w:color w:val="000000" w:themeColor="text1"/>
          <w:sz w:val="32"/>
          <w:szCs w:val="32"/>
          <w:highlight w:val="none"/>
          <w:lang w:eastAsia="zh-CN"/>
          <w14:textFill>
            <w14:solidFill>
              <w14:schemeClr w14:val="tx1"/>
            </w14:solidFill>
          </w14:textFill>
        </w:rPr>
        <w:t>响应函</w:t>
      </w:r>
      <w:r>
        <w:rPr>
          <w:rFonts w:hint="default" w:ascii="Times New Roman" w:hAnsi="Times New Roman" w:cs="Times New Roman"/>
          <w:b/>
          <w:color w:val="000000" w:themeColor="text1"/>
          <w:sz w:val="32"/>
          <w:szCs w:val="32"/>
          <w:highlight w:val="none"/>
          <w:lang w:eastAsia="zh-CN"/>
          <w14:textFill>
            <w14:solidFill>
              <w14:schemeClr w14:val="tx1"/>
            </w14:solidFill>
          </w14:textFill>
        </w:rPr>
        <w:t>格式</w:t>
      </w:r>
    </w:p>
    <w:p w14:paraId="21F794F0">
      <w:pPr>
        <w:keepNext w:val="0"/>
        <w:keepLines w:val="0"/>
        <w:pageBreakBefore w:val="0"/>
        <w:widowControl w:val="0"/>
        <w:kinsoku/>
        <w:wordWrap/>
        <w:overflowPunct/>
        <w:topLinePunct w:val="0"/>
        <w:autoSpaceDE w:val="0"/>
        <w:autoSpaceDN w:val="0"/>
        <w:bidi w:val="0"/>
        <w:adjustRightInd/>
        <w:snapToGrid/>
        <w:spacing w:after="781" w:afterLines="250" w:line="740" w:lineRule="exact"/>
        <w:ind w:left="0" w:right="0"/>
        <w:jc w:val="center"/>
        <w:textAlignment w:val="auto"/>
        <w:rPr>
          <w:rFonts w:hint="eastAsia" w:eastAsia="宋体"/>
          <w:b/>
          <w:color w:val="000000" w:themeColor="text1"/>
          <w:sz w:val="32"/>
          <w:szCs w:val="32"/>
          <w:highlight w:val="none"/>
          <w:lang w:eastAsia="zh-CN"/>
          <w14:textFill>
            <w14:solidFill>
              <w14:schemeClr w14:val="tx1"/>
            </w14:solidFill>
          </w14:textFill>
        </w:rPr>
      </w:pPr>
      <w:r>
        <w:rPr>
          <w:rFonts w:hint="eastAsia"/>
          <w:b/>
          <w:color w:val="000000" w:themeColor="text1"/>
          <w:sz w:val="32"/>
          <w:szCs w:val="32"/>
          <w:highlight w:val="none"/>
          <w:lang w:eastAsia="zh-CN"/>
          <w14:textFill>
            <w14:solidFill>
              <w14:schemeClr w14:val="tx1"/>
            </w14:solidFill>
          </w14:textFill>
        </w:rPr>
        <w:t>响应函</w:t>
      </w:r>
    </w:p>
    <w:p w14:paraId="08DC022F">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根据你方项目</w:t>
      </w:r>
      <w:r>
        <w:rPr>
          <w:rFonts w:hint="eastAsia" w:ascii="Times New Roman" w:hAnsi="Times New Roman" w:cs="Times New Roman"/>
          <w:color w:val="000000" w:themeColor="text1"/>
          <w:sz w:val="21"/>
          <w:szCs w:val="21"/>
          <w:highlight w:val="none"/>
          <w:lang w:eastAsia="zh-CN"/>
          <w14:textFill>
            <w14:solidFill>
              <w14:schemeClr w14:val="tx1"/>
            </w14:solidFill>
          </w14:textFill>
        </w:rPr>
        <w:t>项目</w:t>
      </w:r>
      <w:r>
        <w:rPr>
          <w:rFonts w:hint="default" w:ascii="Times New Roman" w:hAnsi="Times New Roman" w:cs="Times New Roman"/>
          <w:color w:val="000000" w:themeColor="text1"/>
          <w:sz w:val="21"/>
          <w:szCs w:val="21"/>
          <w:highlight w:val="none"/>
          <w14:textFill>
            <w14:solidFill>
              <w14:schemeClr w14:val="tx1"/>
            </w14:solidFill>
          </w14:textFill>
        </w:rPr>
        <w:t>编号为</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（项目编号）</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cs="Times New Roman"/>
          <w:color w:val="000000" w:themeColor="text1"/>
          <w:sz w:val="21"/>
          <w:szCs w:val="21"/>
          <w:highlight w:val="none"/>
          <w:u w:val="single"/>
          <w14:textFill>
            <w14:solidFill>
              <w14:schemeClr w14:val="tx1"/>
            </w14:solidFill>
          </w14:textFill>
        </w:rPr>
        <w:t>（</w:t>
      </w:r>
      <w:r>
        <w:rPr>
          <w:rFonts w:hint="eastAsia" w:ascii="Times New Roman" w:cs="Times New Roman"/>
          <w:color w:val="000000" w:themeColor="text1"/>
          <w:sz w:val="21"/>
          <w:szCs w:val="21"/>
          <w:highlight w:val="none"/>
          <w:u w:val="single"/>
          <w14:textFill>
            <w14:solidFill>
              <w14:schemeClr w14:val="tx1"/>
            </w14:solidFill>
          </w14:textFill>
        </w:rPr>
        <w:t>项目名称）</w:t>
      </w:r>
      <w:r>
        <w:rPr>
          <w:rFonts w:hint="eastAsia" w:ascii="Times New Roman"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，遵照《中华人民共和国</w:t>
      </w:r>
      <w:r>
        <w:rPr>
          <w:rFonts w:hint="eastAsia" w:ascii="Times New Roman" w:hAnsi="Times New Roman" w:cs="Times New Roman"/>
          <w:color w:val="000000" w:themeColor="text1"/>
          <w:sz w:val="21"/>
          <w:szCs w:val="21"/>
          <w:highlight w:val="none"/>
          <w:lang w:eastAsia="zh-CN"/>
          <w14:textFill>
            <w14:solidFill>
              <w14:schemeClr w14:val="tx1"/>
            </w14:solidFill>
          </w14:textFill>
        </w:rPr>
        <w:t>政府采购</w:t>
      </w:r>
      <w:r>
        <w:rPr>
          <w:rFonts w:hint="default" w:ascii="Times New Roman" w:hAnsi="Times New Roman" w:cs="Times New Roman"/>
          <w:color w:val="000000" w:themeColor="text1"/>
          <w:sz w:val="21"/>
          <w:szCs w:val="21"/>
          <w:highlight w:val="none"/>
          <w14:textFill>
            <w14:solidFill>
              <w14:schemeClr w14:val="tx1"/>
            </w14:solidFill>
          </w14:textFill>
        </w:rPr>
        <w:t>法》等有关规定，经踏勘项目现场和研究上述</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w:t>
      </w:r>
      <w:r>
        <w:rPr>
          <w:rFonts w:hint="default" w:ascii="Times New Roman" w:hAnsi="Times New Roman" w:cs="Times New Roman"/>
          <w:color w:val="000000" w:themeColor="text1"/>
          <w:sz w:val="21"/>
          <w:szCs w:val="21"/>
          <w:highlight w:val="none"/>
          <w14:textFill>
            <w14:solidFill>
              <w14:schemeClr w14:val="tx1"/>
            </w14:solidFill>
          </w14:textFill>
        </w:rPr>
        <w:t>文件的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color w:val="000000" w:themeColor="text1"/>
          <w:sz w:val="21"/>
          <w:szCs w:val="21"/>
          <w:highlight w:val="none"/>
          <w14:textFill>
            <w14:solidFill>
              <w14:schemeClr w14:val="tx1"/>
            </w14:solidFill>
          </w14:textFill>
        </w:rPr>
        <w:t>须知、合同条款</w:t>
      </w:r>
      <w:r>
        <w:rPr>
          <w:rFonts w:hint="eastAsia" w:ascii="Times New Roman" w:hAnsi="Times New Roman" w:cs="Times New Roman"/>
          <w:color w:val="000000" w:themeColor="text1"/>
          <w:sz w:val="21"/>
          <w:szCs w:val="21"/>
          <w:highlight w:val="none"/>
          <w:lang w:eastAsia="zh-CN"/>
          <w14:textFill>
            <w14:solidFill>
              <w14:schemeClr w14:val="tx1"/>
            </w14:solidFill>
          </w14:textFill>
        </w:rPr>
        <w:t>及格式</w:t>
      </w:r>
      <w:r>
        <w:rPr>
          <w:rFonts w:hint="default" w:ascii="Times New Roman" w:hAnsi="Times New Roman" w:cs="Times New Roman"/>
          <w:color w:val="000000" w:themeColor="text1"/>
          <w:sz w:val="21"/>
          <w:szCs w:val="21"/>
          <w:highlight w:val="none"/>
          <w14:textFill>
            <w14:solidFill>
              <w14:schemeClr w14:val="tx1"/>
            </w14:solidFill>
          </w14:textFill>
        </w:rPr>
        <w:t>、图纸、工程建设标准和工程量清单及其他有关文件后，我方愿以人民币（大写）</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r>
        <w:rPr>
          <w:rFonts w:hint="default" w:ascii="Times New Roman" w:hAnsi="Times New Roman" w:cs="Times New Roman"/>
          <w:color w:val="000000" w:themeColor="text1"/>
          <w:sz w:val="21"/>
          <w:szCs w:val="21"/>
          <w:highlight w:val="none"/>
          <w14:textFill>
            <w14:solidFill>
              <w14:schemeClr w14:val="tx1"/>
            </w14:solidFill>
          </w14:textFill>
        </w:rPr>
        <w:t>并按上述图纸、合同条款</w:t>
      </w:r>
      <w:r>
        <w:rPr>
          <w:rFonts w:hint="eastAsia" w:ascii="Times New Roman" w:hAnsi="Times New Roman" w:cs="Times New Roman"/>
          <w:color w:val="000000" w:themeColor="text1"/>
          <w:sz w:val="21"/>
          <w:szCs w:val="21"/>
          <w:highlight w:val="none"/>
          <w:lang w:eastAsia="zh-CN"/>
          <w14:textFill>
            <w14:solidFill>
              <w14:schemeClr w14:val="tx1"/>
            </w14:solidFill>
          </w14:textFill>
        </w:rPr>
        <w:t>及格式</w:t>
      </w:r>
      <w:r>
        <w:rPr>
          <w:rFonts w:hint="default" w:ascii="Times New Roman" w:hAnsi="Times New Roman" w:cs="Times New Roman"/>
          <w:color w:val="000000" w:themeColor="text1"/>
          <w:sz w:val="21"/>
          <w:szCs w:val="21"/>
          <w:highlight w:val="none"/>
          <w14:textFill>
            <w14:solidFill>
              <w14:schemeClr w14:val="tx1"/>
            </w14:solidFill>
          </w14:textFill>
        </w:rPr>
        <w:t>、工程建设标准和工程量清单（如有时）的条件要求承包上述工程的施工、竣工，并承担任何质量缺陷保修责任。我方保证工程质量达到</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等级。</w:t>
      </w:r>
    </w:p>
    <w:p w14:paraId="0AD9EB2F">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我方已详细审核全部</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w:t>
      </w:r>
      <w:r>
        <w:rPr>
          <w:rFonts w:hint="default" w:ascii="Times New Roman" w:hAnsi="Times New Roman" w:cs="Times New Roman"/>
          <w:color w:val="000000" w:themeColor="text1"/>
          <w:sz w:val="21"/>
          <w:szCs w:val="21"/>
          <w:highlight w:val="none"/>
          <w14:textFill>
            <w14:solidFill>
              <w14:schemeClr w14:val="tx1"/>
            </w14:solidFill>
          </w14:textFill>
        </w:rPr>
        <w:t>文件，包括修改文件（如有时）及有关附件。</w:t>
      </w:r>
    </w:p>
    <w:p w14:paraId="5D5E87CD">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一旦我方</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cs="Times New Roman"/>
          <w:color w:val="000000" w:themeColor="text1"/>
          <w:sz w:val="21"/>
          <w:szCs w:val="21"/>
          <w:highlight w:val="none"/>
          <w14:textFill>
            <w14:solidFill>
              <w14:schemeClr w14:val="tx1"/>
            </w14:solidFill>
          </w14:textFill>
        </w:rPr>
        <w:t>，我方保证按合同书中规定的工期</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日历天内完成并移交全部工程。</w:t>
      </w:r>
    </w:p>
    <w:p w14:paraId="4FE8E619">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default"/>
          <w:color w:val="000000" w:themeColor="text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如果我方</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cs="Times New Roman"/>
          <w:color w:val="000000" w:themeColor="text1"/>
          <w:sz w:val="21"/>
          <w:szCs w:val="21"/>
          <w:highlight w:val="none"/>
          <w14:textFill>
            <w14:solidFill>
              <w14:schemeClr w14:val="tx1"/>
            </w14:solidFill>
          </w14:textFill>
        </w:rPr>
        <w:t>，我方将按照</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w:t>
      </w:r>
      <w:r>
        <w:rPr>
          <w:rFonts w:hint="default" w:ascii="Times New Roman" w:hAnsi="Times New Roman" w:cs="Times New Roman"/>
          <w:color w:val="000000" w:themeColor="text1"/>
          <w:sz w:val="21"/>
          <w:szCs w:val="21"/>
          <w:highlight w:val="none"/>
          <w14:textFill>
            <w14:solidFill>
              <w14:schemeClr w14:val="tx1"/>
            </w14:solidFill>
          </w14:textFill>
        </w:rPr>
        <w:t>文件规定提交履约保证金</w:t>
      </w:r>
      <w:r>
        <w:rPr>
          <w:rFonts w:hint="eastAsia" w:ascii="Times New Roman" w:hAnsi="Times New Roman" w:cs="Times New Roman"/>
          <w:color w:val="000000" w:themeColor="text1"/>
          <w:sz w:val="21"/>
          <w:szCs w:val="21"/>
          <w:highlight w:val="none"/>
          <w:lang w:eastAsia="zh-CN"/>
          <w14:textFill>
            <w14:solidFill>
              <w14:schemeClr w14:val="tx1"/>
            </w14:solidFill>
          </w14:textFill>
        </w:rPr>
        <w:t>（如有）</w:t>
      </w:r>
      <w:r>
        <w:rPr>
          <w:rFonts w:hint="default" w:ascii="Times New Roman" w:hAnsi="Times New Roman" w:cs="Times New Roman"/>
          <w:color w:val="000000" w:themeColor="text1"/>
          <w:sz w:val="21"/>
          <w:szCs w:val="21"/>
          <w:highlight w:val="none"/>
          <w14:textFill>
            <w14:solidFill>
              <w14:schemeClr w14:val="tx1"/>
            </w14:solidFill>
          </w14:textFill>
        </w:rPr>
        <w:t>作为履约担保。</w:t>
      </w:r>
    </w:p>
    <w:p w14:paraId="3975C4F2">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我方同意所提交的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在</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w:t>
      </w:r>
      <w:r>
        <w:rPr>
          <w:rFonts w:hint="default" w:ascii="Times New Roman" w:hAnsi="Times New Roman" w:cs="Times New Roman"/>
          <w:color w:val="000000" w:themeColor="text1"/>
          <w:sz w:val="21"/>
          <w:szCs w:val="21"/>
          <w:highlight w:val="none"/>
          <w14:textFill>
            <w14:solidFill>
              <w14:schemeClr w14:val="tx1"/>
            </w14:solidFill>
          </w14:textFill>
        </w:rPr>
        <w:t>文件</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color w:val="000000" w:themeColor="text1"/>
          <w:sz w:val="21"/>
          <w:szCs w:val="21"/>
          <w:highlight w:val="none"/>
          <w14:textFill>
            <w14:solidFill>
              <w14:schemeClr w14:val="tx1"/>
            </w14:solidFill>
          </w14:textFill>
        </w:rPr>
        <w:t>须知中规定的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磋商</w:t>
      </w:r>
      <w:r>
        <w:rPr>
          <w:rFonts w:hint="default" w:ascii="Times New Roman" w:hAnsi="Times New Roman" w:cs="Times New Roman"/>
          <w:color w:val="000000" w:themeColor="text1"/>
          <w:sz w:val="21"/>
          <w:szCs w:val="21"/>
          <w:highlight w:val="none"/>
          <w14:textFill>
            <w14:solidFill>
              <w14:schemeClr w14:val="tx1"/>
            </w14:solidFill>
          </w14:textFill>
        </w:rPr>
        <w:t>有效期内有效，在此期间内如果</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cs="Times New Roman"/>
          <w:color w:val="000000" w:themeColor="text1"/>
          <w:sz w:val="21"/>
          <w:szCs w:val="21"/>
          <w:highlight w:val="none"/>
          <w14:textFill>
            <w14:solidFill>
              <w14:schemeClr w14:val="tx1"/>
            </w14:solidFill>
          </w14:textFill>
        </w:rPr>
        <w:t>，我方将受此约束。</w:t>
      </w:r>
    </w:p>
    <w:p w14:paraId="2544F4B3">
      <w:pPr>
        <w:keepNext w:val="0"/>
        <w:keepLines w:val="0"/>
        <w:pageBreakBefore w:val="0"/>
        <w:widowControl w:val="0"/>
        <w:tabs>
          <w:tab w:val="left" w:pos="7560"/>
        </w:tabs>
        <w:kinsoku/>
        <w:wordWrap/>
        <w:overflowPunct/>
        <w:topLinePunct w:val="0"/>
        <w:autoSpaceDE w:val="0"/>
        <w:autoSpaceDN w:val="0"/>
        <w:bidi w:val="0"/>
        <w:adjustRightInd/>
        <w:snapToGrid/>
        <w:spacing w:line="470" w:lineRule="exact"/>
        <w:ind w:firstLine="420" w:firstLineChars="200"/>
        <w:textAlignment w:val="auto"/>
        <w:rPr>
          <w:rFonts w:hint="eastAsia"/>
          <w:color w:val="000000" w:themeColor="text1"/>
          <w:sz w:val="22"/>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除非另外达成协议并生效，你方的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cs="Times New Roman"/>
          <w:color w:val="000000" w:themeColor="text1"/>
          <w:sz w:val="21"/>
          <w:szCs w:val="21"/>
          <w:highlight w:val="none"/>
          <w14:textFill>
            <w14:solidFill>
              <w14:schemeClr w14:val="tx1"/>
            </w14:solidFill>
          </w14:textFill>
        </w:rPr>
        <w:t>通知书和本</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将成为约束双方的合同文件的组成部分。</w:t>
      </w:r>
    </w:p>
    <w:p w14:paraId="24F39E16">
      <w:pPr>
        <w:keepNext w:val="0"/>
        <w:keepLines w:val="0"/>
        <w:pageBreakBefore w:val="0"/>
        <w:widowControl w:val="0"/>
        <w:kinsoku/>
        <w:wordWrap/>
        <w:overflowPunct/>
        <w:topLinePunct w:val="0"/>
        <w:autoSpaceDE w:val="0"/>
        <w:autoSpaceDN w:val="0"/>
        <w:bidi w:val="0"/>
        <w:adjustRightInd/>
        <w:snapToGrid/>
        <w:spacing w:line="410" w:lineRule="exact"/>
        <w:ind w:firstLine="3360" w:firstLineChars="1600"/>
        <w:textAlignment w:val="auto"/>
        <w:rPr>
          <w:color w:val="000000" w:themeColor="text1"/>
          <w:sz w:val="21"/>
          <w:szCs w:val="21"/>
          <w:highlight w:val="none"/>
          <w:u w:val="none"/>
          <w14:textFill>
            <w14:solidFill>
              <w14:schemeClr w14:val="tx1"/>
            </w14:solidFill>
          </w14:textFill>
        </w:rPr>
      </w:pPr>
      <w:r>
        <w:rPr>
          <w:color w:val="000000" w:themeColor="text1"/>
          <w:sz w:val="21"/>
          <w:szCs w:val="21"/>
          <w:highlight w:val="none"/>
          <w:u w:val="none"/>
          <w14:textFill>
            <w14:solidFill>
              <w14:schemeClr w14:val="tx1"/>
            </w14:solidFill>
          </w14:textFill>
        </w:rPr>
        <w:t xml:space="preserve">       </w:t>
      </w:r>
      <w:r>
        <w:rPr>
          <w:rFonts w:hint="eastAsia"/>
          <w:color w:val="000000" w:themeColor="text1"/>
          <w:sz w:val="21"/>
          <w:szCs w:val="21"/>
          <w:highlight w:val="none"/>
          <w:u w:val="none"/>
          <w:lang w:val="en-US" w:eastAsia="zh-CN"/>
          <w14:textFill>
            <w14:solidFill>
              <w14:schemeClr w14:val="tx1"/>
            </w14:solidFill>
          </w14:textFill>
        </w:rPr>
        <w:t xml:space="preserve">    </w:t>
      </w:r>
      <w:r>
        <w:rPr>
          <w:color w:val="000000" w:themeColor="text1"/>
          <w:sz w:val="21"/>
          <w:szCs w:val="21"/>
          <w:highlight w:val="none"/>
          <w:u w:val="none"/>
          <w14:textFill>
            <w14:solidFill>
              <w14:schemeClr w14:val="tx1"/>
            </w14:solidFill>
          </w14:textFill>
        </w:rPr>
        <w:t xml:space="preserve">    </w:t>
      </w:r>
      <w:r>
        <w:rPr>
          <w:rFonts w:hint="eastAsia"/>
          <w:color w:val="000000" w:themeColor="text1"/>
          <w:sz w:val="21"/>
          <w:szCs w:val="21"/>
          <w:highlight w:val="none"/>
          <w:u w:val="none"/>
          <w14:textFill>
            <w14:solidFill>
              <w14:schemeClr w14:val="tx1"/>
            </w14:solidFill>
          </w14:textFill>
        </w:rPr>
        <w:t xml:space="preserve">            </w:t>
      </w:r>
    </w:p>
    <w:p w14:paraId="5929C012">
      <w:pPr>
        <w:keepNext w:val="0"/>
        <w:keepLines w:val="0"/>
        <w:pageBreakBefore w:val="0"/>
        <w:widowControl w:val="0"/>
        <w:kinsoku/>
        <w:wordWrap/>
        <w:overflowPunct/>
        <w:topLinePunct w:val="0"/>
        <w:autoSpaceDE w:val="0"/>
        <w:autoSpaceDN w:val="0"/>
        <w:bidi w:val="0"/>
        <w:adjustRightInd/>
        <w:snapToGrid/>
        <w:spacing w:line="410" w:lineRule="exact"/>
        <w:ind w:left="0" w:firstLine="420" w:firstLineChars="200"/>
        <w:textAlignment w:val="auto"/>
        <w:rPr>
          <w:color w:val="000000" w:themeColor="text1"/>
          <w:sz w:val="21"/>
          <w:szCs w:val="21"/>
          <w:highlight w:val="none"/>
          <w:u w:val="none"/>
          <w14:textFill>
            <w14:solidFill>
              <w14:schemeClr w14:val="tx1"/>
            </w14:solidFill>
          </w14:textFill>
        </w:rPr>
      </w:pPr>
      <w:r>
        <w:rPr>
          <w:color w:val="000000" w:themeColor="text1"/>
          <w:sz w:val="21"/>
          <w:szCs w:val="21"/>
          <w:highlight w:val="none"/>
          <w:u w:val="none"/>
          <w14:textFill>
            <w14:solidFill>
              <w14:schemeClr w14:val="tx1"/>
            </w14:solidFill>
          </w14:textFill>
        </w:rPr>
        <w:t xml:space="preserve">单位地址：                       </w:t>
      </w:r>
      <w:r>
        <w:rPr>
          <w:rFonts w:hint="eastAsia"/>
          <w:color w:val="000000" w:themeColor="text1"/>
          <w:sz w:val="21"/>
          <w:szCs w:val="21"/>
          <w:highlight w:val="none"/>
          <w:u w:val="none"/>
          <w14:textFill>
            <w14:solidFill>
              <w14:schemeClr w14:val="tx1"/>
            </w14:solidFill>
          </w14:textFill>
        </w:rPr>
        <w:t xml:space="preserve">                  </w:t>
      </w:r>
      <w:r>
        <w:rPr>
          <w:color w:val="000000" w:themeColor="text1"/>
          <w:sz w:val="21"/>
          <w:szCs w:val="21"/>
          <w:highlight w:val="none"/>
          <w:u w:val="none"/>
          <w14:textFill>
            <w14:solidFill>
              <w14:schemeClr w14:val="tx1"/>
            </w14:solidFill>
          </w14:textFill>
        </w:rPr>
        <w:t xml:space="preserve"> </w:t>
      </w:r>
      <w:r>
        <w:rPr>
          <w:rFonts w:hint="eastAsia"/>
          <w:color w:val="000000" w:themeColor="text1"/>
          <w:sz w:val="21"/>
          <w:szCs w:val="21"/>
          <w:highlight w:val="none"/>
          <w:u w:val="none"/>
          <w14:textFill>
            <w14:solidFill>
              <w14:schemeClr w14:val="tx1"/>
            </w14:solidFill>
          </w14:textFill>
        </w:rPr>
        <w:t xml:space="preserve">      </w:t>
      </w:r>
      <w:r>
        <w:rPr>
          <w:color w:val="000000" w:themeColor="text1"/>
          <w:sz w:val="21"/>
          <w:szCs w:val="21"/>
          <w:highlight w:val="none"/>
          <w:u w:val="none"/>
          <w14:textFill>
            <w14:solidFill>
              <w14:schemeClr w14:val="tx1"/>
            </w14:solidFill>
          </w14:textFill>
        </w:rPr>
        <w:t xml:space="preserve"> </w:t>
      </w:r>
    </w:p>
    <w:p w14:paraId="5BD80450">
      <w:pPr>
        <w:keepNext w:val="0"/>
        <w:keepLines w:val="0"/>
        <w:pageBreakBefore w:val="0"/>
        <w:widowControl w:val="0"/>
        <w:kinsoku/>
        <w:wordWrap/>
        <w:overflowPunct/>
        <w:topLinePunct w:val="0"/>
        <w:autoSpaceDE w:val="0"/>
        <w:autoSpaceDN w:val="0"/>
        <w:bidi w:val="0"/>
        <w:adjustRightInd/>
        <w:snapToGrid/>
        <w:spacing w:line="410" w:lineRule="exact"/>
        <w:ind w:right="0" w:firstLine="420" w:firstLineChars="200"/>
        <w:textAlignment w:val="auto"/>
        <w:rPr>
          <w:color w:val="000000" w:themeColor="text1"/>
          <w:sz w:val="21"/>
          <w:szCs w:val="21"/>
          <w:highlight w:val="none"/>
          <w:u w:val="none"/>
          <w14:textFill>
            <w14:solidFill>
              <w14:schemeClr w14:val="tx1"/>
            </w14:solidFill>
          </w14:textFill>
        </w:rPr>
      </w:pPr>
      <w:r>
        <w:rPr>
          <w:color w:val="000000" w:themeColor="text1"/>
          <w:sz w:val="21"/>
          <w:szCs w:val="21"/>
          <w:highlight w:val="none"/>
          <w:u w:val="none"/>
          <w14:textFill>
            <w14:solidFill>
              <w14:schemeClr w14:val="tx1"/>
            </w14:solidFill>
          </w14:textFill>
        </w:rPr>
        <w:t>邮政编码：</w:t>
      </w:r>
    </w:p>
    <w:p w14:paraId="33896F2A">
      <w:pPr>
        <w:keepNext w:val="0"/>
        <w:keepLines w:val="0"/>
        <w:pageBreakBefore w:val="0"/>
        <w:widowControl w:val="0"/>
        <w:kinsoku/>
        <w:wordWrap/>
        <w:overflowPunct/>
        <w:topLinePunct w:val="0"/>
        <w:autoSpaceDE w:val="0"/>
        <w:autoSpaceDN w:val="0"/>
        <w:bidi w:val="0"/>
        <w:adjustRightInd/>
        <w:snapToGrid/>
        <w:spacing w:line="410" w:lineRule="exact"/>
        <w:ind w:right="0" w:firstLine="420" w:firstLineChars="200"/>
        <w:textAlignment w:val="auto"/>
        <w:rPr>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联系</w:t>
      </w:r>
      <w:r>
        <w:rPr>
          <w:color w:val="000000" w:themeColor="text1"/>
          <w:sz w:val="21"/>
          <w:szCs w:val="21"/>
          <w:highlight w:val="none"/>
          <w:u w:val="none"/>
          <w14:textFill>
            <w14:solidFill>
              <w14:schemeClr w14:val="tx1"/>
            </w14:solidFill>
          </w14:textFill>
        </w:rPr>
        <w:t>电话：</w:t>
      </w:r>
      <w:r>
        <w:rPr>
          <w:rFonts w:hint="eastAsia"/>
          <w:color w:val="000000" w:themeColor="text1"/>
          <w:sz w:val="21"/>
          <w:szCs w:val="21"/>
          <w:highlight w:val="none"/>
          <w:u w:val="none"/>
          <w14:textFill>
            <w14:solidFill>
              <w14:schemeClr w14:val="tx1"/>
            </w14:solidFill>
          </w14:textFill>
        </w:rPr>
        <w:t xml:space="preserve">          </w:t>
      </w:r>
    </w:p>
    <w:p w14:paraId="02699AE5">
      <w:pPr>
        <w:keepNext w:val="0"/>
        <w:keepLines w:val="0"/>
        <w:pageBreakBefore w:val="0"/>
        <w:widowControl w:val="0"/>
        <w:kinsoku/>
        <w:wordWrap/>
        <w:overflowPunct/>
        <w:topLinePunct w:val="0"/>
        <w:autoSpaceDE w:val="0"/>
        <w:autoSpaceDN w:val="0"/>
        <w:bidi w:val="0"/>
        <w:adjustRightInd/>
        <w:snapToGrid/>
        <w:spacing w:line="410" w:lineRule="exact"/>
        <w:ind w:left="0" w:right="0" w:firstLine="420" w:firstLineChars="200"/>
        <w:textAlignment w:val="auto"/>
        <w:rPr>
          <w:rFonts w:hint="eastAsia" w:eastAsia="宋体"/>
          <w:color w:val="000000" w:themeColor="text1"/>
          <w:sz w:val="21"/>
          <w:szCs w:val="21"/>
          <w:highlight w:val="none"/>
          <w:u w:val="none"/>
          <w:lang w:eastAsia="zh-CN"/>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开户名称：</w:t>
      </w:r>
    </w:p>
    <w:p w14:paraId="4E9D718D">
      <w:pPr>
        <w:keepNext w:val="0"/>
        <w:keepLines w:val="0"/>
        <w:pageBreakBefore w:val="0"/>
        <w:widowControl w:val="0"/>
        <w:kinsoku/>
        <w:wordWrap/>
        <w:overflowPunct/>
        <w:topLinePunct w:val="0"/>
        <w:autoSpaceDE w:val="0"/>
        <w:autoSpaceDN w:val="0"/>
        <w:bidi w:val="0"/>
        <w:adjustRightInd/>
        <w:snapToGrid/>
        <w:spacing w:line="410" w:lineRule="exact"/>
        <w:ind w:left="0" w:right="0" w:firstLine="420" w:firstLineChars="200"/>
        <w:textAlignment w:val="auto"/>
        <w:rPr>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eastAsia="zh-CN"/>
          <w14:textFill>
            <w14:solidFill>
              <w14:schemeClr w14:val="tx1"/>
            </w14:solidFill>
          </w14:textFill>
        </w:rPr>
        <w:t>开户银行</w:t>
      </w:r>
      <w:r>
        <w:rPr>
          <w:color w:val="000000" w:themeColor="text1"/>
          <w:sz w:val="21"/>
          <w:szCs w:val="21"/>
          <w:highlight w:val="none"/>
          <w:u w:val="none"/>
          <w14:textFill>
            <w14:solidFill>
              <w14:schemeClr w14:val="tx1"/>
            </w14:solidFill>
          </w14:textFill>
        </w:rPr>
        <w:t>：</w:t>
      </w:r>
      <w:r>
        <w:rPr>
          <w:rFonts w:hint="eastAsia"/>
          <w:color w:val="000000" w:themeColor="text1"/>
          <w:sz w:val="21"/>
          <w:szCs w:val="21"/>
          <w:highlight w:val="none"/>
          <w:u w:val="none"/>
          <w14:textFill>
            <w14:solidFill>
              <w14:schemeClr w14:val="tx1"/>
            </w14:solidFill>
          </w14:textFill>
        </w:rPr>
        <w:t xml:space="preserve">                                      </w:t>
      </w:r>
    </w:p>
    <w:p w14:paraId="64BECA42">
      <w:pPr>
        <w:keepNext w:val="0"/>
        <w:keepLines w:val="0"/>
        <w:pageBreakBefore w:val="0"/>
        <w:widowControl w:val="0"/>
        <w:kinsoku/>
        <w:wordWrap/>
        <w:overflowPunct/>
        <w:topLinePunct w:val="0"/>
        <w:autoSpaceDE w:val="0"/>
        <w:autoSpaceDN w:val="0"/>
        <w:bidi w:val="0"/>
        <w:adjustRightInd/>
        <w:snapToGrid/>
        <w:spacing w:line="410" w:lineRule="exact"/>
        <w:ind w:left="0" w:right="0" w:firstLine="420" w:firstLineChars="200"/>
        <w:textAlignment w:val="auto"/>
        <w:rPr>
          <w:color w:val="000000" w:themeColor="text1"/>
          <w:sz w:val="21"/>
          <w:szCs w:val="21"/>
          <w:highlight w:val="none"/>
          <w:u w:val="none"/>
          <w14:textFill>
            <w14:solidFill>
              <w14:schemeClr w14:val="tx1"/>
            </w14:solidFill>
          </w14:textFill>
        </w:rPr>
      </w:pPr>
      <w:r>
        <w:rPr>
          <w:color w:val="000000" w:themeColor="text1"/>
          <w:sz w:val="21"/>
          <w:szCs w:val="21"/>
          <w:highlight w:val="none"/>
          <w:u w:val="none"/>
          <w14:textFill>
            <w14:solidFill>
              <w14:schemeClr w14:val="tx1"/>
            </w14:solidFill>
          </w14:textFill>
        </w:rPr>
        <w:t>银行账号：</w:t>
      </w:r>
      <w:r>
        <w:rPr>
          <w:rFonts w:hint="eastAsia"/>
          <w:color w:val="000000" w:themeColor="text1"/>
          <w:sz w:val="21"/>
          <w:szCs w:val="21"/>
          <w:highlight w:val="none"/>
          <w:u w:val="none"/>
          <w14:textFill>
            <w14:solidFill>
              <w14:schemeClr w14:val="tx1"/>
            </w14:solidFill>
          </w14:textFill>
        </w:rPr>
        <w:t xml:space="preserve">                                                                </w:t>
      </w:r>
    </w:p>
    <w:p w14:paraId="53900716">
      <w:pPr>
        <w:keepNext w:val="0"/>
        <w:keepLines w:val="0"/>
        <w:pageBreakBefore w:val="0"/>
        <w:widowControl w:val="0"/>
        <w:kinsoku/>
        <w:wordWrap/>
        <w:overflowPunct/>
        <w:topLinePunct w:val="0"/>
        <w:autoSpaceDE w:val="0"/>
        <w:autoSpaceDN w:val="0"/>
        <w:bidi w:val="0"/>
        <w:adjustRightInd/>
        <w:snapToGrid/>
        <w:spacing w:line="410" w:lineRule="exact"/>
        <w:textAlignment w:val="auto"/>
        <w:rPr>
          <w:color w:val="000000" w:themeColor="text1"/>
          <w:sz w:val="21"/>
          <w:szCs w:val="21"/>
          <w:highlight w:val="none"/>
          <w:u w:val="none"/>
          <w14:textFill>
            <w14:solidFill>
              <w14:schemeClr w14:val="tx1"/>
            </w14:solidFill>
          </w14:textFill>
        </w:rPr>
      </w:pPr>
    </w:p>
    <w:p w14:paraId="604462FB">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4435527A">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708FCDC5">
      <w:pPr>
        <w:spacing w:line="600" w:lineRule="exact"/>
        <w:ind w:right="482" w:firstLine="4200" w:firstLineChars="2000"/>
        <w:contextualSpacing/>
        <w:rPr>
          <w:rFonts w:ascii="宋体" w:hAns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   月   日</w:t>
      </w:r>
    </w:p>
    <w:p w14:paraId="4D155167">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120" w:beforeLines="50" w:line="700" w:lineRule="exact"/>
        <w:jc w:val="both"/>
        <w:textAlignment w:val="auto"/>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pPr>
    </w:p>
    <w:p w14:paraId="36C668F1">
      <w:pPr>
        <w:pStyle w:val="19"/>
        <w:keepNext w:val="0"/>
        <w:keepLines w:val="0"/>
        <w:pageBreakBefore w:val="0"/>
        <w:widowControl w:val="0"/>
        <w:numPr>
          <w:ilvl w:val="0"/>
          <w:numId w:val="0"/>
        </w:numPr>
        <w:kinsoku/>
        <w:wordWrap/>
        <w:overflowPunct/>
        <w:topLinePunct w:val="0"/>
        <w:autoSpaceDE w:val="0"/>
        <w:autoSpaceDN w:val="0"/>
        <w:bidi w:val="0"/>
        <w:adjustRightInd/>
        <w:snapToGrid/>
        <w:spacing w:before="120" w:beforeLines="50" w:line="700" w:lineRule="exact"/>
        <w:jc w:val="both"/>
        <w:textAlignment w:val="auto"/>
        <w:rPr>
          <w:rFonts w:hint="eastAsia"/>
          <w:b/>
          <w:color w:val="000000" w:themeColor="text1"/>
          <w:sz w:val="32"/>
          <w:szCs w:val="32"/>
          <w:highlight w:val="none"/>
          <w:lang w:eastAsia="zh-CN"/>
          <w14:textFill>
            <w14:solidFill>
              <w14:schemeClr w14:val="tx1"/>
            </w14:solidFill>
          </w14:textFill>
        </w:rPr>
      </w:pP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6.</w:t>
      </w:r>
      <w:r>
        <w:rPr>
          <w:rFonts w:hint="eastAsia"/>
          <w:b/>
          <w:color w:val="000000" w:themeColor="text1"/>
          <w:sz w:val="32"/>
          <w:szCs w:val="32"/>
          <w:highlight w:val="none"/>
          <w:lang w:eastAsia="zh-CN"/>
          <w14:textFill>
            <w14:solidFill>
              <w14:schemeClr w14:val="tx1"/>
            </w14:solidFill>
          </w14:textFill>
        </w:rPr>
        <w:t>响应报价表（格式）</w:t>
      </w:r>
    </w:p>
    <w:p w14:paraId="400A7533">
      <w:pPr>
        <w:pStyle w:val="19"/>
        <w:keepNext w:val="0"/>
        <w:keepLines w:val="0"/>
        <w:pageBreakBefore w:val="0"/>
        <w:widowControl w:val="0"/>
        <w:numPr>
          <w:ilvl w:val="0"/>
          <w:numId w:val="0"/>
        </w:numPr>
        <w:kinsoku/>
        <w:wordWrap/>
        <w:overflowPunct/>
        <w:topLinePunct w:val="0"/>
        <w:autoSpaceDE w:val="0"/>
        <w:autoSpaceDN w:val="0"/>
        <w:bidi w:val="0"/>
        <w:adjustRightInd/>
        <w:snapToGrid/>
        <w:spacing w:after="781" w:afterLines="250" w:line="700" w:lineRule="exact"/>
        <w:jc w:val="center"/>
        <w:textAlignment w:val="auto"/>
        <w:rPr>
          <w:rFonts w:hint="default"/>
          <w:color w:val="000000" w:themeColor="text1"/>
          <w:sz w:val="21"/>
          <w:szCs w:val="21"/>
          <w:highlight w:val="none"/>
          <w14:textFill>
            <w14:solidFill>
              <w14:schemeClr w14:val="tx1"/>
            </w14:solidFill>
          </w14:textFill>
        </w:rPr>
      </w:pPr>
      <w:r>
        <w:rPr>
          <w:rFonts w:hint="eastAsia"/>
          <w:b/>
          <w:color w:val="000000" w:themeColor="text1"/>
          <w:sz w:val="32"/>
          <w:szCs w:val="32"/>
          <w:highlight w:val="none"/>
          <w:lang w:eastAsia="zh-CN"/>
          <w14:textFill>
            <w14:solidFill>
              <w14:schemeClr w14:val="tx1"/>
            </w14:solidFill>
          </w14:textFill>
        </w:rPr>
        <w:t>响应报价表</w:t>
      </w:r>
    </w:p>
    <w:p w14:paraId="430ADC6D">
      <w:pPr>
        <w:keepNext w:val="0"/>
        <w:keepLines w:val="0"/>
        <w:pageBreakBefore w:val="0"/>
        <w:widowControl w:val="0"/>
        <w:kinsoku/>
        <w:wordWrap/>
        <w:overflowPunct/>
        <w:topLinePunct w:val="0"/>
        <w:autoSpaceDE/>
        <w:autoSpaceDN/>
        <w:bidi w:val="0"/>
        <w:adjustRightInd/>
        <w:snapToGrid/>
        <w:spacing w:after="160" w:afterLines="50" w:line="390" w:lineRule="exact"/>
        <w:contextualSpacing/>
        <w:textAlignment w:val="auto"/>
        <w:rPr>
          <w:rFonts w:hint="eastAsia"/>
          <w:b/>
          <w:color w:val="000000" w:themeColor="text1"/>
          <w:sz w:val="36"/>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单位：元</w:t>
      </w:r>
    </w:p>
    <w:tbl>
      <w:tblPr>
        <w:tblStyle w:val="43"/>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316"/>
      </w:tblGrid>
      <w:tr w14:paraId="5F1C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695" w:type="dxa"/>
            <w:noWrap w:val="0"/>
            <w:vAlign w:val="center"/>
          </w:tcPr>
          <w:p w14:paraId="14423DB4">
            <w:pPr>
              <w:pStyle w:val="25"/>
              <w:spacing w:line="370" w:lineRule="exact"/>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w:t>
            </w:r>
          </w:p>
        </w:tc>
        <w:tc>
          <w:tcPr>
            <w:tcW w:w="7316" w:type="dxa"/>
            <w:noWrap w:val="0"/>
            <w:vAlign w:val="center"/>
          </w:tcPr>
          <w:p w14:paraId="10C4B601">
            <w:pPr>
              <w:pStyle w:val="25"/>
              <w:spacing w:line="370" w:lineRule="exact"/>
              <w:ind w:firstLine="420" w:firstLineChars="200"/>
              <w:jc w:val="left"/>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u w:val="single"/>
                <w:lang w:eastAsia="zh-CN"/>
                <w14:textFill>
                  <w14:solidFill>
                    <w14:schemeClr w14:val="tx1"/>
                  </w14:solidFill>
                </w14:textFill>
              </w:rPr>
              <w:t>人民币</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u w:val="single"/>
                <w14:textFill>
                  <w14:solidFill>
                    <w14:schemeClr w14:val="tx1"/>
                  </w14:solidFill>
                </w14:textFill>
              </w:rPr>
              <w:t>）</w:t>
            </w:r>
          </w:p>
        </w:tc>
      </w:tr>
      <w:tr w14:paraId="6F7F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1695" w:type="dxa"/>
            <w:noWrap w:val="0"/>
            <w:vAlign w:val="center"/>
          </w:tcPr>
          <w:p w14:paraId="4C4F283E">
            <w:pPr>
              <w:pStyle w:val="25"/>
              <w:spacing w:line="37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工期</w:t>
            </w:r>
          </w:p>
        </w:tc>
        <w:tc>
          <w:tcPr>
            <w:tcW w:w="7316" w:type="dxa"/>
            <w:noWrap w:val="0"/>
            <w:vAlign w:val="center"/>
          </w:tcPr>
          <w:p w14:paraId="3D1BDFBE">
            <w:pPr>
              <w:pStyle w:val="25"/>
              <w:spacing w:line="370" w:lineRule="exact"/>
              <w:ind w:firstLine="2520" w:firstLineChars="1200"/>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eastAsia="zh-CN"/>
                <w14:textFill>
                  <w14:solidFill>
                    <w14:schemeClr w14:val="tx1"/>
                  </w14:solidFill>
                </w14:textFill>
              </w:rPr>
              <w:t>日历天</w:t>
            </w:r>
          </w:p>
        </w:tc>
      </w:tr>
      <w:tr w14:paraId="6D2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1695" w:type="dxa"/>
            <w:noWrap w:val="0"/>
            <w:vAlign w:val="center"/>
          </w:tcPr>
          <w:p w14:paraId="23FF4735">
            <w:pPr>
              <w:pStyle w:val="25"/>
              <w:spacing w:line="37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质量等级</w:t>
            </w:r>
          </w:p>
        </w:tc>
        <w:tc>
          <w:tcPr>
            <w:tcW w:w="7316" w:type="dxa"/>
            <w:noWrap w:val="0"/>
            <w:vAlign w:val="top"/>
          </w:tcPr>
          <w:p w14:paraId="00A86319">
            <w:pPr>
              <w:pStyle w:val="25"/>
              <w:spacing w:line="370" w:lineRule="exact"/>
              <w:rPr>
                <w:rFonts w:hint="default" w:ascii="Times New Roman" w:hAnsi="Times New Roman" w:cs="Times New Roman"/>
                <w:color w:val="000000" w:themeColor="text1"/>
                <w:sz w:val="21"/>
                <w:szCs w:val="21"/>
                <w:highlight w:val="none"/>
                <w14:textFill>
                  <w14:solidFill>
                    <w14:schemeClr w14:val="tx1"/>
                  </w14:solidFill>
                </w14:textFill>
              </w:rPr>
            </w:pPr>
          </w:p>
        </w:tc>
      </w:tr>
      <w:tr w14:paraId="5DF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exact"/>
          <w:jc w:val="center"/>
        </w:trPr>
        <w:tc>
          <w:tcPr>
            <w:tcW w:w="1695" w:type="dxa"/>
            <w:noWrap w:val="0"/>
            <w:vAlign w:val="center"/>
          </w:tcPr>
          <w:p w14:paraId="0526E6BE">
            <w:pPr>
              <w:pStyle w:val="25"/>
              <w:spacing w:line="370" w:lineRule="exac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tc>
        <w:tc>
          <w:tcPr>
            <w:tcW w:w="7316" w:type="dxa"/>
            <w:noWrap w:val="0"/>
            <w:vAlign w:val="top"/>
          </w:tcPr>
          <w:p w14:paraId="03AE2238">
            <w:pPr>
              <w:pStyle w:val="25"/>
              <w:spacing w:line="370" w:lineRule="exac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w:t>
            </w:r>
          </w:p>
          <w:p w14:paraId="18873C3D">
            <w:pPr>
              <w:pStyle w:val="25"/>
              <w:spacing w:line="370" w:lineRule="exac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w:t>
            </w:r>
          </w:p>
        </w:tc>
      </w:tr>
    </w:tbl>
    <w:p w14:paraId="2F071663">
      <w:pPr>
        <w:keepNext w:val="0"/>
        <w:keepLines w:val="0"/>
        <w:pageBreakBefore w:val="0"/>
        <w:widowControl w:val="0"/>
        <w:kinsoku/>
        <w:wordWrap/>
        <w:overflowPunct/>
        <w:topLinePunct w:val="0"/>
        <w:autoSpaceDE/>
        <w:autoSpaceDN/>
        <w:bidi w:val="0"/>
        <w:adjustRightInd/>
        <w:snapToGrid/>
        <w:spacing w:before="160" w:beforeLines="50" w:line="390" w:lineRule="exact"/>
        <w:contextualSpacing/>
        <w:jc w:val="left"/>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注</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68BE956">
      <w:pPr>
        <w:keepNext w:val="0"/>
        <w:keepLines w:val="0"/>
        <w:pageBreakBefore w:val="0"/>
        <w:widowControl w:val="0"/>
        <w:kinsoku/>
        <w:wordWrap/>
        <w:overflowPunct/>
        <w:topLinePunct w:val="0"/>
        <w:autoSpaceDE/>
        <w:autoSpaceDN/>
        <w:bidi w:val="0"/>
        <w:adjustRightInd/>
        <w:snapToGrid/>
        <w:spacing w:line="390" w:lineRule="exact"/>
        <w:ind w:firstLine="420" w:firstLineChars="200"/>
        <w:contextualSpacing/>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响应报价表</w:t>
      </w:r>
      <w:r>
        <w:rPr>
          <w:rFonts w:hint="default" w:ascii="Times New Roman" w:hAnsi="Times New Roman" w:eastAsia="宋体" w:cs="Times New Roman"/>
          <w:color w:val="000000" w:themeColor="text1"/>
          <w:sz w:val="21"/>
          <w:szCs w:val="21"/>
          <w:highlight w:val="none"/>
          <w14:textFill>
            <w14:solidFill>
              <w14:schemeClr w14:val="tx1"/>
            </w14:solidFill>
          </w14:textFill>
        </w:rPr>
        <w:t>必须加盖供应商公章并由法定代表人或</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其</w:t>
      </w:r>
      <w:r>
        <w:rPr>
          <w:rFonts w:hint="default" w:ascii="Times New Roman" w:hAnsi="Times New Roman" w:eastAsia="宋体" w:cs="Times New Roman"/>
          <w:color w:val="000000" w:themeColor="text1"/>
          <w:sz w:val="21"/>
          <w:szCs w:val="21"/>
          <w:highlight w:val="none"/>
          <w14:textFill>
            <w14:solidFill>
              <w14:schemeClr w14:val="tx1"/>
            </w14:solidFill>
          </w14:textFill>
        </w:rPr>
        <w:t>委托代理人签字</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或签章</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b/>
          <w:color w:val="000000" w:themeColor="text1"/>
          <w:sz w:val="21"/>
          <w:szCs w:val="21"/>
          <w:highlight w:val="none"/>
          <w14:textFill>
            <w14:solidFill>
              <w14:schemeClr w14:val="tx1"/>
            </w14:solidFill>
          </w14:textFill>
        </w:rPr>
        <w:t>否则其</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7A1C3AC">
      <w:pPr>
        <w:keepNext w:val="0"/>
        <w:keepLines w:val="0"/>
        <w:pageBreakBefore w:val="0"/>
        <w:widowControl w:val="0"/>
        <w:kinsoku/>
        <w:wordWrap/>
        <w:overflowPunct/>
        <w:topLinePunct w:val="0"/>
        <w:autoSpaceDE/>
        <w:autoSpaceDN/>
        <w:bidi w:val="0"/>
        <w:adjustRightInd/>
        <w:snapToGrid/>
        <w:spacing w:line="390" w:lineRule="exact"/>
        <w:ind w:firstLine="420" w:firstLineChars="200"/>
        <w:contextualSpacing/>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报价一经涂改，应在涂改处加盖供应商公章或者由法定代表人或者委托代理人签字或者盖章</w:t>
      </w:r>
      <w:r>
        <w:rPr>
          <w:rFonts w:hint="default" w:ascii="Times New Roman" w:hAnsi="Times New Roman" w:eastAsia="宋体" w:cs="Times New Roman"/>
          <w:b/>
          <w:color w:val="000000" w:themeColor="text1"/>
          <w:sz w:val="21"/>
          <w:szCs w:val="21"/>
          <w:highlight w:val="none"/>
          <w14:textFill>
            <w14:solidFill>
              <w14:schemeClr w14:val="tx1"/>
            </w14:solidFill>
          </w14:textFill>
        </w:rPr>
        <w:t>，否则其</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响应文件</w:t>
      </w:r>
      <w:r>
        <w:rPr>
          <w:rFonts w:hint="default" w:ascii="Times New Roman" w:hAnsi="Times New Roman" w:eastAsia="宋体" w:cs="Times New Roman"/>
          <w:b/>
          <w:color w:val="000000" w:themeColor="text1"/>
          <w:sz w:val="21"/>
          <w:szCs w:val="21"/>
          <w:highlight w:val="none"/>
          <w14:textFill>
            <w14:solidFill>
              <w14:schemeClr w14:val="tx1"/>
            </w14:solidFill>
          </w14:textFill>
        </w:rPr>
        <w:t>按无效响应处理。</w:t>
      </w:r>
    </w:p>
    <w:p w14:paraId="3502222D">
      <w:pPr>
        <w:pStyle w:val="19"/>
        <w:spacing w:line="360" w:lineRule="exact"/>
        <w:rPr>
          <w:rFonts w:hint="eastAsia"/>
          <w:color w:val="000000" w:themeColor="text1"/>
          <w:sz w:val="29"/>
          <w:highlight w:val="none"/>
          <w14:textFill>
            <w14:solidFill>
              <w14:schemeClr w14:val="tx1"/>
            </w14:solidFill>
          </w14:textFill>
        </w:rPr>
      </w:pPr>
    </w:p>
    <w:p w14:paraId="57EFCCA7">
      <w:pPr>
        <w:pStyle w:val="19"/>
        <w:spacing w:line="360" w:lineRule="exact"/>
        <w:rPr>
          <w:rFonts w:hint="eastAsia"/>
          <w:color w:val="000000" w:themeColor="text1"/>
          <w:sz w:val="29"/>
          <w:highlight w:val="none"/>
          <w14:textFill>
            <w14:solidFill>
              <w14:schemeClr w14:val="tx1"/>
            </w14:solidFill>
          </w14:textFill>
        </w:rPr>
      </w:pPr>
    </w:p>
    <w:p w14:paraId="54CC8E6C">
      <w:pPr>
        <w:pStyle w:val="19"/>
        <w:spacing w:line="360" w:lineRule="exact"/>
        <w:rPr>
          <w:rFonts w:hint="eastAsia"/>
          <w:color w:val="000000" w:themeColor="text1"/>
          <w:sz w:val="29"/>
          <w:highlight w:val="none"/>
          <w14:textFill>
            <w14:solidFill>
              <w14:schemeClr w14:val="tx1"/>
            </w14:solidFill>
          </w14:textFill>
        </w:rPr>
      </w:pPr>
    </w:p>
    <w:p w14:paraId="3495FB60">
      <w:pPr>
        <w:pStyle w:val="19"/>
        <w:spacing w:line="360" w:lineRule="exact"/>
        <w:rPr>
          <w:rFonts w:hint="eastAsia"/>
          <w:color w:val="000000" w:themeColor="text1"/>
          <w:sz w:val="29"/>
          <w:highlight w:val="none"/>
          <w14:textFill>
            <w14:solidFill>
              <w14:schemeClr w14:val="tx1"/>
            </w14:solidFill>
          </w14:textFill>
        </w:rPr>
      </w:pPr>
    </w:p>
    <w:p w14:paraId="049E57CC">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3FAC98C6">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09F8830B">
      <w:pPr>
        <w:spacing w:line="600" w:lineRule="exact"/>
        <w:ind w:right="482" w:firstLine="4200" w:firstLineChars="2000"/>
        <w:contextualSpacing/>
        <w:rPr>
          <w:rFonts w:hint="eastAsia"/>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   月   日</w:t>
      </w:r>
    </w:p>
    <w:p w14:paraId="59B664F7">
      <w:pPr>
        <w:pStyle w:val="19"/>
        <w:tabs>
          <w:tab w:val="left" w:pos="3272"/>
          <w:tab w:val="left" w:pos="4323"/>
        </w:tabs>
        <w:spacing w:line="560" w:lineRule="exact"/>
        <w:ind w:firstLine="420" w:firstLineChars="200"/>
        <w:rPr>
          <w:rFonts w:hint="eastAsia"/>
          <w:color w:val="000000" w:themeColor="text1"/>
          <w:highlight w:val="none"/>
          <w14:textFill>
            <w14:solidFill>
              <w14:schemeClr w14:val="tx1"/>
            </w14:solidFill>
          </w14:textFill>
        </w:rPr>
      </w:pPr>
    </w:p>
    <w:p w14:paraId="775B4D79">
      <w:pPr>
        <w:rPr>
          <w:rFonts w:hint="eastAsia"/>
          <w:color w:val="000000" w:themeColor="text1"/>
          <w:highlight w:val="none"/>
          <w:lang w:val="en-US"/>
          <w14:textFill>
            <w14:solidFill>
              <w14:schemeClr w14:val="tx1"/>
            </w14:solidFill>
          </w14:textFill>
        </w:rPr>
      </w:pPr>
    </w:p>
    <w:p w14:paraId="75D3585D">
      <w:pPr>
        <w:rPr>
          <w:rFonts w:hint="eastAsia"/>
          <w:color w:val="000000" w:themeColor="text1"/>
          <w:highlight w:val="none"/>
          <w:lang w:val="en-US"/>
          <w14:textFill>
            <w14:solidFill>
              <w14:schemeClr w14:val="tx1"/>
            </w14:solidFill>
          </w14:textFill>
        </w:rPr>
      </w:pPr>
    </w:p>
    <w:p w14:paraId="6C28F695">
      <w:pPr>
        <w:rPr>
          <w:rFonts w:hint="eastAsia"/>
          <w:color w:val="000000" w:themeColor="text1"/>
          <w:highlight w:val="none"/>
          <w:lang w:val="en-US"/>
          <w14:textFill>
            <w14:solidFill>
              <w14:schemeClr w14:val="tx1"/>
            </w14:solidFill>
          </w14:textFill>
        </w:rPr>
      </w:pPr>
    </w:p>
    <w:p w14:paraId="5EB65D8C">
      <w:pPr>
        <w:rPr>
          <w:rFonts w:hint="eastAsia"/>
          <w:color w:val="000000" w:themeColor="text1"/>
          <w:highlight w:val="none"/>
          <w:lang w:val="en-US"/>
          <w14:textFill>
            <w14:solidFill>
              <w14:schemeClr w14:val="tx1"/>
            </w14:solidFill>
          </w14:textFill>
        </w:rPr>
      </w:pPr>
    </w:p>
    <w:p w14:paraId="64441CAF">
      <w:pPr>
        <w:rPr>
          <w:rFonts w:hint="eastAsia"/>
          <w:color w:val="000000" w:themeColor="text1"/>
          <w:highlight w:val="none"/>
          <w:lang w:val="en-US"/>
          <w14:textFill>
            <w14:solidFill>
              <w14:schemeClr w14:val="tx1"/>
            </w14:solidFill>
          </w14:textFill>
        </w:rPr>
      </w:pPr>
    </w:p>
    <w:p w14:paraId="7007513E">
      <w:pPr>
        <w:rPr>
          <w:rFonts w:hint="eastAsia"/>
          <w:color w:val="000000" w:themeColor="text1"/>
          <w:highlight w:val="none"/>
          <w:lang w:val="en-US"/>
          <w14:textFill>
            <w14:solidFill>
              <w14:schemeClr w14:val="tx1"/>
            </w14:solidFill>
          </w14:textFill>
        </w:rPr>
      </w:pPr>
    </w:p>
    <w:p w14:paraId="32D9EE09">
      <w:pPr>
        <w:keepNext w:val="0"/>
        <w:keepLines w:val="0"/>
        <w:pageBreakBefore w:val="0"/>
        <w:widowControl w:val="0"/>
        <w:kinsoku/>
        <w:wordWrap/>
        <w:overflowPunct/>
        <w:topLinePunct w:val="0"/>
        <w:autoSpaceDE/>
        <w:autoSpaceDN/>
        <w:bidi w:val="0"/>
        <w:adjustRightInd/>
        <w:snapToGrid w:val="0"/>
        <w:spacing w:after="160" w:afterLines="50" w:line="700" w:lineRule="exact"/>
        <w:ind w:right="482"/>
        <w:jc w:val="both"/>
        <w:textAlignment w:val="auto"/>
        <w:rPr>
          <w:rFonts w:hint="eastAsia" w:ascii="宋体" w:hAnsi="宋体"/>
          <w:b/>
          <w:color w:val="000000" w:themeColor="text1"/>
          <w:sz w:val="32"/>
          <w:szCs w:val="32"/>
          <w:highlight w:val="none"/>
          <w14:textFill>
            <w14:solidFill>
              <w14:schemeClr w14:val="tx1"/>
            </w14:solidFill>
          </w14:textFill>
        </w:rPr>
      </w:pPr>
      <w:bookmarkStart w:id="178" w:name="_Toc500469634"/>
      <w:bookmarkStart w:id="179" w:name="_Toc11509"/>
      <w:bookmarkStart w:id="180" w:name="_Toc500469782"/>
      <w:bookmarkStart w:id="181" w:name="_Toc40365237"/>
      <w:bookmarkStart w:id="182" w:name="_Toc20417"/>
      <w:r>
        <w:rPr>
          <w:rFonts w:hint="eastAsia" w:ascii="宋体" w:hAnsi="宋体"/>
          <w:b/>
          <w:bCs/>
          <w:color w:val="000000" w:themeColor="text1"/>
          <w:sz w:val="36"/>
          <w:szCs w:val="36"/>
          <w:highlight w:val="none"/>
          <w:lang w:eastAsia="zh-CN"/>
          <w14:textFill>
            <w14:solidFill>
              <w14:schemeClr w14:val="tx1"/>
            </w14:solidFill>
          </w14:textFill>
        </w:rPr>
        <w:t>三</w:t>
      </w:r>
      <w:r>
        <w:rPr>
          <w:rFonts w:hint="eastAsia" w:ascii="宋体" w:hAnsi="宋体"/>
          <w:b/>
          <w:bCs/>
          <w:color w:val="000000" w:themeColor="text1"/>
          <w:sz w:val="36"/>
          <w:szCs w:val="36"/>
          <w:highlight w:val="none"/>
          <w14:textFill>
            <w14:solidFill>
              <w14:schemeClr w14:val="tx1"/>
            </w14:solidFill>
          </w14:textFill>
        </w:rPr>
        <w:t>、</w:t>
      </w:r>
      <w:bookmarkStart w:id="183" w:name="OLE_LINK49"/>
      <w:r>
        <w:rPr>
          <w:rFonts w:hint="eastAsia" w:ascii="宋体" w:hAnsi="宋体"/>
          <w:b/>
          <w:color w:val="000000" w:themeColor="text1"/>
          <w:sz w:val="36"/>
          <w:szCs w:val="36"/>
          <w:highlight w:val="none"/>
          <w14:textFill>
            <w14:solidFill>
              <w14:schemeClr w14:val="tx1"/>
            </w14:solidFill>
          </w14:textFill>
        </w:rPr>
        <w:t>商务</w:t>
      </w:r>
      <w:bookmarkEnd w:id="183"/>
      <w:r>
        <w:rPr>
          <w:rFonts w:hint="eastAsia" w:ascii="宋体" w:hAnsi="宋体"/>
          <w:b/>
          <w:color w:val="000000" w:themeColor="text1"/>
          <w:sz w:val="36"/>
          <w:szCs w:val="36"/>
          <w:highlight w:val="none"/>
          <w14:textFill>
            <w14:solidFill>
              <w14:schemeClr w14:val="tx1"/>
            </w14:solidFill>
          </w14:textFill>
        </w:rPr>
        <w:t>技术文件格式</w:t>
      </w:r>
    </w:p>
    <w:p w14:paraId="2017FA3C">
      <w:pPr>
        <w:keepNext w:val="0"/>
        <w:keepLines w:val="0"/>
        <w:pageBreakBefore w:val="0"/>
        <w:widowControl w:val="0"/>
        <w:kinsoku/>
        <w:wordWrap/>
        <w:overflowPunct/>
        <w:topLinePunct w:val="0"/>
        <w:autoSpaceDE/>
        <w:autoSpaceDN/>
        <w:bidi w:val="0"/>
        <w:adjustRightInd/>
        <w:snapToGrid w:val="0"/>
        <w:spacing w:after="2809" w:afterLines="900" w:line="700" w:lineRule="exact"/>
        <w:jc w:val="left"/>
        <w:textAlignment w:val="auto"/>
        <w:rPr>
          <w:rFonts w:hint="eastAsia" w:ascii="宋体" w:hAnsi="宋体"/>
          <w:color w:val="000000" w:themeColor="text1"/>
          <w:sz w:val="24"/>
          <w:szCs w:val="20"/>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1.商务技术文件封面格式</w:t>
      </w:r>
      <w:r>
        <w:rPr>
          <w:rFonts w:hint="default" w:ascii="Times New Roman" w:hAnsi="Times New Roman" w:cs="Times New Roman"/>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43A8EED9">
      <w:pPr>
        <w:keepNext w:val="0"/>
        <w:keepLines w:val="0"/>
        <w:pageBreakBefore w:val="0"/>
        <w:widowControl w:val="0"/>
        <w:kinsoku/>
        <w:wordWrap/>
        <w:overflowPunct/>
        <w:topLinePunct w:val="0"/>
        <w:autoSpaceDE/>
        <w:autoSpaceDN/>
        <w:bidi w:val="0"/>
        <w:adjustRightInd/>
        <w:snapToGrid w:val="0"/>
        <w:spacing w:after="3901" w:afterLines="1250" w:line="960" w:lineRule="exact"/>
        <w:jc w:val="center"/>
        <w:textAlignment w:val="auto"/>
        <w:rPr>
          <w:rFonts w:hint="eastAsia" w:ascii="宋体" w:hAnsi="宋体"/>
          <w:bCs/>
          <w:color w:val="000000" w:themeColor="text1"/>
          <w:sz w:val="24"/>
          <w:szCs w:val="20"/>
          <w:highlight w:val="none"/>
          <w14:textFill>
            <w14:solidFill>
              <w14:schemeClr w14:val="tx1"/>
            </w14:solidFill>
          </w14:textFill>
        </w:rPr>
      </w:pPr>
      <w:r>
        <w:rPr>
          <w:rFonts w:hint="eastAsia" w:ascii="宋体" w:hAnsi="宋体" w:eastAsia="宋体" w:cs="Times New Roman"/>
          <w:b/>
          <w:color w:val="000000" w:themeColor="text1"/>
          <w:sz w:val="84"/>
          <w:szCs w:val="84"/>
          <w:highlight w:val="none"/>
          <w:lang w:eastAsia="zh-CN"/>
          <w14:textFill>
            <w14:solidFill>
              <w14:schemeClr w14:val="tx1"/>
            </w14:solidFill>
          </w14:textFill>
        </w:rPr>
        <w:t>商务技术文件</w:t>
      </w:r>
    </w:p>
    <w:p w14:paraId="4812FB27">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14:paraId="7E7A12C2">
      <w:pPr>
        <w:keepNext w:val="0"/>
        <w:keepLines w:val="0"/>
        <w:pageBreakBefore w:val="0"/>
        <w:widowControl w:val="0"/>
        <w:kinsoku/>
        <w:wordWrap/>
        <w:overflowPunct/>
        <w:topLinePunct w:val="0"/>
        <w:autoSpaceDE/>
        <w:autoSpaceDN/>
        <w:bidi w:val="0"/>
        <w:adjustRightInd/>
        <w:snapToGrid w:val="0"/>
        <w:spacing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14:paraId="7BD6B8B3">
      <w:pPr>
        <w:pStyle w:val="7"/>
        <w:keepNext w:val="0"/>
        <w:keepLines w:val="0"/>
        <w:pageBreakBefore w:val="0"/>
        <w:widowControl w:val="0"/>
        <w:kinsoku/>
        <w:wordWrap/>
        <w:overflowPunct/>
        <w:topLinePunct w:val="0"/>
        <w:autoSpaceDE/>
        <w:autoSpaceDN/>
        <w:bidi w:val="0"/>
        <w:adjustRightInd/>
        <w:snapToGrid w:val="0"/>
        <w:spacing w:after="781" w:afterLines="250" w:line="1100" w:lineRule="exact"/>
        <w:ind w:firstLine="640" w:firstLineChars="200"/>
        <w:textAlignment w:val="auto"/>
        <w:rPr>
          <w:rFonts w:hint="eastAsia"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14:paraId="54A689C1">
      <w:pPr>
        <w:keepNext w:val="0"/>
        <w:keepLines w:val="0"/>
        <w:pageBreakBefore w:val="0"/>
        <w:widowControl w:val="0"/>
        <w:kinsoku/>
        <w:wordWrap/>
        <w:overflowPunct/>
        <w:topLinePunct w:val="0"/>
        <w:autoSpaceDE/>
        <w:autoSpaceDN/>
        <w:bidi w:val="0"/>
        <w:adjustRightInd/>
        <w:snapToGrid w:val="0"/>
        <w:spacing w:after="157" w:afterLines="50" w:line="1100" w:lineRule="exact"/>
        <w:jc w:val="center"/>
        <w:textAlignment w:val="auto"/>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14:paraId="4501F9E5">
      <w:pPr>
        <w:keepNext w:val="0"/>
        <w:keepLines w:val="0"/>
        <w:pageBreakBefore w:val="0"/>
        <w:widowControl w:val="0"/>
        <w:kinsoku/>
        <w:wordWrap/>
        <w:overflowPunct/>
        <w:topLinePunct w:val="0"/>
        <w:autoSpaceDE/>
        <w:autoSpaceDN/>
        <w:bidi w:val="0"/>
        <w:adjustRightInd/>
        <w:snapToGrid w:val="0"/>
        <w:spacing w:after="160" w:afterLines="50" w:line="700" w:lineRule="exact"/>
        <w:ind w:left="142"/>
        <w:jc w:val="left"/>
        <w:textAlignment w:val="auto"/>
        <w:rPr>
          <w:rFonts w:hint="eastAsia" w:ascii="Times New Roman" w:hAnsi="Times New Roman" w:eastAsia="宋体" w:cs="Times New Roman"/>
          <w:b/>
          <w:color w:val="000000" w:themeColor="text1"/>
          <w:sz w:val="32"/>
          <w:szCs w:val="32"/>
          <w:highlight w:val="none"/>
          <w14:textFill>
            <w14:solidFill>
              <w14:schemeClr w14:val="tx1"/>
            </w14:solidFill>
          </w14:textFill>
        </w:rPr>
      </w:pPr>
    </w:p>
    <w:p w14:paraId="36A3FDFE">
      <w:pPr>
        <w:keepNext w:val="0"/>
        <w:keepLines w:val="0"/>
        <w:pageBreakBefore w:val="0"/>
        <w:widowControl w:val="0"/>
        <w:kinsoku/>
        <w:wordWrap/>
        <w:overflowPunct/>
        <w:topLinePunct w:val="0"/>
        <w:autoSpaceDE/>
        <w:autoSpaceDN/>
        <w:bidi w:val="0"/>
        <w:adjustRightInd/>
        <w:snapToGrid w:val="0"/>
        <w:spacing w:after="160" w:afterLines="50" w:line="700" w:lineRule="exact"/>
        <w:ind w:left="142"/>
        <w:jc w:val="left"/>
        <w:textAlignment w:val="auto"/>
        <w:rPr>
          <w:rFonts w:hint="eastAsia" w:ascii="Times New Roman" w:hAnsi="Times New Roman" w:eastAsia="宋体" w:cs="Times New Roman"/>
          <w:b/>
          <w:color w:val="000000" w:themeColor="text1"/>
          <w:sz w:val="32"/>
          <w:szCs w:val="32"/>
          <w:highlight w:val="none"/>
          <w14:textFill>
            <w14:solidFill>
              <w14:schemeClr w14:val="tx1"/>
            </w14:solidFill>
          </w14:textFill>
        </w:rPr>
      </w:pPr>
    </w:p>
    <w:p w14:paraId="1A83473D">
      <w:pPr>
        <w:keepNext w:val="0"/>
        <w:keepLines w:val="0"/>
        <w:pageBreakBefore w:val="0"/>
        <w:widowControl w:val="0"/>
        <w:kinsoku/>
        <w:wordWrap/>
        <w:overflowPunct/>
        <w:topLinePunct w:val="0"/>
        <w:autoSpaceDE/>
        <w:autoSpaceDN/>
        <w:bidi w:val="0"/>
        <w:adjustRightInd/>
        <w:snapToGrid w:val="0"/>
        <w:spacing w:after="160" w:afterLines="50" w:line="700" w:lineRule="exact"/>
        <w:ind w:left="142"/>
        <w:jc w:val="left"/>
        <w:textAlignment w:val="auto"/>
        <w:rPr>
          <w:rFonts w:hint="eastAsia" w:ascii="宋体" w:hAnsi="宋体"/>
          <w:b/>
          <w:bCs/>
          <w:color w:val="000000" w:themeColor="text1"/>
          <w:sz w:val="24"/>
          <w:highlight w:val="none"/>
          <w14:textFill>
            <w14:solidFill>
              <w14:schemeClr w14:val="tx1"/>
            </w14:solidFill>
          </w14:textFill>
        </w:rPr>
      </w:pPr>
      <w:r>
        <w:rPr>
          <w:rFonts w:hint="eastAsia" w:ascii="Times New Roman" w:hAnsi="Times New Roman" w:eastAsia="宋体" w:cs="Times New Roman"/>
          <w:b/>
          <w:color w:val="000000" w:themeColor="text1"/>
          <w:sz w:val="32"/>
          <w:szCs w:val="32"/>
          <w:highlight w:val="none"/>
          <w14:textFill>
            <w14:solidFill>
              <w14:schemeClr w14:val="tx1"/>
            </w14:solidFill>
          </w14:textFill>
        </w:rPr>
        <w:t>2.商务技术文件目录</w:t>
      </w:r>
    </w:p>
    <w:p w14:paraId="5C7568A4">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竞争性磋商文件</w:t>
      </w:r>
      <w:r>
        <w:rPr>
          <w:rFonts w:hint="eastAsia" w:ascii="宋体" w:hAnsi="宋体"/>
          <w:color w:val="000000" w:themeColor="text1"/>
          <w:sz w:val="24"/>
          <w:szCs w:val="24"/>
          <w:highlight w:val="none"/>
          <w14:textFill>
            <w14:solidFill>
              <w14:schemeClr w14:val="tx1"/>
            </w14:solidFill>
          </w14:textFill>
        </w:rPr>
        <w:t>规定及供应商提供的材料自行编写目录（部分格式后附）</w:t>
      </w:r>
    </w:p>
    <w:p w14:paraId="67BD1318">
      <w:pPr>
        <w:spacing w:line="40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0AEF2EA">
      <w:pPr>
        <w:spacing w:after="318" w:afterLines="100" w:line="700" w:lineRule="exact"/>
        <w:jc w:val="left"/>
        <w:rPr>
          <w:rFonts w:hint="eastAsia" w:ascii="Times New Roman" w:hAnsi="Times New Roman" w:eastAsia="宋体"/>
          <w:b/>
          <w:bCs/>
          <w:color w:val="000000" w:themeColor="text1"/>
          <w:sz w:val="32"/>
          <w:szCs w:val="32"/>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Times New Roman" w:hAnsi="Times New Roman"/>
          <w:b/>
          <w:bCs/>
          <w:color w:val="000000" w:themeColor="text1"/>
          <w:sz w:val="32"/>
          <w:szCs w:val="32"/>
          <w:highlight w:val="none"/>
          <w:lang w:val="en-US" w:eastAsia="zh-CN"/>
          <w14:textFill>
            <w14:solidFill>
              <w14:schemeClr w14:val="tx1"/>
            </w14:solidFill>
          </w14:textFill>
        </w:rPr>
        <w:t>3.</w:t>
      </w:r>
      <w:r>
        <w:rPr>
          <w:rFonts w:ascii="Times New Roman" w:hAnsi="Times New Roman"/>
          <w:b/>
          <w:bCs/>
          <w:color w:val="000000" w:themeColor="text1"/>
          <w:sz w:val="32"/>
          <w:szCs w:val="32"/>
          <w:highlight w:val="none"/>
          <w14:textFill>
            <w14:solidFill>
              <w14:schemeClr w14:val="tx1"/>
            </w14:solidFill>
          </w14:textFill>
        </w:rPr>
        <w:t>无串通竞标行为的承诺函</w:t>
      </w:r>
      <w:r>
        <w:rPr>
          <w:rFonts w:hint="eastAsia" w:ascii="Times New Roman" w:hAnsi="Times New Roman"/>
          <w:b/>
          <w:bCs/>
          <w:color w:val="000000" w:themeColor="text1"/>
          <w:sz w:val="32"/>
          <w:szCs w:val="32"/>
          <w:highlight w:val="none"/>
          <w14:textFill>
            <w14:solidFill>
              <w14:schemeClr w14:val="tx1"/>
            </w14:solidFill>
          </w14:textFill>
        </w:rPr>
        <w:t>格式</w:t>
      </w:r>
    </w:p>
    <w:p w14:paraId="5DAA2E3C">
      <w:pPr>
        <w:spacing w:after="636" w:afterLines="200" w:line="7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ascii="Times New Roman" w:hAnsi="Times New Roman"/>
          <w:b/>
          <w:bCs/>
          <w:color w:val="000000" w:themeColor="text1"/>
          <w:sz w:val="32"/>
          <w:szCs w:val="32"/>
          <w:highlight w:val="none"/>
          <w14:textFill>
            <w14:solidFill>
              <w14:schemeClr w14:val="tx1"/>
            </w14:solidFill>
          </w14:textFill>
        </w:rPr>
        <w:t>无串通竞标行为的承诺函</w:t>
      </w:r>
    </w:p>
    <w:p w14:paraId="16627B12">
      <w:pPr>
        <w:keepNext w:val="0"/>
        <w:keepLines w:val="0"/>
        <w:pageBreakBefore w:val="0"/>
        <w:widowControl w:val="0"/>
        <w:kinsoku/>
        <w:wordWrap/>
        <w:overflowPunct/>
        <w:topLinePunct w:val="0"/>
        <w:autoSpaceDE/>
        <w:autoSpaceDN/>
        <w:bidi w:val="0"/>
        <w:adjustRightInd/>
        <w:snapToGrid/>
        <w:spacing w:line="450" w:lineRule="exact"/>
        <w:ind w:firstLine="422" w:firstLineChars="200"/>
        <w:contextualSpacing/>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一、我方承诺无下列相互串通竞标的情形：</w:t>
      </w:r>
    </w:p>
    <w:p w14:paraId="247C68F0">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 xml:space="preserve">由同一单位或者个人编制； </w:t>
      </w:r>
    </w:p>
    <w:p w14:paraId="4A170B2F">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2.不同供应商委托同一单位或者个人办理竞标事宜；</w:t>
      </w:r>
    </w:p>
    <w:p w14:paraId="6C402F64">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载明的项目管理员为同一个人；</w:t>
      </w:r>
    </w:p>
    <w:p w14:paraId="3A299029">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4.不</w:t>
      </w:r>
      <w:r>
        <w:rPr>
          <w:rFonts w:hint="default" w:ascii="Times New Roman" w:hAnsi="Times New Roman" w:cs="Times New Roman"/>
          <w:color w:val="000000" w:themeColor="text1"/>
          <w:spacing w:val="-6"/>
          <w:sz w:val="21"/>
          <w:szCs w:val="21"/>
          <w:highlight w:val="none"/>
          <w14:textFill>
            <w14:solidFill>
              <w14:schemeClr w14:val="tx1"/>
            </w14:solidFill>
          </w14:textFill>
        </w:rPr>
        <w:t>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pacing w:val="-6"/>
          <w:sz w:val="21"/>
          <w:szCs w:val="21"/>
          <w:highlight w:val="none"/>
          <w14:textFill>
            <w14:solidFill>
              <w14:schemeClr w14:val="tx1"/>
            </w14:solidFill>
          </w14:textFill>
        </w:rPr>
        <w:t>异常一致或者竞标报价呈规律性差异；</w:t>
      </w:r>
    </w:p>
    <w:p w14:paraId="297111B1">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5.不同供应商的</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相互混装；</w:t>
      </w:r>
    </w:p>
    <w:p w14:paraId="3DC17D57">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6.不同供应商的磋商保证金从同一单位或者个人账户转出。</w:t>
      </w:r>
    </w:p>
    <w:p w14:paraId="3C2D299E">
      <w:pPr>
        <w:keepNext w:val="0"/>
        <w:keepLines w:val="0"/>
        <w:pageBreakBefore w:val="0"/>
        <w:widowControl w:val="0"/>
        <w:kinsoku/>
        <w:wordWrap/>
        <w:overflowPunct/>
        <w:topLinePunct w:val="0"/>
        <w:autoSpaceDE/>
        <w:autoSpaceDN/>
        <w:bidi w:val="0"/>
        <w:adjustRightInd/>
        <w:snapToGrid/>
        <w:spacing w:line="450" w:lineRule="exact"/>
        <w:ind w:firstLine="422" w:firstLineChars="200"/>
        <w:contextualSpacing/>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二、我方承诺无下列恶意串通的情形：</w:t>
      </w:r>
    </w:p>
    <w:p w14:paraId="6A13D838">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1.供应商直接或者间接从采购人或者采购代理机构处获得其他供应商的相关信息并修改其</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w:t>
      </w:r>
    </w:p>
    <w:p w14:paraId="691C3BC1">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2.供应商按照采购人或者采购代理机构的授意撤换、修改</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z w:val="21"/>
          <w:szCs w:val="21"/>
          <w:highlight w:val="none"/>
          <w14:textFill>
            <w14:solidFill>
              <w14:schemeClr w14:val="tx1"/>
            </w14:solidFill>
          </w14:textFill>
        </w:rPr>
        <w:t>；</w:t>
      </w:r>
    </w:p>
    <w:p w14:paraId="41F44225">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w:t>
      </w:r>
      <w:r>
        <w:rPr>
          <w:rFonts w:hint="default" w:ascii="Times New Roman" w:hAnsi="Times New Roman" w:cs="Times New Roman"/>
          <w:color w:val="000000" w:themeColor="text1"/>
          <w:spacing w:val="-6"/>
          <w:sz w:val="21"/>
          <w:szCs w:val="21"/>
          <w:highlight w:val="none"/>
          <w14:textFill>
            <w14:solidFill>
              <w14:schemeClr w14:val="tx1"/>
            </w14:solidFill>
          </w14:textFill>
        </w:rPr>
        <w:t>应商之间协商报价、技术方案等</w:t>
      </w:r>
      <w:r>
        <w:rPr>
          <w:rFonts w:hint="eastAsia" w:ascii="Times New Roman" w:hAnsi="Times New Roman" w:cs="Times New Roman"/>
          <w:color w:val="000000" w:themeColor="text1"/>
          <w:sz w:val="21"/>
          <w:szCs w:val="21"/>
          <w:highlight w:val="none"/>
          <w:lang w:eastAsia="zh-CN"/>
          <w14:textFill>
            <w14:solidFill>
              <w14:schemeClr w14:val="tx1"/>
            </w14:solidFill>
          </w14:textFill>
        </w:rPr>
        <w:t>响应文件</w:t>
      </w:r>
      <w:r>
        <w:rPr>
          <w:rFonts w:hint="default" w:ascii="Times New Roman" w:hAnsi="Times New Roman" w:cs="Times New Roman"/>
          <w:color w:val="000000" w:themeColor="text1"/>
          <w:spacing w:val="-6"/>
          <w:sz w:val="21"/>
          <w:szCs w:val="21"/>
          <w:highlight w:val="none"/>
          <w14:textFill>
            <w14:solidFill>
              <w14:schemeClr w14:val="tx1"/>
            </w14:solidFill>
          </w14:textFill>
        </w:rPr>
        <w:t>的实质性内容；</w:t>
      </w:r>
    </w:p>
    <w:p w14:paraId="02816F91">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4.属于同一集团、协会、商会等组织成员的供应商按照该组织要求协同参加政府采购活动；</w:t>
      </w:r>
    </w:p>
    <w:p w14:paraId="4574E2CE">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298E6A55">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6.供应商之间商定部分供应商放弃参加政府采购活动或者放弃成交；</w:t>
      </w:r>
    </w:p>
    <w:p w14:paraId="7AC1D542">
      <w:pPr>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7.供应商与采购人或者采购代理机构之间、供应商相互之间，为</w:t>
      </w:r>
      <w:r>
        <w:rPr>
          <w:rFonts w:hint="default" w:ascii="Times New Roman" w:hAnsi="Times New Roman" w:cs="Times New Roman"/>
          <w:color w:val="000000" w:themeColor="text1"/>
          <w:spacing w:val="-6"/>
          <w:sz w:val="21"/>
          <w:szCs w:val="21"/>
          <w:highlight w:val="none"/>
          <w14:textFill>
            <w14:solidFill>
              <w14:schemeClr w14:val="tx1"/>
            </w14:solidFill>
          </w14:textFill>
        </w:rPr>
        <w:t>谋求特定供应商成交或者排斥其他供应商的其他串通行为。</w:t>
      </w:r>
    </w:p>
    <w:p w14:paraId="0ABA3230">
      <w:pPr>
        <w:keepNext w:val="0"/>
        <w:keepLines w:val="0"/>
        <w:pageBreakBefore w:val="0"/>
        <w:widowControl w:val="0"/>
        <w:kinsoku/>
        <w:wordWrap/>
        <w:overflowPunct/>
        <w:topLinePunct w:val="0"/>
        <w:autoSpaceDE/>
        <w:autoSpaceDN/>
        <w:bidi w:val="0"/>
        <w:adjustRightInd/>
        <w:snapToGrid/>
        <w:spacing w:line="450" w:lineRule="exact"/>
        <w:ind w:firstLine="422" w:firstLineChars="200"/>
        <w:contextualSpacing/>
        <w:textAlignment w:val="auto"/>
        <w:rPr>
          <w:rFonts w:hint="eastAsia"/>
          <w:color w:val="000000" w:themeColor="text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以上情形一经核查属实，我方愿意承担一切后果，并不再寻求任何旨在减轻或者免除法律责任的辩解。</w:t>
      </w:r>
    </w:p>
    <w:p w14:paraId="7A4B84A9">
      <w:pPr>
        <w:spacing w:line="600" w:lineRule="exact"/>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1401C81D">
      <w:pPr>
        <w:spacing w:line="600" w:lineRule="exact"/>
        <w:ind w:firstLine="5670" w:firstLineChars="2700"/>
        <w:contextualSpacing/>
        <w:rPr>
          <w:rFonts w:hint="eastAsia" w:ascii="宋体" w:hAnsi="宋体" w:cs="宋体"/>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供应商名称（盖公章）：                                      </w:t>
      </w:r>
      <w:r>
        <w:rPr>
          <w:rFonts w:hint="eastAsia" w:ascii="宋体" w:hAnsi="宋体" w:cs="宋体"/>
          <w:color w:val="000000" w:themeColor="text1"/>
          <w:sz w:val="21"/>
          <w:szCs w:val="21"/>
          <w:highlight w:val="none"/>
          <w14:textFill>
            <w14:solidFill>
              <w14:schemeClr w14:val="tx1"/>
            </w14:solidFill>
          </w14:textFill>
        </w:rPr>
        <w:t xml:space="preserve">    </w:t>
      </w:r>
    </w:p>
    <w:p w14:paraId="587D6428">
      <w:pPr>
        <w:spacing w:line="600" w:lineRule="exact"/>
        <w:ind w:right="482"/>
        <w:contextualSpacing/>
        <w:rPr>
          <w:rFonts w:ascii="宋体" w:hAns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日期：   年   月   日</w:t>
      </w:r>
    </w:p>
    <w:p w14:paraId="061B17A8">
      <w:pPr>
        <w:pStyle w:val="3"/>
        <w:spacing w:line="360" w:lineRule="exact"/>
        <w:jc w:val="left"/>
        <w:rPr>
          <w:rFonts w:hint="eastAsia" w:ascii="宋体" w:hAnsi="宋体" w:eastAsia="宋体" w:cs="宋体"/>
          <w:color w:val="000000" w:themeColor="text1"/>
          <w:sz w:val="30"/>
          <w:szCs w:val="30"/>
          <w:highlight w:val="none"/>
          <w14:textFill>
            <w14:solidFill>
              <w14:schemeClr w14:val="tx1"/>
            </w14:solidFill>
          </w14:textFill>
        </w:rPr>
      </w:pPr>
    </w:p>
    <w:bookmarkEnd w:id="178"/>
    <w:bookmarkEnd w:id="179"/>
    <w:bookmarkEnd w:id="180"/>
    <w:bookmarkEnd w:id="181"/>
    <w:bookmarkEnd w:id="182"/>
    <w:p w14:paraId="349E374F">
      <w:pP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br w:type="page"/>
      </w:r>
    </w:p>
    <w:p w14:paraId="156AE165">
      <w:pPr>
        <w:keepNext w:val="0"/>
        <w:keepLines w:val="0"/>
        <w:pageBreakBefore w:val="0"/>
        <w:widowControl w:val="0"/>
        <w:kinsoku/>
        <w:wordWrap/>
        <w:overflowPunct/>
        <w:topLinePunct w:val="0"/>
        <w:autoSpaceDE w:val="0"/>
        <w:autoSpaceDN w:val="0"/>
        <w:bidi w:val="0"/>
        <w:adjustRightInd/>
        <w:snapToGrid/>
        <w:spacing w:after="0" w:afterLines="200" w:line="740" w:lineRule="exact"/>
        <w:textAlignment w:val="auto"/>
        <w:rPr>
          <w:rFonts w:hint="eastAsia" w:ascii="仿宋_GB2312" w:hAnsi="仿宋_GB2312" w:cs="仿宋_GB2312"/>
          <w:color w:val="000000" w:themeColor="text1"/>
          <w:sz w:val="32"/>
          <w:szCs w:val="32"/>
          <w:highlight w:val="none"/>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4</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ascii="Times New Roman" w:hAnsi="Times New Roman"/>
          <w:b/>
          <w:color w:val="000000" w:themeColor="text1"/>
          <w:sz w:val="32"/>
          <w:szCs w:val="32"/>
          <w:highlight w:val="none"/>
          <w14:textFill>
            <w14:solidFill>
              <w14:schemeClr w14:val="tx1"/>
            </w14:solidFill>
          </w14:textFill>
        </w:rPr>
        <w:t>法定代表人</w:t>
      </w:r>
      <w:r>
        <w:rPr>
          <w:rFonts w:hint="eastAsia" w:ascii="Times New Roman" w:hAnsi="Times New Roman"/>
          <w:b/>
          <w:color w:val="000000" w:themeColor="text1"/>
          <w:sz w:val="32"/>
          <w:szCs w:val="32"/>
          <w:highlight w:val="none"/>
          <w:lang w:eastAsia="zh-CN"/>
          <w14:textFill>
            <w14:solidFill>
              <w14:schemeClr w14:val="tx1"/>
            </w14:solidFill>
          </w14:textFill>
        </w:rPr>
        <w:t>身份</w:t>
      </w:r>
      <w:r>
        <w:rPr>
          <w:rFonts w:ascii="Times New Roman" w:hAnsi="Times New Roman"/>
          <w:b/>
          <w:color w:val="000000" w:themeColor="text1"/>
          <w:sz w:val="32"/>
          <w:szCs w:val="32"/>
          <w:highlight w:val="none"/>
          <w14:textFill>
            <w14:solidFill>
              <w14:schemeClr w14:val="tx1"/>
            </w14:solidFill>
          </w14:textFill>
        </w:rPr>
        <w:t>证明</w:t>
      </w:r>
      <w:r>
        <w:rPr>
          <w:rFonts w:hint="eastAsia" w:ascii="Times New Roman" w:hAnsi="Times New Roman"/>
          <w:b/>
          <w:color w:val="000000" w:themeColor="text1"/>
          <w:sz w:val="32"/>
          <w:szCs w:val="32"/>
          <w:highlight w:val="none"/>
          <w14:textFill>
            <w14:solidFill>
              <w14:schemeClr w14:val="tx1"/>
            </w14:solidFill>
          </w14:textFill>
        </w:rPr>
        <w:t>格式</w:t>
      </w:r>
    </w:p>
    <w:p w14:paraId="409D01AC">
      <w:pPr>
        <w:keepNext w:val="0"/>
        <w:keepLines w:val="0"/>
        <w:pageBreakBefore w:val="0"/>
        <w:widowControl w:val="0"/>
        <w:kinsoku/>
        <w:wordWrap/>
        <w:overflowPunct/>
        <w:topLinePunct w:val="0"/>
        <w:autoSpaceDE w:val="0"/>
        <w:autoSpaceDN w:val="0"/>
        <w:bidi w:val="0"/>
        <w:adjustRightInd/>
        <w:snapToGrid/>
        <w:spacing w:after="0" w:afterLines="300" w:line="740" w:lineRule="exact"/>
        <w:jc w:val="center"/>
        <w:textAlignment w:val="auto"/>
        <w:rPr>
          <w:rFonts w:hint="eastAsia"/>
          <w:b/>
          <w:color w:val="000000" w:themeColor="text1"/>
          <w:sz w:val="33"/>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法定代表人</w:t>
      </w:r>
      <w:r>
        <w:rPr>
          <w:rFonts w:hint="eastAsia" w:ascii="Times New Roman" w:hAnsi="Times New Roman"/>
          <w:b/>
          <w:color w:val="000000" w:themeColor="text1"/>
          <w:sz w:val="32"/>
          <w:szCs w:val="32"/>
          <w:highlight w:val="none"/>
          <w:lang w:eastAsia="zh-CN"/>
          <w14:textFill>
            <w14:solidFill>
              <w14:schemeClr w14:val="tx1"/>
            </w14:solidFill>
          </w14:textFill>
        </w:rPr>
        <w:t>身份</w:t>
      </w:r>
      <w:r>
        <w:rPr>
          <w:rFonts w:ascii="Times New Roman" w:hAnsi="Times New Roman"/>
          <w:b/>
          <w:color w:val="000000" w:themeColor="text1"/>
          <w:sz w:val="32"/>
          <w:szCs w:val="32"/>
          <w:highlight w:val="none"/>
          <w14:textFill>
            <w14:solidFill>
              <w14:schemeClr w14:val="tx1"/>
            </w14:solidFill>
          </w14:textFill>
        </w:rPr>
        <w:t>证明</w:t>
      </w:r>
    </w:p>
    <w:p w14:paraId="53515238">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bookmarkStart w:id="184" w:name="_Toc7764"/>
      <w:r>
        <w:rPr>
          <w:rFonts w:hint="eastAsia" w:ascii="宋体" w:hAnsi="宋体" w:cs="仿宋_GB2312"/>
          <w:color w:val="000000" w:themeColor="text1"/>
          <w:sz w:val="21"/>
          <w:szCs w:val="21"/>
          <w:highlight w:val="none"/>
          <w14:textFill>
            <w14:solidFill>
              <w14:schemeClr w14:val="tx1"/>
            </w14:solidFill>
          </w14:textFill>
        </w:rPr>
        <w:t>供应商名称：</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14:paraId="07FC77B3">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 xml:space="preserve">地    </w:t>
      </w:r>
      <w:r>
        <w:rPr>
          <w:rFonts w:hint="eastAsia" w:cs="仿宋_GB2312"/>
          <w:color w:val="000000" w:themeColor="text1"/>
          <w:sz w:val="21"/>
          <w:szCs w:val="21"/>
          <w:highlight w:val="non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址：</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14:paraId="14AA0D45">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 xml:space="preserve">姓    </w:t>
      </w:r>
      <w:r>
        <w:rPr>
          <w:rFonts w:hint="eastAsia" w:cs="仿宋_GB2312"/>
          <w:color w:val="000000" w:themeColor="text1"/>
          <w:sz w:val="21"/>
          <w:szCs w:val="21"/>
          <w:highlight w:val="non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名：</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性      别：</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14:paraId="4ECF5F66">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u w:val="singl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 xml:space="preserve">年    </w:t>
      </w:r>
      <w:r>
        <w:rPr>
          <w:rFonts w:hint="eastAsia" w:cs="仿宋_GB2312"/>
          <w:color w:val="000000" w:themeColor="text1"/>
          <w:sz w:val="21"/>
          <w:szCs w:val="21"/>
          <w:highlight w:val="non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龄：</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职      务：</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14:paraId="7C72E129">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身份证号码：</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hint="eastAsia" w:cs="仿宋_GB2312"/>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仿宋_GB2312"/>
          <w:color w:val="000000" w:themeColor="text1"/>
          <w:sz w:val="21"/>
          <w:szCs w:val="21"/>
          <w:highlight w:val="none"/>
          <w:u w:val="single"/>
          <w14:textFill>
            <w14:solidFill>
              <w14:schemeClr w14:val="tx1"/>
            </w14:solidFill>
          </w14:textFill>
        </w:rPr>
        <w:t xml:space="preserve">     </w:t>
      </w:r>
    </w:p>
    <w:p w14:paraId="5D035D9F">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系</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u w:val="single"/>
          <w14:textFill>
            <w14:solidFill>
              <w14:schemeClr w14:val="tx1"/>
            </w14:solidFill>
          </w14:textFill>
        </w:rPr>
        <w:t xml:space="preserve">（供应商名称） </w:t>
      </w:r>
      <w:r>
        <w:rPr>
          <w:rFonts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u w:val="single"/>
          <w14:textFill>
            <w14:solidFill>
              <w14:schemeClr w14:val="tx1"/>
            </w14:solidFill>
          </w14:textFill>
        </w:rPr>
        <w:t xml:space="preserve">  </w:t>
      </w:r>
      <w:r>
        <w:rPr>
          <w:rFonts w:ascii="宋体" w:hAnsi="宋体" w:cs="仿宋_GB2312"/>
          <w:color w:val="000000" w:themeColor="text1"/>
          <w:sz w:val="21"/>
          <w:szCs w:val="21"/>
          <w:highlight w:val="none"/>
          <w:u w:val="single"/>
          <w14:textFill>
            <w14:solidFill>
              <w14:schemeClr w14:val="tx1"/>
            </w14:solidFill>
          </w14:textFill>
        </w:rPr>
        <w:t xml:space="preserve"> </w:t>
      </w:r>
      <w:r>
        <w:rPr>
          <w:rFonts w:hint="eastAsia" w:ascii="宋体" w:hAnsi="宋体" w:cs="仿宋_GB2312"/>
          <w:color w:val="000000" w:themeColor="text1"/>
          <w:sz w:val="21"/>
          <w:szCs w:val="21"/>
          <w:highlight w:val="none"/>
          <w14:textFill>
            <w14:solidFill>
              <w14:schemeClr w14:val="tx1"/>
            </w14:solidFill>
          </w14:textFill>
        </w:rPr>
        <w:t>的法定代表人。</w:t>
      </w:r>
    </w:p>
    <w:p w14:paraId="68A1F702">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特此证明。</w:t>
      </w:r>
    </w:p>
    <w:p w14:paraId="39E21D08">
      <w:pPr>
        <w:keepNext w:val="0"/>
        <w:keepLines w:val="0"/>
        <w:pageBreakBefore w:val="0"/>
        <w:widowControl w:val="0"/>
        <w:kinsoku/>
        <w:wordWrap/>
        <w:overflowPunct/>
        <w:topLinePunct w:val="0"/>
        <w:autoSpaceDE w:val="0"/>
        <w:autoSpaceDN w:val="0"/>
        <w:bidi w:val="0"/>
        <w:adjustRightInd/>
        <w:snapToGrid/>
        <w:spacing w:line="640" w:lineRule="exact"/>
        <w:contextualSpacing/>
        <w:textAlignment w:val="auto"/>
        <w:rPr>
          <w:rFonts w:hint="eastAsia" w:ascii="宋体" w:hAnsi="宋体" w:cs="仿宋_GB2312"/>
          <w:color w:val="000000" w:themeColor="text1"/>
          <w:sz w:val="21"/>
          <w:szCs w:val="21"/>
          <w:highlight w:val="none"/>
          <w14:textFill>
            <w14:solidFill>
              <w14:schemeClr w14:val="tx1"/>
            </w14:solidFill>
          </w14:textFill>
        </w:rPr>
      </w:pPr>
    </w:p>
    <w:p w14:paraId="5665538B">
      <w:pPr>
        <w:keepNext w:val="0"/>
        <w:keepLines w:val="0"/>
        <w:pageBreakBefore w:val="0"/>
        <w:widowControl w:val="0"/>
        <w:kinsoku/>
        <w:wordWrap/>
        <w:overflowPunct/>
        <w:topLinePunct w:val="0"/>
        <w:autoSpaceDE w:val="0"/>
        <w:autoSpaceDN w:val="0"/>
        <w:bidi w:val="0"/>
        <w:adjustRightInd/>
        <w:snapToGrid/>
        <w:spacing w:line="640" w:lineRule="exact"/>
        <w:ind w:left="540"/>
        <w:contextualSpacing/>
        <w:textAlignment w:val="auto"/>
        <w:rPr>
          <w:rFonts w:hint="eastAsia" w:ascii="宋体" w:hAnsi="宋体" w:eastAsia="宋体" w:cs="仿宋_GB2312"/>
          <w:color w:val="000000" w:themeColor="text1"/>
          <w:sz w:val="21"/>
          <w:szCs w:val="21"/>
          <w:highlight w:val="none"/>
          <w:lang w:eastAsia="zh-CN"/>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附件：法定代表人有效身份证正反面</w:t>
      </w:r>
      <w:r>
        <w:rPr>
          <w:rFonts w:hint="eastAsia" w:cs="仿宋_GB2312"/>
          <w:color w:val="000000" w:themeColor="text1"/>
          <w:sz w:val="21"/>
          <w:szCs w:val="21"/>
          <w:highlight w:val="none"/>
          <w:lang w:eastAsia="zh-CN"/>
          <w14:textFill>
            <w14:solidFill>
              <w14:schemeClr w14:val="tx1"/>
            </w14:solidFill>
          </w14:textFill>
        </w:rPr>
        <w:t>的扫描件</w:t>
      </w:r>
    </w:p>
    <w:p w14:paraId="48ADC346">
      <w:pPr>
        <w:spacing w:line="450" w:lineRule="exact"/>
        <w:ind w:left="540"/>
        <w:contextualSpacing/>
        <w:rPr>
          <w:rFonts w:hint="eastAsia" w:ascii="宋体" w:hAnsi="宋体" w:cs="仿宋_GB2312"/>
          <w:color w:val="000000" w:themeColor="text1"/>
          <w:sz w:val="21"/>
          <w:szCs w:val="21"/>
          <w:highlight w:val="none"/>
          <w14:textFill>
            <w14:solidFill>
              <w14:schemeClr w14:val="tx1"/>
            </w14:solidFill>
          </w14:textFill>
        </w:rPr>
      </w:pPr>
    </w:p>
    <w:p w14:paraId="6F1959C1">
      <w:pPr>
        <w:pStyle w:val="30"/>
        <w:rPr>
          <w:rFonts w:hint="eastAsia"/>
          <w:color w:val="000000" w:themeColor="text1"/>
          <w:sz w:val="21"/>
          <w:szCs w:val="21"/>
          <w:highlight w:val="none"/>
          <w14:textFill>
            <w14:solidFill>
              <w14:schemeClr w14:val="tx1"/>
            </w14:solidFill>
          </w14:textFill>
        </w:rPr>
      </w:pPr>
    </w:p>
    <w:p w14:paraId="732DBAB7">
      <w:pPr>
        <w:pStyle w:val="30"/>
        <w:rPr>
          <w:rFonts w:hint="eastAsia"/>
          <w:color w:val="000000" w:themeColor="text1"/>
          <w:sz w:val="21"/>
          <w:szCs w:val="21"/>
          <w:highlight w:val="none"/>
          <w14:textFill>
            <w14:solidFill>
              <w14:schemeClr w14:val="tx1"/>
            </w14:solidFill>
          </w14:textFill>
        </w:rPr>
      </w:pPr>
    </w:p>
    <w:p w14:paraId="1F2AF30C">
      <w:pPr>
        <w:pStyle w:val="30"/>
        <w:rPr>
          <w:rFonts w:hint="eastAsia"/>
          <w:color w:val="000000" w:themeColor="text1"/>
          <w:sz w:val="21"/>
          <w:szCs w:val="21"/>
          <w:highlight w:val="none"/>
          <w14:textFill>
            <w14:solidFill>
              <w14:schemeClr w14:val="tx1"/>
            </w14:solidFill>
          </w14:textFill>
        </w:rPr>
      </w:pPr>
    </w:p>
    <w:p w14:paraId="7258CD10">
      <w:pPr>
        <w:keepNext w:val="0"/>
        <w:keepLines w:val="0"/>
        <w:pageBreakBefore w:val="0"/>
        <w:widowControl w:val="0"/>
        <w:kinsoku/>
        <w:wordWrap/>
        <w:overflowPunct/>
        <w:topLinePunct w:val="0"/>
        <w:autoSpaceDE w:val="0"/>
        <w:autoSpaceDN w:val="0"/>
        <w:bidi w:val="0"/>
        <w:adjustRightInd/>
        <w:snapToGrid/>
        <w:spacing w:line="700" w:lineRule="exact"/>
        <w:ind w:firstLine="4620" w:firstLineChars="2200"/>
        <w:contextualSpacing/>
        <w:textAlignment w:val="auto"/>
        <w:rPr>
          <w:rFonts w:hint="eastAsia" w:ascii="宋体" w:hAnsi="宋体" w:cs="宋体"/>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14:textFill>
            <w14:solidFill>
              <w14:schemeClr w14:val="tx1"/>
            </w14:solidFill>
          </w14:textFill>
        </w:rPr>
        <w:t xml:space="preserve">（盖公章）：                                      </w:t>
      </w:r>
      <w:r>
        <w:rPr>
          <w:rFonts w:hint="eastAsia" w:ascii="宋体" w:hAnsi="宋体" w:cs="宋体"/>
          <w:color w:val="000000" w:themeColor="text1"/>
          <w:sz w:val="21"/>
          <w:szCs w:val="21"/>
          <w:highlight w:val="none"/>
          <w14:textFill>
            <w14:solidFill>
              <w14:schemeClr w14:val="tx1"/>
            </w14:solidFill>
          </w14:textFill>
        </w:rPr>
        <w:t xml:space="preserve">    </w:t>
      </w:r>
    </w:p>
    <w:p w14:paraId="4DA3EDD3">
      <w:pPr>
        <w:keepNext w:val="0"/>
        <w:keepLines w:val="0"/>
        <w:pageBreakBefore w:val="0"/>
        <w:widowControl w:val="0"/>
        <w:kinsoku/>
        <w:wordWrap/>
        <w:overflowPunct/>
        <w:topLinePunct w:val="0"/>
        <w:autoSpaceDE w:val="0"/>
        <w:autoSpaceDN w:val="0"/>
        <w:bidi w:val="0"/>
        <w:adjustRightInd/>
        <w:snapToGrid/>
        <w:spacing w:line="700" w:lineRule="exact"/>
        <w:ind w:right="482"/>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日期：   年   月   日</w:t>
      </w:r>
    </w:p>
    <w:p w14:paraId="7F2683AD">
      <w:pPr>
        <w:rPr>
          <w:rFonts w:hint="eastAsia"/>
          <w:color w:val="000000" w:themeColor="text1"/>
          <w:highlight w:val="none"/>
          <w14:textFill>
            <w14:solidFill>
              <w14:schemeClr w14:val="tx1"/>
            </w14:solidFill>
          </w14:textFill>
        </w:rPr>
      </w:pPr>
    </w:p>
    <w:p w14:paraId="75E36F53">
      <w:pPr>
        <w:pStyle w:val="5"/>
        <w:rPr>
          <w:rFonts w:hint="eastAsia" w:ascii="宋体" w:hAnsi="宋体" w:eastAsia="宋体" w:cs="宋体"/>
          <w:color w:val="000000" w:themeColor="text1"/>
          <w:highlight w:val="none"/>
          <w14:textFill>
            <w14:solidFill>
              <w14:schemeClr w14:val="tx1"/>
            </w14:solidFill>
          </w14:textFill>
        </w:rPr>
      </w:pPr>
    </w:p>
    <w:p w14:paraId="7C76D804">
      <w:pPr>
        <w:rPr>
          <w:rFonts w:hint="eastAsia"/>
          <w:color w:val="000000" w:themeColor="text1"/>
          <w:highlight w:val="none"/>
          <w14:textFill>
            <w14:solidFill>
              <w14:schemeClr w14:val="tx1"/>
            </w14:solidFill>
          </w14:textFill>
        </w:rPr>
      </w:pPr>
    </w:p>
    <w:p w14:paraId="6CA9890E">
      <w:pPr>
        <w:pStyle w:val="5"/>
        <w:rPr>
          <w:rFonts w:hint="eastAsia" w:ascii="宋体" w:hAnsi="宋体" w:eastAsia="宋体" w:cs="宋体"/>
          <w:color w:val="000000" w:themeColor="text1"/>
          <w:highlight w:val="none"/>
          <w14:textFill>
            <w14:solidFill>
              <w14:schemeClr w14:val="tx1"/>
            </w14:solidFill>
          </w14:textFill>
        </w:rPr>
      </w:pPr>
    </w:p>
    <w:p w14:paraId="32158593">
      <w:pPr>
        <w:rPr>
          <w:rFonts w:hint="eastAsia"/>
          <w:color w:val="000000" w:themeColor="text1"/>
          <w:highlight w:val="none"/>
          <w14:textFill>
            <w14:solidFill>
              <w14:schemeClr w14:val="tx1"/>
            </w14:solidFill>
          </w14:textFill>
        </w:rPr>
      </w:pPr>
    </w:p>
    <w:p w14:paraId="7F1A1D46">
      <w:pPr>
        <w:pStyle w:val="5"/>
        <w:rPr>
          <w:rFonts w:hint="eastAsia" w:ascii="宋体" w:hAnsi="宋体" w:eastAsia="宋体" w:cs="宋体"/>
          <w:color w:val="000000" w:themeColor="text1"/>
          <w:highlight w:val="none"/>
          <w14:textFill>
            <w14:solidFill>
              <w14:schemeClr w14:val="tx1"/>
            </w14:solidFill>
          </w14:textFill>
        </w:rPr>
      </w:pPr>
    </w:p>
    <w:p w14:paraId="4C975614">
      <w:pPr>
        <w:rPr>
          <w:rFonts w:hint="eastAsia"/>
          <w:color w:val="000000" w:themeColor="text1"/>
          <w:highlight w:val="none"/>
          <w14:textFill>
            <w14:solidFill>
              <w14:schemeClr w14:val="tx1"/>
            </w14:solidFill>
          </w14:textFill>
        </w:rPr>
      </w:pPr>
    </w:p>
    <w:p w14:paraId="528547D2">
      <w:pPr>
        <w:rPr>
          <w:rFonts w:hint="eastAsia"/>
          <w:color w:val="000000" w:themeColor="text1"/>
          <w:highlight w:val="none"/>
          <w14:textFill>
            <w14:solidFill>
              <w14:schemeClr w14:val="tx1"/>
            </w14:solidFill>
          </w14:textFill>
        </w:rPr>
      </w:pPr>
    </w:p>
    <w:p w14:paraId="49D7C1EA">
      <w:pPr>
        <w:rPr>
          <w:rFonts w:hint="eastAsia"/>
          <w:color w:val="000000" w:themeColor="text1"/>
          <w:highlight w:val="none"/>
          <w14:textFill>
            <w14:solidFill>
              <w14:schemeClr w14:val="tx1"/>
            </w14:solidFill>
          </w14:textFill>
        </w:rPr>
      </w:pPr>
    </w:p>
    <w:bookmarkEnd w:id="184"/>
    <w:p w14:paraId="0F1DFC45">
      <w:pPr>
        <w:spacing w:after="318" w:afterLines="100" w:line="700" w:lineRule="exact"/>
        <w:rPr>
          <w:rFonts w:hint="eastAsia" w:ascii="Times New Roman" w:hAnsi="Times New Roman"/>
          <w:b/>
          <w:bCs/>
          <w:color w:val="000000" w:themeColor="text1"/>
          <w:sz w:val="32"/>
          <w:szCs w:val="32"/>
          <w:highlight w:val="none"/>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法定代表人</w:t>
      </w:r>
      <w:r>
        <w:rPr>
          <w:rFonts w:ascii="Times New Roman" w:hAnsi="Times New Roman"/>
          <w:b/>
          <w:bCs/>
          <w:color w:val="000000" w:themeColor="text1"/>
          <w:sz w:val="32"/>
          <w:szCs w:val="32"/>
          <w:highlight w:val="none"/>
          <w14:textFill>
            <w14:solidFill>
              <w14:schemeClr w14:val="tx1"/>
            </w14:solidFill>
          </w14:textFill>
        </w:rPr>
        <w:t>授权委托书</w:t>
      </w:r>
      <w:r>
        <w:rPr>
          <w:rFonts w:hint="eastAsia" w:ascii="Times New Roman" w:hAnsi="Times New Roman"/>
          <w:b/>
          <w:bCs/>
          <w:color w:val="000000" w:themeColor="text1"/>
          <w:sz w:val="32"/>
          <w:szCs w:val="32"/>
          <w:highlight w:val="none"/>
          <w14:textFill>
            <w14:solidFill>
              <w14:schemeClr w14:val="tx1"/>
            </w14:solidFill>
          </w14:textFill>
        </w:rPr>
        <w:t>格式</w:t>
      </w:r>
    </w:p>
    <w:p w14:paraId="1E4A9B2E">
      <w:pPr>
        <w:keepNext w:val="0"/>
        <w:keepLines w:val="0"/>
        <w:pageBreakBefore w:val="0"/>
        <w:widowControl w:val="0"/>
        <w:kinsoku/>
        <w:wordWrap/>
        <w:overflowPunct/>
        <w:topLinePunct w:val="0"/>
        <w:autoSpaceDE w:val="0"/>
        <w:autoSpaceDN w:val="0"/>
        <w:bidi w:val="0"/>
        <w:adjustRightInd/>
        <w:snapToGrid/>
        <w:spacing w:before="0" w:beforeLines="100" w:after="0" w:afterLines="300" w:line="90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imes New Roman" w:hAnsi="Times New Roman"/>
          <w:b/>
          <w:bCs/>
          <w:color w:val="000000" w:themeColor="text1"/>
          <w:sz w:val="32"/>
          <w:szCs w:val="32"/>
          <w:highlight w:val="none"/>
          <w:lang w:eastAsia="zh-CN"/>
          <w14:textFill>
            <w14:solidFill>
              <w14:schemeClr w14:val="tx1"/>
            </w14:solidFill>
          </w14:textFill>
        </w:rPr>
        <w:t>法定代表人</w:t>
      </w:r>
      <w:r>
        <w:rPr>
          <w:rFonts w:ascii="Times New Roman" w:hAnsi="Times New Roman"/>
          <w:b/>
          <w:bCs/>
          <w:color w:val="000000" w:themeColor="text1"/>
          <w:sz w:val="32"/>
          <w:szCs w:val="32"/>
          <w:highlight w:val="none"/>
          <w14:textFill>
            <w14:solidFill>
              <w14:schemeClr w14:val="tx1"/>
            </w14:solidFill>
          </w14:textFill>
        </w:rPr>
        <w:t>授权委托书（如有委托时）</w:t>
      </w:r>
    </w:p>
    <w:p w14:paraId="5E153A85">
      <w:pPr>
        <w:spacing w:line="470" w:lineRule="exact"/>
        <w:contextualSpacing/>
        <w:rPr>
          <w:rFonts w:hint="eastAsia" w:ascii="Times New Roman" w:hAnsi="Times New Roman"/>
          <w:color w:val="000000" w:themeColor="text1"/>
          <w:sz w:val="21"/>
          <w:szCs w:val="21"/>
          <w:highlight w:val="none"/>
          <w14:textFill>
            <w14:solidFill>
              <w14:schemeClr w14:val="tx1"/>
            </w14:solidFill>
          </w14:textFill>
        </w:rPr>
      </w:pPr>
      <w:r>
        <w:rPr>
          <w:rFonts w:ascii="Times New Roman" w:hAnsi="Times New Roman"/>
          <w:b/>
          <w:bCs/>
          <w:color w:val="000000" w:themeColor="text1"/>
          <w:sz w:val="21"/>
          <w:szCs w:val="21"/>
          <w:highlight w:val="none"/>
          <w14:textFill>
            <w14:solidFill>
              <w14:schemeClr w14:val="tx1"/>
            </w14:solidFill>
          </w14:textFill>
        </w:rPr>
        <w:t>致：</w:t>
      </w:r>
      <w:r>
        <w:rPr>
          <w:rFonts w:hint="eastAsia" w:ascii="Times New Roman" w:hAnsi="Times New Roman"/>
          <w:b/>
          <w:bCs/>
          <w:color w:val="000000" w:themeColor="text1"/>
          <w:sz w:val="21"/>
          <w:szCs w:val="21"/>
          <w:highlight w:val="none"/>
          <w:u w:val="single"/>
          <w14:textFill>
            <w14:solidFill>
              <w14:schemeClr w14:val="tx1"/>
            </w14:solidFill>
          </w14:textFill>
        </w:rPr>
        <w:t xml:space="preserve">  </w:t>
      </w:r>
      <w:r>
        <w:rPr>
          <w:rFonts w:ascii="Times New Roman" w:hAnsi="Times New Roman"/>
          <w:b/>
          <w:bCs/>
          <w:color w:val="000000" w:themeColor="text1"/>
          <w:sz w:val="21"/>
          <w:szCs w:val="21"/>
          <w:highlight w:val="none"/>
          <w:u w:val="single"/>
          <w14:textFill>
            <w14:solidFill>
              <w14:schemeClr w14:val="tx1"/>
            </w14:solidFill>
          </w14:textFill>
        </w:rPr>
        <w:t>（采购人名称）</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14:paraId="3280A1E9">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我</w:t>
      </w:r>
      <w:r>
        <w:rPr>
          <w:rFonts w:ascii="Times New Roman" w:hAnsi="Times New Roman"/>
          <w:color w:val="000000" w:themeColor="text1"/>
          <w:sz w:val="21"/>
          <w:szCs w:val="21"/>
          <w:highlight w:val="none"/>
          <w:u w:val="single"/>
          <w14:textFill>
            <w14:solidFill>
              <w14:schemeClr w14:val="tx1"/>
            </w14:solidFill>
          </w14:textFill>
        </w:rPr>
        <w:t xml:space="preserve">  （姓名） </w:t>
      </w:r>
      <w:r>
        <w:rPr>
          <w:rFonts w:ascii="Times New Roman" w:hAnsi="Times New Roman"/>
          <w:color w:val="000000" w:themeColor="text1"/>
          <w:sz w:val="21"/>
          <w:szCs w:val="21"/>
          <w:highlight w:val="none"/>
          <w14:textFill>
            <w14:solidFill>
              <w14:schemeClr w14:val="tx1"/>
            </w14:solidFill>
          </w14:textFill>
        </w:rPr>
        <w:t>系</w:t>
      </w:r>
      <w:r>
        <w:rPr>
          <w:rFonts w:ascii="Times New Roman" w:hAnsi="Times New Roman"/>
          <w:color w:val="000000" w:themeColor="text1"/>
          <w:sz w:val="21"/>
          <w:szCs w:val="21"/>
          <w:highlight w:val="none"/>
          <w:u w:val="single"/>
          <w14:textFill>
            <w14:solidFill>
              <w14:schemeClr w14:val="tx1"/>
            </w14:solidFill>
          </w14:textFill>
        </w:rPr>
        <w:t xml:space="preserve">  （供应商名称）  </w:t>
      </w:r>
      <w:r>
        <w:rPr>
          <w:rFonts w:ascii="Times New Roman" w:hAnsi="Times New Roman"/>
          <w:color w:val="000000" w:themeColor="text1"/>
          <w:sz w:val="21"/>
          <w:szCs w:val="21"/>
          <w:highlight w:val="none"/>
          <w14:textFill>
            <w14:solidFill>
              <w14:schemeClr w14:val="tx1"/>
            </w14:solidFill>
          </w14:textFill>
        </w:rPr>
        <w:t>的</w:t>
      </w:r>
      <w:r>
        <w:rPr>
          <w:rFonts w:ascii="Times New Roman" w:hAnsi="Times New Roman"/>
          <w:color w:val="000000" w:themeColor="text1"/>
          <w:sz w:val="21"/>
          <w:szCs w:val="21"/>
          <w:highlight w:val="none"/>
          <w:u w:val="none"/>
          <w14:textFill>
            <w14:solidFill>
              <w14:schemeClr w14:val="tx1"/>
            </w14:solidFill>
          </w14:textFill>
        </w:rPr>
        <w:t>法定代表人</w:t>
      </w:r>
      <w:r>
        <w:rPr>
          <w:rFonts w:ascii="Times New Roman" w:hAnsi="Times New Roman"/>
          <w:color w:val="000000" w:themeColor="text1"/>
          <w:sz w:val="21"/>
          <w:szCs w:val="21"/>
          <w:highlight w:val="none"/>
          <w14:textFill>
            <w14:solidFill>
              <w14:schemeClr w14:val="tx1"/>
            </w14:solidFill>
          </w14:textFill>
        </w:rPr>
        <w:t>，现授权</w:t>
      </w:r>
      <w:r>
        <w:rPr>
          <w:rFonts w:ascii="Times New Roman" w:hAnsi="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olor w:val="000000" w:themeColor="text1"/>
          <w:sz w:val="21"/>
          <w:szCs w:val="21"/>
          <w:highlight w:val="none"/>
          <w:u w:val="single"/>
          <w14:textFill>
            <w14:solidFill>
              <w14:schemeClr w14:val="tx1"/>
            </w14:solidFill>
          </w14:textFill>
        </w:rPr>
        <w:t xml:space="preserve">（姓名） </w:t>
      </w:r>
      <w:r>
        <w:rPr>
          <w:rFonts w:ascii="Times New Roman" w:hAnsi="Times New Roman"/>
          <w:color w:val="000000" w:themeColor="text1"/>
          <w:sz w:val="21"/>
          <w:szCs w:val="21"/>
          <w:highlight w:val="none"/>
          <w14:textFill>
            <w14:solidFill>
              <w14:schemeClr w14:val="tx1"/>
            </w14:solidFill>
          </w14:textFill>
        </w:rPr>
        <w:t>以我方的名义参加</w:t>
      </w:r>
      <w:r>
        <w:rPr>
          <w:rFonts w:ascii="Times New Roman" w:hAnsi="Times New Roman"/>
          <w:color w:val="000000" w:themeColor="text1"/>
          <w:sz w:val="21"/>
          <w:szCs w:val="21"/>
          <w:highlight w:val="none"/>
          <w:u w:val="single"/>
          <w14:textFill>
            <w14:solidFill>
              <w14:schemeClr w14:val="tx1"/>
            </w14:solidFill>
          </w14:textFill>
        </w:rPr>
        <w:t xml:space="preserve">  </w:t>
      </w:r>
      <w:r>
        <w:rPr>
          <w:rFonts w:ascii="Times New Roman" w:cs="Times New Roman"/>
          <w:color w:val="000000" w:themeColor="text1"/>
          <w:sz w:val="21"/>
          <w:szCs w:val="21"/>
          <w:highlight w:val="none"/>
          <w:u w:val="single"/>
          <w14:textFill>
            <w14:solidFill>
              <w14:schemeClr w14:val="tx1"/>
            </w14:solidFill>
          </w14:textFill>
        </w:rPr>
        <w:t>（</w:t>
      </w:r>
      <w:r>
        <w:rPr>
          <w:rFonts w:hint="eastAsia" w:ascii="Times New Roman" w:cs="Times New Roman"/>
          <w:color w:val="000000" w:themeColor="text1"/>
          <w:sz w:val="21"/>
          <w:szCs w:val="21"/>
          <w:highlight w:val="none"/>
          <w:u w:val="single"/>
          <w14:textFill>
            <w14:solidFill>
              <w14:schemeClr w14:val="tx1"/>
            </w14:solidFill>
          </w14:textFill>
        </w:rPr>
        <w:t>项目名称）</w:t>
      </w:r>
      <w:r>
        <w:rPr>
          <w:rFonts w:hint="eastAsia" w:ascii="Times New Roman" w:cs="Times New Roman"/>
          <w:color w:val="000000" w:themeColor="text1"/>
          <w:sz w:val="21"/>
          <w:szCs w:val="21"/>
          <w:highlight w:val="none"/>
          <w:u w:val="single"/>
          <w:lang w:val="en-US"/>
          <w14:textFill>
            <w14:solidFill>
              <w14:schemeClr w14:val="tx1"/>
            </w14:solidFill>
          </w14:textFill>
        </w:rPr>
        <w:t xml:space="preserve"> </w:t>
      </w:r>
      <w:r>
        <w:rPr>
          <w:rFonts w:ascii="Times New Roman" w:hAnsi="Times New Roman"/>
          <w:color w:val="000000" w:themeColor="text1"/>
          <w:sz w:val="21"/>
          <w:szCs w:val="21"/>
          <w:highlight w:val="none"/>
          <w:u w:val="single"/>
          <w14:textFill>
            <w14:solidFill>
              <w14:schemeClr w14:val="tx1"/>
            </w14:solidFill>
          </w14:textFill>
        </w:rPr>
        <w:t xml:space="preserve"> </w:t>
      </w:r>
      <w:r>
        <w:rPr>
          <w:rFonts w:ascii="Times New Roman" w:hAnsi="Times New Roman"/>
          <w:color w:val="000000" w:themeColor="text1"/>
          <w:sz w:val="21"/>
          <w:szCs w:val="21"/>
          <w:highlight w:val="none"/>
          <w14:textFill>
            <w14:solidFill>
              <w14:schemeClr w14:val="tx1"/>
            </w14:solidFill>
          </w14:textFill>
        </w:rPr>
        <w:t>项目的竞标活动，并代表我方全权办理针对上述项目的所有采购程序和环节的具体事务和签署相关文件。</w:t>
      </w:r>
    </w:p>
    <w:p w14:paraId="61417C4A">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我方对委托代理人的签字</w:t>
      </w:r>
      <w:r>
        <w:rPr>
          <w:rFonts w:hint="eastAsia" w:ascii="Times New Roman" w:hAnsi="Times New Roman"/>
          <w:color w:val="000000" w:themeColor="text1"/>
          <w:sz w:val="21"/>
          <w:szCs w:val="21"/>
          <w:highlight w:val="none"/>
          <w:lang w:eastAsia="zh-CN"/>
          <w14:textFill>
            <w14:solidFill>
              <w14:schemeClr w14:val="tx1"/>
            </w14:solidFill>
          </w14:textFill>
        </w:rPr>
        <w:t>或签章</w:t>
      </w:r>
      <w:r>
        <w:rPr>
          <w:rFonts w:ascii="Times New Roman" w:hAnsi="Times New Roman"/>
          <w:color w:val="000000" w:themeColor="text1"/>
          <w:sz w:val="21"/>
          <w:szCs w:val="21"/>
          <w:highlight w:val="none"/>
          <w14:textFill>
            <w14:solidFill>
              <w14:schemeClr w14:val="tx1"/>
            </w14:solidFill>
          </w14:textFill>
        </w:rPr>
        <w:t>事项负全部责任。</w:t>
      </w:r>
    </w:p>
    <w:p w14:paraId="1E1380E1">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DF65013">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委托代理人无转委托权，特此委托。</w:t>
      </w:r>
    </w:p>
    <w:p w14:paraId="0FD5C4F1">
      <w:pPr>
        <w:spacing w:line="470" w:lineRule="exact"/>
        <w:ind w:firstLine="420" w:firstLineChars="200"/>
        <w:contextualSpacing/>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附：法定代表人及委托代理人有效身份证正反面</w:t>
      </w:r>
      <w:r>
        <w:rPr>
          <w:rFonts w:hint="eastAsia" w:ascii="Times New Roman" w:hAnsi="Times New Roman"/>
          <w:color w:val="000000" w:themeColor="text1"/>
          <w:sz w:val="21"/>
          <w:szCs w:val="21"/>
          <w:highlight w:val="none"/>
          <w:lang w:eastAsia="zh-CN"/>
          <w14:textFill>
            <w14:solidFill>
              <w14:schemeClr w14:val="tx1"/>
            </w14:solidFill>
          </w14:textFill>
        </w:rPr>
        <w:t>的扫描件</w:t>
      </w:r>
    </w:p>
    <w:p w14:paraId="53BF2E61">
      <w:pPr>
        <w:spacing w:line="470" w:lineRule="exact"/>
        <w:contextualSpacing/>
        <w:rPr>
          <w:rFonts w:ascii="Times New Roman" w:hAnsi="Times New Roman"/>
          <w:color w:val="000000" w:themeColor="text1"/>
          <w:sz w:val="21"/>
          <w:szCs w:val="21"/>
          <w:highlight w:val="none"/>
          <w14:textFill>
            <w14:solidFill>
              <w14:schemeClr w14:val="tx1"/>
            </w14:solidFill>
          </w14:textFill>
        </w:rPr>
      </w:pPr>
    </w:p>
    <w:p w14:paraId="3578A1AA">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 xml:space="preserve">委托代理人（签字）：         </w:t>
      </w:r>
      <w:r>
        <w:rPr>
          <w:rFonts w:hint="eastAsia" w:ascii="Times New Roman" w:hAnsi="Times New Roman"/>
          <w:color w:val="000000" w:themeColor="text1"/>
          <w:sz w:val="21"/>
          <w:szCs w:val="21"/>
          <w:highlight w:val="none"/>
          <w14:textFill>
            <w14:solidFill>
              <w14:schemeClr w14:val="tx1"/>
            </w14:solidFill>
          </w14:textFill>
        </w:rPr>
        <w:t xml:space="preserve">              </w:t>
      </w:r>
      <w:r>
        <w:rPr>
          <w:rFonts w:hint="eastAsia" w:ascii="Times New Roman" w:hAnsi="Times New Roman"/>
          <w:color w:val="000000" w:themeColor="text1"/>
          <w:sz w:val="21"/>
          <w:szCs w:val="21"/>
          <w:highlight w:val="none"/>
          <w:lang w:val="en-US" w:eastAsia="zh-CN"/>
          <w14:textFill>
            <w14:solidFill>
              <w14:schemeClr w14:val="tx1"/>
            </w14:solidFill>
          </w14:textFill>
        </w:rPr>
        <w:t xml:space="preserve">                      </w:t>
      </w:r>
      <w:r>
        <w:rPr>
          <w:rFonts w:ascii="Times New Roman" w:hAnsi="Times New Roman"/>
          <w:color w:val="000000" w:themeColor="text1"/>
          <w:sz w:val="21"/>
          <w:szCs w:val="21"/>
          <w:highlight w:val="none"/>
          <w14:textFill>
            <w14:solidFill>
              <w14:schemeClr w14:val="tx1"/>
            </w14:solidFill>
          </w14:textFill>
        </w:rPr>
        <w:t>法定代表人（签字</w:t>
      </w:r>
      <w:r>
        <w:rPr>
          <w:rFonts w:hint="eastAsia" w:ascii="Times New Roman" w:hAnsi="Times New Roman"/>
          <w:color w:val="000000" w:themeColor="text1"/>
          <w:sz w:val="21"/>
          <w:szCs w:val="21"/>
          <w:highlight w:val="none"/>
          <w:lang w:eastAsia="zh-CN"/>
          <w14:textFill>
            <w14:solidFill>
              <w14:schemeClr w14:val="tx1"/>
            </w14:solidFill>
          </w14:textFill>
        </w:rPr>
        <w:t>或签章</w:t>
      </w:r>
      <w:r>
        <w:rPr>
          <w:rFonts w:ascii="Times New Roman" w:hAnsi="Times New Roman"/>
          <w:color w:val="000000" w:themeColor="text1"/>
          <w:sz w:val="21"/>
          <w:szCs w:val="21"/>
          <w:highlight w:val="none"/>
          <w14:textFill>
            <w14:solidFill>
              <w14:schemeClr w14:val="tx1"/>
            </w14:solidFill>
          </w14:textFill>
        </w:rPr>
        <w:t xml:space="preserve">）：                    </w:t>
      </w:r>
    </w:p>
    <w:p w14:paraId="60006962">
      <w:pPr>
        <w:spacing w:line="470" w:lineRule="exact"/>
        <w:ind w:firstLine="420" w:firstLineChars="200"/>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 xml:space="preserve">委托代理人身份证号码：                              </w:t>
      </w:r>
    </w:p>
    <w:p w14:paraId="5FC14EAD">
      <w:pPr>
        <w:spacing w:line="470" w:lineRule="exact"/>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 xml:space="preserve">                         </w:t>
      </w:r>
    </w:p>
    <w:p w14:paraId="4B777969">
      <w:pPr>
        <w:spacing w:line="470" w:lineRule="exact"/>
        <w:contextualSpacing/>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 xml:space="preserve">       </w:t>
      </w:r>
    </w:p>
    <w:p w14:paraId="51E1D58E">
      <w:pPr>
        <w:spacing w:line="600" w:lineRule="exact"/>
        <w:ind w:firstLine="4620" w:firstLineChars="2200"/>
        <w:contextualSpacing/>
        <w:rPr>
          <w:rFonts w:hint="eastAsia" w:ascii="宋体" w:hAnsi="宋体" w:cs="宋体"/>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w:t>
      </w:r>
      <w:r>
        <w:rPr>
          <w:rFonts w:hint="eastAsia" w:ascii="宋体" w:hAnsi="宋体" w:cs="宋体"/>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14:textFill>
            <w14:solidFill>
              <w14:schemeClr w14:val="tx1"/>
            </w14:solidFill>
          </w14:textFill>
        </w:rPr>
        <w:t xml:space="preserve">（盖公章）：                                      </w:t>
      </w:r>
      <w:r>
        <w:rPr>
          <w:rFonts w:hint="eastAsia" w:ascii="宋体" w:hAnsi="宋体" w:cs="宋体"/>
          <w:color w:val="000000" w:themeColor="text1"/>
          <w:sz w:val="21"/>
          <w:szCs w:val="21"/>
          <w:highlight w:val="none"/>
          <w14:textFill>
            <w14:solidFill>
              <w14:schemeClr w14:val="tx1"/>
            </w14:solidFill>
          </w14:textFill>
        </w:rPr>
        <w:t xml:space="preserve">    </w:t>
      </w:r>
    </w:p>
    <w:p w14:paraId="489F3743">
      <w:pPr>
        <w:spacing w:line="600" w:lineRule="exact"/>
        <w:ind w:right="482"/>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日期：   年   月   日</w:t>
      </w:r>
    </w:p>
    <w:p w14:paraId="3B5DFFB5">
      <w:pPr>
        <w:spacing w:line="470" w:lineRule="exact"/>
        <w:contextualSpacing/>
        <w:rPr>
          <w:rFonts w:ascii="Times New Roman" w:hAnsi="Times New Roman"/>
          <w:color w:val="000000" w:themeColor="text1"/>
          <w:sz w:val="21"/>
          <w:szCs w:val="21"/>
          <w:highlight w:val="none"/>
          <w14:textFill>
            <w14:solidFill>
              <w14:schemeClr w14:val="tx1"/>
            </w14:solidFill>
          </w14:textFill>
        </w:rPr>
      </w:pPr>
    </w:p>
    <w:p w14:paraId="405CD56A">
      <w:pPr>
        <w:pStyle w:val="30"/>
        <w:rPr>
          <w:color w:val="000000" w:themeColor="text1"/>
          <w:sz w:val="21"/>
          <w:szCs w:val="21"/>
          <w:highlight w:val="none"/>
          <w14:textFill>
            <w14:solidFill>
              <w14:schemeClr w14:val="tx1"/>
            </w14:solidFill>
          </w14:textFill>
        </w:rPr>
      </w:pPr>
    </w:p>
    <w:p w14:paraId="080A3CDD">
      <w:pPr>
        <w:pStyle w:val="30"/>
        <w:rPr>
          <w:color w:val="000000" w:themeColor="text1"/>
          <w:sz w:val="21"/>
          <w:szCs w:val="21"/>
          <w:highlight w:val="none"/>
          <w14:textFill>
            <w14:solidFill>
              <w14:schemeClr w14:val="tx1"/>
            </w14:solidFill>
          </w14:textFill>
        </w:rPr>
      </w:pPr>
    </w:p>
    <w:p w14:paraId="3BB8DB2A">
      <w:pPr>
        <w:keepNext w:val="0"/>
        <w:keepLines w:val="0"/>
        <w:pageBreakBefore w:val="0"/>
        <w:widowControl w:val="0"/>
        <w:kinsoku/>
        <w:wordWrap/>
        <w:overflowPunct/>
        <w:topLinePunct w:val="0"/>
        <w:autoSpaceDE w:val="0"/>
        <w:autoSpaceDN w:val="0"/>
        <w:bidi w:val="0"/>
        <w:adjustRightInd/>
        <w:snapToGrid/>
        <w:spacing w:line="440" w:lineRule="exact"/>
        <w:contextualSpacing/>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注：1.法定代表人必须在授权委托书上亲笔签字</w:t>
      </w:r>
      <w:r>
        <w:rPr>
          <w:rFonts w:hint="eastAsia" w:ascii="Times New Roman" w:hAnsi="Times New Roman"/>
          <w:color w:val="000000" w:themeColor="text1"/>
          <w:sz w:val="21"/>
          <w:szCs w:val="21"/>
          <w:highlight w:val="none"/>
          <w:lang w:eastAsia="zh-CN"/>
          <w14:textFill>
            <w14:solidFill>
              <w14:schemeClr w14:val="tx1"/>
            </w14:solidFill>
          </w14:textFill>
        </w:rPr>
        <w:t>或签章</w:t>
      </w:r>
      <w:r>
        <w:rPr>
          <w:rFonts w:ascii="Times New Roman" w:hAnsi="Times New Roman"/>
          <w:color w:val="000000" w:themeColor="text1"/>
          <w:sz w:val="21"/>
          <w:szCs w:val="21"/>
          <w:highlight w:val="none"/>
          <w14:textFill>
            <w14:solidFill>
              <w14:schemeClr w14:val="tx1"/>
            </w14:solidFill>
          </w14:textFill>
        </w:rPr>
        <w:t>，委托代理人必须在授权委托书上亲笔签字，</w:t>
      </w:r>
      <w:r>
        <w:rPr>
          <w:rFonts w:ascii="Times New Roman" w:hAnsi="Times New Roman"/>
          <w:b/>
          <w:color w:val="000000" w:themeColor="text1"/>
          <w:sz w:val="21"/>
          <w:szCs w:val="21"/>
          <w:highlight w:val="none"/>
          <w14:textFill>
            <w14:solidFill>
              <w14:schemeClr w14:val="tx1"/>
            </w14:solidFill>
          </w14:textFill>
        </w:rPr>
        <w:t>否则其</w:t>
      </w:r>
      <w:r>
        <w:rPr>
          <w:rFonts w:hint="eastAsia" w:ascii="Times New Roman" w:hAnsi="Times New Roman"/>
          <w:b/>
          <w:color w:val="000000" w:themeColor="text1"/>
          <w:sz w:val="21"/>
          <w:szCs w:val="21"/>
          <w:highlight w:val="none"/>
          <w:lang w:eastAsia="zh-CN"/>
          <w14:textFill>
            <w14:solidFill>
              <w14:schemeClr w14:val="tx1"/>
            </w14:solidFill>
          </w14:textFill>
        </w:rPr>
        <w:t>响应文件</w:t>
      </w:r>
      <w:r>
        <w:rPr>
          <w:rFonts w:ascii="Times New Roman" w:hAnsi="Times New Roman"/>
          <w:b/>
          <w:color w:val="000000" w:themeColor="text1"/>
          <w:sz w:val="21"/>
          <w:szCs w:val="21"/>
          <w:highlight w:val="none"/>
          <w14:textFill>
            <w14:solidFill>
              <w14:schemeClr w14:val="tx1"/>
            </w14:solidFill>
          </w14:textFill>
        </w:rPr>
        <w:t>按无效响应处理。</w:t>
      </w:r>
    </w:p>
    <w:p w14:paraId="1B5C89D6">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contextualSpacing/>
        <w:jc w:val="left"/>
        <w:textAlignment w:val="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2.供应商为其他组织，本</w:t>
      </w:r>
      <w:r>
        <w:rPr>
          <w:rFonts w:hint="eastAsia" w:ascii="Times New Roman" w:hAnsi="Times New Roman"/>
          <w:color w:val="000000" w:themeColor="text1"/>
          <w:sz w:val="21"/>
          <w:szCs w:val="21"/>
          <w:highlight w:val="none"/>
          <w:lang w:eastAsia="zh-CN"/>
          <w14:textFill>
            <w14:solidFill>
              <w14:schemeClr w14:val="tx1"/>
            </w14:solidFill>
          </w14:textFill>
        </w:rPr>
        <w:t>竞争性磋商文件</w:t>
      </w:r>
      <w:r>
        <w:rPr>
          <w:rFonts w:ascii="Times New Roman" w:hAnsi="Times New Roman"/>
          <w:color w:val="000000" w:themeColor="text1"/>
          <w:sz w:val="21"/>
          <w:szCs w:val="21"/>
          <w:highlight w:val="none"/>
          <w14:textFill>
            <w14:solidFill>
              <w14:schemeClr w14:val="tx1"/>
            </w14:solidFill>
          </w14:textFill>
        </w:rPr>
        <w:t>规定的法定代表人指负责人。本</w:t>
      </w:r>
      <w:r>
        <w:rPr>
          <w:rFonts w:hint="eastAsia" w:ascii="Times New Roman" w:hAnsi="Times New Roman"/>
          <w:color w:val="000000" w:themeColor="text1"/>
          <w:sz w:val="21"/>
          <w:szCs w:val="21"/>
          <w:highlight w:val="none"/>
          <w:lang w:eastAsia="zh-CN"/>
          <w14:textFill>
            <w14:solidFill>
              <w14:schemeClr w14:val="tx1"/>
            </w14:solidFill>
          </w14:textFill>
        </w:rPr>
        <w:t>竞争性磋商文件</w:t>
      </w:r>
      <w:r>
        <w:rPr>
          <w:rFonts w:ascii="Times New Roman" w:hAnsi="Times New Roman"/>
          <w:color w:val="000000" w:themeColor="text1"/>
          <w:sz w:val="21"/>
          <w:szCs w:val="21"/>
          <w:highlight w:val="none"/>
          <w14:textFill>
            <w14:solidFill>
              <w14:schemeClr w14:val="tx1"/>
            </w14:solidFill>
          </w14:textFill>
        </w:rPr>
        <w:t>所称负责人是指参加竞标的其他组织营业执照上的负责人。</w:t>
      </w:r>
    </w:p>
    <w:p w14:paraId="64A92EB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contextualSpacing/>
        <w:jc w:val="left"/>
        <w:textAlignment w:val="auto"/>
        <w:rPr>
          <w:rFonts w:hint="eastAsia"/>
          <w:color w:val="000000" w:themeColor="text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3.法人、其他组织竞标时“我方”是指“我单位”。</w:t>
      </w:r>
      <w: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t xml:space="preserve"> </w:t>
      </w:r>
    </w:p>
    <w:p w14:paraId="50B58E8D">
      <w:pPr>
        <w:keepNext w:val="0"/>
        <w:keepLines w:val="0"/>
        <w:pageBreakBefore w:val="0"/>
        <w:widowControl w:val="0"/>
        <w:kinsoku/>
        <w:wordWrap/>
        <w:overflowPunct/>
        <w:topLinePunct w:val="0"/>
        <w:autoSpaceDE w:val="0"/>
        <w:autoSpaceDN w:val="0"/>
        <w:bidi w:val="0"/>
        <w:adjustRightInd/>
        <w:snapToGrid/>
        <w:spacing w:after="0" w:afterLines="200" w:line="700" w:lineRule="exact"/>
        <w:contextualSpacing/>
        <w:textAlignment w:val="auto"/>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bookmarkStart w:id="185" w:name="_Toc31529"/>
      <w:bookmarkStart w:id="186" w:name="_Toc500469643"/>
      <w:bookmarkStart w:id="187" w:name="_Toc500469791"/>
      <w:bookmarkStart w:id="188" w:name="_Toc13155"/>
      <w:bookmarkStart w:id="189" w:name="_Toc16028"/>
      <w:bookmarkStart w:id="190" w:name="_Toc40365246"/>
    </w:p>
    <w:p w14:paraId="1EB9A4D5">
      <w:pPr>
        <w:keepNext w:val="0"/>
        <w:keepLines w:val="0"/>
        <w:pageBreakBefore w:val="0"/>
        <w:widowControl w:val="0"/>
        <w:kinsoku/>
        <w:wordWrap/>
        <w:overflowPunct/>
        <w:topLinePunct w:val="0"/>
        <w:autoSpaceDE w:val="0"/>
        <w:autoSpaceDN w:val="0"/>
        <w:bidi w:val="0"/>
        <w:adjustRightInd/>
        <w:snapToGrid/>
        <w:spacing w:after="0" w:afterLines="200" w:line="700" w:lineRule="exact"/>
        <w:contextualSpacing/>
        <w:textAlignment w:val="auto"/>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6</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ascii="Times New Roman" w:hAnsi="Times New Roman"/>
          <w:b/>
          <w:color w:val="000000" w:themeColor="text1"/>
          <w:sz w:val="32"/>
          <w:szCs w:val="32"/>
          <w:highlight w:val="none"/>
          <w14:textFill>
            <w14:solidFill>
              <w14:schemeClr w14:val="tx1"/>
            </w14:solidFill>
          </w14:textFill>
        </w:rPr>
        <w:t>商务条款偏离表格式</w:t>
      </w:r>
    </w:p>
    <w:p w14:paraId="4BD195AB">
      <w:pPr>
        <w:keepNext w:val="0"/>
        <w:keepLines w:val="0"/>
        <w:pageBreakBefore w:val="0"/>
        <w:widowControl w:val="0"/>
        <w:kinsoku/>
        <w:wordWrap/>
        <w:overflowPunct/>
        <w:topLinePunct w:val="0"/>
        <w:autoSpaceDE w:val="0"/>
        <w:autoSpaceDN w:val="0"/>
        <w:bidi w:val="0"/>
        <w:adjustRightInd/>
        <w:snapToGrid w:val="0"/>
        <w:spacing w:after="0" w:afterLines="100" w:line="70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b/>
          <w:color w:val="000000" w:themeColor="text1"/>
          <w:sz w:val="32"/>
          <w:szCs w:val="32"/>
          <w:highlight w:val="none"/>
          <w14:textFill>
            <w14:solidFill>
              <w14:schemeClr w14:val="tx1"/>
            </w14:solidFill>
          </w14:textFill>
        </w:rPr>
        <w:t>商务条款偏离表</w:t>
      </w:r>
    </w:p>
    <w:tbl>
      <w:tblPr>
        <w:tblStyle w:val="43"/>
        <w:tblpPr w:leftFromText="180" w:rightFromText="180" w:vertAnchor="text" w:horzAnchor="margin" w:tblpY="311"/>
        <w:tblOverlap w:val="never"/>
        <w:tblW w:w="93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930"/>
        <w:gridCol w:w="2760"/>
        <w:gridCol w:w="1890"/>
      </w:tblGrid>
      <w:tr w14:paraId="721FD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14:paraId="13E08C64">
            <w:pPr>
              <w:snapToGrid w:val="0"/>
              <w:spacing w:line="370" w:lineRule="exact"/>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color w:val="000000" w:themeColor="text1"/>
                <w:sz w:val="21"/>
                <w:szCs w:val="21"/>
                <w:highlight w:val="none"/>
                <w:lang w:eastAsia="zh-CN"/>
                <w14:textFill>
                  <w14:solidFill>
                    <w14:schemeClr w14:val="tx1"/>
                  </w14:solidFill>
                </w14:textFill>
              </w:rPr>
              <w:t>序号</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66BBD7B6">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竞争性</w:t>
            </w:r>
            <w:r>
              <w:rPr>
                <w:rFonts w:hint="eastAsia" w:ascii="Times New Roman" w:hAnsi="Times New Roman"/>
                <w:color w:val="000000" w:themeColor="text1"/>
                <w:sz w:val="21"/>
                <w:szCs w:val="21"/>
                <w:highlight w:val="none"/>
                <w:lang w:eastAsia="zh-CN"/>
                <w14:textFill>
                  <w14:solidFill>
                    <w14:schemeClr w14:val="tx1"/>
                  </w14:solidFill>
                </w14:textFill>
              </w:rPr>
              <w:t>磋商</w:t>
            </w:r>
            <w:r>
              <w:rPr>
                <w:rFonts w:ascii="Times New Roman" w:hAnsi="Times New Roman"/>
                <w:color w:val="000000" w:themeColor="text1"/>
                <w:sz w:val="21"/>
                <w:szCs w:val="21"/>
                <w:highlight w:val="none"/>
                <w14:textFill>
                  <w14:solidFill>
                    <w14:schemeClr w14:val="tx1"/>
                  </w14:solidFill>
                </w14:textFill>
              </w:rPr>
              <w:t>文件商务条款要求</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7F4934F1">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供应商的响应</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A975AC5">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偏离说明</w:t>
            </w:r>
          </w:p>
        </w:tc>
      </w:tr>
      <w:tr w14:paraId="53C54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14:paraId="5C237047">
            <w:pPr>
              <w:spacing w:line="370" w:lineRule="exact"/>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1</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5B42FAE8">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14:paraId="1897F4F3">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880F78C">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r>
      <w:tr w14:paraId="19DF9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14:paraId="3D1ADFCE">
            <w:pPr>
              <w:spacing w:line="370" w:lineRule="exact"/>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2</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4248DCD2">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0F46CBE">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8825391">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r>
      <w:tr w14:paraId="63C8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14:paraId="211DFD32">
            <w:pPr>
              <w:spacing w:line="370" w:lineRule="exact"/>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354AAC1B">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316F00A">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98A2604">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r>
      <w:tr w14:paraId="3B16D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14:paraId="0A2C0831">
            <w:pPr>
              <w:spacing w:line="370" w:lineRule="exact"/>
              <w:jc w:val="center"/>
              <w:rPr>
                <w:rFonts w:hint="eastAsia" w:ascii="Times New Roman" w:hAnsi="Times New Roman" w:eastAsia="宋体"/>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14:textFill>
                  <w14:solidFill>
                    <w14:schemeClr w14:val="tx1"/>
                  </w14:solidFill>
                </w14:textFill>
              </w:rPr>
              <w:t>…</w:t>
            </w:r>
          </w:p>
        </w:tc>
        <w:tc>
          <w:tcPr>
            <w:tcW w:w="3930" w:type="dxa"/>
            <w:tcBorders>
              <w:top w:val="single" w:color="auto" w:sz="4" w:space="0"/>
              <w:left w:val="single" w:color="auto" w:sz="4" w:space="0"/>
              <w:bottom w:val="single" w:color="auto" w:sz="4" w:space="0"/>
              <w:right w:val="single" w:color="auto" w:sz="4" w:space="0"/>
            </w:tcBorders>
            <w:noWrap w:val="0"/>
            <w:vAlign w:val="center"/>
          </w:tcPr>
          <w:p w14:paraId="2410C490">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466BE37">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887823A">
            <w:pPr>
              <w:snapToGrid w:val="0"/>
              <w:spacing w:line="370" w:lineRule="exact"/>
              <w:jc w:val="center"/>
              <w:rPr>
                <w:rFonts w:ascii="Times New Roman" w:hAnsi="Times New Roman"/>
                <w:color w:val="000000" w:themeColor="text1"/>
                <w:sz w:val="21"/>
                <w:szCs w:val="21"/>
                <w:highlight w:val="none"/>
                <w14:textFill>
                  <w14:solidFill>
                    <w14:schemeClr w14:val="tx1"/>
                  </w14:solidFill>
                </w14:textFill>
              </w:rPr>
            </w:pPr>
          </w:p>
        </w:tc>
      </w:tr>
    </w:tbl>
    <w:p w14:paraId="3C1E271B">
      <w:pPr>
        <w:pStyle w:val="18"/>
        <w:keepNext w:val="0"/>
        <w:keepLines w:val="0"/>
        <w:pageBreakBefore w:val="0"/>
        <w:widowControl w:val="0"/>
        <w:kinsoku/>
        <w:wordWrap/>
        <w:overflowPunct/>
        <w:topLinePunct w:val="0"/>
        <w:autoSpaceDE w:val="0"/>
        <w:autoSpaceDN w:val="0"/>
        <w:bidi w:val="0"/>
        <w:adjustRightInd/>
        <w:snapToGrid/>
        <w:spacing w:before="95" w:beforeLines="30" w:after="0" w:line="540" w:lineRule="exact"/>
        <w:contextualSpacing/>
        <w:textAlignment w:val="auto"/>
        <w:rPr>
          <w:rFonts w:ascii="Times New Roman" w:hAnsi="Times New Roman"/>
          <w:b/>
          <w:bCs/>
          <w:color w:val="000000" w:themeColor="text1"/>
          <w:kern w:val="0"/>
          <w:sz w:val="21"/>
          <w:szCs w:val="21"/>
          <w:highlight w:val="none"/>
          <w14:textFill>
            <w14:solidFill>
              <w14:schemeClr w14:val="tx1"/>
            </w14:solidFill>
          </w14:textFill>
        </w:rPr>
      </w:pPr>
      <w:r>
        <w:rPr>
          <w:rFonts w:ascii="Times New Roman" w:hAnsi="Times New Roman"/>
          <w:b/>
          <w:bCs/>
          <w:color w:val="000000" w:themeColor="text1"/>
          <w:kern w:val="0"/>
          <w:sz w:val="21"/>
          <w:szCs w:val="21"/>
          <w:highlight w:val="none"/>
          <w14:textFill>
            <w14:solidFill>
              <w14:schemeClr w14:val="tx1"/>
            </w14:solidFill>
          </w14:textFill>
        </w:rPr>
        <w:t>注：</w:t>
      </w:r>
    </w:p>
    <w:p w14:paraId="268B60F9">
      <w:pPr>
        <w:pStyle w:val="18"/>
        <w:keepNext w:val="0"/>
        <w:keepLines w:val="0"/>
        <w:pageBreakBefore w:val="0"/>
        <w:widowControl w:val="0"/>
        <w:kinsoku/>
        <w:wordWrap/>
        <w:overflowPunct/>
        <w:topLinePunct w:val="0"/>
        <w:autoSpaceDE w:val="0"/>
        <w:autoSpaceDN w:val="0"/>
        <w:bidi w:val="0"/>
        <w:adjustRightInd/>
        <w:snapToGrid/>
        <w:spacing w:after="0" w:line="540" w:lineRule="exact"/>
        <w:ind w:firstLine="420" w:firstLineChars="200"/>
        <w:contextualSpacing/>
        <w:textAlignment w:val="auto"/>
        <w:rPr>
          <w:rFonts w:ascii="Times New Roman" w:hAnsi="Times New Roman"/>
          <w:color w:val="000000" w:themeColor="text1"/>
          <w:kern w:val="0"/>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1.说明：应对照</w:t>
      </w:r>
      <w:r>
        <w:rPr>
          <w:rFonts w:hint="eastAsia" w:ascii="Times New Roman" w:hAnsi="Times New Roman"/>
          <w:color w:val="000000" w:themeColor="text1"/>
          <w:kern w:val="0"/>
          <w:sz w:val="21"/>
          <w:szCs w:val="21"/>
          <w:highlight w:val="none"/>
          <w:lang w:eastAsia="zh-CN"/>
          <w14:textFill>
            <w14:solidFill>
              <w14:schemeClr w14:val="tx1"/>
            </w14:solidFill>
          </w14:textFill>
        </w:rPr>
        <w:t>竞争性磋商</w:t>
      </w:r>
      <w:r>
        <w:rPr>
          <w:rFonts w:ascii="Times New Roman" w:hAnsi="Times New Roman"/>
          <w:color w:val="000000" w:themeColor="text1"/>
          <w:kern w:val="0"/>
          <w:sz w:val="21"/>
          <w:szCs w:val="21"/>
          <w:highlight w:val="none"/>
          <w14:textFill>
            <w14:solidFill>
              <w14:schemeClr w14:val="tx1"/>
            </w14:solidFill>
          </w14:textFill>
        </w:rPr>
        <w:t>文件“第三章 采购需求”中的商务条款逐条明确响应，并作出偏离说明。</w:t>
      </w:r>
    </w:p>
    <w:p w14:paraId="2517549F">
      <w:pPr>
        <w:pStyle w:val="18"/>
        <w:keepNext w:val="0"/>
        <w:keepLines w:val="0"/>
        <w:pageBreakBefore w:val="0"/>
        <w:widowControl w:val="0"/>
        <w:kinsoku/>
        <w:wordWrap/>
        <w:overflowPunct/>
        <w:topLinePunct w:val="0"/>
        <w:autoSpaceDE w:val="0"/>
        <w:autoSpaceDN w:val="0"/>
        <w:bidi w:val="0"/>
        <w:adjustRightInd/>
        <w:snapToGrid/>
        <w:spacing w:after="0" w:line="540" w:lineRule="exact"/>
        <w:ind w:firstLine="420" w:firstLineChars="200"/>
        <w:contextualSpacing/>
        <w:textAlignment w:val="auto"/>
        <w:rPr>
          <w:rFonts w:ascii="Times New Roman" w:hAnsi="Times New Roman"/>
          <w:color w:val="000000" w:themeColor="text1"/>
          <w:kern w:val="0"/>
          <w:sz w:val="21"/>
          <w:szCs w:val="21"/>
          <w:highlight w:val="none"/>
          <w14:textFill>
            <w14:solidFill>
              <w14:schemeClr w14:val="tx1"/>
            </w14:solidFill>
          </w14:textFill>
        </w:rPr>
      </w:pPr>
      <w:r>
        <w:rPr>
          <w:rFonts w:ascii="Times New Roman" w:hAnsi="Times New Roman"/>
          <w:color w:val="000000" w:themeColor="text1"/>
          <w:kern w:val="0"/>
          <w:sz w:val="21"/>
          <w:szCs w:val="21"/>
          <w:highlight w:val="none"/>
          <w14:textFill>
            <w14:solidFill>
              <w14:schemeClr w14:val="tx1"/>
            </w14:solidFill>
          </w14:textFill>
        </w:rPr>
        <w:t>2.供应商应根据自身的承诺，对照</w:t>
      </w:r>
      <w:r>
        <w:rPr>
          <w:rFonts w:hint="eastAsia" w:ascii="Times New Roman" w:hAnsi="Times New Roman"/>
          <w:color w:val="000000" w:themeColor="text1"/>
          <w:kern w:val="0"/>
          <w:sz w:val="21"/>
          <w:szCs w:val="21"/>
          <w:highlight w:val="none"/>
          <w:lang w:eastAsia="zh-CN"/>
          <w14:textFill>
            <w14:solidFill>
              <w14:schemeClr w14:val="tx1"/>
            </w14:solidFill>
          </w14:textFill>
        </w:rPr>
        <w:t>磋商</w:t>
      </w:r>
      <w:r>
        <w:rPr>
          <w:rFonts w:ascii="Times New Roman" w:hAnsi="Times New Roman"/>
          <w:color w:val="000000" w:themeColor="text1"/>
          <w:kern w:val="0"/>
          <w:sz w:val="21"/>
          <w:szCs w:val="21"/>
          <w:highlight w:val="none"/>
          <w14:textFill>
            <w14:solidFill>
              <w14:schemeClr w14:val="tx1"/>
            </w14:solidFill>
          </w14:textFill>
        </w:rPr>
        <w:t>文件要求在“偏离说明”中注明“正偏离”、“负偏离”或者“无偏离”。既不属于“正偏离”也不属于“负偏离”即为“无偏离”。</w:t>
      </w:r>
    </w:p>
    <w:p w14:paraId="6BA905DF">
      <w:pPr>
        <w:spacing w:line="370" w:lineRule="exact"/>
        <w:contextualSpacing/>
        <w:jc w:val="left"/>
        <w:rPr>
          <w:rFonts w:ascii="Times New Roman" w:hAnsi="Times New Roman"/>
          <w:color w:val="000000" w:themeColor="text1"/>
          <w:sz w:val="21"/>
          <w:szCs w:val="21"/>
          <w:highlight w:val="none"/>
          <w:u w:val="single"/>
          <w14:textFill>
            <w14:solidFill>
              <w14:schemeClr w14:val="tx1"/>
            </w14:solidFill>
          </w14:textFill>
        </w:rPr>
      </w:pPr>
    </w:p>
    <w:p w14:paraId="03338118">
      <w:pPr>
        <w:pStyle w:val="30"/>
        <w:rPr>
          <w:color w:val="000000" w:themeColor="text1"/>
          <w:sz w:val="21"/>
          <w:szCs w:val="21"/>
          <w:highlight w:val="none"/>
          <w14:textFill>
            <w14:solidFill>
              <w14:schemeClr w14:val="tx1"/>
            </w14:solidFill>
          </w14:textFill>
        </w:rPr>
      </w:pPr>
    </w:p>
    <w:p w14:paraId="08AD4EF8">
      <w:pPr>
        <w:spacing w:line="370" w:lineRule="exact"/>
        <w:ind w:right="-856" w:rightChars="-389"/>
        <w:contextualSpacing/>
        <w:rPr>
          <w:rFonts w:ascii="Times New Roman" w:hAnsi="Times New Roman"/>
          <w:color w:val="000000" w:themeColor="text1"/>
          <w:sz w:val="21"/>
          <w:szCs w:val="21"/>
          <w:highlight w:val="none"/>
          <w14:textFill>
            <w14:solidFill>
              <w14:schemeClr w14:val="tx1"/>
            </w14:solidFill>
          </w14:textFill>
        </w:rPr>
      </w:pPr>
    </w:p>
    <w:p w14:paraId="56431D51">
      <w:pPr>
        <w:pStyle w:val="30"/>
        <w:rPr>
          <w:color w:val="000000" w:themeColor="text1"/>
          <w:sz w:val="21"/>
          <w:szCs w:val="21"/>
          <w:highlight w:val="none"/>
          <w14:textFill>
            <w14:solidFill>
              <w14:schemeClr w14:val="tx1"/>
            </w14:solidFill>
          </w14:textFill>
        </w:rPr>
      </w:pPr>
    </w:p>
    <w:p w14:paraId="370A089E">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0D48D282">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576AC457">
      <w:pPr>
        <w:spacing w:line="600" w:lineRule="exact"/>
        <w:ind w:firstLine="4200" w:firstLineChars="20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   月   日</w:t>
      </w:r>
    </w:p>
    <w:p w14:paraId="39E8D321">
      <w:pPr>
        <w:spacing w:line="500" w:lineRule="exact"/>
        <w:jc w:val="center"/>
        <w:rPr>
          <w:rFonts w:hint="eastAsia" w:ascii="方正小标宋简体" w:hAnsi="方正小标宋简体" w:eastAsia="方正小标宋简体" w:cs="方正小标宋简体"/>
          <w:bCs/>
          <w:color w:val="000000" w:themeColor="text1"/>
          <w:sz w:val="21"/>
          <w:szCs w:val="21"/>
          <w:highlight w:val="none"/>
          <w14:textFill>
            <w14:solidFill>
              <w14:schemeClr w14:val="tx1"/>
            </w14:solidFill>
          </w14:textFill>
        </w:rPr>
      </w:pPr>
    </w:p>
    <w:p w14:paraId="75227A44">
      <w:pPr>
        <w:adjustRightInd w:val="0"/>
        <w:snapToGrid w:val="0"/>
        <w:spacing w:line="520" w:lineRule="exact"/>
        <w:jc w:val="both"/>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2845050E">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307A05E4">
      <w:pPr>
        <w:pStyle w:val="7"/>
        <w:rPr>
          <w:rFonts w:hint="eastAsia"/>
          <w:color w:val="000000" w:themeColor="text1"/>
          <w:highlight w:val="none"/>
          <w14:textFill>
            <w14:solidFill>
              <w14:schemeClr w14:val="tx1"/>
            </w14:solidFill>
          </w14:textFill>
        </w:rPr>
      </w:pPr>
    </w:p>
    <w:p w14:paraId="2A8DC01B">
      <w:pPr>
        <w:pStyle w:val="39"/>
        <w:jc w:val="both"/>
        <w:rPr>
          <w:rFonts w:hint="eastAsia"/>
          <w:color w:val="000000" w:themeColor="text1"/>
          <w:highlight w:val="none"/>
          <w14:textFill>
            <w14:solidFill>
              <w14:schemeClr w14:val="tx1"/>
            </w14:solidFill>
          </w14:textFill>
        </w:rPr>
      </w:pPr>
    </w:p>
    <w:p w14:paraId="32B2BAB0">
      <w:pPr>
        <w:adjustRightInd w:val="0"/>
        <w:snapToGrid w:val="0"/>
        <w:spacing w:after="318" w:afterLines="100" w:line="700" w:lineRule="exact"/>
        <w:rPr>
          <w:rFonts w:hint="eastAsia" w:ascii="Times New Roman" w:hAnsi="Times New Roman"/>
          <w:b/>
          <w:color w:val="000000" w:themeColor="text1"/>
          <w:sz w:val="32"/>
          <w:szCs w:val="32"/>
          <w:highlight w:val="none"/>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7</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t>采购</w:t>
      </w:r>
      <w:r>
        <w:rPr>
          <w:rFonts w:hint="eastAsia" w:ascii="Times New Roman" w:hAnsi="Times New Roman"/>
          <w:b/>
          <w:color w:val="000000" w:themeColor="text1"/>
          <w:sz w:val="32"/>
          <w:szCs w:val="32"/>
          <w:highlight w:val="none"/>
          <w14:textFill>
            <w14:solidFill>
              <w14:schemeClr w14:val="tx1"/>
            </w14:solidFill>
          </w14:textFill>
        </w:rPr>
        <w:t>需求偏离表格式</w:t>
      </w:r>
    </w:p>
    <w:p w14:paraId="5F9F1571">
      <w:pPr>
        <w:keepNext w:val="0"/>
        <w:keepLines w:val="0"/>
        <w:pageBreakBefore w:val="0"/>
        <w:widowControl w:val="0"/>
        <w:kinsoku/>
        <w:wordWrap/>
        <w:overflowPunct/>
        <w:topLinePunct w:val="0"/>
        <w:autoSpaceDE w:val="0"/>
        <w:autoSpaceDN w:val="0"/>
        <w:bidi w:val="0"/>
        <w:adjustRightInd w:val="0"/>
        <w:snapToGrid w:val="0"/>
        <w:spacing w:after="0" w:afterLines="200" w:line="74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b/>
          <w:color w:val="000000" w:themeColor="text1"/>
          <w:sz w:val="32"/>
          <w:szCs w:val="32"/>
          <w:highlight w:val="none"/>
          <w:lang w:eastAsia="zh-CN"/>
          <w14:textFill>
            <w14:solidFill>
              <w14:schemeClr w14:val="tx1"/>
            </w14:solidFill>
          </w14:textFill>
        </w:rPr>
        <w:t>采购</w:t>
      </w:r>
      <w:r>
        <w:rPr>
          <w:rFonts w:hint="eastAsia" w:ascii="Times New Roman" w:hAnsi="Times New Roman"/>
          <w:b/>
          <w:color w:val="000000" w:themeColor="text1"/>
          <w:sz w:val="32"/>
          <w:szCs w:val="32"/>
          <w:highlight w:val="none"/>
          <w14:textFill>
            <w14:solidFill>
              <w14:schemeClr w14:val="tx1"/>
            </w14:solidFill>
          </w14:textFill>
        </w:rPr>
        <w:t>需求偏离表</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tbl>
      <w:tblPr>
        <w:tblStyle w:val="43"/>
        <w:tblW w:w="92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820"/>
        <w:gridCol w:w="2877"/>
        <w:gridCol w:w="2210"/>
        <w:gridCol w:w="1654"/>
      </w:tblGrid>
      <w:tr w14:paraId="6268CC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21" w:type="dxa"/>
            <w:noWrap w:val="0"/>
            <w:vAlign w:val="center"/>
          </w:tcPr>
          <w:p w14:paraId="3A15E76E">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序号</w:t>
            </w:r>
          </w:p>
        </w:tc>
        <w:tc>
          <w:tcPr>
            <w:tcW w:w="1820" w:type="dxa"/>
            <w:tcBorders>
              <w:right w:val="single" w:color="auto" w:sz="4" w:space="0"/>
            </w:tcBorders>
            <w:noWrap w:val="0"/>
            <w:vAlign w:val="center"/>
          </w:tcPr>
          <w:p w14:paraId="5F9F0F9B">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标的的名称</w:t>
            </w:r>
          </w:p>
        </w:tc>
        <w:tc>
          <w:tcPr>
            <w:tcW w:w="2877" w:type="dxa"/>
            <w:tcBorders>
              <w:left w:val="single" w:color="auto" w:sz="4" w:space="0"/>
            </w:tcBorders>
            <w:noWrap w:val="0"/>
            <w:vAlign w:val="center"/>
          </w:tcPr>
          <w:p w14:paraId="46E03EF2">
            <w:pPr>
              <w:pStyle w:val="20"/>
              <w:spacing w:line="390" w:lineRule="exact"/>
              <w:ind w:firstLine="0" w:firstLineChars="0"/>
              <w:jc w:val="center"/>
              <w:rPr>
                <w:rFonts w:hint="eastAsia" w:ascii="Times New Roman" w:hAnsi="Times New Roman" w:eastAsia="宋体"/>
                <w:color w:val="000000" w:themeColor="text1"/>
                <w:kern w:val="2"/>
                <w:sz w:val="21"/>
                <w:szCs w:val="21"/>
                <w:highlight w:val="none"/>
                <w:lang w:eastAsia="zh-CN"/>
                <w14:textFill>
                  <w14:solidFill>
                    <w14:schemeClr w14:val="tx1"/>
                  </w14:solidFill>
                </w14:textFill>
              </w:rPr>
            </w:pPr>
            <w:r>
              <w:rPr>
                <w:rFonts w:hint="eastAsia" w:ascii="Times New Roman" w:hAnsi="Times New Roman" w:eastAsia="宋体"/>
                <w:color w:val="000000" w:themeColor="text1"/>
                <w:kern w:val="2"/>
                <w:sz w:val="21"/>
                <w:szCs w:val="21"/>
                <w:highlight w:val="none"/>
                <w:lang w:eastAsia="zh-CN"/>
                <w14:textFill>
                  <w14:solidFill>
                    <w14:schemeClr w14:val="tx1"/>
                  </w14:solidFill>
                </w14:textFill>
              </w:rPr>
              <w:t>竞争性磋商文件采购需求</w:t>
            </w:r>
          </w:p>
        </w:tc>
        <w:tc>
          <w:tcPr>
            <w:tcW w:w="2210" w:type="dxa"/>
            <w:noWrap w:val="0"/>
            <w:vAlign w:val="center"/>
          </w:tcPr>
          <w:p w14:paraId="596E3A7E">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hint="eastAsia" w:ascii="Times New Roman" w:hAnsi="Times New Roman" w:eastAsia="宋体" w:cs="宋体"/>
                <w:color w:val="000000" w:themeColor="text1"/>
                <w:kern w:val="2"/>
                <w:sz w:val="21"/>
                <w:szCs w:val="21"/>
                <w:highlight w:val="none"/>
                <w:lang w:eastAsia="zh-CN"/>
                <w14:textFill>
                  <w14:solidFill>
                    <w14:schemeClr w14:val="tx1"/>
                  </w14:solidFill>
                </w14:textFill>
              </w:rPr>
              <w:t>供应商的响应</w:t>
            </w:r>
          </w:p>
        </w:tc>
        <w:tc>
          <w:tcPr>
            <w:tcW w:w="1654" w:type="dxa"/>
            <w:noWrap w:val="0"/>
            <w:vAlign w:val="center"/>
          </w:tcPr>
          <w:p w14:paraId="21EFE9B5">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偏离说明</w:t>
            </w:r>
          </w:p>
        </w:tc>
      </w:tr>
      <w:tr w14:paraId="3F42E3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21" w:type="dxa"/>
            <w:noWrap w:val="0"/>
            <w:vAlign w:val="center"/>
          </w:tcPr>
          <w:p w14:paraId="2775D242">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1</w:t>
            </w:r>
          </w:p>
        </w:tc>
        <w:tc>
          <w:tcPr>
            <w:tcW w:w="1820" w:type="dxa"/>
            <w:tcBorders>
              <w:right w:val="single" w:color="auto" w:sz="4" w:space="0"/>
            </w:tcBorders>
            <w:noWrap w:val="0"/>
            <w:vAlign w:val="center"/>
          </w:tcPr>
          <w:p w14:paraId="6821F635">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877" w:type="dxa"/>
            <w:tcBorders>
              <w:left w:val="single" w:color="auto" w:sz="4" w:space="0"/>
            </w:tcBorders>
            <w:noWrap w:val="0"/>
            <w:vAlign w:val="center"/>
          </w:tcPr>
          <w:p w14:paraId="3D42C01C">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210" w:type="dxa"/>
            <w:noWrap w:val="0"/>
            <w:vAlign w:val="center"/>
          </w:tcPr>
          <w:p w14:paraId="2ED6BDA8">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1654" w:type="dxa"/>
            <w:noWrap w:val="0"/>
            <w:vAlign w:val="center"/>
          </w:tcPr>
          <w:p w14:paraId="718248E6">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r>
      <w:tr w14:paraId="62623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21" w:type="dxa"/>
            <w:noWrap w:val="0"/>
            <w:vAlign w:val="center"/>
          </w:tcPr>
          <w:p w14:paraId="01552F8B">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2</w:t>
            </w:r>
          </w:p>
        </w:tc>
        <w:tc>
          <w:tcPr>
            <w:tcW w:w="1820" w:type="dxa"/>
            <w:tcBorders>
              <w:right w:val="single" w:color="auto" w:sz="4" w:space="0"/>
            </w:tcBorders>
            <w:noWrap w:val="0"/>
            <w:vAlign w:val="center"/>
          </w:tcPr>
          <w:p w14:paraId="08A0B271">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877" w:type="dxa"/>
            <w:tcBorders>
              <w:left w:val="single" w:color="auto" w:sz="4" w:space="0"/>
            </w:tcBorders>
            <w:noWrap w:val="0"/>
            <w:vAlign w:val="center"/>
          </w:tcPr>
          <w:p w14:paraId="46061D67">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210" w:type="dxa"/>
            <w:noWrap w:val="0"/>
            <w:vAlign w:val="center"/>
          </w:tcPr>
          <w:p w14:paraId="72FCD0FC">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1654" w:type="dxa"/>
            <w:noWrap w:val="0"/>
            <w:vAlign w:val="center"/>
          </w:tcPr>
          <w:p w14:paraId="40C73A6C">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r>
      <w:tr w14:paraId="272934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21" w:type="dxa"/>
            <w:noWrap w:val="0"/>
            <w:vAlign w:val="center"/>
          </w:tcPr>
          <w:p w14:paraId="53FAC858">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3</w:t>
            </w:r>
          </w:p>
        </w:tc>
        <w:tc>
          <w:tcPr>
            <w:tcW w:w="1820" w:type="dxa"/>
            <w:tcBorders>
              <w:right w:val="single" w:color="auto" w:sz="4" w:space="0"/>
            </w:tcBorders>
            <w:noWrap w:val="0"/>
            <w:vAlign w:val="center"/>
          </w:tcPr>
          <w:p w14:paraId="5E00BB39">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877" w:type="dxa"/>
            <w:tcBorders>
              <w:left w:val="single" w:color="auto" w:sz="4" w:space="0"/>
            </w:tcBorders>
            <w:noWrap w:val="0"/>
            <w:vAlign w:val="center"/>
          </w:tcPr>
          <w:p w14:paraId="4098C8F1">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210" w:type="dxa"/>
            <w:noWrap w:val="0"/>
            <w:vAlign w:val="center"/>
          </w:tcPr>
          <w:p w14:paraId="1DA7867A">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1654" w:type="dxa"/>
            <w:noWrap w:val="0"/>
            <w:vAlign w:val="center"/>
          </w:tcPr>
          <w:p w14:paraId="7EEC1285">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r>
      <w:tr w14:paraId="05ECD1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1" w:type="dxa"/>
            <w:noWrap w:val="0"/>
            <w:vAlign w:val="center"/>
          </w:tcPr>
          <w:p w14:paraId="4EACF744">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r>
              <w:rPr>
                <w:rFonts w:ascii="Times New Roman" w:hAnsi="Times New Roman" w:eastAsia="宋体"/>
                <w:color w:val="000000" w:themeColor="text1"/>
                <w:kern w:val="2"/>
                <w:sz w:val="21"/>
                <w:szCs w:val="21"/>
                <w:highlight w:val="none"/>
                <w14:textFill>
                  <w14:solidFill>
                    <w14:schemeClr w14:val="tx1"/>
                  </w14:solidFill>
                </w14:textFill>
              </w:rPr>
              <w:t>…</w:t>
            </w:r>
          </w:p>
        </w:tc>
        <w:tc>
          <w:tcPr>
            <w:tcW w:w="1820" w:type="dxa"/>
            <w:tcBorders>
              <w:right w:val="single" w:color="auto" w:sz="4" w:space="0"/>
            </w:tcBorders>
            <w:noWrap w:val="0"/>
            <w:vAlign w:val="center"/>
          </w:tcPr>
          <w:p w14:paraId="22470103">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877" w:type="dxa"/>
            <w:tcBorders>
              <w:left w:val="single" w:color="auto" w:sz="4" w:space="0"/>
            </w:tcBorders>
            <w:noWrap w:val="0"/>
            <w:vAlign w:val="center"/>
          </w:tcPr>
          <w:p w14:paraId="1B008579">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2210" w:type="dxa"/>
            <w:noWrap w:val="0"/>
            <w:vAlign w:val="center"/>
          </w:tcPr>
          <w:p w14:paraId="73A5ED52">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c>
          <w:tcPr>
            <w:tcW w:w="1654" w:type="dxa"/>
            <w:tcBorders>
              <w:right w:val="single" w:color="auto" w:sz="4" w:space="0"/>
            </w:tcBorders>
            <w:noWrap w:val="0"/>
            <w:vAlign w:val="center"/>
          </w:tcPr>
          <w:p w14:paraId="1468A4C5">
            <w:pPr>
              <w:pStyle w:val="20"/>
              <w:spacing w:line="390" w:lineRule="exact"/>
              <w:ind w:firstLine="0" w:firstLineChars="0"/>
              <w:jc w:val="center"/>
              <w:rPr>
                <w:rFonts w:ascii="Times New Roman" w:hAnsi="Times New Roman" w:eastAsia="宋体"/>
                <w:color w:val="000000" w:themeColor="text1"/>
                <w:kern w:val="2"/>
                <w:sz w:val="21"/>
                <w:szCs w:val="21"/>
                <w:highlight w:val="none"/>
                <w14:textFill>
                  <w14:solidFill>
                    <w14:schemeClr w14:val="tx1"/>
                  </w14:solidFill>
                </w14:textFill>
              </w:rPr>
            </w:pPr>
          </w:p>
        </w:tc>
      </w:tr>
    </w:tbl>
    <w:p w14:paraId="240955B9">
      <w:pPr>
        <w:pStyle w:val="20"/>
        <w:keepNext w:val="0"/>
        <w:keepLines w:val="0"/>
        <w:pageBreakBefore w:val="0"/>
        <w:widowControl w:val="0"/>
        <w:kinsoku/>
        <w:wordWrap/>
        <w:overflowPunct/>
        <w:topLinePunct w:val="0"/>
        <w:autoSpaceDE/>
        <w:autoSpaceDN/>
        <w:bidi w:val="0"/>
        <w:adjustRightInd/>
        <w:snapToGrid/>
        <w:spacing w:before="95" w:beforeLines="30" w:line="440" w:lineRule="exact"/>
        <w:ind w:firstLine="0" w:firstLineChars="0"/>
        <w:contextualSpacing/>
        <w:textAlignment w:val="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sz w:val="21"/>
          <w:szCs w:val="21"/>
          <w:highlight w:val="none"/>
          <w14:textFill>
            <w14:solidFill>
              <w14:schemeClr w14:val="tx1"/>
            </w14:solidFill>
          </w14:textFill>
        </w:rPr>
        <w:t>注：</w:t>
      </w:r>
    </w:p>
    <w:p w14:paraId="6B1D000B">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1. 说明：应对照</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w:t>
      </w:r>
      <w:r>
        <w:rPr>
          <w:rFonts w:ascii="Times New Roman" w:hAnsi="Times New Roman" w:eastAsia="宋体" w:cs="Times New Roman"/>
          <w:color w:val="000000" w:themeColor="text1"/>
          <w:sz w:val="21"/>
          <w:szCs w:val="21"/>
          <w:highlight w:val="none"/>
          <w14:textFill>
            <w14:solidFill>
              <w14:schemeClr w14:val="tx1"/>
            </w14:solidFill>
          </w14:textFill>
        </w:rPr>
        <w:t>文件“第三章</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highlight w:val="none"/>
          <w14:textFill>
            <w14:solidFill>
              <w14:schemeClr w14:val="tx1"/>
            </w14:solidFill>
          </w14:textFill>
        </w:rPr>
        <w:t>采购需求”中的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采购</w:t>
      </w:r>
      <w:r>
        <w:rPr>
          <w:rFonts w:ascii="Times New Roman" w:hAnsi="Times New Roman" w:eastAsia="宋体" w:cs="Times New Roman"/>
          <w:color w:val="000000" w:themeColor="text1"/>
          <w:sz w:val="21"/>
          <w:szCs w:val="21"/>
          <w:highlight w:val="none"/>
          <w14:textFill>
            <w14:solidFill>
              <w14:schemeClr w14:val="tx1"/>
            </w14:solidFill>
          </w14:textFill>
        </w:rPr>
        <w:t>需求逐条实质性响应，并作出偏离说明。</w:t>
      </w:r>
    </w:p>
    <w:p w14:paraId="5C98B266">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14:textFill>
            <w14:solidFill>
              <w14:schemeClr w14:val="tx1"/>
            </w14:solidFill>
          </w14:textFill>
        </w:rPr>
        <w:t>供应商应根据自身的承诺，对照</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w:t>
      </w:r>
      <w:r>
        <w:rPr>
          <w:rFonts w:hint="eastAsia" w:ascii="Times New Roman" w:hAnsi="Times New Roman" w:eastAsia="宋体" w:cs="Times New Roman"/>
          <w:color w:val="000000" w:themeColor="text1"/>
          <w:sz w:val="21"/>
          <w:szCs w:val="21"/>
          <w:highlight w:val="none"/>
          <w14:textFill>
            <w14:solidFill>
              <w14:schemeClr w14:val="tx1"/>
            </w14:solidFill>
          </w14:textFill>
        </w:rPr>
        <w:t>磋商文件要求，在“偏离说明”中注明“正偏离”、“负偏离”或者“无偏离”。既不属于“正偏离”也不属于“负偏离”即为“无偏离”。</w:t>
      </w:r>
    </w:p>
    <w:p w14:paraId="59409913">
      <w:pPr>
        <w:pStyle w:val="20"/>
        <w:keepNext w:val="0"/>
        <w:keepLines w:val="0"/>
        <w:pageBreakBefore w:val="0"/>
        <w:widowControl w:val="0"/>
        <w:kinsoku/>
        <w:wordWrap/>
        <w:overflowPunct/>
        <w:topLinePunct w:val="0"/>
        <w:autoSpaceDE/>
        <w:autoSpaceDN/>
        <w:bidi w:val="0"/>
        <w:adjustRightInd/>
        <w:snapToGrid/>
        <w:spacing w:line="450" w:lineRule="exact"/>
        <w:ind w:firstLine="0" w:firstLineChars="0"/>
        <w:contextualSpacing/>
        <w:textAlignment w:val="auto"/>
        <w:rPr>
          <w:rFonts w:hint="eastAsia" w:ascii="Times New Roman" w:hAnsi="Times New Roman" w:eastAsia="宋体" w:cs="Times New Roman"/>
          <w:color w:val="000000" w:themeColor="text1"/>
          <w:sz w:val="21"/>
          <w:szCs w:val="21"/>
          <w:highlight w:val="none"/>
          <w14:textFill>
            <w14:solidFill>
              <w14:schemeClr w14:val="tx1"/>
            </w14:solidFill>
          </w14:textFill>
        </w:rPr>
      </w:pPr>
    </w:p>
    <w:p w14:paraId="41BD5859">
      <w:pPr>
        <w:pStyle w:val="20"/>
        <w:spacing w:line="360" w:lineRule="auto"/>
        <w:ind w:firstLine="0" w:firstLineChars="0"/>
        <w:contextualSpacing/>
        <w:rPr>
          <w:rFonts w:hint="eastAsia" w:ascii="宋体" w:hAnsi="宋体" w:eastAsia="宋体" w:cs="仿宋_GB2312"/>
          <w:color w:val="000000" w:themeColor="text1"/>
          <w:sz w:val="24"/>
          <w:szCs w:val="24"/>
          <w:highlight w:val="none"/>
          <w14:textFill>
            <w14:solidFill>
              <w14:schemeClr w14:val="tx1"/>
            </w14:solidFill>
          </w14:textFill>
        </w:rPr>
      </w:pPr>
    </w:p>
    <w:p w14:paraId="4CCF2087">
      <w:pPr>
        <w:spacing w:line="360" w:lineRule="auto"/>
        <w:ind w:right="-856" w:rightChars="-389"/>
        <w:contextualSpacing/>
        <w:rPr>
          <w:rFonts w:hint="eastAsia" w:ascii="宋体" w:hAnsi="宋体" w:cs="仿宋_GB2312"/>
          <w:color w:val="000000" w:themeColor="text1"/>
          <w:sz w:val="24"/>
          <w:highlight w:val="none"/>
          <w14:textFill>
            <w14:solidFill>
              <w14:schemeClr w14:val="tx1"/>
            </w14:solidFill>
          </w14:textFill>
        </w:rPr>
      </w:pPr>
    </w:p>
    <w:p w14:paraId="57B63DC6">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72BD6EB1">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55108997">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年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6DDD8F67">
      <w:pPr>
        <w:pStyle w:val="3"/>
        <w:keepNext w:val="0"/>
        <w:keepLines w:val="0"/>
        <w:pageBreakBefore w:val="0"/>
        <w:widowControl w:val="0"/>
        <w:kinsoku/>
        <w:wordWrap/>
        <w:overflowPunct/>
        <w:topLinePunct w:val="0"/>
        <w:autoSpaceDE w:val="0"/>
        <w:autoSpaceDN w:val="0"/>
        <w:bidi w:val="0"/>
        <w:adjustRightInd/>
        <w:snapToGrid/>
        <w:spacing w:before="120" w:beforeLines="50" w:after="480" w:afterLines="200" w:line="700" w:lineRule="exact"/>
        <w:jc w:val="both"/>
        <w:textAlignment w:val="auto"/>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191" w:name="_Toc10390"/>
      <w:bookmarkStart w:id="192" w:name="_Toc19912"/>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8</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农民工工资保证金的交纳与使用承诺书</w:t>
      </w:r>
      <w:r>
        <w:rPr>
          <w:rFonts w:hint="eastAsia" w:ascii="宋体" w:hAnsi="宋体" w:eastAsia="宋体" w:cs="宋体"/>
          <w:color w:val="000000" w:themeColor="text1"/>
          <w:sz w:val="30"/>
          <w:szCs w:val="30"/>
          <w:highlight w:val="none"/>
          <w:lang w:eastAsia="zh-CN"/>
          <w14:textFill>
            <w14:solidFill>
              <w14:schemeClr w14:val="tx1"/>
            </w14:solidFill>
          </w14:textFill>
        </w:rPr>
        <w:t>格式</w:t>
      </w:r>
      <w:bookmarkEnd w:id="185"/>
      <w:bookmarkEnd w:id="191"/>
      <w:bookmarkEnd w:id="192"/>
    </w:p>
    <w:p w14:paraId="0E2519E6">
      <w:pPr>
        <w:pStyle w:val="3"/>
        <w:keepNext w:val="0"/>
        <w:keepLines w:val="0"/>
        <w:pageBreakBefore w:val="0"/>
        <w:widowControl w:val="0"/>
        <w:kinsoku/>
        <w:wordWrap/>
        <w:overflowPunct/>
        <w:topLinePunct w:val="0"/>
        <w:autoSpaceDE w:val="0"/>
        <w:autoSpaceDN w:val="0"/>
        <w:bidi w:val="0"/>
        <w:adjustRightInd/>
        <w:snapToGrid/>
        <w:spacing w:before="120" w:beforeLines="50" w:after="0" w:afterLines="250" w:line="700" w:lineRule="exact"/>
        <w:textAlignment w:val="auto"/>
        <w:rPr>
          <w:rFonts w:hint="eastAsia" w:ascii="宋体" w:hAnsi="宋体" w:eastAsia="宋体" w:cs="宋体"/>
          <w:color w:val="000000" w:themeColor="text1"/>
          <w:sz w:val="30"/>
          <w:szCs w:val="30"/>
          <w:highlight w:val="none"/>
          <w14:textFill>
            <w14:solidFill>
              <w14:schemeClr w14:val="tx1"/>
            </w14:solidFill>
          </w14:textFill>
        </w:rPr>
      </w:pPr>
      <w:bookmarkStart w:id="193" w:name="_Toc20320"/>
      <w:bookmarkStart w:id="194" w:name="_Toc11366"/>
      <w:bookmarkStart w:id="195" w:name="_Toc19337"/>
      <w:r>
        <w:rPr>
          <w:rFonts w:hint="eastAsia" w:ascii="宋体" w:hAnsi="宋体" w:eastAsia="宋体" w:cs="宋体"/>
          <w:color w:val="000000" w:themeColor="text1"/>
          <w:sz w:val="30"/>
          <w:szCs w:val="30"/>
          <w:highlight w:val="none"/>
          <w14:textFill>
            <w14:solidFill>
              <w14:schemeClr w14:val="tx1"/>
            </w14:solidFill>
          </w14:textFill>
        </w:rPr>
        <w:t>农民工工资保证金的交纳与使用承诺书</w:t>
      </w:r>
      <w:bookmarkEnd w:id="186"/>
      <w:bookmarkEnd w:id="187"/>
      <w:bookmarkEnd w:id="188"/>
      <w:bookmarkEnd w:id="189"/>
      <w:bookmarkEnd w:id="190"/>
      <w:bookmarkEnd w:id="193"/>
      <w:bookmarkEnd w:id="194"/>
      <w:bookmarkEnd w:id="195"/>
    </w:p>
    <w:p w14:paraId="50CA1216">
      <w:pPr>
        <w:pStyle w:val="19"/>
        <w:spacing w:line="430" w:lineRule="exact"/>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（格式自拟）</w:t>
      </w:r>
    </w:p>
    <w:p w14:paraId="3FE9C031">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2F91AC20">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1994A33B">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487A928C">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bookmarkStart w:id="196" w:name="_Toc17375"/>
    </w:p>
    <w:p w14:paraId="2E2319F4">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1436753A">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2D3FD563">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0E2B6D76">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78DE146D">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76386127">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4F0DA6A3">
      <w:pPr>
        <w:pStyle w:val="19"/>
        <w:tabs>
          <w:tab w:val="left" w:pos="6212"/>
        </w:tabs>
        <w:spacing w:line="560" w:lineRule="exact"/>
        <w:rPr>
          <w:rFonts w:ascii="Times New Roman" w:cs="Times New Roman"/>
          <w:color w:val="000000" w:themeColor="text1"/>
          <w:highlight w:val="none"/>
          <w:u w:val="none"/>
          <w14:textFill>
            <w14:solidFill>
              <w14:schemeClr w14:val="tx1"/>
            </w14:solidFill>
          </w14:textFill>
        </w:rPr>
      </w:pPr>
    </w:p>
    <w:p w14:paraId="3C9B6250">
      <w:pPr>
        <w:pStyle w:val="19"/>
        <w:tabs>
          <w:tab w:val="left" w:pos="6212"/>
        </w:tabs>
        <w:spacing w:line="560" w:lineRule="exact"/>
        <w:ind w:firstLine="3780" w:firstLineChars="1800"/>
        <w:rPr>
          <w:rFonts w:ascii="Times New Roman" w:cs="Times New Roman"/>
          <w:color w:val="000000" w:themeColor="text1"/>
          <w:highlight w:val="none"/>
          <w:u w:val="none"/>
          <w14:textFill>
            <w14:solidFill>
              <w14:schemeClr w14:val="tx1"/>
            </w14:solidFill>
          </w14:textFill>
        </w:rPr>
      </w:pPr>
    </w:p>
    <w:p w14:paraId="439F6E94">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3CDD51A2">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2DF58262">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年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79CC5A3C">
      <w:pPr>
        <w:rPr>
          <w:rFonts w:hint="eastAsia"/>
          <w:color w:val="000000" w:themeColor="text1"/>
          <w:sz w:val="30"/>
          <w:szCs w:val="30"/>
          <w:highlight w:val="none"/>
          <w14:textFill>
            <w14:solidFill>
              <w14:schemeClr w14:val="tx1"/>
            </w14:solidFill>
          </w14:textFill>
        </w:rPr>
      </w:pPr>
    </w:p>
    <w:p w14:paraId="7B2EC10C">
      <w:pPr>
        <w:pStyle w:val="101"/>
        <w:rPr>
          <w:rFonts w:hint="eastAsia" w:ascii="宋体" w:hAnsi="宋体" w:cs="宋体"/>
          <w:color w:val="000000" w:themeColor="text1"/>
          <w:sz w:val="30"/>
          <w:szCs w:val="30"/>
          <w:highlight w:val="none"/>
          <w14:textFill>
            <w14:solidFill>
              <w14:schemeClr w14:val="tx1"/>
            </w14:solidFill>
          </w14:textFill>
        </w:rPr>
      </w:pPr>
    </w:p>
    <w:p w14:paraId="0F955822">
      <w:pPr>
        <w:pStyle w:val="101"/>
        <w:rPr>
          <w:rFonts w:hint="eastAsia" w:ascii="宋体" w:hAnsi="宋体" w:cs="宋体"/>
          <w:color w:val="000000" w:themeColor="text1"/>
          <w:sz w:val="30"/>
          <w:szCs w:val="30"/>
          <w:highlight w:val="none"/>
          <w14:textFill>
            <w14:solidFill>
              <w14:schemeClr w14:val="tx1"/>
            </w14:solidFill>
          </w14:textFill>
        </w:rPr>
      </w:pPr>
    </w:p>
    <w:p w14:paraId="211EDBE1">
      <w:pPr>
        <w:pStyle w:val="101"/>
        <w:rPr>
          <w:rFonts w:hint="eastAsia" w:ascii="宋体" w:hAnsi="宋体" w:cs="宋体"/>
          <w:color w:val="000000" w:themeColor="text1"/>
          <w:sz w:val="30"/>
          <w:szCs w:val="30"/>
          <w:highlight w:val="none"/>
          <w14:textFill>
            <w14:solidFill>
              <w14:schemeClr w14:val="tx1"/>
            </w14:solidFill>
          </w14:textFill>
        </w:rPr>
      </w:pPr>
    </w:p>
    <w:p w14:paraId="427D26CA">
      <w:pPr>
        <w:pStyle w:val="101"/>
        <w:rPr>
          <w:rFonts w:hint="eastAsia" w:ascii="宋体" w:hAnsi="宋体" w:cs="宋体"/>
          <w:color w:val="000000" w:themeColor="text1"/>
          <w:sz w:val="30"/>
          <w:szCs w:val="30"/>
          <w:highlight w:val="none"/>
          <w14:textFill>
            <w14:solidFill>
              <w14:schemeClr w14:val="tx1"/>
            </w14:solidFill>
          </w14:textFill>
        </w:rPr>
      </w:pPr>
    </w:p>
    <w:p w14:paraId="2AC2329D">
      <w:pP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bookmarkStart w:id="197" w:name="_Toc3637"/>
      <w:bookmarkStart w:id="198" w:name="_Toc7519"/>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br w:type="page"/>
      </w:r>
    </w:p>
    <w:p w14:paraId="4A5CAA31">
      <w:pPr>
        <w:pStyle w:val="3"/>
        <w:keepNext w:val="0"/>
        <w:keepLines w:val="0"/>
        <w:pageBreakBefore w:val="0"/>
        <w:widowControl w:val="0"/>
        <w:kinsoku/>
        <w:wordWrap/>
        <w:overflowPunct/>
        <w:topLinePunct w:val="0"/>
        <w:autoSpaceDE w:val="0"/>
        <w:autoSpaceDN w:val="0"/>
        <w:bidi w:val="0"/>
        <w:adjustRightInd/>
        <w:snapToGrid/>
        <w:spacing w:after="469" w:afterLines="150" w:line="700" w:lineRule="exact"/>
        <w:ind w:right="45"/>
        <w:jc w:val="both"/>
        <w:textAlignment w:val="auto"/>
        <w:rPr>
          <w:rFonts w:hint="eastAsia"/>
          <w:color w:val="000000" w:themeColor="text1"/>
          <w:highlight w:val="none"/>
          <w14:textFill>
            <w14:solidFill>
              <w14:schemeClr w14:val="tx1"/>
            </w14:solidFill>
          </w14:textFill>
        </w:rPr>
      </w:pPr>
      <w:bookmarkStart w:id="199" w:name="_Toc12494"/>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9</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安全防护、文明施工措施方案的承诺书</w:t>
      </w:r>
      <w:r>
        <w:rPr>
          <w:rFonts w:hint="eastAsia" w:ascii="宋体" w:hAnsi="宋体" w:eastAsia="宋体" w:cs="宋体"/>
          <w:color w:val="000000" w:themeColor="text1"/>
          <w:sz w:val="30"/>
          <w:szCs w:val="30"/>
          <w:highlight w:val="none"/>
          <w:lang w:eastAsia="zh-CN"/>
          <w14:textFill>
            <w14:solidFill>
              <w14:schemeClr w14:val="tx1"/>
            </w14:solidFill>
          </w14:textFill>
        </w:rPr>
        <w:t>格式</w:t>
      </w:r>
      <w:bookmarkEnd w:id="197"/>
      <w:bookmarkEnd w:id="198"/>
      <w:bookmarkEnd w:id="199"/>
    </w:p>
    <w:bookmarkEnd w:id="196"/>
    <w:p w14:paraId="2219826A">
      <w:pPr>
        <w:pStyle w:val="3"/>
        <w:keepNext w:val="0"/>
        <w:keepLines w:val="0"/>
        <w:pageBreakBefore w:val="0"/>
        <w:widowControl w:val="0"/>
        <w:kinsoku/>
        <w:wordWrap/>
        <w:overflowPunct/>
        <w:topLinePunct w:val="0"/>
        <w:autoSpaceDE w:val="0"/>
        <w:autoSpaceDN w:val="0"/>
        <w:bidi w:val="0"/>
        <w:adjustRightInd/>
        <w:snapToGrid/>
        <w:spacing w:after="157" w:afterLines="50" w:line="700" w:lineRule="exact"/>
        <w:ind w:right="45"/>
        <w:textAlignment w:val="auto"/>
        <w:rPr>
          <w:rFonts w:hint="eastAsia" w:ascii="宋体" w:hAnsi="宋体" w:eastAsia="宋体" w:cs="宋体"/>
          <w:color w:val="000000" w:themeColor="text1"/>
          <w:sz w:val="30"/>
          <w:szCs w:val="30"/>
          <w:highlight w:val="none"/>
          <w14:textFill>
            <w14:solidFill>
              <w14:schemeClr w14:val="tx1"/>
            </w14:solidFill>
          </w14:textFill>
        </w:rPr>
      </w:pPr>
      <w:bookmarkStart w:id="200" w:name="_Toc18453"/>
      <w:bookmarkStart w:id="201" w:name="_Toc40365247"/>
      <w:bookmarkStart w:id="202" w:name="_Toc29308"/>
      <w:bookmarkStart w:id="203" w:name="_Toc14947"/>
      <w:r>
        <w:rPr>
          <w:rFonts w:hint="eastAsia" w:ascii="宋体" w:hAnsi="宋体" w:eastAsia="宋体" w:cs="宋体"/>
          <w:color w:val="000000" w:themeColor="text1"/>
          <w:sz w:val="30"/>
          <w:szCs w:val="30"/>
          <w:highlight w:val="none"/>
          <w14:textFill>
            <w14:solidFill>
              <w14:schemeClr w14:val="tx1"/>
            </w14:solidFill>
          </w14:textFill>
        </w:rPr>
        <w:t>安全防护、文明施工措施方案的承诺书</w:t>
      </w:r>
      <w:bookmarkEnd w:id="200"/>
      <w:bookmarkEnd w:id="201"/>
      <w:bookmarkEnd w:id="202"/>
      <w:bookmarkEnd w:id="203"/>
    </w:p>
    <w:p w14:paraId="4346C40A">
      <w:pPr>
        <w:pStyle w:val="3"/>
        <w:spacing w:line="360" w:lineRule="exact"/>
        <w:ind w:left="3092"/>
        <w:jc w:val="left"/>
        <w:rPr>
          <w:rFonts w:hint="eastAsia" w:ascii="宋体" w:hAnsi="宋体" w:eastAsia="宋体" w:cs="宋体"/>
          <w:color w:val="000000" w:themeColor="text1"/>
          <w:highlight w:val="none"/>
          <w14:textFill>
            <w14:solidFill>
              <w14:schemeClr w14:val="tx1"/>
            </w14:solidFill>
          </w14:textFill>
        </w:rPr>
      </w:pPr>
      <w:bookmarkStart w:id="204" w:name="_Toc20651"/>
    </w:p>
    <w:p w14:paraId="11D2E920">
      <w:pPr>
        <w:pStyle w:val="3"/>
        <w:spacing w:line="360" w:lineRule="exact"/>
        <w:ind w:left="3092"/>
        <w:jc w:val="left"/>
        <w:rPr>
          <w:rFonts w:hint="eastAsia" w:ascii="宋体" w:hAnsi="宋体" w:eastAsia="宋体" w:cs="宋体"/>
          <w:color w:val="000000" w:themeColor="text1"/>
          <w:highlight w:val="none"/>
          <w14:textFill>
            <w14:solidFill>
              <w14:schemeClr w14:val="tx1"/>
            </w14:solidFill>
          </w14:textFill>
        </w:rPr>
      </w:pPr>
    </w:p>
    <w:p w14:paraId="618ACD07">
      <w:pPr>
        <w:pStyle w:val="19"/>
        <w:spacing w:line="430" w:lineRule="exact"/>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（格式自拟）</w:t>
      </w:r>
    </w:p>
    <w:p w14:paraId="2D9261DD">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75326346">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3EB66E86">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0CB6AD66">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5F66FBF8">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67FDAE82">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62FD5FC8">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11093F7F">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31262CEE">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67D66F36">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6F8059C2">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2E9DA3BF">
      <w:pPr>
        <w:pStyle w:val="19"/>
        <w:spacing w:line="430" w:lineRule="exact"/>
        <w:jc w:val="both"/>
        <w:rPr>
          <w:rFonts w:hint="eastAsia" w:ascii="Times New Roman" w:hAnsi="Times New Roman" w:cs="Times New Roman"/>
          <w:color w:val="000000" w:themeColor="text1"/>
          <w:highlight w:val="none"/>
          <w14:textFill>
            <w14:solidFill>
              <w14:schemeClr w14:val="tx1"/>
            </w14:solidFill>
          </w14:textFill>
        </w:rPr>
      </w:pPr>
    </w:p>
    <w:p w14:paraId="45ADADB5">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388A8849">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2178B97F">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年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5ABF2595">
      <w:pPr>
        <w:rPr>
          <w:rFonts w:hint="eastAsia"/>
          <w:color w:val="000000" w:themeColor="text1"/>
          <w:sz w:val="30"/>
          <w:szCs w:val="30"/>
          <w:highlight w:val="none"/>
          <w14:textFill>
            <w14:solidFill>
              <w14:schemeClr w14:val="tx1"/>
            </w14:solidFill>
          </w14:textFill>
        </w:rPr>
      </w:pPr>
    </w:p>
    <w:p w14:paraId="6CDD4DCE">
      <w:pPr>
        <w:pStyle w:val="5"/>
        <w:rPr>
          <w:rFonts w:hint="eastAsia" w:ascii="宋体" w:hAnsi="宋体" w:eastAsia="宋体" w:cs="宋体"/>
          <w:color w:val="000000" w:themeColor="text1"/>
          <w:highlight w:val="none"/>
          <w14:textFill>
            <w14:solidFill>
              <w14:schemeClr w14:val="tx1"/>
            </w14:solidFill>
          </w14:textFill>
        </w:rPr>
      </w:pPr>
    </w:p>
    <w:p w14:paraId="194D4748">
      <w:pPr>
        <w:rPr>
          <w:rFonts w:hint="eastAsia"/>
          <w:color w:val="000000" w:themeColor="text1"/>
          <w:sz w:val="30"/>
          <w:szCs w:val="30"/>
          <w:highlight w:val="none"/>
          <w14:textFill>
            <w14:solidFill>
              <w14:schemeClr w14:val="tx1"/>
            </w14:solidFill>
          </w14:textFill>
        </w:rPr>
      </w:pPr>
    </w:p>
    <w:p w14:paraId="34268DB0">
      <w:pPr>
        <w:pStyle w:val="101"/>
        <w:rPr>
          <w:rFonts w:hint="eastAsia"/>
          <w:color w:val="000000" w:themeColor="text1"/>
          <w:highlight w:val="none"/>
          <w14:textFill>
            <w14:solidFill>
              <w14:schemeClr w14:val="tx1"/>
            </w14:solidFill>
          </w14:textFill>
        </w:rPr>
      </w:pPr>
    </w:p>
    <w:p w14:paraId="5DADE40D">
      <w:pPr>
        <w:pStyle w:val="101"/>
        <w:rPr>
          <w:rFonts w:hint="eastAsia"/>
          <w:color w:val="000000" w:themeColor="text1"/>
          <w:highlight w:val="none"/>
          <w14:textFill>
            <w14:solidFill>
              <w14:schemeClr w14:val="tx1"/>
            </w14:solidFill>
          </w14:textFill>
        </w:rPr>
      </w:pPr>
    </w:p>
    <w:p w14:paraId="25B51D6C">
      <w:pPr>
        <w:pStyle w:val="101"/>
        <w:rPr>
          <w:rFonts w:hint="eastAsia"/>
          <w:color w:val="000000" w:themeColor="text1"/>
          <w:highlight w:val="none"/>
          <w14:textFill>
            <w14:solidFill>
              <w14:schemeClr w14:val="tx1"/>
            </w14:solidFill>
          </w14:textFill>
        </w:rPr>
      </w:pPr>
    </w:p>
    <w:bookmarkEnd w:id="204"/>
    <w:p w14:paraId="2CBD0BBC">
      <w:pP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br w:type="page"/>
      </w:r>
    </w:p>
    <w:p w14:paraId="1AF13AFE">
      <w:pPr>
        <w:pStyle w:val="19"/>
        <w:keepNext w:val="0"/>
        <w:keepLines w:val="0"/>
        <w:pageBreakBefore w:val="0"/>
        <w:widowControl w:val="0"/>
        <w:kinsoku/>
        <w:wordWrap/>
        <w:overflowPunct/>
        <w:topLinePunct w:val="0"/>
        <w:autoSpaceDE w:val="0"/>
        <w:autoSpaceDN w:val="0"/>
        <w:bidi w:val="0"/>
        <w:adjustRightInd/>
        <w:snapToGrid/>
        <w:spacing w:after="313" w:afterLines="100" w:line="700" w:lineRule="exact"/>
        <w:jc w:val="both"/>
        <w:textAlignment w:val="auto"/>
        <w:rPr>
          <w:rFonts w:hint="default" w:ascii="Times New Roman" w:hAnsi="Times New Roman" w:eastAsia="宋体" w:cs="Times New Roman"/>
          <w:color w:val="000000" w:themeColor="text1"/>
          <w:sz w:val="30"/>
          <w:szCs w:val="30"/>
          <w:highlight w:val="none"/>
          <w14:textFill>
            <w14:solidFill>
              <w14:schemeClr w14:val="tx1"/>
            </w14:solidFill>
          </w14:textFill>
        </w:rPr>
      </w:pPr>
      <w:r>
        <w:rPr>
          <w:rFonts w:hint="eastAsia" w:ascii="Times New Roman" w:hAnsi="Times New Roman" w:eastAsia="宋体" w:cs="Times New Roman"/>
          <w:b/>
          <w:color w:val="000000" w:themeColor="text1"/>
          <w:sz w:val="30"/>
          <w:szCs w:val="30"/>
          <w:highlight w:val="none"/>
          <w:lang w:val="en-US" w:eastAsia="zh-CN"/>
          <w14:textFill>
            <w14:solidFill>
              <w14:schemeClr w14:val="tx1"/>
            </w14:solidFill>
          </w14:textFill>
        </w:rPr>
        <w:t>10</w:t>
      </w:r>
      <w:r>
        <w:rPr>
          <w:rFonts w:hint="default" w:ascii="Times New Roman" w:hAnsi="Times New Roman" w:eastAsia="宋体" w:cs="Times New Roman"/>
          <w:b/>
          <w:color w:val="000000" w:themeColor="text1"/>
          <w:sz w:val="30"/>
          <w:szCs w:val="30"/>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t>近年完成的类似项目情况表格式</w:t>
      </w:r>
    </w:p>
    <w:p w14:paraId="3502CA22">
      <w:pPr>
        <w:pStyle w:val="19"/>
        <w:keepNext w:val="0"/>
        <w:keepLines w:val="0"/>
        <w:pageBreakBefore w:val="0"/>
        <w:widowControl w:val="0"/>
        <w:kinsoku/>
        <w:wordWrap/>
        <w:overflowPunct/>
        <w:topLinePunct w:val="0"/>
        <w:autoSpaceDE w:val="0"/>
        <w:autoSpaceDN w:val="0"/>
        <w:bidi w:val="0"/>
        <w:adjustRightInd/>
        <w:snapToGrid/>
        <w:spacing w:after="0" w:afterLines="100" w:line="740" w:lineRule="exact"/>
        <w:jc w:val="center"/>
        <w:textAlignment w:val="auto"/>
        <w:rPr>
          <w:rFonts w:hint="default"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pPr>
      <w:r>
        <w:rPr>
          <w:rFonts w:hint="default"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t>近年完成的类似项目情况表</w:t>
      </w:r>
    </w:p>
    <w:tbl>
      <w:tblPr>
        <w:tblStyle w:val="4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886"/>
      </w:tblGrid>
      <w:tr w14:paraId="4768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3122CB66">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项目名称</w:t>
            </w:r>
          </w:p>
        </w:tc>
        <w:tc>
          <w:tcPr>
            <w:tcW w:w="6886" w:type="dxa"/>
            <w:noWrap w:val="0"/>
            <w:vAlign w:val="center"/>
          </w:tcPr>
          <w:p w14:paraId="2E5CCDB0">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325C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47D9C754">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项目所在地</w:t>
            </w:r>
          </w:p>
        </w:tc>
        <w:tc>
          <w:tcPr>
            <w:tcW w:w="6886" w:type="dxa"/>
            <w:noWrap w:val="0"/>
            <w:vAlign w:val="center"/>
          </w:tcPr>
          <w:p w14:paraId="7E84F64D">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2D19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54D07263">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发包人名称</w:t>
            </w:r>
          </w:p>
        </w:tc>
        <w:tc>
          <w:tcPr>
            <w:tcW w:w="6886" w:type="dxa"/>
            <w:noWrap w:val="0"/>
            <w:vAlign w:val="center"/>
          </w:tcPr>
          <w:p w14:paraId="42DA5194">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4BCC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007CFCC6">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发包人地址</w:t>
            </w:r>
          </w:p>
        </w:tc>
        <w:tc>
          <w:tcPr>
            <w:tcW w:w="6886" w:type="dxa"/>
            <w:noWrap w:val="0"/>
            <w:vAlign w:val="center"/>
          </w:tcPr>
          <w:p w14:paraId="6E6D4E50">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0A8A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25A1BB24">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发包人电话</w:t>
            </w:r>
          </w:p>
        </w:tc>
        <w:tc>
          <w:tcPr>
            <w:tcW w:w="6886" w:type="dxa"/>
            <w:noWrap w:val="0"/>
            <w:vAlign w:val="center"/>
          </w:tcPr>
          <w:p w14:paraId="09BF8B65">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5F9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0340A66C">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签约合同价</w:t>
            </w:r>
          </w:p>
        </w:tc>
        <w:tc>
          <w:tcPr>
            <w:tcW w:w="6886" w:type="dxa"/>
            <w:noWrap w:val="0"/>
            <w:vAlign w:val="center"/>
          </w:tcPr>
          <w:p w14:paraId="0B4B74A2">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67C0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6D1765FC">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开工日期</w:t>
            </w:r>
          </w:p>
        </w:tc>
        <w:tc>
          <w:tcPr>
            <w:tcW w:w="6886" w:type="dxa"/>
            <w:noWrap w:val="0"/>
            <w:vAlign w:val="center"/>
          </w:tcPr>
          <w:p w14:paraId="3F879798">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7C39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616" w:type="dxa"/>
            <w:noWrap w:val="0"/>
            <w:vAlign w:val="center"/>
          </w:tcPr>
          <w:p w14:paraId="32C8DB80">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完工日期</w:t>
            </w:r>
          </w:p>
        </w:tc>
        <w:tc>
          <w:tcPr>
            <w:tcW w:w="6886" w:type="dxa"/>
            <w:noWrap w:val="0"/>
            <w:vAlign w:val="center"/>
          </w:tcPr>
          <w:p w14:paraId="0D07B522">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4700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69568831">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承担的工作</w:t>
            </w:r>
          </w:p>
        </w:tc>
        <w:tc>
          <w:tcPr>
            <w:tcW w:w="6886" w:type="dxa"/>
            <w:noWrap w:val="0"/>
            <w:vAlign w:val="center"/>
          </w:tcPr>
          <w:p w14:paraId="53FA5BD5">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5709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2981185C">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工程质量</w:t>
            </w:r>
          </w:p>
        </w:tc>
        <w:tc>
          <w:tcPr>
            <w:tcW w:w="6886" w:type="dxa"/>
            <w:noWrap w:val="0"/>
            <w:vAlign w:val="center"/>
          </w:tcPr>
          <w:p w14:paraId="331974B1">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1E28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6" w:type="dxa"/>
            <w:noWrap w:val="0"/>
            <w:vAlign w:val="center"/>
          </w:tcPr>
          <w:p w14:paraId="4DBD9B7E">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项目经理</w:t>
            </w:r>
          </w:p>
        </w:tc>
        <w:tc>
          <w:tcPr>
            <w:tcW w:w="6886" w:type="dxa"/>
            <w:noWrap w:val="0"/>
            <w:vAlign w:val="center"/>
          </w:tcPr>
          <w:p w14:paraId="404C8023">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643F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616" w:type="dxa"/>
            <w:noWrap w:val="0"/>
            <w:vAlign w:val="center"/>
          </w:tcPr>
          <w:p w14:paraId="083D6FAA">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技术负责人</w:t>
            </w:r>
          </w:p>
        </w:tc>
        <w:tc>
          <w:tcPr>
            <w:tcW w:w="6886" w:type="dxa"/>
            <w:noWrap w:val="0"/>
            <w:vAlign w:val="center"/>
          </w:tcPr>
          <w:p w14:paraId="186EEC72">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256D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jc w:val="center"/>
        </w:trPr>
        <w:tc>
          <w:tcPr>
            <w:tcW w:w="2616" w:type="dxa"/>
            <w:noWrap w:val="0"/>
            <w:vAlign w:val="center"/>
          </w:tcPr>
          <w:p w14:paraId="3F1F9B65">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监理人和总监理工程师以及电话 </w:t>
            </w:r>
          </w:p>
        </w:tc>
        <w:tc>
          <w:tcPr>
            <w:tcW w:w="6886" w:type="dxa"/>
            <w:noWrap w:val="0"/>
            <w:vAlign w:val="center"/>
          </w:tcPr>
          <w:p w14:paraId="70E05EDB">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71B4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16" w:type="dxa"/>
            <w:noWrap w:val="0"/>
            <w:vAlign w:val="center"/>
          </w:tcPr>
          <w:p w14:paraId="5F8A6C96">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合同项目描述</w:t>
            </w:r>
          </w:p>
        </w:tc>
        <w:tc>
          <w:tcPr>
            <w:tcW w:w="6886" w:type="dxa"/>
            <w:noWrap w:val="0"/>
            <w:vAlign w:val="center"/>
          </w:tcPr>
          <w:p w14:paraId="1D37388D">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r w14:paraId="2A4E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16" w:type="dxa"/>
            <w:noWrap w:val="0"/>
            <w:vAlign w:val="center"/>
          </w:tcPr>
          <w:p w14:paraId="0DF8BD2D">
            <w:pPr>
              <w:keepNext w:val="0"/>
              <w:keepLines w:val="0"/>
              <w:pageBreakBefore w:val="0"/>
              <w:widowControl/>
              <w:suppressLineNumbers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备注 </w:t>
            </w:r>
          </w:p>
        </w:tc>
        <w:tc>
          <w:tcPr>
            <w:tcW w:w="6886" w:type="dxa"/>
            <w:noWrap w:val="0"/>
            <w:vAlign w:val="center"/>
          </w:tcPr>
          <w:p w14:paraId="047A7C5E">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bl>
    <w:p w14:paraId="620BA36E">
      <w:pPr>
        <w:keepNext w:val="0"/>
        <w:keepLines w:val="0"/>
        <w:pageBreakBefore w:val="0"/>
        <w:widowControl/>
        <w:suppressLineNumbers w:val="0"/>
        <w:kinsoku/>
        <w:wordWrap/>
        <w:overflowPunct/>
        <w:topLinePunct w:val="0"/>
        <w:autoSpaceDE w:val="0"/>
        <w:autoSpaceDN w:val="0"/>
        <w:bidi w:val="0"/>
        <w:adjustRightInd/>
        <w:snapToGrid/>
        <w:spacing w:before="0" w:beforeLines="50" w:after="0" w:afterLines="50" w:line="430" w:lineRule="exact"/>
        <w:jc w:val="left"/>
        <w:textAlignment w:val="auto"/>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注：每个项目填写一张表（可扩展为多页），表后附相关证明材料。</w:t>
      </w:r>
    </w:p>
    <w:p w14:paraId="43BBCBB2">
      <w:pPr>
        <w:spacing w:line="600" w:lineRule="exact"/>
        <w:contextualSpacing/>
        <w:rPr>
          <w:rFonts w:hint="eastAsia" w:ascii="宋体" w:hAnsi="宋体" w:cs="宋体"/>
          <w:color w:val="000000" w:themeColor="text1"/>
          <w:sz w:val="21"/>
          <w:szCs w:val="21"/>
          <w:highlight w:val="none"/>
          <w14:textFill>
            <w14:solidFill>
              <w14:schemeClr w14:val="tx1"/>
            </w14:solidFill>
          </w14:textFill>
        </w:rPr>
      </w:pPr>
    </w:p>
    <w:p w14:paraId="305D2AB2">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6A5A1128">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70E8B2B7">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年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10867159">
      <w:pP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bookmarkStart w:id="205" w:name="_Toc20337"/>
      <w:bookmarkStart w:id="206" w:name="_Toc27254"/>
      <w:bookmarkStart w:id="207" w:name="_Toc40365250"/>
    </w:p>
    <w:p w14:paraId="336BA807">
      <w:pPr>
        <w:pStyle w:val="3"/>
        <w:keepNext w:val="0"/>
        <w:keepLines w:val="0"/>
        <w:pageBreakBefore w:val="0"/>
        <w:widowControl w:val="0"/>
        <w:kinsoku/>
        <w:wordWrap/>
        <w:overflowPunct/>
        <w:topLinePunct w:val="0"/>
        <w:autoSpaceDE w:val="0"/>
        <w:autoSpaceDN w:val="0"/>
        <w:bidi w:val="0"/>
        <w:adjustRightInd/>
        <w:snapToGrid/>
        <w:spacing w:after="313" w:afterLines="100" w:line="700" w:lineRule="exact"/>
        <w:jc w:val="both"/>
        <w:textAlignment w:val="auto"/>
        <w:rPr>
          <w:rFonts w:hint="eastAsia"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pPr>
      <w:bookmarkStart w:id="208" w:name="_Toc22717"/>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11</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t>企业获奖情况表格式</w:t>
      </w:r>
      <w:bookmarkEnd w:id="205"/>
      <w:bookmarkEnd w:id="206"/>
      <w:bookmarkEnd w:id="208"/>
    </w:p>
    <w:p w14:paraId="645623C6">
      <w:pPr>
        <w:pStyle w:val="3"/>
        <w:keepNext w:val="0"/>
        <w:keepLines w:val="0"/>
        <w:pageBreakBefore w:val="0"/>
        <w:widowControl w:val="0"/>
        <w:kinsoku/>
        <w:wordWrap/>
        <w:overflowPunct/>
        <w:topLinePunct w:val="0"/>
        <w:autoSpaceDE w:val="0"/>
        <w:autoSpaceDN w:val="0"/>
        <w:bidi w:val="0"/>
        <w:adjustRightInd/>
        <w:snapToGrid/>
        <w:spacing w:after="313" w:afterLines="100" w:line="680" w:lineRule="exact"/>
        <w:textAlignment w:val="auto"/>
        <w:rPr>
          <w:rFonts w:hint="eastAsia"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pPr>
      <w:bookmarkStart w:id="209" w:name="_Toc18362"/>
      <w:r>
        <w:rPr>
          <w:rFonts w:hint="eastAsia" w:ascii="Times New Roman" w:hAnsi="Times New Roman" w:eastAsia="宋体" w:cs="Times New Roman"/>
          <w:b/>
          <w:bCs/>
          <w:color w:val="000000" w:themeColor="text1"/>
          <w:sz w:val="30"/>
          <w:szCs w:val="30"/>
          <w:highlight w:val="none"/>
          <w:lang w:val="zh-CN" w:eastAsia="zh-CN" w:bidi="zh-CN"/>
          <w14:textFill>
            <w14:solidFill>
              <w14:schemeClr w14:val="tx1"/>
            </w14:solidFill>
          </w14:textFill>
        </w:rPr>
        <w:t>企业获奖情况表</w:t>
      </w:r>
      <w:bookmarkEnd w:id="209"/>
    </w:p>
    <w:tbl>
      <w:tblPr>
        <w:tblStyle w:val="43"/>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442"/>
      </w:tblGrid>
      <w:tr w14:paraId="69BB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60F18E2F">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8442" w:type="dxa"/>
            <w:noWrap w:val="0"/>
            <w:vAlign w:val="center"/>
          </w:tcPr>
          <w:p w14:paraId="0F40144D">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证书名称</w:t>
            </w:r>
          </w:p>
        </w:tc>
      </w:tr>
      <w:tr w14:paraId="5F53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636E9115">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42A24039">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7767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29B43276">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0CA36252">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38AF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77D6D3E5">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141774BA">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450A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4F16A47B">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52F3D97C">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4F0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41CCEF0C">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41AE2CA6">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5ACD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51B8CE70">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6A7C97AB">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66A2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78D22E29">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669D0C5C">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04C4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51" w:type="dxa"/>
            <w:noWrap w:val="0"/>
            <w:vAlign w:val="center"/>
          </w:tcPr>
          <w:p w14:paraId="2B16C2B9">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12266C27">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543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3BB80F20">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2AC52E6A">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7D87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67C4D89F">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2FCFB491">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535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25F17C61">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6DFA3A3A">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r w14:paraId="5FB0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14:paraId="2FAEC165">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c>
          <w:tcPr>
            <w:tcW w:w="8442" w:type="dxa"/>
            <w:noWrap w:val="0"/>
            <w:vAlign w:val="center"/>
          </w:tcPr>
          <w:p w14:paraId="1E30A306">
            <w:pPr>
              <w:keepNext w:val="0"/>
              <w:keepLines w:val="0"/>
              <w:pageBreakBefore w:val="0"/>
              <w:widowControl w:val="0"/>
              <w:kinsoku/>
              <w:wordWrap/>
              <w:overflowPunct/>
              <w:topLinePunct w:val="0"/>
              <w:autoSpaceDE w:val="0"/>
              <w:autoSpaceDN w:val="0"/>
              <w:bidi w:val="0"/>
              <w:adjustRightInd/>
              <w:snapToGrid/>
              <w:spacing w:line="430" w:lineRule="exact"/>
              <w:jc w:val="center"/>
              <w:textAlignment w:val="auto"/>
              <w:rPr>
                <w:color w:val="000000" w:themeColor="text1"/>
                <w:sz w:val="21"/>
                <w:szCs w:val="21"/>
                <w:highlight w:val="none"/>
                <w14:textFill>
                  <w14:solidFill>
                    <w14:schemeClr w14:val="tx1"/>
                  </w14:solidFill>
                </w14:textFill>
              </w:rPr>
            </w:pPr>
          </w:p>
        </w:tc>
      </w:tr>
    </w:tbl>
    <w:p w14:paraId="11EF22A0">
      <w:pPr>
        <w:pStyle w:val="3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2D00AEF9">
      <w:pPr>
        <w:rPr>
          <w:rFonts w:hint="default"/>
          <w:color w:val="000000" w:themeColor="text1"/>
          <w:highlight w:val="none"/>
          <w14:textFill>
            <w14:solidFill>
              <w14:schemeClr w14:val="tx1"/>
            </w14:solidFill>
          </w14:textFill>
        </w:rPr>
      </w:pPr>
    </w:p>
    <w:p w14:paraId="19F2313D">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供应商名称（盖公章）：   </w:t>
      </w:r>
    </w:p>
    <w:p w14:paraId="4812AD11">
      <w:pPr>
        <w:spacing w:line="600" w:lineRule="exact"/>
        <w:ind w:firstLine="3780" w:firstLineChars="1800"/>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法定代表人或</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委托代理人（签字</w:t>
      </w:r>
      <w:r>
        <w:rPr>
          <w:rFonts w:hint="eastAsia" w:ascii="宋体" w:hAnsi="宋体" w:cs="宋体"/>
          <w:color w:val="000000" w:themeColor="text1"/>
          <w:sz w:val="21"/>
          <w:szCs w:val="21"/>
          <w:highlight w:val="none"/>
          <w:lang w:eastAsia="zh-CN"/>
          <w14:textFill>
            <w14:solidFill>
              <w14:schemeClr w14:val="tx1"/>
            </w14:solidFill>
          </w14:textFill>
        </w:rPr>
        <w:t>或签章</w:t>
      </w:r>
      <w:r>
        <w:rPr>
          <w:rFonts w:hint="eastAsia" w:ascii="宋体" w:hAnsi="宋体" w:cs="宋体"/>
          <w:color w:val="000000" w:themeColor="text1"/>
          <w:sz w:val="21"/>
          <w:szCs w:val="21"/>
          <w:highlight w:val="none"/>
          <w14:textFill>
            <w14:solidFill>
              <w14:schemeClr w14:val="tx1"/>
            </w14:solidFill>
          </w14:textFill>
        </w:rPr>
        <w:t>）：</w:t>
      </w:r>
    </w:p>
    <w:p w14:paraId="385CDF7A">
      <w:pPr>
        <w:spacing w:line="600" w:lineRule="exact"/>
        <w:ind w:firstLine="3780" w:firstLineChars="1800"/>
        <w:contextualSpacing/>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日期：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年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月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14:paraId="37AC0F70">
      <w:pPr>
        <w:pStyle w:val="3"/>
        <w:spacing w:before="120" w:beforeLines="50" w:after="600" w:afterLines="250" w:line="360" w:lineRule="exact"/>
        <w:rPr>
          <w:rFonts w:hint="eastAsia" w:ascii="Times New Roman" w:hAnsi="宋体" w:eastAsia="宋体" w:cs="Times New Roman"/>
          <w:b w:val="0"/>
          <w:bCs w:val="0"/>
          <w:color w:val="000000" w:themeColor="text1"/>
          <w:kern w:val="0"/>
          <w:sz w:val="21"/>
          <w:szCs w:val="22"/>
          <w:highlight w:val="none"/>
          <w:lang w:val="zh-CN" w:eastAsia="zh-CN" w:bidi="zh-CN"/>
          <w14:textFill>
            <w14:solidFill>
              <w14:schemeClr w14:val="tx1"/>
            </w14:solidFill>
          </w14:textFill>
        </w:rPr>
      </w:pPr>
    </w:p>
    <w:p w14:paraId="67E2CE76">
      <w:pPr>
        <w:pStyle w:val="118"/>
        <w:keepNext w:val="0"/>
        <w:keepLines w:val="0"/>
        <w:pageBreakBefore w:val="0"/>
        <w:widowControl w:val="0"/>
        <w:kinsoku/>
        <w:wordWrap/>
        <w:overflowPunct/>
        <w:topLinePunct w:val="0"/>
        <w:autoSpaceDE/>
        <w:autoSpaceDN/>
        <w:bidi w:val="0"/>
        <w:adjustRightInd/>
        <w:snapToGrid/>
        <w:spacing w:after="0" w:afterLines="100" w:line="480" w:lineRule="exact"/>
        <w:jc w:val="both"/>
        <w:textAlignment w:val="auto"/>
        <w:outlineLvl w:val="0"/>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pPr>
      <w:bookmarkStart w:id="210" w:name="_Toc27285"/>
      <w:bookmarkStart w:id="211" w:name="_Toc17049"/>
      <w:bookmarkStart w:id="212" w:name="_Toc18981"/>
      <w:bookmarkStart w:id="213" w:name="_Toc389065360"/>
    </w:p>
    <w:p w14:paraId="4DDEAFC8">
      <w:pPr>
        <w:pStyle w:val="118"/>
        <w:keepNext w:val="0"/>
        <w:keepLines w:val="0"/>
        <w:pageBreakBefore w:val="0"/>
        <w:widowControl w:val="0"/>
        <w:kinsoku/>
        <w:wordWrap/>
        <w:overflowPunct/>
        <w:topLinePunct w:val="0"/>
        <w:autoSpaceDE/>
        <w:autoSpaceDN/>
        <w:bidi w:val="0"/>
        <w:adjustRightInd/>
        <w:snapToGrid/>
        <w:spacing w:after="0" w:afterLines="100" w:line="480" w:lineRule="exact"/>
        <w:jc w:val="both"/>
        <w:textAlignment w:val="auto"/>
        <w:outlineLvl w:val="0"/>
        <w:rPr>
          <w:rFonts w:hint="eastAsia" w:eastAsia="宋体" w:cs="宋体"/>
          <w:b/>
          <w:bCs/>
          <w:color w:val="000000" w:themeColor="text1"/>
          <w:sz w:val="32"/>
          <w:szCs w:val="32"/>
          <w:highlight w:val="none"/>
          <w:lang w:eastAsia="zh-CN"/>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1</w:t>
      </w:r>
      <w:r>
        <w:rPr>
          <w:rFonts w:hint="eastAsia" w:cs="Times New Roman"/>
          <w:b/>
          <w:color w:val="000000" w:themeColor="text1"/>
          <w:sz w:val="32"/>
          <w:szCs w:val="32"/>
          <w:highlight w:val="none"/>
          <w:lang w:val="en-US" w:eastAsia="zh-CN"/>
          <w14:textFill>
            <w14:solidFill>
              <w14:schemeClr w14:val="tx1"/>
            </w14:solidFill>
          </w14:textFill>
        </w:rPr>
        <w:t>2</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cs="宋体"/>
          <w:b/>
          <w:bCs/>
          <w:color w:val="000000" w:themeColor="text1"/>
          <w:sz w:val="32"/>
          <w:szCs w:val="32"/>
          <w:highlight w:val="none"/>
          <w14:textFill>
            <w14:solidFill>
              <w14:schemeClr w14:val="tx1"/>
            </w14:solidFill>
          </w14:textFill>
        </w:rPr>
        <w:t>施工组织设计</w:t>
      </w:r>
      <w:r>
        <w:rPr>
          <w:rFonts w:hint="eastAsia" w:cs="宋体"/>
          <w:b/>
          <w:bCs/>
          <w:color w:val="000000" w:themeColor="text1"/>
          <w:sz w:val="32"/>
          <w:szCs w:val="32"/>
          <w:highlight w:val="none"/>
          <w:lang w:eastAsia="zh-CN"/>
          <w14:textFill>
            <w14:solidFill>
              <w14:schemeClr w14:val="tx1"/>
            </w14:solidFill>
          </w14:textFill>
        </w:rPr>
        <w:t>格式</w:t>
      </w:r>
      <w:bookmarkEnd w:id="210"/>
      <w:bookmarkEnd w:id="211"/>
      <w:bookmarkEnd w:id="212"/>
    </w:p>
    <w:p w14:paraId="2803D084">
      <w:pPr>
        <w:pStyle w:val="118"/>
        <w:keepNext w:val="0"/>
        <w:keepLines w:val="0"/>
        <w:pageBreakBefore w:val="0"/>
        <w:widowControl w:val="0"/>
        <w:kinsoku/>
        <w:wordWrap/>
        <w:overflowPunct/>
        <w:topLinePunct w:val="0"/>
        <w:autoSpaceDE/>
        <w:autoSpaceDN/>
        <w:bidi w:val="0"/>
        <w:adjustRightInd/>
        <w:snapToGrid/>
        <w:spacing w:after="0" w:afterLines="100" w:line="480" w:lineRule="exact"/>
        <w:jc w:val="center"/>
        <w:textAlignment w:val="auto"/>
        <w:outlineLvl w:val="0"/>
        <w:rPr>
          <w:b/>
          <w:bCs/>
          <w:color w:val="000000" w:themeColor="text1"/>
          <w:sz w:val="32"/>
          <w:szCs w:val="32"/>
          <w:highlight w:val="none"/>
          <w14:textFill>
            <w14:solidFill>
              <w14:schemeClr w14:val="tx1"/>
            </w14:solidFill>
          </w14:textFill>
        </w:rPr>
      </w:pPr>
      <w:bookmarkStart w:id="214" w:name="_Toc31361"/>
      <w:bookmarkStart w:id="215" w:name="_Toc21009"/>
      <w:bookmarkStart w:id="216" w:name="_Toc12762"/>
      <w:r>
        <w:rPr>
          <w:rFonts w:hint="eastAsia" w:cs="宋体"/>
          <w:b/>
          <w:bCs/>
          <w:color w:val="000000" w:themeColor="text1"/>
          <w:sz w:val="32"/>
          <w:szCs w:val="32"/>
          <w:highlight w:val="none"/>
          <w14:textFill>
            <w14:solidFill>
              <w14:schemeClr w14:val="tx1"/>
            </w14:solidFill>
          </w14:textFill>
        </w:rPr>
        <w:t>施工组织设计</w:t>
      </w:r>
      <w:bookmarkEnd w:id="213"/>
      <w:bookmarkEnd w:id="214"/>
      <w:bookmarkEnd w:id="215"/>
      <w:bookmarkEnd w:id="216"/>
    </w:p>
    <w:p w14:paraId="1FF832E0">
      <w:pPr>
        <w:rPr>
          <w:color w:val="000000" w:themeColor="text1"/>
          <w:highlight w:val="none"/>
          <w14:textFill>
            <w14:solidFill>
              <w14:schemeClr w14:val="tx1"/>
            </w14:solidFill>
          </w14:textFill>
        </w:rPr>
      </w:pPr>
    </w:p>
    <w:p w14:paraId="073288F0">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供应商编制施工组织设计时，应采用文字并结合图表形式说明，应附的文字说明如下（不限于，仅供参考）： </w:t>
      </w:r>
    </w:p>
    <w:p w14:paraId="10E2E7EF">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）施工方案与技术措施； </w:t>
      </w:r>
    </w:p>
    <w:p w14:paraId="051C38BF">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）质量管理体系与措施； </w:t>
      </w:r>
    </w:p>
    <w:p w14:paraId="7771C7D2">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）安全管理体系与措施； </w:t>
      </w:r>
    </w:p>
    <w:p w14:paraId="28A69667">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）环境保护管理体系与措施； </w:t>
      </w:r>
    </w:p>
    <w:p w14:paraId="388DB631">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）工程进度计划与措施； </w:t>
      </w:r>
    </w:p>
    <w:p w14:paraId="30353117">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）资源配备计划； </w:t>
      </w:r>
    </w:p>
    <w:p w14:paraId="0EC8D725">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14:paraId="48C1B64E">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施工组织设计除采用文字表述外宜附下列图表，图表及格式要求附后。 </w:t>
      </w:r>
    </w:p>
    <w:p w14:paraId="5E37F583">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）拟投入本合同工程的主要施工设备表 </w:t>
      </w:r>
    </w:p>
    <w:p w14:paraId="3278F717">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）拟投入本合同工程的试验和检测仪器设备表 </w:t>
      </w:r>
    </w:p>
    <w:p w14:paraId="391F67AB">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）拟投入本合同工程的劳动力计划表 </w:t>
      </w:r>
    </w:p>
    <w:p w14:paraId="018E0B37">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）拟投入本合同工程的材料进场计划表 </w:t>
      </w:r>
    </w:p>
    <w:p w14:paraId="280A75DB">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）计划开工日期、完工日期和施工进度网络图（或横递图）</w:t>
      </w:r>
    </w:p>
    <w:p w14:paraId="4355DF20">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）平面图 </w:t>
      </w:r>
    </w:p>
    <w:p w14:paraId="33AC6399">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）临时用地表 </w:t>
      </w:r>
    </w:p>
    <w:p w14:paraId="175EFA5B">
      <w:pPr>
        <w:keepNext w:val="0"/>
        <w:keepLines w:val="0"/>
        <w:pageBreakBefore w:val="0"/>
        <w:widowControl w:val="0"/>
        <w:numPr>
          <w:ilvl w:val="0"/>
          <w:numId w:val="0"/>
        </w:numPr>
        <w:kinsoku/>
        <w:wordWrap/>
        <w:overflowPunct/>
        <w:topLinePunct w:val="0"/>
        <w:autoSpaceDE w:val="0"/>
        <w:autoSpaceDN w:val="0"/>
        <w:bidi w:val="0"/>
        <w:adjustRightInd/>
        <w:snapToGrid/>
        <w:spacing w:line="550" w:lineRule="exact"/>
        <w:ind w:firstLine="420" w:firstLineChars="200"/>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3.本节对施工组织设计的编制要求仅供供应商参考，不作为评标时否决投标的直接因素。</w:t>
      </w:r>
    </w:p>
    <w:p w14:paraId="48DD0F76">
      <w:pPr>
        <w:rPr>
          <w:color w:val="000000" w:themeColor="text1"/>
          <w:highlight w:val="none"/>
          <w14:textFill>
            <w14:solidFill>
              <w14:schemeClr w14:val="tx1"/>
            </w14:solidFill>
          </w14:textFill>
        </w:rPr>
      </w:pPr>
    </w:p>
    <w:p w14:paraId="479A2337">
      <w:pPr>
        <w:rPr>
          <w:color w:val="000000" w:themeColor="text1"/>
          <w:highlight w:val="none"/>
          <w14:textFill>
            <w14:solidFill>
              <w14:schemeClr w14:val="tx1"/>
            </w14:solidFill>
          </w14:textFill>
        </w:rPr>
      </w:pPr>
    </w:p>
    <w:p w14:paraId="032DEA65">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4BB90EB2">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6055E6A2">
      <w:pPr>
        <w:pStyle w:val="9"/>
        <w:spacing w:before="0" w:after="0" w:line="490" w:lineRule="exact"/>
        <w:jc w:val="left"/>
        <w:rPr>
          <w:rFonts w:hint="eastAsia" w:ascii="宋体" w:hAnsi="宋体" w:eastAsia="宋体" w:cs="宋体"/>
          <w:b w:val="0"/>
          <w:bCs/>
          <w:color w:val="000000" w:themeColor="text1"/>
          <w:sz w:val="28"/>
          <w:szCs w:val="28"/>
          <w:highlight w:val="none"/>
          <w:lang w:eastAsia="zh-CN"/>
          <w14:textFill>
            <w14:solidFill>
              <w14:schemeClr w14:val="tx1"/>
            </w14:solidFill>
          </w14:textFill>
        </w:rPr>
      </w:pPr>
      <w:r>
        <w:rPr>
          <w:rStyle w:val="126"/>
          <w:rFonts w:hint="eastAsia" w:ascii="宋体" w:hAnsi="宋体" w:eastAsia="宋体" w:cs="宋体"/>
          <w:b/>
          <w:color w:val="000000" w:themeColor="text1"/>
          <w:sz w:val="30"/>
          <w:szCs w:val="30"/>
          <w:highlight w:val="none"/>
          <w:lang w:eastAsia="zh-CN" w:bidi="zh-CN"/>
          <w14:textFill>
            <w14:solidFill>
              <w14:schemeClr w14:val="tx1"/>
            </w14:solidFill>
          </w14:textFill>
        </w:rPr>
        <w:t>附件一：</w:t>
      </w:r>
    </w:p>
    <w:p w14:paraId="0CFF8A92">
      <w:pPr>
        <w:keepNext w:val="0"/>
        <w:keepLines w:val="0"/>
        <w:pageBreakBefore w:val="0"/>
        <w:widowControl w:val="0"/>
        <w:kinsoku/>
        <w:wordWrap/>
        <w:overflowPunct/>
        <w:topLinePunct w:val="0"/>
        <w:autoSpaceDE w:val="0"/>
        <w:autoSpaceDN w:val="0"/>
        <w:bidi w:val="0"/>
        <w:adjustRightInd/>
        <w:snapToGrid/>
        <w:spacing w:after="240" w:afterLines="100" w:line="740" w:lineRule="exact"/>
        <w:jc w:val="center"/>
        <w:textAlignment w:val="auto"/>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pPr>
      <w:bookmarkStart w:id="217" w:name="bookmark2232"/>
      <w:bookmarkStart w:id="218" w:name="_Toc13379"/>
      <w:bookmarkStart w:id="219" w:name="bookmark2233"/>
      <w:bookmarkStart w:id="220" w:name="_Toc19570"/>
      <w:bookmarkStart w:id="221" w:name="bookmark2231"/>
      <w:r>
        <w:rPr>
          <w:rStyle w:val="126"/>
          <w:rFonts w:hint="eastAsia" w:ascii="宋体" w:hAnsi="宋体" w:eastAsia="宋体" w:cs="宋体"/>
          <w:color w:val="000000" w:themeColor="text1"/>
          <w:sz w:val="30"/>
          <w:szCs w:val="30"/>
          <w:highlight w:val="none"/>
          <w:lang w:val="en-US" w:eastAsia="zh-CN" w:bidi="zh-CN"/>
          <w14:textFill>
            <w14:solidFill>
              <w14:schemeClr w14:val="tx1"/>
            </w14:solidFill>
          </w14:textFill>
        </w:rPr>
        <w:t xml:space="preserve"> </w:t>
      </w:r>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拟投入本合同的主要施工设备表</w:t>
      </w:r>
      <w:bookmarkEnd w:id="217"/>
      <w:bookmarkEnd w:id="218"/>
      <w:bookmarkEnd w:id="219"/>
      <w:bookmarkEnd w:id="220"/>
      <w:bookmarkEnd w:id="221"/>
    </w:p>
    <w:p w14:paraId="09AE86A5">
      <w:pPr>
        <w:jc w:val="center"/>
        <w:rPr>
          <w:color w:val="000000" w:themeColor="text1"/>
          <w:highlight w:val="none"/>
          <w:lang w:eastAsia="zh-CN"/>
          <w14:textFill>
            <w14:solidFill>
              <w14:schemeClr w14:val="tx1"/>
            </w14:solidFill>
          </w14:textFill>
        </w:rPr>
      </w:pPr>
    </w:p>
    <w:tbl>
      <w:tblPr>
        <w:tblStyle w:val="43"/>
        <w:tblW w:w="9379" w:type="dxa"/>
        <w:jc w:val="center"/>
        <w:tblLayout w:type="fixed"/>
        <w:tblCellMar>
          <w:top w:w="0" w:type="dxa"/>
          <w:left w:w="10" w:type="dxa"/>
          <w:bottom w:w="0" w:type="dxa"/>
          <w:right w:w="10" w:type="dxa"/>
        </w:tblCellMar>
      </w:tblPr>
      <w:tblGrid>
        <w:gridCol w:w="655"/>
        <w:gridCol w:w="1304"/>
        <w:gridCol w:w="1012"/>
        <w:gridCol w:w="721"/>
        <w:gridCol w:w="864"/>
        <w:gridCol w:w="1007"/>
        <w:gridCol w:w="866"/>
        <w:gridCol w:w="867"/>
        <w:gridCol w:w="950"/>
        <w:gridCol w:w="1133"/>
      </w:tblGrid>
      <w:tr w14:paraId="637016D1">
        <w:tblPrEx>
          <w:tblCellMar>
            <w:top w:w="0" w:type="dxa"/>
            <w:left w:w="10" w:type="dxa"/>
            <w:bottom w:w="0" w:type="dxa"/>
            <w:right w:w="10" w:type="dxa"/>
          </w:tblCellMar>
        </w:tblPrEx>
        <w:trPr>
          <w:trHeight w:val="1348" w:hRule="exact"/>
          <w:jc w:val="center"/>
        </w:trPr>
        <w:tc>
          <w:tcPr>
            <w:tcW w:w="655" w:type="dxa"/>
            <w:tcBorders>
              <w:top w:val="single" w:color="auto" w:sz="4" w:space="0"/>
              <w:left w:val="single" w:color="auto" w:sz="4" w:space="0"/>
            </w:tcBorders>
            <w:shd w:val="clear" w:color="auto" w:fill="FFFFFF"/>
            <w:noWrap w:val="0"/>
            <w:vAlign w:val="center"/>
          </w:tcPr>
          <w:p w14:paraId="607FB658">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序号</w:t>
            </w:r>
          </w:p>
        </w:tc>
        <w:tc>
          <w:tcPr>
            <w:tcW w:w="1304" w:type="dxa"/>
            <w:tcBorders>
              <w:top w:val="single" w:color="auto" w:sz="4" w:space="0"/>
              <w:left w:val="single" w:color="auto" w:sz="4" w:space="0"/>
            </w:tcBorders>
            <w:shd w:val="clear" w:color="auto" w:fill="FFFFFF"/>
            <w:noWrap w:val="0"/>
            <w:vAlign w:val="center"/>
          </w:tcPr>
          <w:p w14:paraId="27511BE3">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施工机械</w:t>
            </w:r>
          </w:p>
          <w:p w14:paraId="68BE9100">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名 称</w:t>
            </w:r>
          </w:p>
        </w:tc>
        <w:tc>
          <w:tcPr>
            <w:tcW w:w="1012" w:type="dxa"/>
            <w:tcBorders>
              <w:top w:val="single" w:color="auto" w:sz="4" w:space="0"/>
              <w:left w:val="single" w:color="auto" w:sz="4" w:space="0"/>
            </w:tcBorders>
            <w:shd w:val="clear" w:color="auto" w:fill="FFFFFF"/>
            <w:noWrap w:val="0"/>
            <w:vAlign w:val="center"/>
          </w:tcPr>
          <w:p w14:paraId="21810E32">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型号</w:t>
            </w:r>
          </w:p>
          <w:p w14:paraId="6966160A">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规格</w:t>
            </w:r>
          </w:p>
        </w:tc>
        <w:tc>
          <w:tcPr>
            <w:tcW w:w="721" w:type="dxa"/>
            <w:tcBorders>
              <w:top w:val="single" w:color="auto" w:sz="4" w:space="0"/>
              <w:left w:val="single" w:color="auto" w:sz="4" w:space="0"/>
            </w:tcBorders>
            <w:shd w:val="clear" w:color="auto" w:fill="FFFFFF"/>
            <w:noWrap w:val="0"/>
            <w:vAlign w:val="center"/>
          </w:tcPr>
          <w:p w14:paraId="4B78E9BF">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数量</w:t>
            </w:r>
          </w:p>
        </w:tc>
        <w:tc>
          <w:tcPr>
            <w:tcW w:w="864" w:type="dxa"/>
            <w:tcBorders>
              <w:top w:val="single" w:color="auto" w:sz="4" w:space="0"/>
              <w:left w:val="single" w:color="auto" w:sz="4" w:space="0"/>
            </w:tcBorders>
            <w:shd w:val="clear" w:color="auto" w:fill="FFFFFF"/>
            <w:noWrap w:val="0"/>
            <w:vAlign w:val="center"/>
          </w:tcPr>
          <w:p w14:paraId="28952BE0">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制造</w:t>
            </w:r>
          </w:p>
          <w:p w14:paraId="354B97D5">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年份</w:t>
            </w:r>
          </w:p>
        </w:tc>
        <w:tc>
          <w:tcPr>
            <w:tcW w:w="1007" w:type="dxa"/>
            <w:tcBorders>
              <w:top w:val="single" w:color="auto" w:sz="4" w:space="0"/>
              <w:left w:val="single" w:color="auto" w:sz="4" w:space="0"/>
            </w:tcBorders>
            <w:shd w:val="clear" w:color="auto" w:fill="FFFFFF"/>
            <w:noWrap w:val="0"/>
            <w:vAlign w:val="center"/>
          </w:tcPr>
          <w:p w14:paraId="119A4899">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xml:space="preserve">额定功率 </w:t>
            </w:r>
            <w:r>
              <w:rPr>
                <w:rFonts w:ascii="Times New Roman" w:hAnsi="Times New Roman" w:cs="Times New Roman"/>
                <w:color w:val="000000" w:themeColor="text1"/>
                <w:sz w:val="21"/>
                <w:szCs w:val="21"/>
                <w:highlight w:val="none"/>
                <w:lang w:val="en-US" w:bidi="en-US"/>
                <w14:textFill>
                  <w14:solidFill>
                    <w14:schemeClr w14:val="tx1"/>
                  </w14:solidFill>
                </w14:textFill>
              </w:rPr>
              <w:t>（KW）</w:t>
            </w:r>
            <w:r>
              <w:rPr>
                <w:rFonts w:ascii="Times New Roman" w:hAnsi="Times New Roman" w:cs="Times New Roman"/>
                <w:color w:val="000000" w:themeColor="text1"/>
                <w:sz w:val="21"/>
                <w:szCs w:val="21"/>
                <w:highlight w:val="none"/>
                <w14:textFill>
                  <w14:solidFill>
                    <w14:schemeClr w14:val="tx1"/>
                  </w14:solidFill>
                </w14:textFill>
              </w:rPr>
              <w:t>或 生产能力</w:t>
            </w:r>
          </w:p>
        </w:tc>
        <w:tc>
          <w:tcPr>
            <w:tcW w:w="866" w:type="dxa"/>
            <w:tcBorders>
              <w:top w:val="single" w:color="auto" w:sz="4" w:space="0"/>
              <w:left w:val="single" w:color="auto" w:sz="4" w:space="0"/>
            </w:tcBorders>
            <w:shd w:val="clear" w:color="auto" w:fill="FFFFFF"/>
            <w:noWrap w:val="0"/>
            <w:vAlign w:val="center"/>
          </w:tcPr>
          <w:p w14:paraId="5193791C">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现在</w:t>
            </w:r>
          </w:p>
          <w:p w14:paraId="31DD90C5">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何处</w:t>
            </w:r>
          </w:p>
        </w:tc>
        <w:tc>
          <w:tcPr>
            <w:tcW w:w="867" w:type="dxa"/>
            <w:tcBorders>
              <w:top w:val="single" w:color="auto" w:sz="4" w:space="0"/>
              <w:left w:val="single" w:color="auto" w:sz="4" w:space="0"/>
            </w:tcBorders>
            <w:shd w:val="clear" w:color="auto" w:fill="FFFFFF"/>
            <w:noWrap w:val="0"/>
            <w:vAlign w:val="center"/>
          </w:tcPr>
          <w:p w14:paraId="721BE17D">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进场</w:t>
            </w:r>
          </w:p>
          <w:p w14:paraId="29FB6271">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时间</w:t>
            </w:r>
          </w:p>
        </w:tc>
        <w:tc>
          <w:tcPr>
            <w:tcW w:w="950" w:type="dxa"/>
            <w:tcBorders>
              <w:top w:val="single" w:color="auto" w:sz="4" w:space="0"/>
              <w:left w:val="single" w:color="auto" w:sz="4" w:space="0"/>
            </w:tcBorders>
            <w:shd w:val="clear" w:color="auto" w:fill="FFFFFF"/>
            <w:noWrap w:val="0"/>
            <w:vAlign w:val="center"/>
          </w:tcPr>
          <w:p w14:paraId="2FF8E46A">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退场</w:t>
            </w:r>
          </w:p>
          <w:p w14:paraId="58D2D9F5">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时间</w:t>
            </w:r>
          </w:p>
        </w:tc>
        <w:tc>
          <w:tcPr>
            <w:tcW w:w="1133" w:type="dxa"/>
            <w:tcBorders>
              <w:top w:val="single" w:color="auto" w:sz="4" w:space="0"/>
              <w:left w:val="single" w:color="auto" w:sz="4" w:space="0"/>
              <w:right w:val="single" w:color="auto" w:sz="4" w:space="0"/>
            </w:tcBorders>
            <w:shd w:val="clear" w:color="auto" w:fill="FFFFFF"/>
            <w:noWrap w:val="0"/>
            <w:vAlign w:val="center"/>
          </w:tcPr>
          <w:p w14:paraId="2E37CE93">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用于施</w:t>
            </w:r>
          </w:p>
          <w:p w14:paraId="588950E4">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工 部位</w:t>
            </w:r>
          </w:p>
        </w:tc>
      </w:tr>
      <w:tr w14:paraId="0F612AED">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4F45B2D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819BC7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443447F6">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26CB98F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1F2DC98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0AC8A79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38297F2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66B07A6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0767229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78FF708A">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1E3343C0">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2CA3959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3A5DF83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551BFAA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573718A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1367968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0923E1A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283DF07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56B985E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454F066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51A6D807">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5A66E648">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57108DF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0AA1A1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1D0CD10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7C0B18E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55B7D6E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4F701386">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655C6CC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4C3A8DF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58C023B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2C753921">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1349B604">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48FE344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46753BF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673EC4ED">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45DD9E8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6BD16D9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4EB9689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5C31D03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75F5306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0FF93A2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289A4CFE">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68627387">
        <w:trPr>
          <w:trHeight w:val="566" w:hRule="exact"/>
          <w:jc w:val="center"/>
        </w:trPr>
        <w:tc>
          <w:tcPr>
            <w:tcW w:w="655" w:type="dxa"/>
            <w:tcBorders>
              <w:top w:val="single" w:color="auto" w:sz="4" w:space="0"/>
              <w:left w:val="single" w:color="auto" w:sz="4" w:space="0"/>
            </w:tcBorders>
            <w:shd w:val="clear" w:color="auto" w:fill="FFFFFF"/>
            <w:noWrap w:val="0"/>
            <w:vAlign w:val="top"/>
          </w:tcPr>
          <w:p w14:paraId="73F233E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88AE4F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1D009B5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718C197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167A09C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07D30E5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04EAD16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348B086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0AD0A91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534B9A7B">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1A284A56">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753179F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382FC5E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620649B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04A44BA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4AD3044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527721A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239B016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277E303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05D1891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7694AF63">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45126BB3">
        <w:tblPrEx>
          <w:tblCellMar>
            <w:top w:w="0" w:type="dxa"/>
            <w:left w:w="10" w:type="dxa"/>
            <w:bottom w:w="0" w:type="dxa"/>
            <w:right w:w="10" w:type="dxa"/>
          </w:tblCellMar>
        </w:tblPrEx>
        <w:trPr>
          <w:trHeight w:val="571" w:hRule="exact"/>
          <w:jc w:val="center"/>
        </w:trPr>
        <w:tc>
          <w:tcPr>
            <w:tcW w:w="655" w:type="dxa"/>
            <w:tcBorders>
              <w:top w:val="single" w:color="auto" w:sz="4" w:space="0"/>
              <w:left w:val="single" w:color="auto" w:sz="4" w:space="0"/>
            </w:tcBorders>
            <w:shd w:val="clear" w:color="auto" w:fill="FFFFFF"/>
            <w:noWrap w:val="0"/>
            <w:vAlign w:val="top"/>
          </w:tcPr>
          <w:p w14:paraId="164B086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E635DE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6136EA9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7CEDD76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3C18B13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2AA849C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12D78DF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712C68F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539BBB8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645B48BC">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0DC75280">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62640F1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3CDAFF0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5ED08376">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366FDE4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41026D2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5BACCB3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1755293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76EE37F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50714A3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4409EC1E">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01C0079B">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67B6C89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469D1B6">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6FB5AFD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7753FA3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2B8ADEF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3EC2146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1528A97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17F8CB8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41BD5D1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16CBC212">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29F83290">
        <w:trPr>
          <w:trHeight w:val="566" w:hRule="exact"/>
          <w:jc w:val="center"/>
        </w:trPr>
        <w:tc>
          <w:tcPr>
            <w:tcW w:w="655" w:type="dxa"/>
            <w:tcBorders>
              <w:top w:val="single" w:color="auto" w:sz="4" w:space="0"/>
              <w:left w:val="single" w:color="auto" w:sz="4" w:space="0"/>
            </w:tcBorders>
            <w:shd w:val="clear" w:color="auto" w:fill="FFFFFF"/>
            <w:noWrap w:val="0"/>
            <w:vAlign w:val="top"/>
          </w:tcPr>
          <w:p w14:paraId="674EE1C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0D5DF778">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331AB7E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621E367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0CF38AF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3FFC6B6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02A8339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519764C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421F9EB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4B727AB6">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205A3A68">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1D9BE61D">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3D81EA2F">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52D95E6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0EC229F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3B15DBE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2807D99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63BF3CC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13473D8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52AFAFF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1C5540FB">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6533FFF6">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57F3475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559E5BE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5CEED3A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0C53B1E2">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19180D3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5E6C95C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0DBBAFE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38E95A6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1C0C28D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07FFE76E">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4FE17116">
        <w:tblPrEx>
          <w:tblCellMar>
            <w:top w:w="0" w:type="dxa"/>
            <w:left w:w="10" w:type="dxa"/>
            <w:bottom w:w="0" w:type="dxa"/>
            <w:right w:w="10" w:type="dxa"/>
          </w:tblCellMar>
        </w:tblPrEx>
        <w:trPr>
          <w:trHeight w:val="566" w:hRule="exact"/>
          <w:jc w:val="center"/>
        </w:trPr>
        <w:tc>
          <w:tcPr>
            <w:tcW w:w="655" w:type="dxa"/>
            <w:tcBorders>
              <w:top w:val="single" w:color="auto" w:sz="4" w:space="0"/>
              <w:left w:val="single" w:color="auto" w:sz="4" w:space="0"/>
            </w:tcBorders>
            <w:shd w:val="clear" w:color="auto" w:fill="FFFFFF"/>
            <w:noWrap w:val="0"/>
            <w:vAlign w:val="top"/>
          </w:tcPr>
          <w:p w14:paraId="0D7D4DE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tcBorders>
            <w:shd w:val="clear" w:color="auto" w:fill="FFFFFF"/>
            <w:noWrap w:val="0"/>
            <w:vAlign w:val="top"/>
          </w:tcPr>
          <w:p w14:paraId="1D5DB98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tcBorders>
            <w:shd w:val="clear" w:color="auto" w:fill="FFFFFF"/>
            <w:noWrap w:val="0"/>
            <w:vAlign w:val="top"/>
          </w:tcPr>
          <w:p w14:paraId="188EDF9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tcBorders>
            <w:shd w:val="clear" w:color="auto" w:fill="FFFFFF"/>
            <w:noWrap w:val="0"/>
            <w:vAlign w:val="top"/>
          </w:tcPr>
          <w:p w14:paraId="1D8B1329">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tcBorders>
            <w:shd w:val="clear" w:color="auto" w:fill="FFFFFF"/>
            <w:noWrap w:val="0"/>
            <w:vAlign w:val="top"/>
          </w:tcPr>
          <w:p w14:paraId="3EAB441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tcBorders>
            <w:shd w:val="clear" w:color="auto" w:fill="FFFFFF"/>
            <w:noWrap w:val="0"/>
            <w:vAlign w:val="top"/>
          </w:tcPr>
          <w:p w14:paraId="6A8A0DF1">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tcBorders>
            <w:shd w:val="clear" w:color="auto" w:fill="FFFFFF"/>
            <w:noWrap w:val="0"/>
            <w:vAlign w:val="top"/>
          </w:tcPr>
          <w:p w14:paraId="29DFC1B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tcBorders>
            <w:shd w:val="clear" w:color="auto" w:fill="FFFFFF"/>
            <w:noWrap w:val="0"/>
            <w:vAlign w:val="top"/>
          </w:tcPr>
          <w:p w14:paraId="22F6930D">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tcBorders>
            <w:shd w:val="clear" w:color="auto" w:fill="FFFFFF"/>
            <w:noWrap w:val="0"/>
            <w:vAlign w:val="top"/>
          </w:tcPr>
          <w:p w14:paraId="73CFBCE0">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right w:val="single" w:color="auto" w:sz="4" w:space="0"/>
            </w:tcBorders>
            <w:shd w:val="clear" w:color="auto" w:fill="FFFFFF"/>
            <w:noWrap w:val="0"/>
            <w:vAlign w:val="top"/>
          </w:tcPr>
          <w:p w14:paraId="6146FCF2">
            <w:pPr>
              <w:spacing w:line="370" w:lineRule="exact"/>
              <w:rPr>
                <w:rFonts w:ascii="Times New Roman" w:hAnsi="Times New Roman" w:eastAsia="宋体"/>
                <w:color w:val="000000" w:themeColor="text1"/>
                <w:szCs w:val="21"/>
                <w:highlight w:val="none"/>
                <w14:textFill>
                  <w14:solidFill>
                    <w14:schemeClr w14:val="tx1"/>
                  </w14:solidFill>
                </w14:textFill>
              </w:rPr>
            </w:pPr>
          </w:p>
        </w:tc>
      </w:tr>
      <w:tr w14:paraId="218CEAA5">
        <w:tblPrEx>
          <w:tblCellMar>
            <w:top w:w="0" w:type="dxa"/>
            <w:left w:w="10" w:type="dxa"/>
            <w:bottom w:w="0" w:type="dxa"/>
            <w:right w:w="10" w:type="dxa"/>
          </w:tblCellMar>
        </w:tblPrEx>
        <w:trPr>
          <w:trHeight w:val="576" w:hRule="exact"/>
          <w:jc w:val="center"/>
        </w:trPr>
        <w:tc>
          <w:tcPr>
            <w:tcW w:w="655" w:type="dxa"/>
            <w:tcBorders>
              <w:top w:val="single" w:color="auto" w:sz="4" w:space="0"/>
              <w:left w:val="single" w:color="auto" w:sz="4" w:space="0"/>
              <w:bottom w:val="single" w:color="auto" w:sz="4" w:space="0"/>
            </w:tcBorders>
            <w:shd w:val="clear" w:color="auto" w:fill="FFFFFF"/>
            <w:noWrap w:val="0"/>
            <w:vAlign w:val="top"/>
          </w:tcPr>
          <w:p w14:paraId="4EFF804B">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304" w:type="dxa"/>
            <w:tcBorders>
              <w:top w:val="single" w:color="auto" w:sz="4" w:space="0"/>
              <w:left w:val="single" w:color="auto" w:sz="4" w:space="0"/>
              <w:bottom w:val="single" w:color="auto" w:sz="4" w:space="0"/>
            </w:tcBorders>
            <w:shd w:val="clear" w:color="auto" w:fill="FFFFFF"/>
            <w:noWrap w:val="0"/>
            <w:vAlign w:val="top"/>
          </w:tcPr>
          <w:p w14:paraId="795555CC">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tcBorders>
            <w:shd w:val="clear" w:color="auto" w:fill="FFFFFF"/>
            <w:noWrap w:val="0"/>
            <w:vAlign w:val="top"/>
          </w:tcPr>
          <w:p w14:paraId="22CDAAD3">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721" w:type="dxa"/>
            <w:tcBorders>
              <w:top w:val="single" w:color="auto" w:sz="4" w:space="0"/>
              <w:left w:val="single" w:color="auto" w:sz="4" w:space="0"/>
              <w:bottom w:val="single" w:color="auto" w:sz="4" w:space="0"/>
            </w:tcBorders>
            <w:shd w:val="clear" w:color="auto" w:fill="FFFFFF"/>
            <w:noWrap w:val="0"/>
            <w:vAlign w:val="top"/>
          </w:tcPr>
          <w:p w14:paraId="4AB8784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4" w:type="dxa"/>
            <w:tcBorders>
              <w:top w:val="single" w:color="auto" w:sz="4" w:space="0"/>
              <w:left w:val="single" w:color="auto" w:sz="4" w:space="0"/>
              <w:bottom w:val="single" w:color="auto" w:sz="4" w:space="0"/>
            </w:tcBorders>
            <w:shd w:val="clear" w:color="auto" w:fill="FFFFFF"/>
            <w:noWrap w:val="0"/>
            <w:vAlign w:val="top"/>
          </w:tcPr>
          <w:p w14:paraId="4594DCFE">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007" w:type="dxa"/>
            <w:tcBorders>
              <w:top w:val="single" w:color="auto" w:sz="4" w:space="0"/>
              <w:left w:val="single" w:color="auto" w:sz="4" w:space="0"/>
              <w:bottom w:val="single" w:color="auto" w:sz="4" w:space="0"/>
            </w:tcBorders>
            <w:shd w:val="clear" w:color="auto" w:fill="FFFFFF"/>
            <w:noWrap w:val="0"/>
            <w:vAlign w:val="top"/>
          </w:tcPr>
          <w:p w14:paraId="412EFE05">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6" w:type="dxa"/>
            <w:tcBorders>
              <w:top w:val="single" w:color="auto" w:sz="4" w:space="0"/>
              <w:left w:val="single" w:color="auto" w:sz="4" w:space="0"/>
              <w:bottom w:val="single" w:color="auto" w:sz="4" w:space="0"/>
            </w:tcBorders>
            <w:shd w:val="clear" w:color="auto" w:fill="FFFFFF"/>
            <w:noWrap w:val="0"/>
            <w:vAlign w:val="top"/>
          </w:tcPr>
          <w:p w14:paraId="54A897AA">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867" w:type="dxa"/>
            <w:tcBorders>
              <w:top w:val="single" w:color="auto" w:sz="4" w:space="0"/>
              <w:left w:val="single" w:color="auto" w:sz="4" w:space="0"/>
              <w:bottom w:val="single" w:color="auto" w:sz="4" w:space="0"/>
            </w:tcBorders>
            <w:shd w:val="clear" w:color="auto" w:fill="FFFFFF"/>
            <w:noWrap w:val="0"/>
            <w:vAlign w:val="top"/>
          </w:tcPr>
          <w:p w14:paraId="72B49694">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950" w:type="dxa"/>
            <w:tcBorders>
              <w:top w:val="single" w:color="auto" w:sz="4" w:space="0"/>
              <w:left w:val="single" w:color="auto" w:sz="4" w:space="0"/>
              <w:bottom w:val="single" w:color="auto" w:sz="4" w:space="0"/>
            </w:tcBorders>
            <w:shd w:val="clear" w:color="auto" w:fill="FFFFFF"/>
            <w:noWrap w:val="0"/>
            <w:vAlign w:val="top"/>
          </w:tcPr>
          <w:p w14:paraId="0D517FF7">
            <w:pPr>
              <w:spacing w:line="370" w:lineRule="exact"/>
              <w:rPr>
                <w:rFonts w:ascii="Times New Roman" w:hAnsi="Times New Roman" w:eastAsia="宋体"/>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12F1EF7">
            <w:pPr>
              <w:spacing w:line="370" w:lineRule="exact"/>
              <w:rPr>
                <w:rFonts w:ascii="Times New Roman" w:hAnsi="Times New Roman" w:eastAsia="宋体"/>
                <w:color w:val="000000" w:themeColor="text1"/>
                <w:szCs w:val="21"/>
                <w:highlight w:val="none"/>
                <w14:textFill>
                  <w14:solidFill>
                    <w14:schemeClr w14:val="tx1"/>
                  </w14:solidFill>
                </w14:textFill>
              </w:rPr>
            </w:pPr>
          </w:p>
        </w:tc>
      </w:tr>
    </w:tbl>
    <w:p w14:paraId="6F407B7F">
      <w:pPr>
        <w:spacing w:after="299" w:line="1" w:lineRule="exact"/>
        <w:rPr>
          <w:color w:val="000000" w:themeColor="text1"/>
          <w:highlight w:val="none"/>
          <w14:textFill>
            <w14:solidFill>
              <w14:schemeClr w14:val="tx1"/>
            </w14:solidFill>
          </w14:textFill>
        </w:rPr>
      </w:pPr>
    </w:p>
    <w:p w14:paraId="40C609F5">
      <w:pPr>
        <w:pStyle w:val="105"/>
        <w:tabs>
          <w:tab w:val="left" w:pos="847"/>
          <w:tab w:val="left" w:leader="underscore" w:pos="850"/>
          <w:tab w:val="left" w:leader="underscore" w:pos="1906"/>
          <w:tab w:val="left" w:pos="1908"/>
          <w:tab w:val="left" w:pos="2964"/>
        </w:tabs>
        <w:spacing w:after="420" w:line="353" w:lineRule="exact"/>
        <w:ind w:firstLine="400" w:firstLineChars="200"/>
        <w:jc w:val="right"/>
        <w:rPr>
          <w:color w:val="000000" w:themeColor="text1"/>
          <w:highlight w:val="none"/>
          <w14:textFill>
            <w14:solidFill>
              <w14:schemeClr w14:val="tx1"/>
            </w14:solidFill>
          </w14:textFill>
        </w:rPr>
        <w:sectPr>
          <w:headerReference r:id="rId5" w:type="first"/>
          <w:footerReference r:id="rId7" w:type="first"/>
          <w:headerReference r:id="rId4" w:type="default"/>
          <w:footerReference r:id="rId6" w:type="default"/>
          <w:pgSz w:w="11900" w:h="16832"/>
          <w:pgMar w:top="1417" w:right="1531" w:bottom="1115" w:left="1587" w:header="850" w:footer="992" w:gutter="0"/>
          <w:pgNumType w:fmt="decimal"/>
          <w:cols w:space="720" w:num="1"/>
          <w:titlePg/>
          <w:docGrid w:linePitch="360" w:charSpace="0"/>
        </w:sectPr>
      </w:pPr>
    </w:p>
    <w:p w14:paraId="24FDA81C">
      <w:pPr>
        <w:spacing w:after="240" w:afterLines="100" w:line="740" w:lineRule="exact"/>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pPr>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附件二：</w:t>
      </w:r>
    </w:p>
    <w:p w14:paraId="35720EE5">
      <w:pPr>
        <w:spacing w:after="240" w:afterLines="100" w:line="740" w:lineRule="exact"/>
        <w:jc w:val="cente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pPr>
      <w:bookmarkStart w:id="222" w:name="_Toc24555"/>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拟投入本合同工程的试验和检测仪器设备表</w:t>
      </w:r>
      <w:bookmarkEnd w:id="222"/>
    </w:p>
    <w:p w14:paraId="75AECE9F">
      <w:pPr>
        <w:jc w:val="center"/>
        <w:rPr>
          <w:b/>
          <w:color w:val="000000" w:themeColor="text1"/>
          <w:highlight w:val="none"/>
          <w:lang w:eastAsia="zh-CN"/>
          <w14:textFill>
            <w14:solidFill>
              <w14:schemeClr w14:val="tx1"/>
            </w14:solidFill>
          </w14:textFill>
        </w:rPr>
      </w:pPr>
    </w:p>
    <w:tbl>
      <w:tblPr>
        <w:tblStyle w:val="43"/>
        <w:tblW w:w="9204" w:type="dxa"/>
        <w:jc w:val="center"/>
        <w:tblLayout w:type="fixed"/>
        <w:tblCellMar>
          <w:top w:w="0" w:type="dxa"/>
          <w:left w:w="10" w:type="dxa"/>
          <w:bottom w:w="0" w:type="dxa"/>
          <w:right w:w="10" w:type="dxa"/>
        </w:tblCellMar>
      </w:tblPr>
      <w:tblGrid>
        <w:gridCol w:w="612"/>
        <w:gridCol w:w="1656"/>
        <w:gridCol w:w="907"/>
        <w:gridCol w:w="907"/>
        <w:gridCol w:w="1089"/>
        <w:gridCol w:w="1116"/>
        <w:gridCol w:w="1017"/>
        <w:gridCol w:w="850"/>
        <w:gridCol w:w="1050"/>
      </w:tblGrid>
      <w:tr w14:paraId="54BE0C73">
        <w:tblPrEx>
          <w:tblCellMar>
            <w:top w:w="0" w:type="dxa"/>
            <w:left w:w="10" w:type="dxa"/>
            <w:bottom w:w="0" w:type="dxa"/>
            <w:right w:w="10" w:type="dxa"/>
          </w:tblCellMar>
        </w:tblPrEx>
        <w:trPr>
          <w:trHeight w:val="966" w:hRule="exact"/>
          <w:jc w:val="center"/>
        </w:trPr>
        <w:tc>
          <w:tcPr>
            <w:tcW w:w="612" w:type="dxa"/>
            <w:tcBorders>
              <w:top w:val="single" w:color="auto" w:sz="4" w:space="0"/>
              <w:left w:val="single" w:color="auto" w:sz="4" w:space="0"/>
            </w:tcBorders>
            <w:shd w:val="clear" w:color="auto" w:fill="FFFFFF"/>
            <w:noWrap w:val="0"/>
            <w:vAlign w:val="center"/>
          </w:tcPr>
          <w:p w14:paraId="2828F09A">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序号</w:t>
            </w:r>
          </w:p>
        </w:tc>
        <w:tc>
          <w:tcPr>
            <w:tcW w:w="1656" w:type="dxa"/>
            <w:tcBorders>
              <w:top w:val="single" w:color="auto" w:sz="4" w:space="0"/>
              <w:left w:val="single" w:color="auto" w:sz="4" w:space="0"/>
            </w:tcBorders>
            <w:shd w:val="clear" w:color="auto" w:fill="FFFFFF"/>
            <w:noWrap w:val="0"/>
            <w:vAlign w:val="center"/>
          </w:tcPr>
          <w:p w14:paraId="1659AB13">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仪器设备名称</w:t>
            </w:r>
          </w:p>
        </w:tc>
        <w:tc>
          <w:tcPr>
            <w:tcW w:w="907" w:type="dxa"/>
            <w:tcBorders>
              <w:top w:val="single" w:color="auto" w:sz="4" w:space="0"/>
              <w:left w:val="single" w:color="auto" w:sz="4" w:space="0"/>
            </w:tcBorders>
            <w:shd w:val="clear" w:color="auto" w:fill="FFFFFF"/>
            <w:noWrap w:val="0"/>
            <w:vAlign w:val="center"/>
          </w:tcPr>
          <w:p w14:paraId="31F5739E">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型号规格</w:t>
            </w:r>
          </w:p>
        </w:tc>
        <w:tc>
          <w:tcPr>
            <w:tcW w:w="907" w:type="dxa"/>
            <w:tcBorders>
              <w:top w:val="single" w:color="auto" w:sz="4" w:space="0"/>
              <w:left w:val="single" w:color="auto" w:sz="4" w:space="0"/>
            </w:tcBorders>
            <w:shd w:val="clear" w:color="auto" w:fill="FFFFFF"/>
            <w:noWrap w:val="0"/>
            <w:vAlign w:val="center"/>
          </w:tcPr>
          <w:p w14:paraId="189958CD">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数量</w:t>
            </w:r>
          </w:p>
        </w:tc>
        <w:tc>
          <w:tcPr>
            <w:tcW w:w="1089" w:type="dxa"/>
            <w:tcBorders>
              <w:top w:val="single" w:color="auto" w:sz="4" w:space="0"/>
              <w:left w:val="single" w:color="auto" w:sz="4" w:space="0"/>
            </w:tcBorders>
            <w:shd w:val="clear" w:color="auto" w:fill="FFFFFF"/>
            <w:noWrap w:val="0"/>
            <w:vAlign w:val="center"/>
          </w:tcPr>
          <w:p w14:paraId="362C4BC9">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国别产地</w:t>
            </w:r>
          </w:p>
        </w:tc>
        <w:tc>
          <w:tcPr>
            <w:tcW w:w="1116" w:type="dxa"/>
            <w:tcBorders>
              <w:top w:val="single" w:color="auto" w:sz="4" w:space="0"/>
              <w:left w:val="single" w:color="auto" w:sz="4" w:space="0"/>
            </w:tcBorders>
            <w:shd w:val="clear" w:color="auto" w:fill="FFFFFF"/>
            <w:noWrap w:val="0"/>
            <w:vAlign w:val="center"/>
          </w:tcPr>
          <w:p w14:paraId="07B49AFE">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制造年份</w:t>
            </w:r>
          </w:p>
        </w:tc>
        <w:tc>
          <w:tcPr>
            <w:tcW w:w="1017" w:type="dxa"/>
            <w:tcBorders>
              <w:top w:val="single" w:color="auto" w:sz="4" w:space="0"/>
              <w:left w:val="single" w:color="auto" w:sz="4" w:space="0"/>
            </w:tcBorders>
            <w:shd w:val="clear" w:color="auto" w:fill="FFFFFF"/>
            <w:noWrap w:val="0"/>
            <w:vAlign w:val="center"/>
          </w:tcPr>
          <w:p w14:paraId="3C143B2F">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己使用</w:t>
            </w:r>
          </w:p>
          <w:p w14:paraId="7D1B3707">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台时数</w:t>
            </w:r>
          </w:p>
        </w:tc>
        <w:tc>
          <w:tcPr>
            <w:tcW w:w="850" w:type="dxa"/>
            <w:tcBorders>
              <w:top w:val="single" w:color="auto" w:sz="4" w:space="0"/>
              <w:left w:val="single" w:color="auto" w:sz="4" w:space="0"/>
            </w:tcBorders>
            <w:shd w:val="clear" w:color="auto" w:fill="FFFFFF"/>
            <w:noWrap w:val="0"/>
            <w:vAlign w:val="center"/>
          </w:tcPr>
          <w:p w14:paraId="79708D0F">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用途</w:t>
            </w:r>
          </w:p>
        </w:tc>
        <w:tc>
          <w:tcPr>
            <w:tcW w:w="1050" w:type="dxa"/>
            <w:tcBorders>
              <w:top w:val="single" w:color="auto" w:sz="4" w:space="0"/>
              <w:left w:val="single" w:color="auto" w:sz="4" w:space="0"/>
              <w:right w:val="single" w:color="auto" w:sz="4" w:space="0"/>
            </w:tcBorders>
            <w:shd w:val="clear" w:color="auto" w:fill="FFFFFF"/>
            <w:noWrap w:val="0"/>
            <w:vAlign w:val="center"/>
          </w:tcPr>
          <w:p w14:paraId="3AB9B4CD">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备注</w:t>
            </w:r>
          </w:p>
        </w:tc>
      </w:tr>
      <w:tr w14:paraId="60A0EA71">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1F060BA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7E269DE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32EA70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417D937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50EFC8B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70C2F1C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68CD81A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39948F8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47279D1">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082B417D">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7F0FB97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3EF9C56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4EB2CB9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77AB497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78EC22F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3862EAE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0280712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08D43AD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15ECCFF">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52CCC798">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60BB7CC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793C439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0F17264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184DC24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73720FE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098F798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03A79D2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38D10CC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3740E39A">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1A320ECA">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1331D12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0C829B6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05D2024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1B55729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608CDF0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62A5A55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5C81A1F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2175E3E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6B34D886">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007D7657">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0980C6E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41CD397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0A79828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2C5914B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15A5624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1C5C43F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0C63AFA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540EBF3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633A5CA4">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50CF5F59">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70A8A39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66CC985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299FAA0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F0287C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6FA21F9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6A4C080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207CE51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60C4C82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03916546">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2D87E7E6">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5690BD9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6794180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9D53E7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788F739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7D92530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281AD78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443E7A4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1A079B8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C493B71">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669C4D0F">
        <w:tblPrEx>
          <w:tblCellMar>
            <w:top w:w="0" w:type="dxa"/>
            <w:left w:w="10" w:type="dxa"/>
            <w:bottom w:w="0" w:type="dxa"/>
            <w:right w:w="10" w:type="dxa"/>
          </w:tblCellMar>
        </w:tblPrEx>
        <w:trPr>
          <w:trHeight w:val="571" w:hRule="exact"/>
          <w:jc w:val="center"/>
        </w:trPr>
        <w:tc>
          <w:tcPr>
            <w:tcW w:w="612" w:type="dxa"/>
            <w:tcBorders>
              <w:top w:val="single" w:color="auto" w:sz="4" w:space="0"/>
              <w:left w:val="single" w:color="auto" w:sz="4" w:space="0"/>
            </w:tcBorders>
            <w:shd w:val="clear" w:color="auto" w:fill="FFFFFF"/>
            <w:noWrap w:val="0"/>
            <w:vAlign w:val="top"/>
          </w:tcPr>
          <w:p w14:paraId="28828D1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3C2FA5A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2937045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AB3E26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185565C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2A0ACDE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32F8D84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79A0F97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32CF6B5">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2334ADEF">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7343E80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1686573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2B1537E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1914AA6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507EDDC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2D235FC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6856EF4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6E93E00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2E44D083">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3EAED711">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4E55A97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0047DF9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25184E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913A9A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233FB21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6B12455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6AEE2BD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725B767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7ACD0200">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2FB3B01D">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2BA6243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22EA9DB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AED677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C15E59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5B02531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4DF1894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1EF96B0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285C7F5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0137DE2">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6F5635D5">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566E5FA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0C66EB2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533E0C1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10456F5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38E0228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74371A8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5D00065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5F3CF45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0DAF3CAA">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77B11D28">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5903FD0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0C6BAD0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4B748F5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4DAFAA2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7952920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64D78F1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11D1787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56ACF32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127A8EC2">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0670EC17">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08C57AE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61FD762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35975CA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6B2D3F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1E33397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4F3333D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434ACE2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3F3E312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2ADC54FE">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4E0FD98D">
        <w:tblPrEx>
          <w:tblCellMar>
            <w:top w:w="0" w:type="dxa"/>
            <w:left w:w="10" w:type="dxa"/>
            <w:bottom w:w="0" w:type="dxa"/>
            <w:right w:w="10" w:type="dxa"/>
          </w:tblCellMar>
        </w:tblPrEx>
        <w:trPr>
          <w:trHeight w:val="566" w:hRule="exact"/>
          <w:jc w:val="center"/>
        </w:trPr>
        <w:tc>
          <w:tcPr>
            <w:tcW w:w="612" w:type="dxa"/>
            <w:tcBorders>
              <w:top w:val="single" w:color="auto" w:sz="4" w:space="0"/>
              <w:left w:val="single" w:color="auto" w:sz="4" w:space="0"/>
            </w:tcBorders>
            <w:shd w:val="clear" w:color="auto" w:fill="FFFFFF"/>
            <w:noWrap w:val="0"/>
            <w:vAlign w:val="top"/>
          </w:tcPr>
          <w:p w14:paraId="670766C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tcBorders>
            <w:shd w:val="clear" w:color="auto" w:fill="FFFFFF"/>
            <w:noWrap w:val="0"/>
            <w:vAlign w:val="top"/>
          </w:tcPr>
          <w:p w14:paraId="4143408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E2F1E0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top"/>
          </w:tcPr>
          <w:p w14:paraId="6272A3F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tcBorders>
            <w:shd w:val="clear" w:color="auto" w:fill="FFFFFF"/>
            <w:noWrap w:val="0"/>
            <w:vAlign w:val="top"/>
          </w:tcPr>
          <w:p w14:paraId="1055168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tcBorders>
            <w:shd w:val="clear" w:color="auto" w:fill="FFFFFF"/>
            <w:noWrap w:val="0"/>
            <w:vAlign w:val="top"/>
          </w:tcPr>
          <w:p w14:paraId="6B9DE49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tcBorders>
            <w:shd w:val="clear" w:color="auto" w:fill="FFFFFF"/>
            <w:noWrap w:val="0"/>
            <w:vAlign w:val="top"/>
          </w:tcPr>
          <w:p w14:paraId="2CF5D16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tcBorders>
            <w:shd w:val="clear" w:color="auto" w:fill="FFFFFF"/>
            <w:noWrap w:val="0"/>
            <w:vAlign w:val="top"/>
          </w:tcPr>
          <w:p w14:paraId="17DE2A6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right w:val="single" w:color="auto" w:sz="4" w:space="0"/>
            </w:tcBorders>
            <w:shd w:val="clear" w:color="auto" w:fill="FFFFFF"/>
            <w:noWrap w:val="0"/>
            <w:vAlign w:val="top"/>
          </w:tcPr>
          <w:p w14:paraId="007AD611">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142311BB">
        <w:tblPrEx>
          <w:tblCellMar>
            <w:top w:w="0" w:type="dxa"/>
            <w:left w:w="10" w:type="dxa"/>
            <w:bottom w:w="0" w:type="dxa"/>
            <w:right w:w="10" w:type="dxa"/>
          </w:tblCellMar>
        </w:tblPrEx>
        <w:trPr>
          <w:trHeight w:val="581" w:hRule="exact"/>
          <w:jc w:val="center"/>
        </w:trPr>
        <w:tc>
          <w:tcPr>
            <w:tcW w:w="612" w:type="dxa"/>
            <w:tcBorders>
              <w:top w:val="single" w:color="auto" w:sz="4" w:space="0"/>
              <w:left w:val="single" w:color="auto" w:sz="4" w:space="0"/>
              <w:bottom w:val="single" w:color="auto" w:sz="4" w:space="0"/>
            </w:tcBorders>
            <w:shd w:val="clear" w:color="auto" w:fill="FFFFFF"/>
            <w:noWrap w:val="0"/>
            <w:vAlign w:val="top"/>
          </w:tcPr>
          <w:p w14:paraId="0DEEADE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656" w:type="dxa"/>
            <w:tcBorders>
              <w:top w:val="single" w:color="auto" w:sz="4" w:space="0"/>
              <w:left w:val="single" w:color="auto" w:sz="4" w:space="0"/>
              <w:bottom w:val="single" w:color="auto" w:sz="4" w:space="0"/>
            </w:tcBorders>
            <w:shd w:val="clear" w:color="auto" w:fill="FFFFFF"/>
            <w:noWrap w:val="0"/>
            <w:vAlign w:val="top"/>
          </w:tcPr>
          <w:p w14:paraId="7C29543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5627B83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top"/>
          </w:tcPr>
          <w:p w14:paraId="4CFC89A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89" w:type="dxa"/>
            <w:tcBorders>
              <w:top w:val="single" w:color="auto" w:sz="4" w:space="0"/>
              <w:left w:val="single" w:color="auto" w:sz="4" w:space="0"/>
              <w:bottom w:val="single" w:color="auto" w:sz="4" w:space="0"/>
            </w:tcBorders>
            <w:shd w:val="clear" w:color="auto" w:fill="FFFFFF"/>
            <w:noWrap w:val="0"/>
            <w:vAlign w:val="top"/>
          </w:tcPr>
          <w:p w14:paraId="57F2D70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6" w:type="dxa"/>
            <w:tcBorders>
              <w:top w:val="single" w:color="auto" w:sz="4" w:space="0"/>
              <w:left w:val="single" w:color="auto" w:sz="4" w:space="0"/>
              <w:bottom w:val="single" w:color="auto" w:sz="4" w:space="0"/>
            </w:tcBorders>
            <w:shd w:val="clear" w:color="auto" w:fill="FFFFFF"/>
            <w:noWrap w:val="0"/>
            <w:vAlign w:val="top"/>
          </w:tcPr>
          <w:p w14:paraId="566142F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17" w:type="dxa"/>
            <w:tcBorders>
              <w:top w:val="single" w:color="auto" w:sz="4" w:space="0"/>
              <w:left w:val="single" w:color="auto" w:sz="4" w:space="0"/>
              <w:bottom w:val="single" w:color="auto" w:sz="4" w:space="0"/>
            </w:tcBorders>
            <w:shd w:val="clear" w:color="auto" w:fill="FFFFFF"/>
            <w:noWrap w:val="0"/>
            <w:vAlign w:val="top"/>
          </w:tcPr>
          <w:p w14:paraId="53CEE49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50" w:type="dxa"/>
            <w:tcBorders>
              <w:top w:val="single" w:color="auto" w:sz="4" w:space="0"/>
              <w:left w:val="single" w:color="auto" w:sz="4" w:space="0"/>
              <w:bottom w:val="single" w:color="auto" w:sz="4" w:space="0"/>
            </w:tcBorders>
            <w:shd w:val="clear" w:color="auto" w:fill="FFFFFF"/>
            <w:noWrap w:val="0"/>
            <w:vAlign w:val="top"/>
          </w:tcPr>
          <w:p w14:paraId="1E918D6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1B5FFA">
            <w:pPr>
              <w:spacing w:line="430" w:lineRule="exact"/>
              <w:rPr>
                <w:rFonts w:ascii="Times New Roman" w:hAnsi="Times New Roman" w:eastAsia="宋体"/>
                <w:color w:val="000000" w:themeColor="text1"/>
                <w:szCs w:val="21"/>
                <w:highlight w:val="none"/>
                <w14:textFill>
                  <w14:solidFill>
                    <w14:schemeClr w14:val="tx1"/>
                  </w14:solidFill>
                </w14:textFill>
              </w:rPr>
            </w:pPr>
          </w:p>
        </w:tc>
      </w:tr>
    </w:tbl>
    <w:p w14:paraId="36F5B9FC">
      <w:pPr>
        <w:spacing w:after="299" w:line="1" w:lineRule="exact"/>
        <w:rPr>
          <w:color w:val="000000" w:themeColor="text1"/>
          <w:highlight w:val="none"/>
          <w14:textFill>
            <w14:solidFill>
              <w14:schemeClr w14:val="tx1"/>
            </w14:solidFill>
          </w14:textFill>
        </w:rPr>
      </w:pPr>
    </w:p>
    <w:p w14:paraId="64B04DED">
      <w:pPr>
        <w:pStyle w:val="105"/>
        <w:tabs>
          <w:tab w:val="left" w:pos="847"/>
          <w:tab w:val="left" w:leader="underscore" w:pos="850"/>
          <w:tab w:val="left" w:leader="underscore" w:pos="1906"/>
          <w:tab w:val="left" w:pos="1908"/>
          <w:tab w:val="left" w:pos="2964"/>
        </w:tabs>
        <w:spacing w:after="420" w:line="353" w:lineRule="exact"/>
        <w:ind w:firstLine="400" w:firstLineChars="200"/>
        <w:jc w:val="right"/>
        <w:rPr>
          <w:color w:val="000000" w:themeColor="text1"/>
          <w:highlight w:val="none"/>
          <w14:textFill>
            <w14:solidFill>
              <w14:schemeClr w14:val="tx1"/>
            </w14:solidFill>
          </w14:textFill>
        </w:rPr>
        <w:sectPr>
          <w:headerReference r:id="rId8" w:type="default"/>
          <w:footerReference r:id="rId10" w:type="default"/>
          <w:headerReference r:id="rId9" w:type="even"/>
          <w:footerReference r:id="rId11" w:type="even"/>
          <w:pgSz w:w="11900" w:h="16832"/>
          <w:pgMar w:top="1417" w:right="1531" w:bottom="1417" w:left="1587" w:header="850" w:footer="992" w:gutter="0"/>
          <w:pgNumType w:fmt="decimal"/>
          <w:cols w:space="720" w:num="1"/>
          <w:titlePg/>
          <w:docGrid w:linePitch="360" w:charSpace="0"/>
        </w:sectPr>
      </w:pPr>
    </w:p>
    <w:p w14:paraId="4CB612A2">
      <w:pPr>
        <w:spacing w:after="240" w:afterLines="100" w:line="740" w:lineRule="exact"/>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pPr>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附件三：</w:t>
      </w:r>
    </w:p>
    <w:p w14:paraId="640C6043">
      <w:pPr>
        <w:spacing w:after="240" w:afterLines="100" w:line="740" w:lineRule="exact"/>
        <w:jc w:val="cente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pPr>
      <w:bookmarkStart w:id="223" w:name="_Toc30824"/>
      <w:bookmarkStart w:id="224" w:name="bookmark2242"/>
      <w:bookmarkStart w:id="225" w:name="bookmark2240"/>
      <w:bookmarkStart w:id="226" w:name="_Toc26872"/>
      <w:bookmarkStart w:id="227" w:name="bookmark2241"/>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拟投入本合同工程的劳动力计划表</w:t>
      </w:r>
      <w:bookmarkEnd w:id="223"/>
      <w:bookmarkEnd w:id="224"/>
      <w:bookmarkEnd w:id="225"/>
      <w:bookmarkEnd w:id="226"/>
      <w:bookmarkEnd w:id="227"/>
    </w:p>
    <w:p w14:paraId="650DE8D5">
      <w:pPr>
        <w:jc w:val="center"/>
        <w:rPr>
          <w:b/>
          <w:color w:val="000000" w:themeColor="text1"/>
          <w:highlight w:val="none"/>
          <w:lang w:eastAsia="zh-CN"/>
          <w14:textFill>
            <w14:solidFill>
              <w14:schemeClr w14:val="tx1"/>
            </w14:solidFill>
          </w14:textFill>
        </w:rPr>
      </w:pPr>
    </w:p>
    <w:tbl>
      <w:tblPr>
        <w:tblStyle w:val="43"/>
        <w:tblW w:w="9096" w:type="dxa"/>
        <w:jc w:val="center"/>
        <w:tblLayout w:type="fixed"/>
        <w:tblCellMar>
          <w:top w:w="0" w:type="dxa"/>
          <w:left w:w="10" w:type="dxa"/>
          <w:bottom w:w="0" w:type="dxa"/>
          <w:right w:w="10" w:type="dxa"/>
        </w:tblCellMar>
      </w:tblPr>
      <w:tblGrid>
        <w:gridCol w:w="1602"/>
        <w:gridCol w:w="1421"/>
        <w:gridCol w:w="643"/>
        <w:gridCol w:w="648"/>
        <w:gridCol w:w="643"/>
        <w:gridCol w:w="648"/>
        <w:gridCol w:w="648"/>
        <w:gridCol w:w="1576"/>
        <w:gridCol w:w="1267"/>
      </w:tblGrid>
      <w:tr w14:paraId="03C8FB15">
        <w:tblPrEx>
          <w:tblCellMar>
            <w:top w:w="0" w:type="dxa"/>
            <w:left w:w="10" w:type="dxa"/>
            <w:bottom w:w="0" w:type="dxa"/>
            <w:right w:w="10" w:type="dxa"/>
          </w:tblCellMar>
        </w:tblPrEx>
        <w:trPr>
          <w:trHeight w:val="576" w:hRule="exact"/>
          <w:jc w:val="center"/>
        </w:trPr>
        <w:tc>
          <w:tcPr>
            <w:tcW w:w="3023" w:type="dxa"/>
            <w:gridSpan w:val="2"/>
            <w:vMerge w:val="restart"/>
            <w:tcBorders>
              <w:top w:val="single" w:color="auto" w:sz="4" w:space="0"/>
              <w:left w:val="single" w:color="auto" w:sz="4" w:space="0"/>
            </w:tcBorders>
            <w:shd w:val="clear" w:color="auto" w:fill="FFFFFF"/>
            <w:noWrap w:val="0"/>
            <w:vAlign w:val="center"/>
          </w:tcPr>
          <w:p w14:paraId="1F89CB67">
            <w:pPr>
              <w:pStyle w:val="124"/>
              <w:spacing w:line="430" w:lineRule="exact"/>
              <w:ind w:firstLine="1960" w:firstLineChars="1089"/>
              <w:rPr>
                <w:rFonts w:ascii="Times New Roman" w:hAnsi="Times New Roman" w:cs="Times New Roman"/>
                <w:color w:val="000000" w:themeColor="text1"/>
                <w:sz w:val="21"/>
                <w:szCs w:val="21"/>
                <w:highlight w:val="none"/>
                <w14:textFill>
                  <w14:solidFill>
                    <w14:schemeClr w14:val="tx1"/>
                  </w14:solidFill>
                </w14:textFill>
              </w:rPr>
            </w:pPr>
            <w:r>
              <w:rPr>
                <w:color w:val="000000" w:themeColor="text1"/>
                <w:sz w:val="18"/>
                <w:szCs w:val="18"/>
                <w:highlight w:val="none"/>
                <w:lang w:bidi="mn-Mong-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26035</wp:posOffset>
                      </wp:positionV>
                      <wp:extent cx="1917700" cy="513715"/>
                      <wp:effectExtent l="1270" t="4445" r="5080" b="15240"/>
                      <wp:wrapNone/>
                      <wp:docPr id="7" name="直接箭头连接符 7"/>
                      <wp:cNvGraphicFramePr/>
                      <a:graphic xmlns:a="http://schemas.openxmlformats.org/drawingml/2006/main">
                        <a:graphicData uri="http://schemas.microsoft.com/office/word/2010/wordprocessingShape">
                          <wps:wsp>
                            <wps:cNvCnPr/>
                            <wps:spPr>
                              <a:xfrm>
                                <a:off x="0" y="0"/>
                                <a:ext cx="1917700" cy="513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5pt;margin-top:2.05pt;height:40.45pt;width:151pt;z-index:251662336;mso-width-relative:page;mso-height-relative:page;" filled="f" stroked="t" coordsize="21600,21600" o:gfxdata="UEsDBAoAAAAAAIdO4kAAAAAAAAAAAAAAAAAEAAAAZHJzL1BLAwQUAAAACACHTuJAFhtWbdYAAAAH&#10;AQAADwAAAGRycy9kb3ducmV2LnhtbE2OwU7DMBBE70j8g7VIXFBrp1DUhmwqhMSBI20lrm68JIF4&#10;HcVOU/r1LCd6Go1mNPOKzcl36khDbAMjZHMDirgKruUaYb97na1AxWTZ2S4wIfxQhE15fVXY3IWJ&#10;3+m4TbWSEY65RWhS6nOtY9WQt3EeemLJPsPgbRI71NoNdpJx3+mFMY/a25blobE9vTRUfW9Hj0Bx&#10;XGbmee3r/dt5uvtYnL+mfod4e5OZJ1CJTum/DH/4gg6lMB3CyC6qDmGWZdJEeBCR+N6YNagDwmpp&#10;QJeFvuQvfwFQSwMEFAAAAAgAh07iQPsYRNMBAgAA8QMAAA4AAABkcnMvZTJvRG9jLnhtbK1TzY7T&#10;MBC+I/EOlu80TVEpGzXdQ8tyQVAJeADXdhJL/pPH27QvwQsgcQJOsKe98zTs7mMwdkoXlksP5OCM&#10;PTPfzPd5PD/fGU22MoBytqblaEyJtNwJZduavn938eQ5JRCZFUw7K2u6l0DPF48fzXtfyYnrnBYy&#10;EASxUPW+pl2MvioK4J00DEbOS4vOxgXDIm5DW4jAekQ3upiMx8+K3gXhg+MSAE9Xg5MeEMMpgK5p&#10;FJcrxy+NtHFADVKziJSgUx7oInfbNJLHN00DMhJdU2Qa84pF0N6ktVjMWdUG5jvFDy2wU1p4wMkw&#10;ZbHoEWrFIiOXQf0DZRQPDlwTR9yZYiCSFUEW5fiBNm875mXmglKDP4oO/w+Wv96uA1GipjNKLDN4&#10;4bcfr28+fLm9+v7z8/Xdj0/J/vaVzJJUvYcKM5Z2HQ478OuQeO+aYNIfGZFdlnd/lFfuIuF4WJ6V&#10;s9kYlefom5ZPZ+U0gRb32T5AfCmdIcmoKcTAVNvFpbMWb9KFMmvMtq8gDom/E1JpbUlf07PpZIoV&#10;GE5mgxOBpvHIDmybc8FpJS6U1ikDQrtZ6kC2LE1H/g4N/RWWiqwYdENcdqUwVnWSiRdWkLj3qJvF&#10;50JTC0YKSrTE15WsHBmZ0qdEohbaoiRJ6EHaZG2c2GfF8zlOQhbtMLVp1P7c5+z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bVm3WAAAABwEAAA8AAAAAAAAAAQAgAAAAIgAAAGRycy9kb3du&#10;cmV2LnhtbFBLAQIUABQAAAAIAIdO4kD7GETTAQIAAPEDAAAOAAAAAAAAAAEAIAAAACUBAABkcnMv&#10;ZTJvRG9jLnhtbFBLBQYAAAAABgAGAFkBAACYBQAAAAA=&#10;">
                      <v:fill on="f" focussize="0,0"/>
                      <v:stroke color="#000000" joinstyle="round"/>
                      <v:imagedata o:title=""/>
                      <o:lock v:ext="edit" aspectratio="f"/>
                    </v:shape>
                  </w:pict>
                </mc:Fallback>
              </mc:AlternateContent>
            </w:r>
            <w:r>
              <w:rPr>
                <w:rFonts w:ascii="Times New Roman" w:hAnsi="Times New Roman" w:cs="Times New Roman"/>
                <w:color w:val="000000" w:themeColor="text1"/>
                <w:sz w:val="21"/>
                <w:szCs w:val="21"/>
                <w:highlight w:val="none"/>
                <w:lang w:val="en-US" w:bidi="mn-Mong-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44450</wp:posOffset>
                      </wp:positionV>
                      <wp:extent cx="1350010" cy="864870"/>
                      <wp:effectExtent l="2540" t="3810" r="19050" b="7620"/>
                      <wp:wrapNone/>
                      <wp:docPr id="8" name="直接箭头连接符 8"/>
                      <wp:cNvGraphicFramePr/>
                      <a:graphic xmlns:a="http://schemas.openxmlformats.org/drawingml/2006/main">
                        <a:graphicData uri="http://schemas.microsoft.com/office/word/2010/wordprocessingShape">
                          <wps:wsp>
                            <wps:cNvCnPr/>
                            <wps:spPr>
                              <a:xfrm>
                                <a:off x="0" y="0"/>
                                <a:ext cx="1350010" cy="864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5pt;margin-top:3.5pt;height:68.1pt;width:106.3pt;z-index:251663360;mso-width-relative:page;mso-height-relative:page;" filled="f" stroked="t" coordsize="21600,21600" o:gfxdata="UEsDBAoAAAAAAIdO4kAAAAAAAAAAAAAAAAAEAAAAZHJzL1BLAwQUAAAACACHTuJAH1cU09YAAAAH&#10;AQAADwAAAGRycy9kb3ducmV2LnhtbE2PwU7DMBBE70j8g7VIXFBrxxBKQ5wKIXHgSFuJqxsvSSBe&#10;R7HTlH49ywmOq3maeVtuTr4XRxxjF8hAtlQgkOrgOmoM7HcviwcQMVlytg+EBr4xwqa6vCht4cJM&#10;b3jcpkZwCcXCGmhTGgopY92it3EZBiTOPsLobeJzbKQb7czlvpdaqXvpbUe80NoBn1usv7aTN4Bx&#10;yjP1tPbN/vU837zr8+c87Iy5vsrUI4iEp/QHw68+q0PFTocwkYuiN6DXDBpY8UOc6izPQRwYu7vV&#10;IKtS/vevfgBQSwMEFAAAAAgAh07iQA9POtUCAgAA8QMAAA4AAABkcnMvZTJvRG9jLnhtbK1TzY7T&#10;MBC+I/EOlu80baFLiZruoWW5IFgJeICp4ySW/CePt2lfghdA4gScgNPeeRpYHoOxU7qwXHogB2fs&#10;8Xwz3+eZxfnOaLaVAZWzFZ+MxpxJK1ytbFvxN68vHsw5wwi2Bu2srPheIj9f3r+36H0pp65zupaB&#10;EYjFsvcV72L0ZVGg6KQBHDkvLTkbFwxE2oa2qAP0hG50MR2Pz4rehdoHJyQina4HJz8ghlMAXdMo&#10;IddOXBlp44AapIZIlLBTHvkyV9s0UsSXTYMyMl1xYhrzSknI3qS1WC6gbAP4TolDCXBKCXc4GVCW&#10;kh6h1hCBXQX1D5RRIjh0TRwJZ4qBSFaEWEzGd7R51YGXmQtJjf4oOv4/WPFiexmYqitOz27B0IPf&#10;vLv+8fbjzdcv3z9c//z2PtmfP7F5kqr3WFLEyl6Gww79ZUi8d00w6U+M2C7Luz/KK3eRCTqcPJyN&#10;iSRngnzzs0fzx1n/4jbaB4zPpDMsGRXHGEC1XVw5a+klXZhkjWH7HCPlp8DfASm1tqyv+JPZdEYZ&#10;gDqzoY4g03hih7bNsei0qi+U1ikCQ7tZ6cC2kLojf4kl4f51LSVZA3bDvewa+qaTUD+1NYt7T7pZ&#10;GheeSjCy5kxLmq5kESCUEZQ+5Sal1pYqSEIP0iZr4+p9VjyfUyfkGg9dm1rtz32Ovp3U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VxTT1gAAAAcBAAAPAAAAAAAAAAEAIAAAACIAAABkcnMvZG93&#10;bnJldi54bWxQSwECFAAUAAAACACHTuJAD0861QICAADxAwAADgAAAAAAAAABACAAAAAlAQAAZHJz&#10;L2Uyb0RvYy54bWxQSwUGAAAAAAYABgBZAQAAmQUAAAAA&#10;">
                      <v:fill on="f" focussize="0,0"/>
                      <v:stroke color="#000000" joinstyle="round"/>
                      <v:imagedata o:title=""/>
                      <o:lock v:ext="edit" aspectratio="f"/>
                    </v:shape>
                  </w:pict>
                </mc:Fallback>
              </mc:AlternateContent>
            </w:r>
            <w:r>
              <w:rPr>
                <w:rFonts w:ascii="Times New Roman" w:hAnsi="Times New Roman" w:cs="Times New Roman"/>
                <w:color w:val="000000" w:themeColor="text1"/>
                <w:sz w:val="21"/>
                <w:szCs w:val="21"/>
                <w:highlight w:val="none"/>
                <w14:textFill>
                  <w14:solidFill>
                    <w14:schemeClr w14:val="tx1"/>
                  </w14:solidFill>
                </w14:textFill>
              </w:rPr>
              <w:t>工种 人数</w:t>
            </w:r>
          </w:p>
          <w:p w14:paraId="2E548598">
            <w:pPr>
              <w:pStyle w:val="124"/>
              <w:spacing w:line="430" w:lineRule="exact"/>
              <w:ind w:firstLine="180"/>
              <w:rPr>
                <w:rFonts w:ascii="Times New Roman" w:hAnsi="Times New Roman" w:cs="Times New Roman"/>
                <w:color w:val="000000" w:themeColor="text1"/>
                <w:sz w:val="21"/>
                <w:szCs w:val="21"/>
                <w:highlight w:val="none"/>
                <w14:textFill>
                  <w14:solidFill>
                    <w14:schemeClr w14:val="tx1"/>
                  </w14:solidFill>
                </w14:textFill>
              </w:rPr>
            </w:pPr>
          </w:p>
          <w:p w14:paraId="468ACE54">
            <w:pPr>
              <w:pStyle w:val="124"/>
              <w:spacing w:line="430" w:lineRule="exact"/>
              <w:ind w:firstLine="18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时间</w:t>
            </w:r>
          </w:p>
        </w:tc>
        <w:tc>
          <w:tcPr>
            <w:tcW w:w="643" w:type="dxa"/>
            <w:vMerge w:val="restart"/>
            <w:tcBorders>
              <w:top w:val="single" w:color="auto" w:sz="4" w:space="0"/>
              <w:left w:val="single" w:color="auto" w:sz="4" w:space="0"/>
            </w:tcBorders>
            <w:shd w:val="clear" w:color="auto" w:fill="FFFFFF"/>
            <w:noWrap w:val="0"/>
            <w:vAlign w:val="top"/>
          </w:tcPr>
          <w:p w14:paraId="5A10125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noWrap w:val="0"/>
            <w:vAlign w:val="top"/>
          </w:tcPr>
          <w:p w14:paraId="4870E82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vMerge w:val="restart"/>
            <w:tcBorders>
              <w:top w:val="single" w:color="auto" w:sz="4" w:space="0"/>
              <w:left w:val="single" w:color="auto" w:sz="4" w:space="0"/>
            </w:tcBorders>
            <w:shd w:val="clear" w:color="auto" w:fill="FFFFFF"/>
            <w:noWrap w:val="0"/>
            <w:vAlign w:val="top"/>
          </w:tcPr>
          <w:p w14:paraId="5BB74EA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noWrap w:val="0"/>
            <w:vAlign w:val="top"/>
          </w:tcPr>
          <w:p w14:paraId="0B793A1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restart"/>
            <w:tcBorders>
              <w:top w:val="single" w:color="auto" w:sz="4" w:space="0"/>
              <w:left w:val="single" w:color="auto" w:sz="4" w:space="0"/>
            </w:tcBorders>
            <w:shd w:val="clear" w:color="auto" w:fill="FFFFFF"/>
            <w:noWrap w:val="0"/>
            <w:vAlign w:val="top"/>
          </w:tcPr>
          <w:p w14:paraId="0238201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2843" w:type="dxa"/>
            <w:gridSpan w:val="2"/>
            <w:tcBorders>
              <w:top w:val="single" w:color="auto" w:sz="4" w:space="0"/>
              <w:left w:val="single" w:color="auto" w:sz="4" w:space="0"/>
              <w:right w:val="single" w:color="auto" w:sz="4" w:space="0"/>
            </w:tcBorders>
            <w:shd w:val="clear" w:color="auto" w:fill="FFFFFF"/>
            <w:noWrap w:val="0"/>
            <w:vAlign w:val="center"/>
          </w:tcPr>
          <w:p w14:paraId="19831565">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合 计</w:t>
            </w:r>
          </w:p>
        </w:tc>
      </w:tr>
      <w:tr w14:paraId="069583CE">
        <w:tblPrEx>
          <w:tblCellMar>
            <w:top w:w="0" w:type="dxa"/>
            <w:left w:w="10" w:type="dxa"/>
            <w:bottom w:w="0" w:type="dxa"/>
            <w:right w:w="10" w:type="dxa"/>
          </w:tblCellMar>
        </w:tblPrEx>
        <w:trPr>
          <w:trHeight w:val="883" w:hRule="exact"/>
          <w:jc w:val="center"/>
        </w:trPr>
        <w:tc>
          <w:tcPr>
            <w:tcW w:w="3023" w:type="dxa"/>
            <w:gridSpan w:val="2"/>
            <w:vMerge w:val="continue"/>
            <w:tcBorders>
              <w:left w:val="single" w:color="auto" w:sz="4" w:space="0"/>
            </w:tcBorders>
            <w:shd w:val="clear" w:color="auto" w:fill="FFFFFF"/>
            <w:noWrap w:val="0"/>
            <w:vAlign w:val="center"/>
          </w:tcPr>
          <w:p w14:paraId="3E73E10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noWrap w:val="0"/>
            <w:vAlign w:val="top"/>
          </w:tcPr>
          <w:p w14:paraId="0F8E1CE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noWrap w:val="0"/>
            <w:vAlign w:val="top"/>
          </w:tcPr>
          <w:p w14:paraId="70FE6F3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vMerge w:val="continue"/>
            <w:tcBorders>
              <w:left w:val="single" w:color="auto" w:sz="4" w:space="0"/>
            </w:tcBorders>
            <w:shd w:val="clear" w:color="auto" w:fill="FFFFFF"/>
            <w:noWrap w:val="0"/>
            <w:vAlign w:val="top"/>
          </w:tcPr>
          <w:p w14:paraId="2D0ED2E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noWrap w:val="0"/>
            <w:vAlign w:val="top"/>
          </w:tcPr>
          <w:p w14:paraId="40C65AF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vMerge w:val="continue"/>
            <w:tcBorders>
              <w:left w:val="single" w:color="auto" w:sz="4" w:space="0"/>
            </w:tcBorders>
            <w:shd w:val="clear" w:color="auto" w:fill="FFFFFF"/>
            <w:noWrap w:val="0"/>
            <w:vAlign w:val="top"/>
          </w:tcPr>
          <w:p w14:paraId="41336CB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center"/>
          </w:tcPr>
          <w:p w14:paraId="2CE54840">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人数</w:t>
            </w:r>
          </w:p>
        </w:tc>
        <w:tc>
          <w:tcPr>
            <w:tcW w:w="1267" w:type="dxa"/>
            <w:tcBorders>
              <w:top w:val="single" w:color="auto" w:sz="4" w:space="0"/>
              <w:left w:val="single" w:color="auto" w:sz="4" w:space="0"/>
              <w:right w:val="single" w:color="auto" w:sz="4" w:space="0"/>
            </w:tcBorders>
            <w:shd w:val="clear" w:color="auto" w:fill="FFFFFF"/>
            <w:noWrap w:val="0"/>
            <w:vAlign w:val="center"/>
          </w:tcPr>
          <w:p w14:paraId="2C26F089">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人工工日数</w:t>
            </w:r>
          </w:p>
        </w:tc>
      </w:tr>
      <w:tr w14:paraId="52F37900">
        <w:tblPrEx>
          <w:tblCellMar>
            <w:top w:w="0" w:type="dxa"/>
            <w:left w:w="10" w:type="dxa"/>
            <w:bottom w:w="0" w:type="dxa"/>
            <w:right w:w="10" w:type="dxa"/>
          </w:tblCellMar>
        </w:tblPrEx>
        <w:trPr>
          <w:trHeight w:val="680" w:hRule="atLeast"/>
          <w:jc w:val="center"/>
        </w:trPr>
        <w:tc>
          <w:tcPr>
            <w:tcW w:w="1602" w:type="dxa"/>
            <w:vMerge w:val="restart"/>
            <w:tcBorders>
              <w:top w:val="single" w:color="auto" w:sz="4" w:space="0"/>
              <w:left w:val="single" w:color="auto" w:sz="4" w:space="0"/>
            </w:tcBorders>
            <w:shd w:val="clear" w:color="auto" w:fill="FFFFFF"/>
            <w:noWrap w:val="0"/>
            <w:vAlign w:val="center"/>
          </w:tcPr>
          <w:p w14:paraId="2BF1EBFB">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年</w:t>
            </w:r>
          </w:p>
        </w:tc>
        <w:tc>
          <w:tcPr>
            <w:tcW w:w="1421" w:type="dxa"/>
            <w:tcBorders>
              <w:top w:val="single" w:color="auto" w:sz="4" w:space="0"/>
              <w:left w:val="single" w:color="auto" w:sz="4" w:space="0"/>
            </w:tcBorders>
            <w:shd w:val="clear" w:color="auto" w:fill="FFFFFF"/>
            <w:noWrap w:val="0"/>
            <w:vAlign w:val="center"/>
          </w:tcPr>
          <w:p w14:paraId="720F787B">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6EE381D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D025C1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2176742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082B496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3E7684D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6AACBD2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center"/>
          </w:tcPr>
          <w:p w14:paraId="5740978F">
            <w:pPr>
              <w:spacing w:line="43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750FBCC8">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5FD3103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6CF852F7">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60D3BC2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E39389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7479469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0FC0DAB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6F70598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4110EF3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center"/>
          </w:tcPr>
          <w:p w14:paraId="227B6068">
            <w:pPr>
              <w:spacing w:line="43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7419B08C">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3BB9DF8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375E2344">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73FD8E6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1D76FA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4945AF5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297118C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43CB146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1A64ED3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top"/>
          </w:tcPr>
          <w:p w14:paraId="12A709B3">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516260EB">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6008337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0F99E5D0">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51D1A9E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398527C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7A8AD22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6D6FE9B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7DF5F7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19E24B8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top"/>
          </w:tcPr>
          <w:p w14:paraId="328C845F">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382F9DA0">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3304277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40A269BA">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24FDD59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3792417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4AE6436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05F0DD7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AE777D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5244E9F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top"/>
          </w:tcPr>
          <w:p w14:paraId="2F0B4AAC">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63E9B080">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1C09178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1E39A752">
            <w:pPr>
              <w:pStyle w:val="124"/>
              <w:spacing w:line="430" w:lineRule="exact"/>
              <w:ind w:left="1120" w:firstLine="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643" w:type="dxa"/>
            <w:tcBorders>
              <w:top w:val="single" w:color="auto" w:sz="4" w:space="0"/>
              <w:left w:val="single" w:color="auto" w:sz="4" w:space="0"/>
            </w:tcBorders>
            <w:shd w:val="clear" w:color="auto" w:fill="FFFFFF"/>
            <w:noWrap w:val="0"/>
            <w:vAlign w:val="top"/>
          </w:tcPr>
          <w:p w14:paraId="3680732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2F27C24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0C596ED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0720B43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3442B46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57EC97F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top"/>
          </w:tcPr>
          <w:p w14:paraId="5227762D">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27FEB3D6">
        <w:tblPrEx>
          <w:tblCellMar>
            <w:top w:w="0" w:type="dxa"/>
            <w:left w:w="10" w:type="dxa"/>
            <w:bottom w:w="0" w:type="dxa"/>
            <w:right w:w="10" w:type="dxa"/>
          </w:tblCellMar>
        </w:tblPrEx>
        <w:trPr>
          <w:trHeight w:val="680" w:hRule="atLeast"/>
          <w:jc w:val="center"/>
        </w:trPr>
        <w:tc>
          <w:tcPr>
            <w:tcW w:w="1602" w:type="dxa"/>
            <w:vMerge w:val="continue"/>
            <w:tcBorders>
              <w:left w:val="single" w:color="auto" w:sz="4" w:space="0"/>
            </w:tcBorders>
            <w:shd w:val="clear" w:color="auto" w:fill="FFFFFF"/>
            <w:noWrap w:val="0"/>
            <w:vAlign w:val="center"/>
          </w:tcPr>
          <w:p w14:paraId="3B58451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1" w:type="dxa"/>
            <w:tcBorders>
              <w:top w:val="single" w:color="auto" w:sz="4" w:space="0"/>
              <w:left w:val="single" w:color="auto" w:sz="4" w:space="0"/>
            </w:tcBorders>
            <w:shd w:val="clear" w:color="auto" w:fill="FFFFFF"/>
            <w:noWrap w:val="0"/>
            <w:vAlign w:val="center"/>
          </w:tcPr>
          <w:p w14:paraId="02BB3B9D">
            <w:pPr>
              <w:pStyle w:val="124"/>
              <w:tabs>
                <w:tab w:val="left" w:leader="dot" w:pos="326"/>
              </w:tabs>
              <w:spacing w:line="430" w:lineRule="exact"/>
              <w:ind w:firstLine="0"/>
              <w:jc w:val="right"/>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val="en-US" w:eastAsia="en-US" w:bidi="en-US"/>
                <w14:textFill>
                  <w14:solidFill>
                    <w14:schemeClr w14:val="tx1"/>
                  </w14:solidFill>
                </w14:textFill>
              </w:rPr>
              <w:tab/>
            </w:r>
          </w:p>
        </w:tc>
        <w:tc>
          <w:tcPr>
            <w:tcW w:w="643" w:type="dxa"/>
            <w:tcBorders>
              <w:top w:val="single" w:color="auto" w:sz="4" w:space="0"/>
              <w:left w:val="single" w:color="auto" w:sz="4" w:space="0"/>
            </w:tcBorders>
            <w:shd w:val="clear" w:color="auto" w:fill="FFFFFF"/>
            <w:noWrap w:val="0"/>
            <w:vAlign w:val="top"/>
          </w:tcPr>
          <w:p w14:paraId="682A85BE">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56EFE9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3" w:type="dxa"/>
            <w:tcBorders>
              <w:top w:val="single" w:color="auto" w:sz="4" w:space="0"/>
              <w:left w:val="single" w:color="auto" w:sz="4" w:space="0"/>
            </w:tcBorders>
            <w:shd w:val="clear" w:color="auto" w:fill="FFFFFF"/>
            <w:noWrap w:val="0"/>
            <w:vAlign w:val="top"/>
          </w:tcPr>
          <w:p w14:paraId="7F67C03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7B68BCF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648" w:type="dxa"/>
            <w:tcBorders>
              <w:top w:val="single" w:color="auto" w:sz="4" w:space="0"/>
              <w:left w:val="single" w:color="auto" w:sz="4" w:space="0"/>
            </w:tcBorders>
            <w:shd w:val="clear" w:color="auto" w:fill="FFFFFF"/>
            <w:noWrap w:val="0"/>
            <w:vAlign w:val="top"/>
          </w:tcPr>
          <w:p w14:paraId="145FB4F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76" w:type="dxa"/>
            <w:tcBorders>
              <w:top w:val="single" w:color="auto" w:sz="4" w:space="0"/>
              <w:left w:val="single" w:color="auto" w:sz="4" w:space="0"/>
            </w:tcBorders>
            <w:shd w:val="clear" w:color="auto" w:fill="FFFFFF"/>
            <w:noWrap w:val="0"/>
            <w:vAlign w:val="top"/>
          </w:tcPr>
          <w:p w14:paraId="3D45FCB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right w:val="single" w:color="auto" w:sz="4" w:space="0"/>
            </w:tcBorders>
            <w:shd w:val="clear" w:color="auto" w:fill="FFFFFF"/>
            <w:noWrap w:val="0"/>
            <w:vAlign w:val="top"/>
          </w:tcPr>
          <w:p w14:paraId="7FE4BCEB">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67A82DD0">
        <w:tblPrEx>
          <w:tblCellMar>
            <w:top w:w="0" w:type="dxa"/>
            <w:left w:w="10" w:type="dxa"/>
            <w:bottom w:w="0" w:type="dxa"/>
            <w:right w:w="10" w:type="dxa"/>
          </w:tblCellMar>
        </w:tblPrEx>
        <w:trPr>
          <w:trHeight w:val="680" w:hRule="atLeast"/>
          <w:jc w:val="center"/>
        </w:trPr>
        <w:tc>
          <w:tcPr>
            <w:tcW w:w="6253" w:type="dxa"/>
            <w:gridSpan w:val="7"/>
            <w:tcBorders>
              <w:top w:val="single" w:color="auto" w:sz="4" w:space="0"/>
              <w:left w:val="single" w:color="auto" w:sz="4" w:space="0"/>
              <w:bottom w:val="single" w:color="auto" w:sz="4" w:space="0"/>
            </w:tcBorders>
            <w:shd w:val="clear" w:color="auto" w:fill="FFFFFF"/>
            <w:noWrap w:val="0"/>
            <w:vAlign w:val="center"/>
          </w:tcPr>
          <w:p w14:paraId="427511E2">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总 计</w:t>
            </w:r>
          </w:p>
        </w:tc>
        <w:tc>
          <w:tcPr>
            <w:tcW w:w="1576" w:type="dxa"/>
            <w:tcBorders>
              <w:top w:val="single" w:color="auto" w:sz="4" w:space="0"/>
              <w:left w:val="single" w:color="auto" w:sz="4" w:space="0"/>
              <w:bottom w:val="single" w:color="auto" w:sz="4" w:space="0"/>
            </w:tcBorders>
            <w:shd w:val="clear" w:color="auto" w:fill="FFFFFF"/>
            <w:noWrap w:val="0"/>
            <w:vAlign w:val="top"/>
          </w:tcPr>
          <w:p w14:paraId="665A66C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57B4A8">
            <w:pPr>
              <w:spacing w:line="430" w:lineRule="exact"/>
              <w:rPr>
                <w:rFonts w:ascii="Times New Roman" w:hAnsi="Times New Roman" w:eastAsia="宋体"/>
                <w:color w:val="000000" w:themeColor="text1"/>
                <w:szCs w:val="21"/>
                <w:highlight w:val="none"/>
                <w14:textFill>
                  <w14:solidFill>
                    <w14:schemeClr w14:val="tx1"/>
                  </w14:solidFill>
                </w14:textFill>
              </w:rPr>
            </w:pPr>
          </w:p>
        </w:tc>
      </w:tr>
    </w:tbl>
    <w:p w14:paraId="10F8FAA8">
      <w:pPr>
        <w:spacing w:after="299" w:line="1" w:lineRule="exact"/>
        <w:rPr>
          <w:color w:val="000000" w:themeColor="text1"/>
          <w:highlight w:val="none"/>
          <w14:textFill>
            <w14:solidFill>
              <w14:schemeClr w14:val="tx1"/>
            </w14:solidFill>
          </w14:textFill>
        </w:rPr>
      </w:pPr>
    </w:p>
    <w:p w14:paraId="4DE6D90F">
      <w:pPr>
        <w:pStyle w:val="105"/>
        <w:tabs>
          <w:tab w:val="left" w:pos="847"/>
          <w:tab w:val="left" w:leader="underscore" w:pos="850"/>
          <w:tab w:val="left" w:leader="underscore" w:pos="1906"/>
          <w:tab w:val="left" w:pos="1908"/>
          <w:tab w:val="left" w:pos="2964"/>
        </w:tabs>
        <w:spacing w:after="240" w:afterLines="100" w:line="740" w:lineRule="exact"/>
        <w:ind w:firstLine="0"/>
        <w:rPr>
          <w:rStyle w:val="126"/>
          <w:rFonts w:hint="eastAsia"/>
          <w:color w:val="000000" w:themeColor="text1"/>
          <w:sz w:val="30"/>
          <w:szCs w:val="30"/>
          <w:highlight w:val="none"/>
          <w:lang w:val="en-US"/>
          <w14:textFill>
            <w14:solidFill>
              <w14:schemeClr w14:val="tx1"/>
            </w14:solidFill>
          </w14:textFill>
        </w:rPr>
        <w:sectPr>
          <w:headerReference r:id="rId12" w:type="default"/>
          <w:footerReference r:id="rId14" w:type="default"/>
          <w:headerReference r:id="rId13" w:type="even"/>
          <w:footerReference r:id="rId15" w:type="even"/>
          <w:pgSz w:w="11900" w:h="16832"/>
          <w:pgMar w:top="1417" w:right="1531" w:bottom="1417" w:left="1587" w:header="850" w:footer="992" w:gutter="0"/>
          <w:pgNumType w:fmt="decimal"/>
          <w:cols w:space="720" w:num="1"/>
          <w:titlePg/>
          <w:docGrid w:linePitch="360" w:charSpace="0"/>
        </w:sectPr>
      </w:pPr>
    </w:p>
    <w:p w14:paraId="18C56EF1">
      <w:pPr>
        <w:pStyle w:val="105"/>
        <w:tabs>
          <w:tab w:val="left" w:pos="847"/>
          <w:tab w:val="left" w:leader="underscore" w:pos="850"/>
          <w:tab w:val="left" w:leader="underscore" w:pos="1906"/>
          <w:tab w:val="left" w:pos="1908"/>
          <w:tab w:val="left" w:pos="2964"/>
        </w:tabs>
        <w:spacing w:after="240" w:afterLines="100" w:line="740" w:lineRule="exact"/>
        <w:ind w:firstLine="0"/>
        <w:rPr>
          <w:b/>
          <w:color w:val="000000" w:themeColor="text1"/>
          <w:sz w:val="28"/>
          <w:szCs w:val="28"/>
          <w:highlight w:val="none"/>
          <w14:textFill>
            <w14:solidFill>
              <w14:schemeClr w14:val="tx1"/>
            </w14:solidFill>
          </w14:textFill>
        </w:rPr>
      </w:pPr>
      <w:r>
        <w:rPr>
          <w:rStyle w:val="126"/>
          <w:rFonts w:hint="eastAsia"/>
          <w:color w:val="000000" w:themeColor="text1"/>
          <w:sz w:val="30"/>
          <w:szCs w:val="30"/>
          <w:highlight w:val="none"/>
          <w:lang w:val="en-US"/>
          <w14:textFill>
            <w14:solidFill>
              <w14:schemeClr w14:val="tx1"/>
            </w14:solidFill>
          </w14:textFill>
        </w:rPr>
        <w:t>附件四：</w:t>
      </w:r>
    </w:p>
    <w:p w14:paraId="0E708305">
      <w:pPr>
        <w:spacing w:after="240" w:afterLines="100" w:line="740" w:lineRule="exact"/>
        <w:jc w:val="center"/>
        <w:rPr>
          <w:b/>
          <w:color w:val="000000" w:themeColor="text1"/>
          <w:highlight w:val="none"/>
          <w:lang w:eastAsia="zh-CN"/>
          <w14:textFill>
            <w14:solidFill>
              <w14:schemeClr w14:val="tx1"/>
            </w14:solidFill>
          </w14:textFill>
        </w:rPr>
      </w:pPr>
      <w:bookmarkStart w:id="228" w:name="_Toc16851"/>
      <w:bookmarkStart w:id="229" w:name="_Toc16708"/>
      <w:bookmarkStart w:id="230" w:name="bookmark2246"/>
      <w:bookmarkStart w:id="231" w:name="bookmark2247"/>
      <w:bookmarkStart w:id="232" w:name="bookmark2248"/>
      <w:r>
        <w:rPr>
          <w:rStyle w:val="126"/>
          <w:rFonts w:hint="eastAsia" w:ascii="宋体" w:hAnsi="宋体" w:eastAsia="宋体" w:cs="宋体"/>
          <w:color w:val="000000" w:themeColor="text1"/>
          <w:sz w:val="30"/>
          <w:szCs w:val="30"/>
          <w:highlight w:val="none"/>
          <w:lang w:eastAsia="zh-CN" w:bidi="zh-CN"/>
          <w14:textFill>
            <w14:solidFill>
              <w14:schemeClr w14:val="tx1"/>
            </w14:solidFill>
          </w14:textFill>
        </w:rPr>
        <w:t>拟投入本合同工程的材料进场计划表</w:t>
      </w:r>
      <w:bookmarkEnd w:id="228"/>
      <w:bookmarkEnd w:id="229"/>
      <w:bookmarkEnd w:id="230"/>
      <w:bookmarkEnd w:id="231"/>
      <w:bookmarkEnd w:id="232"/>
    </w:p>
    <w:tbl>
      <w:tblPr>
        <w:tblStyle w:val="43"/>
        <w:tblW w:w="0" w:type="auto"/>
        <w:jc w:val="center"/>
        <w:tblLayout w:type="fixed"/>
        <w:tblCellMar>
          <w:top w:w="0" w:type="dxa"/>
          <w:left w:w="10" w:type="dxa"/>
          <w:bottom w:w="0" w:type="dxa"/>
          <w:right w:w="10" w:type="dxa"/>
        </w:tblCellMar>
      </w:tblPr>
      <w:tblGrid>
        <w:gridCol w:w="1433"/>
        <w:gridCol w:w="902"/>
        <w:gridCol w:w="907"/>
        <w:gridCol w:w="907"/>
        <w:gridCol w:w="907"/>
        <w:gridCol w:w="912"/>
        <w:gridCol w:w="902"/>
        <w:gridCol w:w="907"/>
        <w:gridCol w:w="1268"/>
      </w:tblGrid>
      <w:tr w14:paraId="0AE7EDC4">
        <w:tblPrEx>
          <w:tblCellMar>
            <w:top w:w="0" w:type="dxa"/>
            <w:left w:w="10" w:type="dxa"/>
            <w:bottom w:w="0" w:type="dxa"/>
            <w:right w:w="10" w:type="dxa"/>
          </w:tblCellMar>
        </w:tblPrEx>
        <w:trPr>
          <w:trHeight w:val="680" w:hRule="atLeast"/>
          <w:jc w:val="center"/>
        </w:trPr>
        <w:tc>
          <w:tcPr>
            <w:tcW w:w="1433" w:type="dxa"/>
            <w:vMerge w:val="restart"/>
            <w:tcBorders>
              <w:top w:val="single" w:color="auto" w:sz="4" w:space="0"/>
              <w:left w:val="single" w:color="auto" w:sz="4" w:space="0"/>
            </w:tcBorders>
            <w:shd w:val="clear" w:color="auto" w:fill="FFFFFF"/>
            <w:noWrap w:val="0"/>
            <w:vAlign w:val="center"/>
          </w:tcPr>
          <w:p w14:paraId="1DE1F981">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名称</w:t>
            </w:r>
          </w:p>
        </w:tc>
        <w:tc>
          <w:tcPr>
            <w:tcW w:w="902" w:type="dxa"/>
            <w:vMerge w:val="restart"/>
            <w:tcBorders>
              <w:top w:val="single" w:color="auto" w:sz="4" w:space="0"/>
              <w:left w:val="single" w:color="auto" w:sz="4" w:space="0"/>
            </w:tcBorders>
            <w:shd w:val="clear" w:color="auto" w:fill="FFFFFF"/>
            <w:noWrap w:val="0"/>
            <w:vAlign w:val="center"/>
          </w:tcPr>
          <w:p w14:paraId="519DA645">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规格</w:t>
            </w:r>
          </w:p>
        </w:tc>
        <w:tc>
          <w:tcPr>
            <w:tcW w:w="907" w:type="dxa"/>
            <w:vMerge w:val="restart"/>
            <w:tcBorders>
              <w:top w:val="single" w:color="auto" w:sz="4" w:space="0"/>
              <w:left w:val="single" w:color="auto" w:sz="4" w:space="0"/>
            </w:tcBorders>
            <w:shd w:val="clear" w:color="auto" w:fill="FFFFFF"/>
            <w:noWrap w:val="0"/>
            <w:vAlign w:val="center"/>
          </w:tcPr>
          <w:p w14:paraId="4DEADF67">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计量 单位</w:t>
            </w:r>
          </w:p>
        </w:tc>
        <w:tc>
          <w:tcPr>
            <w:tcW w:w="4535" w:type="dxa"/>
            <w:gridSpan w:val="5"/>
            <w:tcBorders>
              <w:top w:val="single" w:color="auto" w:sz="4" w:space="0"/>
              <w:left w:val="single" w:color="auto" w:sz="4" w:space="0"/>
            </w:tcBorders>
            <w:shd w:val="clear" w:color="auto" w:fill="FFFFFF"/>
            <w:noWrap w:val="0"/>
            <w:vAlign w:val="center"/>
          </w:tcPr>
          <w:p w14:paraId="5BD036F7">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数 量</w:t>
            </w:r>
          </w:p>
        </w:tc>
        <w:tc>
          <w:tcPr>
            <w:tcW w:w="1268" w:type="dxa"/>
            <w:vMerge w:val="restart"/>
            <w:tcBorders>
              <w:top w:val="single" w:color="auto" w:sz="4" w:space="0"/>
              <w:left w:val="single" w:color="auto" w:sz="4" w:space="0"/>
              <w:right w:val="single" w:color="auto" w:sz="4" w:space="0"/>
            </w:tcBorders>
            <w:shd w:val="clear" w:color="auto" w:fill="FFFFFF"/>
            <w:noWrap w:val="0"/>
            <w:vAlign w:val="center"/>
          </w:tcPr>
          <w:p w14:paraId="20855008">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备注</w:t>
            </w:r>
          </w:p>
        </w:tc>
      </w:tr>
      <w:tr w14:paraId="6CD79DC8">
        <w:tblPrEx>
          <w:tblCellMar>
            <w:top w:w="0" w:type="dxa"/>
            <w:left w:w="10" w:type="dxa"/>
            <w:bottom w:w="0" w:type="dxa"/>
            <w:right w:w="10" w:type="dxa"/>
          </w:tblCellMar>
        </w:tblPrEx>
        <w:trPr>
          <w:trHeight w:val="680" w:hRule="atLeast"/>
          <w:jc w:val="center"/>
        </w:trPr>
        <w:tc>
          <w:tcPr>
            <w:tcW w:w="1433" w:type="dxa"/>
            <w:vMerge w:val="continue"/>
            <w:tcBorders>
              <w:left w:val="single" w:color="auto" w:sz="4" w:space="0"/>
            </w:tcBorders>
            <w:shd w:val="clear" w:color="auto" w:fill="FFFFFF"/>
            <w:noWrap w:val="0"/>
            <w:vAlign w:val="center"/>
          </w:tcPr>
          <w:p w14:paraId="3A152B7A">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vMerge w:val="continue"/>
            <w:tcBorders>
              <w:left w:val="single" w:color="auto" w:sz="4" w:space="0"/>
            </w:tcBorders>
            <w:shd w:val="clear" w:color="auto" w:fill="FFFFFF"/>
            <w:noWrap w:val="0"/>
            <w:vAlign w:val="center"/>
          </w:tcPr>
          <w:p w14:paraId="50F1D6CD">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vMerge w:val="continue"/>
            <w:tcBorders>
              <w:left w:val="single" w:color="auto" w:sz="4" w:space="0"/>
            </w:tcBorders>
            <w:shd w:val="clear" w:color="auto" w:fill="FFFFFF"/>
            <w:noWrap w:val="0"/>
            <w:vAlign w:val="center"/>
          </w:tcPr>
          <w:p w14:paraId="3DC71066">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30F2AC71">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总量</w:t>
            </w:r>
          </w:p>
        </w:tc>
        <w:tc>
          <w:tcPr>
            <w:tcW w:w="907" w:type="dxa"/>
            <w:tcBorders>
              <w:top w:val="single" w:color="auto" w:sz="4" w:space="0"/>
              <w:left w:val="single" w:color="auto" w:sz="4" w:space="0"/>
            </w:tcBorders>
            <w:shd w:val="clear" w:color="auto" w:fill="FFFFFF"/>
            <w:noWrap w:val="0"/>
            <w:vAlign w:val="center"/>
          </w:tcPr>
          <w:p w14:paraId="08DD5FAD">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912" w:type="dxa"/>
            <w:tcBorders>
              <w:top w:val="single" w:color="auto" w:sz="4" w:space="0"/>
              <w:left w:val="single" w:color="auto" w:sz="4" w:space="0"/>
            </w:tcBorders>
            <w:shd w:val="clear" w:color="auto" w:fill="FFFFFF"/>
            <w:noWrap w:val="0"/>
            <w:vAlign w:val="center"/>
          </w:tcPr>
          <w:p w14:paraId="573061E5">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902" w:type="dxa"/>
            <w:tcBorders>
              <w:top w:val="single" w:color="auto" w:sz="4" w:space="0"/>
              <w:left w:val="single" w:color="auto" w:sz="4" w:space="0"/>
            </w:tcBorders>
            <w:shd w:val="clear" w:color="auto" w:fill="FFFFFF"/>
            <w:noWrap w:val="0"/>
            <w:vAlign w:val="center"/>
          </w:tcPr>
          <w:p w14:paraId="31B0DA4D">
            <w:pPr>
              <w:pStyle w:val="124"/>
              <w:spacing w:line="37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907" w:type="dxa"/>
            <w:tcBorders>
              <w:top w:val="single" w:color="auto" w:sz="4" w:space="0"/>
              <w:left w:val="single" w:color="auto" w:sz="4" w:space="0"/>
            </w:tcBorders>
            <w:shd w:val="clear" w:color="auto" w:fill="FFFFFF"/>
            <w:noWrap w:val="0"/>
            <w:vAlign w:val="center"/>
          </w:tcPr>
          <w:p w14:paraId="463AB161">
            <w:pPr>
              <w:pStyle w:val="124"/>
              <w:spacing w:line="370" w:lineRule="exact"/>
              <w:ind w:right="380"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月</w:t>
            </w:r>
          </w:p>
        </w:tc>
        <w:tc>
          <w:tcPr>
            <w:tcW w:w="1268" w:type="dxa"/>
            <w:vMerge w:val="continue"/>
            <w:tcBorders>
              <w:left w:val="single" w:color="auto" w:sz="4" w:space="0"/>
              <w:right w:val="single" w:color="auto" w:sz="4" w:space="0"/>
            </w:tcBorders>
            <w:shd w:val="clear" w:color="auto" w:fill="FFFFFF"/>
            <w:noWrap w:val="0"/>
            <w:vAlign w:val="center"/>
          </w:tcPr>
          <w:p w14:paraId="05E38BE4">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565C3906">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tcBorders>
            <w:shd w:val="clear" w:color="auto" w:fill="FFFFFF"/>
            <w:noWrap w:val="0"/>
            <w:vAlign w:val="center"/>
          </w:tcPr>
          <w:p w14:paraId="19E8916E">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16238C89">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295FDF26">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7742D780">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62D18AF2">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noWrap w:val="0"/>
            <w:vAlign w:val="center"/>
          </w:tcPr>
          <w:p w14:paraId="3F9B9339">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0A01ADB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09B2082B">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right w:val="single" w:color="auto" w:sz="4" w:space="0"/>
            </w:tcBorders>
            <w:shd w:val="clear" w:color="auto" w:fill="FFFFFF"/>
            <w:noWrap w:val="0"/>
            <w:vAlign w:val="center"/>
          </w:tcPr>
          <w:p w14:paraId="50A54904">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744AD147">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tcBorders>
            <w:shd w:val="clear" w:color="auto" w:fill="FFFFFF"/>
            <w:noWrap w:val="0"/>
            <w:vAlign w:val="center"/>
          </w:tcPr>
          <w:p w14:paraId="43B182AF">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16919336">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3E24C8C9">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54403543">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0037B030">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noWrap w:val="0"/>
            <w:vAlign w:val="center"/>
          </w:tcPr>
          <w:p w14:paraId="45CF6AC5">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4EDDA9D7">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2EA95B01">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right w:val="single" w:color="auto" w:sz="4" w:space="0"/>
            </w:tcBorders>
            <w:shd w:val="clear" w:color="auto" w:fill="FFFFFF"/>
            <w:noWrap w:val="0"/>
            <w:vAlign w:val="center"/>
          </w:tcPr>
          <w:p w14:paraId="3563BBB5">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2C565167">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tcBorders>
            <w:shd w:val="clear" w:color="auto" w:fill="FFFFFF"/>
            <w:noWrap w:val="0"/>
            <w:vAlign w:val="center"/>
          </w:tcPr>
          <w:p w14:paraId="6A3F7D0D">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6F95BA2E">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16118283">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02763EF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14022591">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noWrap w:val="0"/>
            <w:vAlign w:val="center"/>
          </w:tcPr>
          <w:p w14:paraId="50A1BB21">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757F1C68">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77815BA2">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right w:val="single" w:color="auto" w:sz="4" w:space="0"/>
            </w:tcBorders>
            <w:shd w:val="clear" w:color="auto" w:fill="FFFFFF"/>
            <w:noWrap w:val="0"/>
            <w:vAlign w:val="center"/>
          </w:tcPr>
          <w:p w14:paraId="55303AF2">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7623B02C">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tcBorders>
            <w:shd w:val="clear" w:color="auto" w:fill="FFFFFF"/>
            <w:noWrap w:val="0"/>
            <w:vAlign w:val="center"/>
          </w:tcPr>
          <w:p w14:paraId="1AF76B03">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51CFB7F3">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591AAA2E">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57DF6B2F">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234C0207">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noWrap w:val="0"/>
            <w:vAlign w:val="center"/>
          </w:tcPr>
          <w:p w14:paraId="300C2C3A">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33F121FB">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43B58EBB">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right w:val="single" w:color="auto" w:sz="4" w:space="0"/>
            </w:tcBorders>
            <w:shd w:val="clear" w:color="auto" w:fill="FFFFFF"/>
            <w:noWrap w:val="0"/>
            <w:vAlign w:val="center"/>
          </w:tcPr>
          <w:p w14:paraId="462AD449">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65144C37">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tcBorders>
            <w:shd w:val="clear" w:color="auto" w:fill="FFFFFF"/>
            <w:noWrap w:val="0"/>
            <w:vAlign w:val="center"/>
          </w:tcPr>
          <w:p w14:paraId="0B9ADDA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5AF6A608">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5E02149B">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1DA7D4A6">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25B1C62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tcBorders>
            <w:shd w:val="clear" w:color="auto" w:fill="FFFFFF"/>
            <w:noWrap w:val="0"/>
            <w:vAlign w:val="center"/>
          </w:tcPr>
          <w:p w14:paraId="4872CFB5">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tcBorders>
            <w:shd w:val="clear" w:color="auto" w:fill="FFFFFF"/>
            <w:noWrap w:val="0"/>
            <w:vAlign w:val="center"/>
          </w:tcPr>
          <w:p w14:paraId="32CF5CF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tcBorders>
            <w:shd w:val="clear" w:color="auto" w:fill="FFFFFF"/>
            <w:noWrap w:val="0"/>
            <w:vAlign w:val="center"/>
          </w:tcPr>
          <w:p w14:paraId="06064A3B">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right w:val="single" w:color="auto" w:sz="4" w:space="0"/>
            </w:tcBorders>
            <w:shd w:val="clear" w:color="auto" w:fill="FFFFFF"/>
            <w:noWrap w:val="0"/>
            <w:vAlign w:val="center"/>
          </w:tcPr>
          <w:p w14:paraId="1009DE50">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r w14:paraId="04DDBF72">
        <w:tblPrEx>
          <w:tblCellMar>
            <w:top w:w="0" w:type="dxa"/>
            <w:left w:w="10" w:type="dxa"/>
            <w:bottom w:w="0" w:type="dxa"/>
            <w:right w:w="10" w:type="dxa"/>
          </w:tblCellMar>
        </w:tblPrEx>
        <w:trPr>
          <w:trHeight w:val="680" w:hRule="atLeast"/>
          <w:jc w:val="center"/>
        </w:trPr>
        <w:tc>
          <w:tcPr>
            <w:tcW w:w="1433" w:type="dxa"/>
            <w:tcBorders>
              <w:top w:val="single" w:color="auto" w:sz="4" w:space="0"/>
              <w:left w:val="single" w:color="auto" w:sz="4" w:space="0"/>
              <w:bottom w:val="single" w:color="auto" w:sz="4" w:space="0"/>
            </w:tcBorders>
            <w:shd w:val="clear" w:color="auto" w:fill="FFFFFF"/>
            <w:noWrap w:val="0"/>
            <w:vAlign w:val="center"/>
          </w:tcPr>
          <w:p w14:paraId="6CF60E6A">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1E6F3986">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46E9A845">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0808F589">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1F49F8E4">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12" w:type="dxa"/>
            <w:tcBorders>
              <w:top w:val="single" w:color="auto" w:sz="4" w:space="0"/>
              <w:left w:val="single" w:color="auto" w:sz="4" w:space="0"/>
              <w:bottom w:val="single" w:color="auto" w:sz="4" w:space="0"/>
            </w:tcBorders>
            <w:shd w:val="clear" w:color="auto" w:fill="FFFFFF"/>
            <w:noWrap w:val="0"/>
            <w:vAlign w:val="center"/>
          </w:tcPr>
          <w:p w14:paraId="3473D09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2" w:type="dxa"/>
            <w:tcBorders>
              <w:top w:val="single" w:color="auto" w:sz="4" w:space="0"/>
              <w:left w:val="single" w:color="auto" w:sz="4" w:space="0"/>
              <w:bottom w:val="single" w:color="auto" w:sz="4" w:space="0"/>
            </w:tcBorders>
            <w:shd w:val="clear" w:color="auto" w:fill="FFFFFF"/>
            <w:noWrap w:val="0"/>
            <w:vAlign w:val="center"/>
          </w:tcPr>
          <w:p w14:paraId="7F922845">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907" w:type="dxa"/>
            <w:tcBorders>
              <w:top w:val="single" w:color="auto" w:sz="4" w:space="0"/>
              <w:left w:val="single" w:color="auto" w:sz="4" w:space="0"/>
              <w:bottom w:val="single" w:color="auto" w:sz="4" w:space="0"/>
            </w:tcBorders>
            <w:shd w:val="clear" w:color="auto" w:fill="FFFFFF"/>
            <w:noWrap w:val="0"/>
            <w:vAlign w:val="center"/>
          </w:tcPr>
          <w:p w14:paraId="5C09961C">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CC59D">
            <w:pPr>
              <w:spacing w:line="370" w:lineRule="exact"/>
              <w:jc w:val="center"/>
              <w:rPr>
                <w:rFonts w:ascii="Times New Roman" w:hAnsi="Times New Roman" w:eastAsia="宋体"/>
                <w:color w:val="000000" w:themeColor="text1"/>
                <w:szCs w:val="21"/>
                <w:highlight w:val="none"/>
                <w14:textFill>
                  <w14:solidFill>
                    <w14:schemeClr w14:val="tx1"/>
                  </w14:solidFill>
                </w14:textFill>
              </w:rPr>
            </w:pPr>
          </w:p>
        </w:tc>
      </w:tr>
    </w:tbl>
    <w:p w14:paraId="61306CD3">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350B6830">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71338D54">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561950FC">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60D9CE03">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2327AE6C">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1F308C25">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6ADB7E12">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p w14:paraId="095A7D65">
      <w:pPr>
        <w:pStyle w:val="9"/>
        <w:spacing w:before="0" w:after="360" w:afterLines="150" w:line="740" w:lineRule="exact"/>
        <w:jc w:val="both"/>
        <w:rPr>
          <w:rStyle w:val="126"/>
          <w:rFonts w:ascii="Times New Roman" w:hAnsi="Times New Roman" w:eastAsia="宋体"/>
          <w:b/>
          <w:color w:val="000000" w:themeColor="text1"/>
          <w:sz w:val="30"/>
          <w:szCs w:val="30"/>
          <w:highlight w:val="none"/>
          <w:lang w:eastAsia="zh-CN" w:bidi="zh-CN"/>
          <w14:textFill>
            <w14:solidFill>
              <w14:schemeClr w14:val="tx1"/>
            </w14:solidFill>
          </w14:textFill>
        </w:rPr>
        <w:sectPr>
          <w:footerReference r:id="rId17" w:type="first"/>
          <w:footerReference r:id="rId16" w:type="default"/>
          <w:pgSz w:w="11900" w:h="16832"/>
          <w:pgMar w:top="1417" w:right="1531" w:bottom="1417" w:left="1587" w:header="850" w:footer="992" w:gutter="0"/>
          <w:pgNumType w:fmt="decimal"/>
          <w:cols w:space="720" w:num="1"/>
          <w:titlePg/>
          <w:docGrid w:linePitch="360" w:charSpace="0"/>
        </w:sectPr>
      </w:pPr>
      <w:bookmarkStart w:id="233" w:name="bookmark2251"/>
      <w:bookmarkStart w:id="234" w:name="bookmark2250"/>
      <w:bookmarkStart w:id="235" w:name="bookmark2249"/>
    </w:p>
    <w:p w14:paraId="11DCB06C">
      <w:pPr>
        <w:pStyle w:val="9"/>
        <w:spacing w:before="0" w:after="360" w:afterLines="150" w:line="740" w:lineRule="exact"/>
        <w:jc w:val="both"/>
        <w:rPr>
          <w:rStyle w:val="126"/>
          <w:rFonts w:ascii="Times New Roman" w:hAnsi="Times New Roman" w:eastAsia="宋体"/>
          <w:b/>
          <w:color w:val="000000" w:themeColor="text1"/>
          <w:sz w:val="30"/>
          <w:szCs w:val="30"/>
          <w:highlight w:val="none"/>
          <w:lang w:eastAsia="zh-CN" w:bidi="zh-CN"/>
          <w14:textFill>
            <w14:solidFill>
              <w14:schemeClr w14:val="tx1"/>
            </w14:solidFill>
          </w14:textFill>
        </w:rPr>
      </w:pPr>
      <w:r>
        <w:rPr>
          <w:rStyle w:val="126"/>
          <w:rFonts w:ascii="Times New Roman" w:hAnsi="Times New Roman" w:eastAsia="宋体"/>
          <w:b/>
          <w:color w:val="000000" w:themeColor="text1"/>
          <w:sz w:val="30"/>
          <w:szCs w:val="30"/>
          <w:highlight w:val="none"/>
          <w:lang w:eastAsia="zh-CN" w:bidi="zh-CN"/>
          <w14:textFill>
            <w14:solidFill>
              <w14:schemeClr w14:val="tx1"/>
            </w14:solidFill>
          </w14:textFill>
        </w:rPr>
        <w:t>附件五：</w:t>
      </w:r>
      <w:bookmarkEnd w:id="233"/>
      <w:bookmarkEnd w:id="234"/>
      <w:bookmarkEnd w:id="235"/>
    </w:p>
    <w:p w14:paraId="00F41784">
      <w:pPr>
        <w:pStyle w:val="9"/>
        <w:spacing w:before="0" w:after="360" w:afterLines="150" w:line="740" w:lineRule="exact"/>
        <w:jc w:val="center"/>
        <w:rPr>
          <w:rStyle w:val="126"/>
          <w:rFonts w:ascii="Times New Roman" w:hAnsi="Times New Roman" w:eastAsia="宋体"/>
          <w:b/>
          <w:color w:val="000000" w:themeColor="text1"/>
          <w:sz w:val="30"/>
          <w:szCs w:val="30"/>
          <w:highlight w:val="none"/>
          <w:lang w:eastAsia="zh-CN" w:bidi="zh-CN"/>
          <w14:textFill>
            <w14:solidFill>
              <w14:schemeClr w14:val="tx1"/>
            </w14:solidFill>
          </w14:textFill>
        </w:rPr>
      </w:pPr>
      <w:bookmarkStart w:id="236" w:name="_Toc2597"/>
      <w:bookmarkStart w:id="237" w:name="_Toc24573"/>
      <w:bookmarkStart w:id="238" w:name="bookmark2254"/>
      <w:bookmarkStart w:id="239" w:name="bookmark2252"/>
      <w:bookmarkStart w:id="240" w:name="bookmark2253"/>
      <w:r>
        <w:rPr>
          <w:rStyle w:val="126"/>
          <w:rFonts w:ascii="Times New Roman" w:hAnsi="Times New Roman" w:eastAsia="宋体"/>
          <w:b/>
          <w:color w:val="000000" w:themeColor="text1"/>
          <w:sz w:val="30"/>
          <w:szCs w:val="30"/>
          <w:highlight w:val="none"/>
          <w:lang w:eastAsia="zh-CN" w:bidi="zh-CN"/>
          <w14:textFill>
            <w14:solidFill>
              <w14:schemeClr w14:val="tx1"/>
            </w14:solidFill>
          </w14:textFill>
        </w:rPr>
        <w:t>计划开工日期、完工日期和施工进度网络图（或横道图）</w:t>
      </w:r>
      <w:bookmarkEnd w:id="236"/>
      <w:bookmarkEnd w:id="237"/>
      <w:bookmarkEnd w:id="238"/>
      <w:bookmarkEnd w:id="239"/>
      <w:bookmarkEnd w:id="240"/>
    </w:p>
    <w:p w14:paraId="168D1373">
      <w:pPr>
        <w:jc w:val="center"/>
        <w:rPr>
          <w:b/>
          <w:color w:val="000000" w:themeColor="text1"/>
          <w:highlight w:val="none"/>
          <w:lang w:eastAsia="zh-CN"/>
          <w14:textFill>
            <w14:solidFill>
              <w14:schemeClr w14:val="tx1"/>
            </w14:solidFill>
          </w14:textFill>
        </w:rPr>
      </w:pPr>
    </w:p>
    <w:p w14:paraId="49D7B283">
      <w:pPr>
        <w:pStyle w:val="105"/>
        <w:keepNext w:val="0"/>
        <w:keepLines w:val="0"/>
        <w:pageBreakBefore w:val="0"/>
        <w:widowControl w:val="0"/>
        <w:tabs>
          <w:tab w:val="left" w:pos="747"/>
        </w:tabs>
        <w:kinsoku/>
        <w:wordWrap/>
        <w:overflowPunct/>
        <w:topLinePunct w:val="0"/>
        <w:autoSpaceDE w:val="0"/>
        <w:autoSpaceDN w:val="0"/>
        <w:bidi w:val="0"/>
        <w:adjustRightInd/>
        <w:snapToGrid/>
        <w:spacing w:line="560" w:lineRule="exact"/>
        <w:ind w:firstLine="480" w:firstLineChars="200"/>
        <w:jc w:val="both"/>
        <w:textAlignment w:val="auto"/>
        <w:rPr>
          <w:rFonts w:ascii="Times New Roman" w:hAnsi="Times New Roman" w:cs="Times New Roman"/>
          <w:color w:val="000000" w:themeColor="text1"/>
          <w:sz w:val="24"/>
          <w:szCs w:val="24"/>
          <w:highlight w:val="none"/>
          <w14:textFill>
            <w14:solidFill>
              <w14:schemeClr w14:val="tx1"/>
            </w14:solidFill>
          </w14:textFill>
        </w:rPr>
      </w:pPr>
      <w:bookmarkStart w:id="241" w:name="bookmark2255"/>
      <w:bookmarkEnd w:id="241"/>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ascii="Times New Roman" w:hAnsi="Times New Roman" w:cs="Times New Roman"/>
          <w:color w:val="000000" w:themeColor="text1"/>
          <w:sz w:val="24"/>
          <w:szCs w:val="24"/>
          <w:highlight w:val="none"/>
          <w14:textFill>
            <w14:solidFill>
              <w14:schemeClr w14:val="tx1"/>
            </w14:solidFill>
          </w14:textFill>
        </w:rPr>
        <w:t>应递交施工进度网络图或施工进度表，说明按</w:t>
      </w:r>
      <w:r>
        <w:rPr>
          <w:rFonts w:hint="eastAsia" w:ascii="Times New Roman" w:hAnsi="Times New Roman" w:cs="Times New Roman"/>
          <w:color w:val="000000" w:themeColor="text1"/>
          <w:sz w:val="24"/>
          <w:szCs w:val="24"/>
          <w:highlight w:val="none"/>
          <w:lang w:eastAsia="zh-CN"/>
          <w14:textFill>
            <w14:solidFill>
              <w14:schemeClr w14:val="tx1"/>
            </w14:solidFill>
          </w14:textFill>
        </w:rPr>
        <w:t>竞争性磋商文件</w:t>
      </w:r>
      <w:r>
        <w:rPr>
          <w:rFonts w:ascii="Times New Roman" w:hAnsi="Times New Roman" w:cs="Times New Roman"/>
          <w:color w:val="000000" w:themeColor="text1"/>
          <w:sz w:val="24"/>
          <w:szCs w:val="24"/>
          <w:highlight w:val="none"/>
          <w14:textFill>
            <w14:solidFill>
              <w14:schemeClr w14:val="tx1"/>
            </w14:solidFill>
          </w14:textFill>
        </w:rPr>
        <w:t>要求的计划工期进行施工的各个关键日期。</w:t>
      </w:r>
    </w:p>
    <w:p w14:paraId="5B654C4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ascii="Times New Roman" w:hAnsi="Times New Roman" w:eastAsia="宋体"/>
          <w:color w:val="000000" w:themeColor="text1"/>
          <w:sz w:val="24"/>
          <w:highlight w:val="none"/>
          <w:lang w:eastAsia="zh-CN"/>
          <w14:textFill>
            <w14:solidFill>
              <w14:schemeClr w14:val="tx1"/>
            </w14:solidFill>
          </w14:textFill>
        </w:rPr>
        <w:sectPr>
          <w:footerReference r:id="rId19" w:type="first"/>
          <w:footerReference r:id="rId18" w:type="default"/>
          <w:pgSz w:w="11900" w:h="16832"/>
          <w:pgMar w:top="1417" w:right="1531" w:bottom="1417" w:left="1587" w:header="850" w:footer="992" w:gutter="0"/>
          <w:pgNumType w:fmt="decimal"/>
          <w:cols w:space="720" w:num="1"/>
          <w:docGrid w:linePitch="360" w:charSpace="0"/>
        </w:sectPr>
      </w:pPr>
      <w:bookmarkStart w:id="242" w:name="bookmark2256"/>
      <w:bookmarkEnd w:id="242"/>
      <w:r>
        <w:rPr>
          <w:rFonts w:ascii="Times New Roman" w:hAnsi="Times New Roman" w:eastAsia="宋体"/>
          <w:color w:val="000000" w:themeColor="text1"/>
          <w:sz w:val="24"/>
          <w:highlight w:val="none"/>
          <w:lang w:eastAsia="zh-CN"/>
          <w14:textFill>
            <w14:solidFill>
              <w14:schemeClr w14:val="tx1"/>
            </w14:solidFill>
          </w14:textFill>
        </w:rPr>
        <w:t>施工进度表可采用网络图（或横道图）表示。</w:t>
      </w:r>
    </w:p>
    <w:p w14:paraId="46AF5FAA">
      <w:pPr>
        <w:pStyle w:val="9"/>
        <w:spacing w:before="0" w:after="360" w:afterLines="150" w:line="740" w:lineRule="exact"/>
        <w:jc w:val="both"/>
        <w:rPr>
          <w:rFonts w:hint="eastAsia" w:ascii="宋体" w:hAnsi="宋体" w:eastAsia="宋体" w:cs="宋体"/>
          <w:bCs/>
          <w:color w:val="000000" w:themeColor="text1"/>
          <w:sz w:val="28"/>
          <w:szCs w:val="28"/>
          <w:highlight w:val="none"/>
          <w:lang w:eastAsia="zh-CN"/>
          <w14:textFill>
            <w14:solidFill>
              <w14:schemeClr w14:val="tx1"/>
            </w14:solidFill>
          </w14:textFill>
        </w:rPr>
      </w:pPr>
      <w:bookmarkStart w:id="243" w:name="bookmark2257"/>
      <w:bookmarkStart w:id="244" w:name="bookmark2259"/>
      <w:bookmarkStart w:id="245" w:name="bookmark2258"/>
      <w:r>
        <w:rPr>
          <w:rStyle w:val="126"/>
          <w:rFonts w:hint="eastAsia" w:ascii="宋体" w:hAnsi="宋体" w:eastAsia="宋体" w:cs="宋体"/>
          <w:b/>
          <w:color w:val="000000" w:themeColor="text1"/>
          <w:sz w:val="30"/>
          <w:szCs w:val="30"/>
          <w:highlight w:val="none"/>
          <w:lang w:val="zh-CN" w:eastAsia="zh-CN" w:bidi="zh-CN"/>
          <w14:textFill>
            <w14:solidFill>
              <w14:schemeClr w14:val="tx1"/>
            </w14:solidFill>
          </w14:textFill>
        </w:rPr>
        <w:t>附件六：施工总平面图</w:t>
      </w:r>
      <w:bookmarkEnd w:id="243"/>
      <w:bookmarkEnd w:id="244"/>
      <w:bookmarkEnd w:id="245"/>
      <w:bookmarkStart w:id="246" w:name="bookmark2262"/>
      <w:bookmarkStart w:id="247" w:name="bookmark2260"/>
      <w:bookmarkStart w:id="248" w:name="_Toc30163"/>
      <w:bookmarkStart w:id="249" w:name="bookmark2261"/>
      <w:bookmarkStart w:id="250" w:name="_Toc768"/>
    </w:p>
    <w:p w14:paraId="7BF7DC51">
      <w:pPr>
        <w:pStyle w:val="9"/>
        <w:spacing w:before="0" w:after="360" w:afterLines="150" w:line="740" w:lineRule="exact"/>
        <w:jc w:val="center"/>
        <w:rPr>
          <w:rStyle w:val="126"/>
          <w:rFonts w:hint="eastAsia" w:ascii="宋体" w:hAnsi="宋体" w:eastAsia="宋体" w:cs="宋体"/>
          <w:b/>
          <w:color w:val="000000" w:themeColor="text1"/>
          <w:sz w:val="30"/>
          <w:szCs w:val="30"/>
          <w:highlight w:val="none"/>
          <w:lang w:val="zh-CN" w:eastAsia="zh-CN" w:bidi="zh-CN"/>
          <w14:textFill>
            <w14:solidFill>
              <w14:schemeClr w14:val="tx1"/>
            </w14:solidFill>
          </w14:textFill>
        </w:rPr>
      </w:pPr>
      <w:r>
        <w:rPr>
          <w:rStyle w:val="126"/>
          <w:rFonts w:hint="eastAsia" w:ascii="宋体" w:hAnsi="宋体" w:eastAsia="宋体" w:cs="宋体"/>
          <w:b/>
          <w:color w:val="000000" w:themeColor="text1"/>
          <w:sz w:val="30"/>
          <w:szCs w:val="30"/>
          <w:highlight w:val="none"/>
          <w:lang w:val="zh-CN" w:eastAsia="zh-CN" w:bidi="zh-CN"/>
          <w14:textFill>
            <w14:solidFill>
              <w14:schemeClr w14:val="tx1"/>
            </w14:solidFill>
          </w14:textFill>
        </w:rPr>
        <w:t>施工总平面图</w:t>
      </w:r>
      <w:bookmarkEnd w:id="246"/>
      <w:bookmarkEnd w:id="247"/>
      <w:bookmarkEnd w:id="248"/>
      <w:bookmarkEnd w:id="249"/>
      <w:bookmarkEnd w:id="250"/>
    </w:p>
    <w:p w14:paraId="758B8638">
      <w:pPr>
        <w:jc w:val="center"/>
        <w:rPr>
          <w:b/>
          <w:color w:val="000000" w:themeColor="text1"/>
          <w:highlight w:val="none"/>
          <w:lang w:eastAsia="zh-CN"/>
          <w14:textFill>
            <w14:solidFill>
              <w14:schemeClr w14:val="tx1"/>
            </w14:solidFill>
          </w14:textFill>
        </w:rPr>
      </w:pPr>
    </w:p>
    <w:p w14:paraId="186BEECA">
      <w:pPr>
        <w:pStyle w:val="105"/>
        <w:keepNext w:val="0"/>
        <w:keepLines w:val="0"/>
        <w:pageBreakBefore w:val="0"/>
        <w:widowControl w:val="0"/>
        <w:shd w:val="clear" w:color="auto" w:fill="auto"/>
        <w:tabs>
          <w:tab w:val="left" w:pos="747"/>
        </w:tabs>
        <w:kinsoku/>
        <w:wordWrap/>
        <w:overflowPunct/>
        <w:topLinePunct w:val="0"/>
        <w:autoSpaceDE w:val="0"/>
        <w:autoSpaceDN w:val="0"/>
        <w:bidi w:val="0"/>
        <w:adjustRightInd/>
        <w:snapToGrid/>
        <w:spacing w:line="560" w:lineRule="exact"/>
        <w:ind w:firstLine="480" w:firstLineChars="200"/>
        <w:jc w:val="both"/>
        <w:textAlignment w:val="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供应商</w:t>
      </w:r>
      <w:r>
        <w:rPr>
          <w:rFonts w:ascii="Times New Roman" w:hAnsi="Times New Roman" w:eastAsia="宋体" w:cs="Times New Roman"/>
          <w:color w:val="000000" w:themeColor="text1"/>
          <w:sz w:val="24"/>
          <w:szCs w:val="24"/>
          <w:highlight w:val="none"/>
          <w14:textFill>
            <w14:solidFill>
              <w14:schemeClr w14:val="tx1"/>
            </w14:solidFill>
          </w14:textFill>
        </w:rPr>
        <w:t>应递交一份施工总平面图，绘出现场临时设施布置图及表并附文字说明，说明临时设施、加工车间、现场办公、设备及仓储、供电、供水、卫生、生活、道路、消防等设施的情况和布置。</w:t>
      </w:r>
    </w:p>
    <w:p w14:paraId="1841F5A4">
      <w:pPr>
        <w:pStyle w:val="105"/>
        <w:keepNext w:val="0"/>
        <w:keepLines w:val="0"/>
        <w:pageBreakBefore w:val="0"/>
        <w:widowControl w:val="0"/>
        <w:shd w:val="clear" w:color="auto" w:fill="auto"/>
        <w:tabs>
          <w:tab w:val="left" w:pos="747"/>
        </w:tabs>
        <w:kinsoku/>
        <w:wordWrap/>
        <w:overflowPunct/>
        <w:topLinePunct w:val="0"/>
        <w:autoSpaceDE w:val="0"/>
        <w:autoSpaceDN w:val="0"/>
        <w:bidi w:val="0"/>
        <w:adjustRightInd/>
        <w:snapToGrid/>
        <w:spacing w:line="560" w:lineRule="exact"/>
        <w:ind w:firstLine="480" w:firstLineChars="200"/>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其他平面图由</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供应商</w:t>
      </w:r>
      <w:r>
        <w:rPr>
          <w:rFonts w:hint="eastAsia" w:ascii="Times New Roman" w:hAnsi="Times New Roman" w:eastAsia="宋体" w:cs="Times New Roman"/>
          <w:color w:val="000000" w:themeColor="text1"/>
          <w:sz w:val="24"/>
          <w:szCs w:val="24"/>
          <w:highlight w:val="none"/>
          <w14:textFill>
            <w14:solidFill>
              <w14:schemeClr w14:val="tx1"/>
            </w14:solidFill>
          </w14:textFill>
        </w:rPr>
        <w:t>根据需要制作。</w:t>
      </w:r>
      <w:r>
        <w:rPr>
          <w:color w:val="000000" w:themeColor="text1"/>
          <w:highlight w:val="none"/>
          <w14:textFill>
            <w14:solidFill>
              <w14:schemeClr w14:val="tx1"/>
            </w14:solidFill>
          </w14:textFill>
        </w:rPr>
        <w:br w:type="page"/>
      </w:r>
    </w:p>
    <w:p w14:paraId="1643C3B6">
      <w:pPr>
        <w:pStyle w:val="105"/>
        <w:spacing w:line="490" w:lineRule="exact"/>
        <w:ind w:firstLine="420"/>
        <w:rPr>
          <w:b/>
          <w:bCs/>
          <w:color w:val="000000" w:themeColor="text1"/>
          <w:sz w:val="28"/>
          <w:szCs w:val="28"/>
          <w:highlight w:val="none"/>
          <w14:textFill>
            <w14:solidFill>
              <w14:schemeClr w14:val="tx1"/>
            </w14:solidFill>
          </w14:textFill>
        </w:rPr>
      </w:pPr>
      <w:bookmarkStart w:id="251" w:name="bookmark2263"/>
      <w:bookmarkStart w:id="252" w:name="bookmark2265"/>
      <w:bookmarkStart w:id="253" w:name="bookmark2264"/>
      <w:r>
        <w:rPr>
          <w:rStyle w:val="126"/>
          <w:rFonts w:hint="eastAsia"/>
          <w:color w:val="000000" w:themeColor="text1"/>
          <w:sz w:val="30"/>
          <w:szCs w:val="30"/>
          <w:highlight w:val="none"/>
          <w:lang w:val="en-US"/>
          <w14:textFill>
            <w14:solidFill>
              <w14:schemeClr w14:val="tx1"/>
            </w14:solidFill>
          </w14:textFill>
        </w:rPr>
        <w:t>附件七：</w:t>
      </w:r>
      <w:bookmarkEnd w:id="251"/>
      <w:bookmarkEnd w:id="252"/>
      <w:bookmarkEnd w:id="253"/>
    </w:p>
    <w:p w14:paraId="6B8BABF1">
      <w:pPr>
        <w:spacing w:after="240" w:afterLines="100" w:line="740" w:lineRule="exact"/>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bookmarkStart w:id="254" w:name="bookmark2267"/>
      <w:bookmarkStart w:id="255" w:name="bookmark2268"/>
      <w:bookmarkStart w:id="256" w:name="bookmark2266"/>
      <w:bookmarkStart w:id="257" w:name="_Toc3522"/>
      <w:bookmarkStart w:id="258" w:name="_Toc31330"/>
      <w:r>
        <w:rPr>
          <w:rFonts w:hint="eastAsia" w:ascii="宋体" w:hAnsi="宋体" w:eastAsia="宋体" w:cs="宋体"/>
          <w:b/>
          <w:bCs/>
          <w:color w:val="000000" w:themeColor="text1"/>
          <w:sz w:val="30"/>
          <w:szCs w:val="30"/>
          <w:highlight w:val="none"/>
          <w:lang w:eastAsia="zh-CN"/>
          <w14:textFill>
            <w14:solidFill>
              <w14:schemeClr w14:val="tx1"/>
            </w14:solidFill>
          </w14:textFill>
        </w:rPr>
        <w:t>临时用地表</w:t>
      </w:r>
      <w:bookmarkEnd w:id="254"/>
      <w:bookmarkEnd w:id="255"/>
      <w:bookmarkEnd w:id="256"/>
      <w:bookmarkEnd w:id="257"/>
      <w:bookmarkEnd w:id="258"/>
    </w:p>
    <w:p w14:paraId="10D2CC5E">
      <w:pPr>
        <w:jc w:val="center"/>
        <w:rPr>
          <w:b/>
          <w:color w:val="000000" w:themeColor="text1"/>
          <w:highlight w:val="none"/>
          <w:lang w:eastAsia="zh-CN"/>
          <w14:textFill>
            <w14:solidFill>
              <w14:schemeClr w14:val="tx1"/>
            </w14:solidFill>
          </w14:textFill>
        </w:rPr>
      </w:pPr>
    </w:p>
    <w:tbl>
      <w:tblPr>
        <w:tblStyle w:val="43"/>
        <w:tblW w:w="0" w:type="auto"/>
        <w:jc w:val="center"/>
        <w:tblLayout w:type="fixed"/>
        <w:tblCellMar>
          <w:top w:w="0" w:type="dxa"/>
          <w:left w:w="10" w:type="dxa"/>
          <w:bottom w:w="0" w:type="dxa"/>
          <w:right w:w="10" w:type="dxa"/>
        </w:tblCellMar>
      </w:tblPr>
      <w:tblGrid>
        <w:gridCol w:w="2540"/>
        <w:gridCol w:w="2083"/>
        <w:gridCol w:w="2083"/>
        <w:gridCol w:w="2093"/>
      </w:tblGrid>
      <w:tr w14:paraId="45EAA942">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center"/>
          </w:tcPr>
          <w:p w14:paraId="7A27C37B">
            <w:pPr>
              <w:pStyle w:val="124"/>
              <w:spacing w:line="240" w:lineRule="auto"/>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用途</w:t>
            </w:r>
          </w:p>
        </w:tc>
        <w:tc>
          <w:tcPr>
            <w:tcW w:w="2083" w:type="dxa"/>
            <w:tcBorders>
              <w:top w:val="single" w:color="auto" w:sz="4" w:space="0"/>
              <w:left w:val="single" w:color="auto" w:sz="4" w:space="0"/>
            </w:tcBorders>
            <w:shd w:val="clear" w:color="auto" w:fill="FFFFFF"/>
            <w:noWrap w:val="0"/>
            <w:vAlign w:val="center"/>
          </w:tcPr>
          <w:p w14:paraId="6306BA30">
            <w:pPr>
              <w:pStyle w:val="124"/>
              <w:spacing w:line="240" w:lineRule="auto"/>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面积（</w:t>
            </w:r>
            <w:r>
              <w:rPr>
                <w:rFonts w:ascii="Times New Roman" w:hAnsi="Times New Roman" w:cs="Times New Roman"/>
                <w:color w:val="000000" w:themeColor="text1"/>
                <w:sz w:val="21"/>
                <w:szCs w:val="21"/>
                <w:highlight w:val="none"/>
                <w:lang w:bidi="en-US"/>
                <w14:textFill>
                  <w14:solidFill>
                    <w14:schemeClr w14:val="tx1"/>
                  </w14:solidFill>
                </w14:textFill>
              </w:rPr>
              <w:t>m</w:t>
            </w:r>
            <w:r>
              <w:rPr>
                <w:rFonts w:ascii="Times New Roman" w:hAnsi="Times New Roman" w:cs="Times New Roman"/>
                <w:color w:val="000000" w:themeColor="text1"/>
                <w:sz w:val="21"/>
                <w:szCs w:val="21"/>
                <w:highlight w:val="none"/>
                <w:vertAlign w:val="superscript"/>
                <w:lang w:bidi="en-US"/>
                <w14:textFill>
                  <w14:solidFill>
                    <w14:schemeClr w14:val="tx1"/>
                  </w14:solidFill>
                </w14:textFill>
              </w:rPr>
              <w:t>2</w:t>
            </w:r>
            <w:r>
              <w:rPr>
                <w:rFonts w:ascii="Times New Roman" w:hAnsi="Times New Roman" w:cs="Times New Roman"/>
                <w:color w:val="000000" w:themeColor="text1"/>
                <w:sz w:val="21"/>
                <w:szCs w:val="21"/>
                <w:highlight w:val="none"/>
                <w14:textFill>
                  <w14:solidFill>
                    <w14:schemeClr w14:val="tx1"/>
                  </w14:solidFill>
                </w14:textFill>
              </w:rPr>
              <w:t>）</w:t>
            </w:r>
          </w:p>
        </w:tc>
        <w:tc>
          <w:tcPr>
            <w:tcW w:w="2083" w:type="dxa"/>
            <w:tcBorders>
              <w:top w:val="single" w:color="auto" w:sz="4" w:space="0"/>
              <w:left w:val="single" w:color="auto" w:sz="4" w:space="0"/>
            </w:tcBorders>
            <w:shd w:val="clear" w:color="auto" w:fill="FFFFFF"/>
            <w:noWrap w:val="0"/>
            <w:vAlign w:val="center"/>
          </w:tcPr>
          <w:p w14:paraId="463E8A0E">
            <w:pPr>
              <w:pStyle w:val="124"/>
              <w:spacing w:line="240" w:lineRule="auto"/>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位置</w:t>
            </w:r>
          </w:p>
        </w:tc>
        <w:tc>
          <w:tcPr>
            <w:tcW w:w="2093" w:type="dxa"/>
            <w:tcBorders>
              <w:top w:val="single" w:color="auto" w:sz="4" w:space="0"/>
              <w:left w:val="single" w:color="auto" w:sz="4" w:space="0"/>
              <w:right w:val="single" w:color="auto" w:sz="4" w:space="0"/>
            </w:tcBorders>
            <w:shd w:val="clear" w:color="auto" w:fill="FFFFFF"/>
            <w:noWrap w:val="0"/>
            <w:vAlign w:val="center"/>
          </w:tcPr>
          <w:p w14:paraId="1BB2A7EA">
            <w:pPr>
              <w:pStyle w:val="124"/>
              <w:spacing w:line="240" w:lineRule="auto"/>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需用时间</w:t>
            </w:r>
          </w:p>
        </w:tc>
      </w:tr>
      <w:tr w14:paraId="53DC199E">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49FB771F">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029FC702">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2EE252C">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625576D6">
            <w:pPr>
              <w:rPr>
                <w:rFonts w:ascii="Times New Roman" w:hAnsi="Times New Roman"/>
                <w:color w:val="000000" w:themeColor="text1"/>
                <w:szCs w:val="21"/>
                <w:highlight w:val="none"/>
                <w14:textFill>
                  <w14:solidFill>
                    <w14:schemeClr w14:val="tx1"/>
                  </w14:solidFill>
                </w14:textFill>
              </w:rPr>
            </w:pPr>
          </w:p>
        </w:tc>
      </w:tr>
      <w:tr w14:paraId="0AD475A1">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05E83925">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588B7E2A">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3C0A01E1">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0FF3FB89">
            <w:pPr>
              <w:rPr>
                <w:rFonts w:ascii="Times New Roman" w:hAnsi="Times New Roman"/>
                <w:color w:val="000000" w:themeColor="text1"/>
                <w:szCs w:val="21"/>
                <w:highlight w:val="none"/>
                <w14:textFill>
                  <w14:solidFill>
                    <w14:schemeClr w14:val="tx1"/>
                  </w14:solidFill>
                </w14:textFill>
              </w:rPr>
            </w:pPr>
          </w:p>
        </w:tc>
      </w:tr>
      <w:tr w14:paraId="41112988">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25044B48">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E03776C">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1D453A71">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75E29F6C">
            <w:pPr>
              <w:rPr>
                <w:rFonts w:ascii="Times New Roman" w:hAnsi="Times New Roman"/>
                <w:color w:val="000000" w:themeColor="text1"/>
                <w:szCs w:val="21"/>
                <w:highlight w:val="none"/>
                <w14:textFill>
                  <w14:solidFill>
                    <w14:schemeClr w14:val="tx1"/>
                  </w14:solidFill>
                </w14:textFill>
              </w:rPr>
            </w:pPr>
          </w:p>
        </w:tc>
      </w:tr>
      <w:tr w14:paraId="4CBADE7C">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211441B8">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6C30B62">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212A682F">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2E1DE275">
            <w:pPr>
              <w:rPr>
                <w:rFonts w:ascii="Times New Roman" w:hAnsi="Times New Roman"/>
                <w:color w:val="000000" w:themeColor="text1"/>
                <w:szCs w:val="21"/>
                <w:highlight w:val="none"/>
                <w14:textFill>
                  <w14:solidFill>
                    <w14:schemeClr w14:val="tx1"/>
                  </w14:solidFill>
                </w14:textFill>
              </w:rPr>
            </w:pPr>
          </w:p>
        </w:tc>
      </w:tr>
      <w:tr w14:paraId="50E9DF31">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2E11B68B">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07BC57C">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610C9F02">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6DCD2998">
            <w:pPr>
              <w:rPr>
                <w:rFonts w:ascii="Times New Roman" w:hAnsi="Times New Roman"/>
                <w:color w:val="000000" w:themeColor="text1"/>
                <w:szCs w:val="21"/>
                <w:highlight w:val="none"/>
                <w14:textFill>
                  <w14:solidFill>
                    <w14:schemeClr w14:val="tx1"/>
                  </w14:solidFill>
                </w14:textFill>
              </w:rPr>
            </w:pPr>
          </w:p>
        </w:tc>
      </w:tr>
      <w:tr w14:paraId="798D9BC2">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40BE45B2">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2002A351">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38054008">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528E6B67">
            <w:pPr>
              <w:rPr>
                <w:rFonts w:ascii="Times New Roman" w:hAnsi="Times New Roman"/>
                <w:color w:val="000000" w:themeColor="text1"/>
                <w:szCs w:val="21"/>
                <w:highlight w:val="none"/>
                <w14:textFill>
                  <w14:solidFill>
                    <w14:schemeClr w14:val="tx1"/>
                  </w14:solidFill>
                </w14:textFill>
              </w:rPr>
            </w:pPr>
          </w:p>
        </w:tc>
      </w:tr>
      <w:tr w14:paraId="442F027B">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5605F5D1">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1152B500">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2E4CDD3D">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17DB563C">
            <w:pPr>
              <w:rPr>
                <w:rFonts w:ascii="Times New Roman" w:hAnsi="Times New Roman"/>
                <w:color w:val="000000" w:themeColor="text1"/>
                <w:szCs w:val="21"/>
                <w:highlight w:val="none"/>
                <w14:textFill>
                  <w14:solidFill>
                    <w14:schemeClr w14:val="tx1"/>
                  </w14:solidFill>
                </w14:textFill>
              </w:rPr>
            </w:pPr>
          </w:p>
        </w:tc>
      </w:tr>
      <w:tr w14:paraId="6FA0D010">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7A57F7E4">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58C7F0C0">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9304BFF">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4A0C0177">
            <w:pPr>
              <w:rPr>
                <w:rFonts w:ascii="Times New Roman" w:hAnsi="Times New Roman"/>
                <w:color w:val="000000" w:themeColor="text1"/>
                <w:szCs w:val="21"/>
                <w:highlight w:val="none"/>
                <w14:textFill>
                  <w14:solidFill>
                    <w14:schemeClr w14:val="tx1"/>
                  </w14:solidFill>
                </w14:textFill>
              </w:rPr>
            </w:pPr>
          </w:p>
        </w:tc>
      </w:tr>
      <w:tr w14:paraId="249EFC87">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1C5D7955">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4DFA949E">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54BD1C47">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055976BB">
            <w:pPr>
              <w:rPr>
                <w:rFonts w:ascii="Times New Roman" w:hAnsi="Times New Roman"/>
                <w:color w:val="000000" w:themeColor="text1"/>
                <w:szCs w:val="21"/>
                <w:highlight w:val="none"/>
                <w14:textFill>
                  <w14:solidFill>
                    <w14:schemeClr w14:val="tx1"/>
                  </w14:solidFill>
                </w14:textFill>
              </w:rPr>
            </w:pPr>
          </w:p>
        </w:tc>
      </w:tr>
      <w:tr w14:paraId="6A1403DF">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051F2696">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5AD7C5FB">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045ECE7E">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7E557037">
            <w:pPr>
              <w:rPr>
                <w:rFonts w:ascii="Times New Roman" w:hAnsi="Times New Roman"/>
                <w:color w:val="000000" w:themeColor="text1"/>
                <w:szCs w:val="21"/>
                <w:highlight w:val="none"/>
                <w14:textFill>
                  <w14:solidFill>
                    <w14:schemeClr w14:val="tx1"/>
                  </w14:solidFill>
                </w14:textFill>
              </w:rPr>
            </w:pPr>
          </w:p>
        </w:tc>
      </w:tr>
      <w:tr w14:paraId="4055A034">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1BFEE97F">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0AE43633">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3C7F6308">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194ECE7F">
            <w:pPr>
              <w:rPr>
                <w:rFonts w:ascii="Times New Roman" w:hAnsi="Times New Roman"/>
                <w:color w:val="000000" w:themeColor="text1"/>
                <w:szCs w:val="21"/>
                <w:highlight w:val="none"/>
                <w14:textFill>
                  <w14:solidFill>
                    <w14:schemeClr w14:val="tx1"/>
                  </w14:solidFill>
                </w14:textFill>
              </w:rPr>
            </w:pPr>
          </w:p>
        </w:tc>
      </w:tr>
      <w:tr w14:paraId="422F0C7A">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6A199627">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70EC3629">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27CE31BC">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0C316269">
            <w:pPr>
              <w:rPr>
                <w:rFonts w:ascii="Times New Roman" w:hAnsi="Times New Roman"/>
                <w:color w:val="000000" w:themeColor="text1"/>
                <w:szCs w:val="21"/>
                <w:highlight w:val="none"/>
                <w14:textFill>
                  <w14:solidFill>
                    <w14:schemeClr w14:val="tx1"/>
                  </w14:solidFill>
                </w14:textFill>
              </w:rPr>
            </w:pPr>
          </w:p>
        </w:tc>
      </w:tr>
      <w:tr w14:paraId="47DE33FB">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tcBorders>
            <w:shd w:val="clear" w:color="auto" w:fill="FFFFFF"/>
            <w:noWrap w:val="0"/>
            <w:vAlign w:val="top"/>
          </w:tcPr>
          <w:p w14:paraId="3ED447A0">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1D0B8AD9">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tcBorders>
            <w:shd w:val="clear" w:color="auto" w:fill="FFFFFF"/>
            <w:noWrap w:val="0"/>
            <w:vAlign w:val="top"/>
          </w:tcPr>
          <w:p w14:paraId="0BF306EE">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right w:val="single" w:color="auto" w:sz="4" w:space="0"/>
            </w:tcBorders>
            <w:shd w:val="clear" w:color="auto" w:fill="FFFFFF"/>
            <w:noWrap w:val="0"/>
            <w:vAlign w:val="top"/>
          </w:tcPr>
          <w:p w14:paraId="5F4326C0">
            <w:pPr>
              <w:rPr>
                <w:rFonts w:ascii="Times New Roman" w:hAnsi="Times New Roman"/>
                <w:color w:val="000000" w:themeColor="text1"/>
                <w:szCs w:val="21"/>
                <w:highlight w:val="none"/>
                <w14:textFill>
                  <w14:solidFill>
                    <w14:schemeClr w14:val="tx1"/>
                  </w14:solidFill>
                </w14:textFill>
              </w:rPr>
            </w:pPr>
          </w:p>
        </w:tc>
      </w:tr>
      <w:tr w14:paraId="267E2920">
        <w:tblPrEx>
          <w:tblCellMar>
            <w:top w:w="0" w:type="dxa"/>
            <w:left w:w="10" w:type="dxa"/>
            <w:bottom w:w="0" w:type="dxa"/>
            <w:right w:w="10" w:type="dxa"/>
          </w:tblCellMar>
        </w:tblPrEx>
        <w:trPr>
          <w:trHeight w:val="567" w:hRule="atLeast"/>
          <w:jc w:val="center"/>
        </w:trPr>
        <w:tc>
          <w:tcPr>
            <w:tcW w:w="2540" w:type="dxa"/>
            <w:tcBorders>
              <w:top w:val="single" w:color="auto" w:sz="4" w:space="0"/>
              <w:left w:val="single" w:color="auto" w:sz="4" w:space="0"/>
              <w:bottom w:val="single" w:color="auto" w:sz="4" w:space="0"/>
            </w:tcBorders>
            <w:shd w:val="clear" w:color="auto" w:fill="FFFFFF"/>
            <w:noWrap w:val="0"/>
            <w:vAlign w:val="top"/>
          </w:tcPr>
          <w:p w14:paraId="4CAC6931">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noWrap w:val="0"/>
            <w:vAlign w:val="top"/>
          </w:tcPr>
          <w:p w14:paraId="6360F33D">
            <w:pPr>
              <w:rPr>
                <w:rFonts w:ascii="Times New Roman" w:hAnsi="Times New Roman"/>
                <w:color w:val="000000" w:themeColor="text1"/>
                <w:szCs w:val="21"/>
                <w:highlight w:val="none"/>
                <w14:textFill>
                  <w14:solidFill>
                    <w14:schemeClr w14:val="tx1"/>
                  </w14:solidFill>
                </w14:textFill>
              </w:rPr>
            </w:pPr>
          </w:p>
        </w:tc>
        <w:tc>
          <w:tcPr>
            <w:tcW w:w="2083" w:type="dxa"/>
            <w:tcBorders>
              <w:top w:val="single" w:color="auto" w:sz="4" w:space="0"/>
              <w:left w:val="single" w:color="auto" w:sz="4" w:space="0"/>
              <w:bottom w:val="single" w:color="auto" w:sz="4" w:space="0"/>
            </w:tcBorders>
            <w:shd w:val="clear" w:color="auto" w:fill="FFFFFF"/>
            <w:noWrap w:val="0"/>
            <w:vAlign w:val="top"/>
          </w:tcPr>
          <w:p w14:paraId="0761648F">
            <w:pPr>
              <w:rPr>
                <w:rFonts w:ascii="Times New Roman" w:hAnsi="Times New Roman"/>
                <w:color w:val="000000" w:themeColor="text1"/>
                <w:szCs w:val="21"/>
                <w:highlight w:val="none"/>
                <w14:textFill>
                  <w14:solidFill>
                    <w14:schemeClr w14:val="tx1"/>
                  </w14:solidFill>
                </w14:textFill>
              </w:rPr>
            </w:pPr>
          </w:p>
        </w:tc>
        <w:tc>
          <w:tcPr>
            <w:tcW w:w="209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3E8336E">
            <w:pPr>
              <w:rPr>
                <w:rFonts w:ascii="Times New Roman" w:hAnsi="Times New Roman"/>
                <w:color w:val="000000" w:themeColor="text1"/>
                <w:szCs w:val="21"/>
                <w:highlight w:val="none"/>
                <w14:textFill>
                  <w14:solidFill>
                    <w14:schemeClr w14:val="tx1"/>
                  </w14:solidFill>
                </w14:textFill>
              </w:rPr>
            </w:pPr>
          </w:p>
        </w:tc>
      </w:tr>
    </w:tbl>
    <w:p w14:paraId="425A5D46">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br w:type="page"/>
      </w:r>
    </w:p>
    <w:p w14:paraId="04B1CC55">
      <w:pPr>
        <w:pStyle w:val="25"/>
        <w:keepNext w:val="0"/>
        <w:keepLines w:val="0"/>
        <w:pageBreakBefore w:val="0"/>
        <w:widowControl w:val="0"/>
        <w:kinsoku/>
        <w:wordWrap/>
        <w:overflowPunct/>
        <w:topLinePunct w:val="0"/>
        <w:autoSpaceDE w:val="0"/>
        <w:autoSpaceDN w:val="0"/>
        <w:bidi w:val="0"/>
        <w:adjustRightInd/>
        <w:snapToGrid/>
        <w:spacing w:after="120" w:afterLines="50" w:line="700" w:lineRule="exact"/>
        <w:jc w:val="both"/>
        <w:textAlignment w:val="auto"/>
        <w:rPr>
          <w:rFonts w:hint="eastAsia" w:ascii="Times New Roman" w:hAnsi="Times New Roman"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Times New Roman"/>
          <w:b/>
          <w:color w:val="000000" w:themeColor="text1"/>
          <w:sz w:val="32"/>
          <w:szCs w:val="32"/>
          <w:highlight w:val="none"/>
          <w:lang w:val="en-US" w:eastAsia="zh-CN"/>
          <w14:textFill>
            <w14:solidFill>
              <w14:schemeClr w14:val="tx1"/>
            </w14:solidFill>
          </w14:textFill>
        </w:rPr>
        <w:t>13</w:t>
      </w:r>
      <w:r>
        <w:rPr>
          <w:rFonts w:hint="default" w:ascii="Times New Roman" w:hAnsi="Times New Roman" w:cs="Times New Roman"/>
          <w:b/>
          <w:color w:val="000000" w:themeColor="text1"/>
          <w:sz w:val="32"/>
          <w:szCs w:val="32"/>
          <w:highlight w:val="none"/>
          <w:lang w:val="en-US" w:eastAsia="zh-CN"/>
          <w14:textFill>
            <w14:solidFill>
              <w14:schemeClr w14:val="tx1"/>
            </w14:solidFill>
          </w14:textFill>
        </w:rPr>
        <w:t>.</w:t>
      </w:r>
      <w:r>
        <w:rPr>
          <w:rFonts w:hint="eastAsia" w:ascii="Times New Roman" w:hAnsi="Times New Roman" w:cs="宋体"/>
          <w:b/>
          <w:bCs/>
          <w:color w:val="000000" w:themeColor="text1"/>
          <w:kern w:val="2"/>
          <w:sz w:val="32"/>
          <w:szCs w:val="32"/>
          <w:highlight w:val="none"/>
          <w:lang w:val="en-US" w:eastAsia="zh-CN" w:bidi="ar-SA"/>
          <w14:textFill>
            <w14:solidFill>
              <w14:schemeClr w14:val="tx1"/>
            </w14:solidFill>
          </w14:textFill>
        </w:rPr>
        <w:t>项目管理机构表</w:t>
      </w:r>
      <w:r>
        <w:rPr>
          <w:rFonts w:hint="eastAsia" w:ascii="Times New Roman" w:hAnsi="Times New Roman" w:eastAsia="宋体" w:cs="宋体"/>
          <w:b/>
          <w:bCs/>
          <w:color w:val="000000" w:themeColor="text1"/>
          <w:kern w:val="2"/>
          <w:sz w:val="32"/>
          <w:szCs w:val="32"/>
          <w:highlight w:val="none"/>
          <w:lang w:val="en-US" w:eastAsia="zh-CN" w:bidi="ar-SA"/>
          <w14:textFill>
            <w14:solidFill>
              <w14:schemeClr w14:val="tx1"/>
            </w14:solidFill>
          </w14:textFill>
        </w:rPr>
        <w:t>格式</w:t>
      </w:r>
    </w:p>
    <w:p w14:paraId="0326E270">
      <w:pPr>
        <w:pStyle w:val="25"/>
        <w:keepNext w:val="0"/>
        <w:keepLines w:val="0"/>
        <w:pageBreakBefore w:val="0"/>
        <w:widowControl w:val="0"/>
        <w:kinsoku/>
        <w:wordWrap/>
        <w:overflowPunct/>
        <w:topLinePunct w:val="0"/>
        <w:autoSpaceDE w:val="0"/>
        <w:autoSpaceDN w:val="0"/>
        <w:bidi w:val="0"/>
        <w:adjustRightInd/>
        <w:snapToGrid/>
        <w:spacing w:after="0" w:afterLines="150" w:line="700" w:lineRule="exact"/>
        <w:jc w:val="center"/>
        <w:textAlignment w:val="auto"/>
        <w:rPr>
          <w:rFonts w:hint="eastAsia" w:ascii="Times New Roman" w:hAnsi="Times New Roman"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cs="宋体"/>
          <w:b/>
          <w:bCs/>
          <w:color w:val="000000" w:themeColor="text1"/>
          <w:kern w:val="2"/>
          <w:sz w:val="32"/>
          <w:szCs w:val="32"/>
          <w:highlight w:val="none"/>
          <w:lang w:val="en-US" w:eastAsia="zh-CN" w:bidi="ar-SA"/>
          <w14:textFill>
            <w14:solidFill>
              <w14:schemeClr w14:val="tx1"/>
            </w14:solidFill>
          </w14:textFill>
        </w:rPr>
        <w:t>项目管理机构表</w:t>
      </w:r>
    </w:p>
    <w:p w14:paraId="6A208AEE">
      <w:pPr>
        <w:pStyle w:val="9"/>
        <w:spacing w:before="0" w:after="360" w:afterLines="150" w:line="740" w:lineRule="exact"/>
        <w:jc w:val="center"/>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t>（1）拟投入本合同工程施工的项目管理机构组成表</w:t>
      </w:r>
    </w:p>
    <w:tbl>
      <w:tblPr>
        <w:tblStyle w:val="43"/>
        <w:tblW w:w="9375" w:type="dxa"/>
        <w:jc w:val="center"/>
        <w:tblLayout w:type="fixed"/>
        <w:tblCellMar>
          <w:top w:w="0" w:type="dxa"/>
          <w:left w:w="10" w:type="dxa"/>
          <w:bottom w:w="0" w:type="dxa"/>
          <w:right w:w="10" w:type="dxa"/>
        </w:tblCellMar>
      </w:tblPr>
      <w:tblGrid>
        <w:gridCol w:w="645"/>
        <w:gridCol w:w="1110"/>
        <w:gridCol w:w="930"/>
        <w:gridCol w:w="1425"/>
        <w:gridCol w:w="780"/>
        <w:gridCol w:w="735"/>
        <w:gridCol w:w="1365"/>
        <w:gridCol w:w="1545"/>
        <w:gridCol w:w="840"/>
      </w:tblGrid>
      <w:tr w14:paraId="5112598F">
        <w:tblPrEx>
          <w:tblCellMar>
            <w:top w:w="0" w:type="dxa"/>
            <w:left w:w="10" w:type="dxa"/>
            <w:bottom w:w="0" w:type="dxa"/>
            <w:right w:w="10" w:type="dxa"/>
          </w:tblCellMar>
        </w:tblPrEx>
        <w:trPr>
          <w:trHeight w:val="1100" w:hRule="atLeast"/>
          <w:jc w:val="center"/>
        </w:trPr>
        <w:tc>
          <w:tcPr>
            <w:tcW w:w="645" w:type="dxa"/>
            <w:tcBorders>
              <w:top w:val="single" w:color="auto" w:sz="4" w:space="0"/>
              <w:left w:val="single" w:color="auto" w:sz="4" w:space="0"/>
            </w:tcBorders>
            <w:shd w:val="clear" w:color="auto" w:fill="FFFFFF"/>
            <w:noWrap w:val="0"/>
            <w:vAlign w:val="center"/>
          </w:tcPr>
          <w:p w14:paraId="388FEE59">
            <w:pPr>
              <w:pStyle w:val="124"/>
              <w:spacing w:line="430" w:lineRule="exact"/>
              <w:ind w:left="0" w:leftChars="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序号</w:t>
            </w:r>
          </w:p>
        </w:tc>
        <w:tc>
          <w:tcPr>
            <w:tcW w:w="1110" w:type="dxa"/>
            <w:tcBorders>
              <w:top w:val="single" w:color="auto" w:sz="4" w:space="0"/>
              <w:left w:val="single" w:color="auto" w:sz="4" w:space="0"/>
            </w:tcBorders>
            <w:shd w:val="clear" w:color="auto" w:fill="FFFFFF"/>
            <w:noWrap w:val="0"/>
            <w:vAlign w:val="center"/>
          </w:tcPr>
          <w:p w14:paraId="7B75006C">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姓名</w:t>
            </w:r>
          </w:p>
        </w:tc>
        <w:tc>
          <w:tcPr>
            <w:tcW w:w="930" w:type="dxa"/>
            <w:tcBorders>
              <w:top w:val="single" w:color="auto" w:sz="4" w:space="0"/>
              <w:left w:val="single" w:color="auto" w:sz="4" w:space="0"/>
            </w:tcBorders>
            <w:shd w:val="clear" w:color="auto" w:fill="FFFFFF"/>
            <w:noWrap w:val="0"/>
            <w:vAlign w:val="center"/>
          </w:tcPr>
          <w:p w14:paraId="3FAA0CD3">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性别</w:t>
            </w:r>
          </w:p>
        </w:tc>
        <w:tc>
          <w:tcPr>
            <w:tcW w:w="1425" w:type="dxa"/>
            <w:tcBorders>
              <w:top w:val="single" w:color="auto" w:sz="4" w:space="0"/>
              <w:left w:val="single" w:color="auto" w:sz="4" w:space="0"/>
            </w:tcBorders>
            <w:shd w:val="clear" w:color="auto" w:fill="FFFFFF"/>
            <w:noWrap w:val="0"/>
            <w:vAlign w:val="center"/>
          </w:tcPr>
          <w:p w14:paraId="2EB5D855">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工作岗位名称</w:t>
            </w:r>
          </w:p>
        </w:tc>
        <w:tc>
          <w:tcPr>
            <w:tcW w:w="780" w:type="dxa"/>
            <w:tcBorders>
              <w:top w:val="single" w:color="auto" w:sz="4" w:space="0"/>
              <w:left w:val="single" w:color="auto" w:sz="4" w:space="0"/>
            </w:tcBorders>
            <w:shd w:val="clear" w:color="auto" w:fill="FFFFFF"/>
            <w:noWrap w:val="0"/>
            <w:vAlign w:val="center"/>
          </w:tcPr>
          <w:p w14:paraId="4CA43826">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职称</w:t>
            </w:r>
          </w:p>
        </w:tc>
        <w:tc>
          <w:tcPr>
            <w:tcW w:w="735" w:type="dxa"/>
            <w:tcBorders>
              <w:top w:val="single" w:color="auto" w:sz="4" w:space="0"/>
              <w:left w:val="single" w:color="auto" w:sz="4" w:space="0"/>
            </w:tcBorders>
            <w:shd w:val="clear" w:color="auto" w:fill="FFFFFF"/>
            <w:noWrap w:val="0"/>
            <w:vAlign w:val="center"/>
          </w:tcPr>
          <w:p w14:paraId="157072C1">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专业</w:t>
            </w:r>
          </w:p>
        </w:tc>
        <w:tc>
          <w:tcPr>
            <w:tcW w:w="1365" w:type="dxa"/>
            <w:tcBorders>
              <w:top w:val="single" w:color="auto" w:sz="4" w:space="0"/>
              <w:left w:val="single" w:color="auto" w:sz="4" w:space="0"/>
            </w:tcBorders>
            <w:shd w:val="clear" w:color="auto" w:fill="FFFFFF"/>
            <w:noWrap w:val="0"/>
            <w:vAlign w:val="center"/>
          </w:tcPr>
          <w:p w14:paraId="4C338A7E">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相关证书名称 及编号</w:t>
            </w:r>
          </w:p>
        </w:tc>
        <w:tc>
          <w:tcPr>
            <w:tcW w:w="1545" w:type="dxa"/>
            <w:tcBorders>
              <w:top w:val="single" w:color="auto" w:sz="4" w:space="0"/>
              <w:left w:val="single" w:color="auto" w:sz="4" w:space="0"/>
            </w:tcBorders>
            <w:shd w:val="clear" w:color="auto" w:fill="FFFFFF"/>
            <w:noWrap w:val="0"/>
            <w:vAlign w:val="center"/>
          </w:tcPr>
          <w:p w14:paraId="53FADA44">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相关工作年限</w:t>
            </w:r>
          </w:p>
        </w:tc>
        <w:tc>
          <w:tcPr>
            <w:tcW w:w="840" w:type="dxa"/>
            <w:tcBorders>
              <w:top w:val="single" w:color="auto" w:sz="4" w:space="0"/>
              <w:left w:val="single" w:color="auto" w:sz="4" w:space="0"/>
              <w:right w:val="single" w:color="auto" w:sz="4" w:space="0"/>
            </w:tcBorders>
            <w:shd w:val="clear" w:color="auto" w:fill="FFFFFF"/>
            <w:noWrap w:val="0"/>
            <w:vAlign w:val="center"/>
          </w:tcPr>
          <w:p w14:paraId="637BC3B6">
            <w:pPr>
              <w:pStyle w:val="124"/>
              <w:spacing w:line="430" w:lineRule="exact"/>
              <w:ind w:firstLine="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备注</w:t>
            </w:r>
          </w:p>
        </w:tc>
      </w:tr>
      <w:tr w14:paraId="2CD22E40">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685ACDDB">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5512E28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4AEDDF5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0F852B5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318074F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09F3AD5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2AFBE07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23605B4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20660004">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3A92CB69">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4A53397B">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0A414CB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7DD647F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1249593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5DBAE96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0263A4B1">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69E4730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19E6C01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7D7D06B8">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4EA39757">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2375E0D1">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5860488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32165BEF">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0CDF44C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6AA3F6E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17108D5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2033EDD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6B05A9B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62C73F1C">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1F977CE0">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754C7288">
            <w:pPr>
              <w:pStyle w:val="124"/>
              <w:spacing w:line="430" w:lineRule="exact"/>
              <w:ind w:firstLine="0"/>
              <w:jc w:val="center"/>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2A31EC0A">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7E4611D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55C054B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005460F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0AAD9CA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242241D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69F9CDD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5953DBC5">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54C92BD0">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197675F7">
            <w:pPr>
              <w:pStyle w:val="124"/>
              <w:spacing w:line="430" w:lineRule="exact"/>
              <w:ind w:firstLine="0"/>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4664EA57">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1BFF717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4055B33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7087245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075976A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4A454CB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17033458">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566A9977">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55843185">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tcBorders>
            <w:shd w:val="clear" w:color="auto" w:fill="FFFFFF"/>
            <w:noWrap w:val="0"/>
            <w:vAlign w:val="center"/>
          </w:tcPr>
          <w:p w14:paraId="64504315">
            <w:pPr>
              <w:pStyle w:val="124"/>
              <w:spacing w:line="430" w:lineRule="exact"/>
              <w:ind w:firstLine="0"/>
              <w:rPr>
                <w:rFonts w:ascii="Times New Roman" w:hAnsi="Times New Roman" w:cs="Times New Roman"/>
                <w:color w:val="000000" w:themeColor="text1"/>
                <w:sz w:val="21"/>
                <w:szCs w:val="21"/>
                <w:highlight w:val="none"/>
                <w14:textFill>
                  <w14:solidFill>
                    <w14:schemeClr w14:val="tx1"/>
                  </w14:solidFill>
                </w14:textFill>
              </w:rPr>
            </w:pPr>
          </w:p>
        </w:tc>
        <w:tc>
          <w:tcPr>
            <w:tcW w:w="1110" w:type="dxa"/>
            <w:tcBorders>
              <w:top w:val="single" w:color="auto" w:sz="4" w:space="0"/>
              <w:left w:val="single" w:color="auto" w:sz="4" w:space="0"/>
            </w:tcBorders>
            <w:shd w:val="clear" w:color="auto" w:fill="FFFFFF"/>
            <w:noWrap w:val="0"/>
            <w:vAlign w:val="top"/>
          </w:tcPr>
          <w:p w14:paraId="134268C4">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tcBorders>
            <w:shd w:val="clear" w:color="auto" w:fill="FFFFFF"/>
            <w:noWrap w:val="0"/>
            <w:vAlign w:val="top"/>
          </w:tcPr>
          <w:p w14:paraId="4CCB953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tcBorders>
            <w:shd w:val="clear" w:color="auto" w:fill="FFFFFF"/>
            <w:noWrap w:val="0"/>
            <w:vAlign w:val="top"/>
          </w:tcPr>
          <w:p w14:paraId="3EC1645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tcBorders>
            <w:shd w:val="clear" w:color="auto" w:fill="FFFFFF"/>
            <w:noWrap w:val="0"/>
            <w:vAlign w:val="top"/>
          </w:tcPr>
          <w:p w14:paraId="016680D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tcBorders>
            <w:shd w:val="clear" w:color="auto" w:fill="FFFFFF"/>
            <w:noWrap w:val="0"/>
            <w:vAlign w:val="top"/>
          </w:tcPr>
          <w:p w14:paraId="77F3C656">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tcBorders>
            <w:shd w:val="clear" w:color="auto" w:fill="FFFFFF"/>
            <w:noWrap w:val="0"/>
            <w:vAlign w:val="top"/>
          </w:tcPr>
          <w:p w14:paraId="36EF7DD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tcBorders>
            <w:shd w:val="clear" w:color="auto" w:fill="FFFFFF"/>
            <w:noWrap w:val="0"/>
            <w:vAlign w:val="top"/>
          </w:tcPr>
          <w:p w14:paraId="4BBD389D">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right w:val="single" w:color="auto" w:sz="4" w:space="0"/>
            </w:tcBorders>
            <w:shd w:val="clear" w:color="auto" w:fill="FFFFFF"/>
            <w:noWrap w:val="0"/>
            <w:vAlign w:val="top"/>
          </w:tcPr>
          <w:p w14:paraId="6A1FF391">
            <w:pPr>
              <w:spacing w:line="430" w:lineRule="exact"/>
              <w:rPr>
                <w:rFonts w:ascii="Times New Roman" w:hAnsi="Times New Roman" w:eastAsia="宋体"/>
                <w:color w:val="000000" w:themeColor="text1"/>
                <w:szCs w:val="21"/>
                <w:highlight w:val="none"/>
                <w14:textFill>
                  <w14:solidFill>
                    <w14:schemeClr w14:val="tx1"/>
                  </w14:solidFill>
                </w14:textFill>
              </w:rPr>
            </w:pPr>
          </w:p>
        </w:tc>
      </w:tr>
      <w:tr w14:paraId="239E3B47">
        <w:tblPrEx>
          <w:tblCellMar>
            <w:top w:w="0" w:type="dxa"/>
            <w:left w:w="10" w:type="dxa"/>
            <w:bottom w:w="0" w:type="dxa"/>
            <w:right w:w="10" w:type="dxa"/>
          </w:tblCellMar>
        </w:tblPrEx>
        <w:trPr>
          <w:trHeight w:val="850" w:hRule="atLeast"/>
          <w:jc w:val="center"/>
        </w:trPr>
        <w:tc>
          <w:tcPr>
            <w:tcW w:w="645" w:type="dxa"/>
            <w:tcBorders>
              <w:top w:val="single" w:color="auto" w:sz="4" w:space="0"/>
              <w:left w:val="single" w:color="auto" w:sz="4" w:space="0"/>
              <w:bottom w:val="single" w:color="auto" w:sz="4" w:space="0"/>
            </w:tcBorders>
            <w:shd w:val="clear" w:color="auto" w:fill="FFFFFF"/>
            <w:noWrap w:val="0"/>
            <w:vAlign w:val="top"/>
          </w:tcPr>
          <w:p w14:paraId="4A2735E2">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110" w:type="dxa"/>
            <w:tcBorders>
              <w:top w:val="single" w:color="auto" w:sz="4" w:space="0"/>
              <w:left w:val="single" w:color="auto" w:sz="4" w:space="0"/>
              <w:bottom w:val="single" w:color="auto" w:sz="4" w:space="0"/>
            </w:tcBorders>
            <w:shd w:val="clear" w:color="auto" w:fill="FFFFFF"/>
            <w:noWrap w:val="0"/>
            <w:vAlign w:val="top"/>
          </w:tcPr>
          <w:p w14:paraId="302FCBA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930" w:type="dxa"/>
            <w:tcBorders>
              <w:top w:val="single" w:color="auto" w:sz="4" w:space="0"/>
              <w:left w:val="single" w:color="auto" w:sz="4" w:space="0"/>
              <w:bottom w:val="single" w:color="auto" w:sz="4" w:space="0"/>
            </w:tcBorders>
            <w:shd w:val="clear" w:color="auto" w:fill="FFFFFF"/>
            <w:noWrap w:val="0"/>
            <w:vAlign w:val="top"/>
          </w:tcPr>
          <w:p w14:paraId="56BD550B">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425" w:type="dxa"/>
            <w:tcBorders>
              <w:top w:val="single" w:color="auto" w:sz="4" w:space="0"/>
              <w:left w:val="single" w:color="auto" w:sz="4" w:space="0"/>
              <w:bottom w:val="single" w:color="auto" w:sz="4" w:space="0"/>
            </w:tcBorders>
            <w:shd w:val="clear" w:color="auto" w:fill="FFFFFF"/>
            <w:noWrap w:val="0"/>
            <w:vAlign w:val="top"/>
          </w:tcPr>
          <w:p w14:paraId="7CB98F99">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tcBorders>
            <w:shd w:val="clear" w:color="auto" w:fill="FFFFFF"/>
            <w:noWrap w:val="0"/>
            <w:vAlign w:val="top"/>
          </w:tcPr>
          <w:p w14:paraId="3C569FB0">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735" w:type="dxa"/>
            <w:tcBorders>
              <w:top w:val="single" w:color="auto" w:sz="4" w:space="0"/>
              <w:left w:val="single" w:color="auto" w:sz="4" w:space="0"/>
              <w:bottom w:val="single" w:color="auto" w:sz="4" w:space="0"/>
            </w:tcBorders>
            <w:shd w:val="clear" w:color="auto" w:fill="FFFFFF"/>
            <w:noWrap w:val="0"/>
            <w:vAlign w:val="top"/>
          </w:tcPr>
          <w:p w14:paraId="7D596FA3">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365" w:type="dxa"/>
            <w:tcBorders>
              <w:top w:val="single" w:color="auto" w:sz="4" w:space="0"/>
              <w:left w:val="single" w:color="auto" w:sz="4" w:space="0"/>
              <w:bottom w:val="single" w:color="auto" w:sz="4" w:space="0"/>
            </w:tcBorders>
            <w:shd w:val="clear" w:color="auto" w:fill="FFFFFF"/>
            <w:noWrap w:val="0"/>
            <w:vAlign w:val="top"/>
          </w:tcPr>
          <w:p w14:paraId="00AC9485">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1545" w:type="dxa"/>
            <w:tcBorders>
              <w:top w:val="single" w:color="auto" w:sz="4" w:space="0"/>
              <w:left w:val="single" w:color="auto" w:sz="4" w:space="0"/>
              <w:bottom w:val="single" w:color="auto" w:sz="4" w:space="0"/>
            </w:tcBorders>
            <w:shd w:val="clear" w:color="auto" w:fill="FFFFFF"/>
            <w:noWrap w:val="0"/>
            <w:vAlign w:val="top"/>
          </w:tcPr>
          <w:p w14:paraId="1912BD0C">
            <w:pPr>
              <w:spacing w:line="430" w:lineRule="exact"/>
              <w:rPr>
                <w:rFonts w:ascii="Times New Roman" w:hAnsi="Times New Roman" w:eastAsia="宋体"/>
                <w:color w:val="000000" w:themeColor="text1"/>
                <w:szCs w:val="21"/>
                <w:highlight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12B7651">
            <w:pPr>
              <w:spacing w:line="430" w:lineRule="exact"/>
              <w:rPr>
                <w:rFonts w:ascii="Times New Roman" w:hAnsi="Times New Roman" w:eastAsia="宋体"/>
                <w:color w:val="000000" w:themeColor="text1"/>
                <w:szCs w:val="21"/>
                <w:highlight w:val="none"/>
                <w14:textFill>
                  <w14:solidFill>
                    <w14:schemeClr w14:val="tx1"/>
                  </w14:solidFill>
                </w14:textFill>
              </w:rPr>
            </w:pPr>
          </w:p>
        </w:tc>
      </w:tr>
    </w:tbl>
    <w:p w14:paraId="575FA129">
      <w:pPr>
        <w:spacing w:after="299" w:line="1" w:lineRule="exact"/>
        <w:rPr>
          <w:color w:val="000000" w:themeColor="text1"/>
          <w:highlight w:val="none"/>
          <w14:textFill>
            <w14:solidFill>
              <w14:schemeClr w14:val="tx1"/>
            </w14:solidFill>
          </w14:textFill>
        </w:rPr>
      </w:pPr>
    </w:p>
    <w:p w14:paraId="64DD34A8">
      <w:pPr>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br w:type="page"/>
      </w:r>
    </w:p>
    <w:p w14:paraId="3086FF2B">
      <w:pPr>
        <w:pStyle w:val="9"/>
        <w:keepNext w:val="0"/>
        <w:keepLines w:val="0"/>
        <w:pageBreakBefore w:val="0"/>
        <w:widowControl w:val="0"/>
        <w:kinsoku/>
        <w:wordWrap/>
        <w:overflowPunct/>
        <w:topLinePunct w:val="0"/>
        <w:autoSpaceDE w:val="0"/>
        <w:autoSpaceDN w:val="0"/>
        <w:bidi w:val="0"/>
        <w:adjustRightInd/>
        <w:snapToGrid/>
        <w:spacing w:before="0" w:after="0" w:afterLines="200" w:line="740" w:lineRule="exact"/>
        <w:ind w:left="204" w:right="244"/>
        <w:jc w:val="center"/>
        <w:textAlignment w:val="auto"/>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t>（2）拟投入本合同工程施工的主要人员简历表</w:t>
      </w:r>
    </w:p>
    <w:tbl>
      <w:tblPr>
        <w:tblStyle w:val="43"/>
        <w:tblW w:w="958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545"/>
        <w:gridCol w:w="1320"/>
        <w:gridCol w:w="1335"/>
        <w:gridCol w:w="1995"/>
        <w:gridCol w:w="1290"/>
      </w:tblGrid>
      <w:tr w14:paraId="6993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00" w:type="dxa"/>
            <w:noWrap w:val="0"/>
            <w:vAlign w:val="center"/>
          </w:tcPr>
          <w:p w14:paraId="53D1CFA3">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姓名</w:t>
            </w:r>
          </w:p>
        </w:tc>
        <w:tc>
          <w:tcPr>
            <w:tcW w:w="1545" w:type="dxa"/>
            <w:noWrap w:val="0"/>
            <w:vAlign w:val="center"/>
          </w:tcPr>
          <w:p w14:paraId="2CE8F85D">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20" w:type="dxa"/>
            <w:noWrap w:val="0"/>
            <w:vAlign w:val="center"/>
          </w:tcPr>
          <w:p w14:paraId="11426C51">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性别</w:t>
            </w:r>
          </w:p>
        </w:tc>
        <w:tc>
          <w:tcPr>
            <w:tcW w:w="1335" w:type="dxa"/>
            <w:noWrap w:val="0"/>
            <w:vAlign w:val="center"/>
          </w:tcPr>
          <w:p w14:paraId="157B0145">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5" w:type="dxa"/>
            <w:noWrap w:val="0"/>
            <w:vAlign w:val="center"/>
          </w:tcPr>
          <w:p w14:paraId="533C3879">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出生年月（</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 xml:space="preserve"> 岁</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1290" w:type="dxa"/>
            <w:noWrap w:val="0"/>
            <w:vAlign w:val="top"/>
          </w:tcPr>
          <w:p w14:paraId="0CB6EBAD">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389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00" w:type="dxa"/>
            <w:noWrap w:val="0"/>
            <w:vAlign w:val="center"/>
          </w:tcPr>
          <w:p w14:paraId="7CBF3557">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职务</w:t>
            </w:r>
          </w:p>
        </w:tc>
        <w:tc>
          <w:tcPr>
            <w:tcW w:w="1545" w:type="dxa"/>
            <w:noWrap w:val="0"/>
            <w:vAlign w:val="center"/>
          </w:tcPr>
          <w:p w14:paraId="1D0F9598">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20" w:type="dxa"/>
            <w:noWrap w:val="0"/>
            <w:vAlign w:val="center"/>
          </w:tcPr>
          <w:p w14:paraId="269B3F89">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职称</w:t>
            </w:r>
          </w:p>
        </w:tc>
        <w:tc>
          <w:tcPr>
            <w:tcW w:w="1335" w:type="dxa"/>
            <w:noWrap w:val="0"/>
            <w:vAlign w:val="center"/>
          </w:tcPr>
          <w:p w14:paraId="0FB91AEA">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5" w:type="dxa"/>
            <w:noWrap w:val="0"/>
            <w:vAlign w:val="center"/>
          </w:tcPr>
          <w:p w14:paraId="1D7A9D70">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学历</w:t>
            </w:r>
          </w:p>
        </w:tc>
        <w:tc>
          <w:tcPr>
            <w:tcW w:w="1290" w:type="dxa"/>
            <w:noWrap w:val="0"/>
            <w:vAlign w:val="top"/>
          </w:tcPr>
          <w:p w14:paraId="21737987">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E42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00" w:type="dxa"/>
            <w:noWrap w:val="0"/>
            <w:vAlign w:val="top"/>
          </w:tcPr>
          <w:p w14:paraId="40831548">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职执业或职业资格证书名称及编号</w:t>
            </w:r>
          </w:p>
        </w:tc>
        <w:tc>
          <w:tcPr>
            <w:tcW w:w="4200" w:type="dxa"/>
            <w:gridSpan w:val="3"/>
            <w:noWrap w:val="0"/>
            <w:vAlign w:val="top"/>
          </w:tcPr>
          <w:p w14:paraId="1E05B1CD">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5" w:type="dxa"/>
            <w:noWrap w:val="0"/>
            <w:vAlign w:val="center"/>
          </w:tcPr>
          <w:p w14:paraId="65A3EC36">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拟在本合同任职</w:t>
            </w:r>
          </w:p>
        </w:tc>
        <w:tc>
          <w:tcPr>
            <w:tcW w:w="1290" w:type="dxa"/>
            <w:noWrap w:val="0"/>
            <w:vAlign w:val="top"/>
          </w:tcPr>
          <w:p w14:paraId="62FCDB59">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F26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00" w:type="dxa"/>
            <w:noWrap w:val="0"/>
            <w:vAlign w:val="top"/>
          </w:tcPr>
          <w:p w14:paraId="1C8D93AC">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安全生产考核合格</w:t>
            </w:r>
          </w:p>
          <w:p w14:paraId="02B5179F">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证书</w:t>
            </w:r>
          </w:p>
        </w:tc>
        <w:tc>
          <w:tcPr>
            <w:tcW w:w="4200" w:type="dxa"/>
            <w:gridSpan w:val="3"/>
            <w:noWrap w:val="0"/>
            <w:vAlign w:val="top"/>
          </w:tcPr>
          <w:p w14:paraId="644631FD">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995" w:type="dxa"/>
            <w:noWrap w:val="0"/>
            <w:vAlign w:val="top"/>
          </w:tcPr>
          <w:p w14:paraId="7FEF9C69">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担任本职工作</w:t>
            </w:r>
          </w:p>
          <w:p w14:paraId="67ED5010">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年限</w:t>
            </w:r>
          </w:p>
        </w:tc>
        <w:tc>
          <w:tcPr>
            <w:tcW w:w="1290" w:type="dxa"/>
            <w:noWrap w:val="0"/>
            <w:vAlign w:val="top"/>
          </w:tcPr>
          <w:p w14:paraId="5241044E">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7A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00" w:type="dxa"/>
            <w:noWrap w:val="0"/>
            <w:vAlign w:val="center"/>
          </w:tcPr>
          <w:p w14:paraId="5DCF26FF">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毕业学校</w:t>
            </w:r>
          </w:p>
        </w:tc>
        <w:tc>
          <w:tcPr>
            <w:tcW w:w="7485" w:type="dxa"/>
            <w:gridSpan w:val="5"/>
            <w:noWrap w:val="0"/>
            <w:vAlign w:val="center"/>
          </w:tcPr>
          <w:p w14:paraId="6265BE43">
            <w:pPr>
              <w:pStyle w:val="105"/>
              <w:keepNext w:val="0"/>
              <w:keepLines w:val="0"/>
              <w:pageBreakBefore w:val="0"/>
              <w:widowControl w:val="0"/>
              <w:tabs>
                <w:tab w:val="left" w:pos="6882"/>
                <w:tab w:val="left" w:pos="7510"/>
              </w:tabs>
              <w:kinsoku/>
              <w:wordWrap/>
              <w:overflowPunct/>
              <w:topLinePunct w:val="0"/>
              <w:autoSpaceDE w:val="0"/>
              <w:autoSpaceDN w:val="0"/>
              <w:bidi w:val="0"/>
              <w:adjustRightInd/>
              <w:snapToGrid/>
              <w:spacing w:line="45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月毕业于         学校       专业</w:t>
            </w:r>
          </w:p>
        </w:tc>
      </w:tr>
    </w:tbl>
    <w:p w14:paraId="0B36FA64">
      <w:pPr>
        <w:rPr>
          <w:b/>
          <w:color w:val="000000" w:themeColor="text1"/>
          <w:sz w:val="28"/>
          <w:szCs w:val="28"/>
          <w:highlight w:val="none"/>
          <w14:textFill>
            <w14:solidFill>
              <w14:schemeClr w14:val="tx1"/>
            </w14:solidFill>
          </w14:textFill>
        </w:rPr>
      </w:pPr>
      <w:r>
        <w:rPr>
          <w:color w:val="000000" w:themeColor="text1"/>
          <w:szCs w:val="32"/>
          <w:highlight w:val="none"/>
          <w:lang w:eastAsia="zh-CN"/>
          <w14:textFill>
            <w14:solidFill>
              <w14:schemeClr w14:val="tx1"/>
            </w14:solidFill>
          </w14:textFill>
        </w:rPr>
        <w:br w:type="page"/>
      </w:r>
      <w:bookmarkEnd w:id="207"/>
    </w:p>
    <w:p w14:paraId="35757926">
      <w:pPr>
        <w:keepNext w:val="0"/>
        <w:keepLines w:val="0"/>
        <w:pageBreakBefore w:val="0"/>
        <w:widowControl w:val="0"/>
        <w:kinsoku/>
        <w:wordWrap/>
        <w:overflowPunct/>
        <w:topLinePunct w:val="0"/>
        <w:autoSpaceDE/>
        <w:autoSpaceDN/>
        <w:bidi w:val="0"/>
        <w:adjustRightInd/>
        <w:snapToGrid w:val="0"/>
        <w:spacing w:after="160" w:afterLines="50" w:line="700" w:lineRule="exact"/>
        <w:ind w:right="482"/>
        <w:jc w:val="both"/>
        <w:textAlignment w:val="auto"/>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四</w:t>
      </w:r>
      <w:r>
        <w:rPr>
          <w:rFonts w:hint="eastAsia" w:ascii="宋体" w:hAnsi="宋体"/>
          <w:b/>
          <w:color w:val="000000" w:themeColor="text1"/>
          <w:sz w:val="36"/>
          <w:szCs w:val="36"/>
          <w:highlight w:val="none"/>
          <w14:textFill>
            <w14:solidFill>
              <w14:schemeClr w14:val="tx1"/>
            </w14:solidFill>
          </w14:textFill>
        </w:rPr>
        <w:t>、其他文书、文件格式</w:t>
      </w:r>
    </w:p>
    <w:p w14:paraId="0089E6CC">
      <w:pPr>
        <w:keepNext w:val="0"/>
        <w:keepLines w:val="0"/>
        <w:pageBreakBefore w:val="0"/>
        <w:widowControl w:val="0"/>
        <w:kinsoku/>
        <w:wordWrap/>
        <w:overflowPunct/>
        <w:topLinePunct w:val="0"/>
        <w:autoSpaceDE/>
        <w:autoSpaceDN/>
        <w:bidi w:val="0"/>
        <w:adjustRightInd/>
        <w:snapToGrid/>
        <w:spacing w:after="478" w:afterLines="150" w:line="740" w:lineRule="exact"/>
        <w:jc w:val="center"/>
        <w:textAlignment w:val="auto"/>
        <w:rPr>
          <w:rFonts w:hint="eastAsia" w:ascii="宋体" w:hAnsi="宋体"/>
          <w:b/>
          <w:bCs/>
          <w:color w:val="000000" w:themeColor="text1"/>
          <w:sz w:val="32"/>
          <w:szCs w:val="32"/>
          <w:highlight w:val="none"/>
          <w14:textFill>
            <w14:solidFill>
              <w14:schemeClr w14:val="tx1"/>
            </w14:solidFill>
          </w14:textFill>
        </w:rPr>
      </w:pPr>
      <w:r>
        <w:rPr>
          <w:rFonts w:hint="eastAsia"/>
          <w:b/>
          <w:bCs/>
          <w:color w:val="000000" w:themeColor="text1"/>
          <w:kern w:val="44"/>
          <w:sz w:val="32"/>
          <w:szCs w:val="32"/>
          <w:highlight w:val="none"/>
          <w14:textFill>
            <w14:solidFill>
              <w14:schemeClr w14:val="tx1"/>
            </w14:solidFill>
          </w14:textFill>
        </w:rPr>
        <w:t>质疑函（格式）</w:t>
      </w:r>
    </w:p>
    <w:p w14:paraId="12696198">
      <w:pPr>
        <w:pStyle w:val="25"/>
        <w:keepNext w:val="0"/>
        <w:keepLines w:val="0"/>
        <w:pageBreakBefore w:val="0"/>
        <w:widowControl w:val="0"/>
        <w:kinsoku/>
        <w:wordWrap/>
        <w:overflowPunct/>
        <w:topLinePunct w:val="0"/>
        <w:autoSpaceDE/>
        <w:autoSpaceDN/>
        <w:bidi w:val="0"/>
        <w:adjustRightInd/>
        <w:snapToGrid/>
        <w:spacing w:line="450" w:lineRule="exact"/>
        <w:ind w:firstLine="422" w:firstLineChars="200"/>
        <w:contextualSpacing/>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一、质疑供应商基本信息：</w:t>
      </w:r>
    </w:p>
    <w:p w14:paraId="335A432E">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u w:val="singl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质疑供应商：</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 xml:space="preserve">                 </w:t>
      </w:r>
    </w:p>
    <w:p w14:paraId="5528DD42">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地址：</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邮编：</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 xml:space="preserve">                 </w:t>
      </w:r>
    </w:p>
    <w:p w14:paraId="62B4994A">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联系人：</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联系电话：</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2C079EEE">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授权代表：</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30384501">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u w:val="singl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联系电话：</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6FDC03E9">
      <w:pPr>
        <w:pStyle w:val="25"/>
        <w:keepNext w:val="0"/>
        <w:keepLines w:val="0"/>
        <w:pageBreakBefore w:val="0"/>
        <w:widowControl w:val="0"/>
        <w:kinsoku/>
        <w:wordWrap/>
        <w:overflowPunct/>
        <w:topLinePunct w:val="0"/>
        <w:autoSpaceDE/>
        <w:autoSpaceDN/>
        <w:bidi w:val="0"/>
        <w:adjustRightInd/>
        <w:snapToGrid/>
        <w:spacing w:line="450" w:lineRule="exact"/>
        <w:ind w:firstLine="420" w:firstLineChars="200"/>
        <w:contextualSpacing/>
        <w:textAlignment w:val="auto"/>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地址：</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邮编：</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14:textFill>
            <w14:solidFill>
              <w14:schemeClr w14:val="tx1"/>
            </w14:solidFill>
          </w14:textFill>
        </w:rPr>
        <w:t xml:space="preserve">     </w:t>
      </w:r>
    </w:p>
    <w:p w14:paraId="3B5186B9">
      <w:pPr>
        <w:pStyle w:val="25"/>
        <w:keepNext w:val="0"/>
        <w:keepLines w:val="0"/>
        <w:pageBreakBefore w:val="0"/>
        <w:widowControl w:val="0"/>
        <w:kinsoku/>
        <w:wordWrap/>
        <w:overflowPunct/>
        <w:topLinePunct w:val="0"/>
        <w:autoSpaceDE/>
        <w:autoSpaceDN/>
        <w:bidi w:val="0"/>
        <w:adjustRightInd/>
        <w:snapToGrid/>
        <w:spacing w:line="450" w:lineRule="exact"/>
        <w:ind w:firstLine="422" w:firstLineChars="200"/>
        <w:contextualSpacing/>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二、质疑项目基本情况：</w:t>
      </w:r>
    </w:p>
    <w:p w14:paraId="3D543856">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质疑</w:t>
      </w:r>
      <w:r>
        <w:rPr>
          <w:rFonts w:hint="default" w:ascii="Times New Roman" w:hAnsi="Times New Roman" w:cs="Times New Roman"/>
          <w:color w:val="000000" w:themeColor="text1"/>
          <w:sz w:val="21"/>
          <w:szCs w:val="21"/>
          <w:highlight w:val="none"/>
          <w14:textFill>
            <w14:solidFill>
              <w14:schemeClr w14:val="tx1"/>
            </w14:solidFill>
          </w14:textFill>
        </w:rPr>
        <w:t>项目的名称：</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4430F470">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质疑</w:t>
      </w:r>
      <w:r>
        <w:rPr>
          <w:rFonts w:hint="default" w:ascii="Times New Roman" w:hAnsi="Times New Roman" w:cs="Times New Roman"/>
          <w:color w:val="000000" w:themeColor="text1"/>
          <w:sz w:val="21"/>
          <w:szCs w:val="21"/>
          <w:highlight w:val="none"/>
          <w14:textFill>
            <w14:solidFill>
              <w14:schemeClr w14:val="tx1"/>
            </w14:solidFill>
          </w14:textFill>
        </w:rPr>
        <w:t>项目的编号：</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1BFBFB97">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采购人名称：</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1859D893">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质疑事项：</w:t>
      </w:r>
    </w:p>
    <w:p w14:paraId="61684A3E">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308" w:firstLineChars="14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cs="Times New Roman"/>
          <w:color w:val="000000" w:themeColor="text1"/>
          <w:sz w:val="21"/>
          <w:szCs w:val="21"/>
          <w:highlight w:val="none"/>
          <w14:textFill>
            <w14:solidFill>
              <w14:schemeClr w14:val="tx1"/>
            </w14:solidFill>
          </w14:textFill>
        </w:rPr>
        <w:t>获取日期：</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60B5305E">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308" w:firstLineChars="14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 xml:space="preserve">采购过程   </w:t>
      </w:r>
    </w:p>
    <w:p w14:paraId="01756D51">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308" w:firstLineChars="147"/>
        <w:contextualSpacing/>
        <w:textAlignment w:val="auto"/>
        <w:rPr>
          <w:rFonts w:hint="default" w:ascii="Times New Roman" w:hAnsi="Times New Roman" w:cs="Times New Roman"/>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 xml:space="preserve">成交结果   </w:t>
      </w:r>
    </w:p>
    <w:p w14:paraId="4BEE17C6">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6"/>
        <w:contextualSpacing/>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三、质疑事项具体内容</w:t>
      </w:r>
    </w:p>
    <w:p w14:paraId="335F1976">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质疑事项1：</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62EB1E49">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事实依据：</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60677712">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法律依据：</w:t>
      </w:r>
      <w:r>
        <w:rPr>
          <w:rFonts w:hint="default"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0952338D">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质疑事项2</w:t>
      </w:r>
    </w:p>
    <w:p w14:paraId="6CB23B77">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p w14:paraId="03915F66">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四、与质疑事项相关的质疑请求：</w:t>
      </w:r>
    </w:p>
    <w:p w14:paraId="1BC332DB">
      <w:pPr>
        <w:pStyle w:val="25"/>
        <w:keepNext w:val="0"/>
        <w:keepLines w:val="0"/>
        <w:pageBreakBefore w:val="0"/>
        <w:widowControl w:val="0"/>
        <w:kinsoku/>
        <w:wordWrap/>
        <w:overflowPunct/>
        <w:topLinePunct w:val="0"/>
        <w:autoSpaceDE/>
        <w:autoSpaceDN/>
        <w:bidi w:val="0"/>
        <w:adjustRightInd/>
        <w:snapToGrid/>
        <w:spacing w:line="450" w:lineRule="exact"/>
        <w:ind w:left="26" w:leftChars="12" w:firstLine="413" w:firstLineChars="197"/>
        <w:contextualSpacing/>
        <w:textAlignment w:val="auto"/>
        <w:rPr>
          <w:rFonts w:hint="eastAsia" w:hAnsi="宋体"/>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请求：</w:t>
      </w:r>
      <w:r>
        <w:rPr>
          <w:rFonts w:hint="default" w:ascii="Times New Roman" w:hAnsi="Times New Roman" w:cs="Times New Roman"/>
          <w:bCs/>
          <w:color w:val="000000" w:themeColor="text1"/>
          <w:sz w:val="21"/>
          <w:szCs w:val="21"/>
          <w:highlight w:val="none"/>
          <w:u w:val="single"/>
          <w14:textFill>
            <w14:solidFill>
              <w14:schemeClr w14:val="tx1"/>
            </w14:solidFill>
          </w14:textFill>
        </w:rPr>
        <w:t xml:space="preserve">                                                                </w:t>
      </w:r>
    </w:p>
    <w:p w14:paraId="666DD2CC">
      <w:pPr>
        <w:pStyle w:val="25"/>
        <w:keepNext w:val="0"/>
        <w:keepLines w:val="0"/>
        <w:pageBreakBefore w:val="0"/>
        <w:widowControl w:val="0"/>
        <w:kinsoku/>
        <w:wordWrap/>
        <w:overflowPunct/>
        <w:topLinePunct w:val="0"/>
        <w:autoSpaceDE/>
        <w:autoSpaceDN/>
        <w:bidi w:val="0"/>
        <w:adjustRightInd/>
        <w:snapToGrid/>
        <w:spacing w:line="370" w:lineRule="exact"/>
        <w:ind w:left="26" w:leftChars="12" w:firstLine="308" w:firstLineChars="147"/>
        <w:contextualSpacing/>
        <w:textAlignment w:val="auto"/>
        <w:rPr>
          <w:rFonts w:hint="eastAsia" w:hAnsi="宋体"/>
          <w:color w:val="000000" w:themeColor="text1"/>
          <w:sz w:val="21"/>
          <w:szCs w:val="21"/>
          <w:highlight w:val="none"/>
          <w14:textFill>
            <w14:solidFill>
              <w14:schemeClr w14:val="tx1"/>
            </w14:solidFill>
          </w14:textFill>
        </w:rPr>
      </w:pPr>
    </w:p>
    <w:p w14:paraId="2B251233">
      <w:pPr>
        <w:pStyle w:val="25"/>
        <w:keepNext w:val="0"/>
        <w:keepLines w:val="0"/>
        <w:pageBreakBefore w:val="0"/>
        <w:widowControl w:val="0"/>
        <w:kinsoku/>
        <w:wordWrap/>
        <w:overflowPunct/>
        <w:topLinePunct w:val="0"/>
        <w:autoSpaceDE/>
        <w:autoSpaceDN/>
        <w:bidi w:val="0"/>
        <w:adjustRightInd/>
        <w:snapToGrid/>
        <w:spacing w:line="660" w:lineRule="exact"/>
        <w:ind w:left="26" w:leftChars="12" w:firstLine="413" w:firstLineChars="197"/>
        <w:contextualSpacing/>
        <w:textAlignment w:val="auto"/>
        <w:rPr>
          <w:rFonts w:ascii="Times New Roman" w:hAnsi="Times New Roman"/>
          <w:color w:val="000000" w:themeColor="text1"/>
          <w:sz w:val="21"/>
          <w:highlight w:val="none"/>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签字</w:t>
      </w:r>
      <w:r>
        <w:rPr>
          <w:rFonts w:hint="eastAsia" w:ascii="Times New Roman" w:hAnsi="Times New Roman"/>
          <w:color w:val="000000" w:themeColor="text1"/>
          <w:sz w:val="21"/>
          <w:highlight w:val="none"/>
          <w:lang w:eastAsia="zh-CN"/>
          <w14:textFill>
            <w14:solidFill>
              <w14:schemeClr w14:val="tx1"/>
            </w14:solidFill>
          </w14:textFill>
        </w:rPr>
        <w:t>或</w:t>
      </w:r>
      <w:r>
        <w:rPr>
          <w:rFonts w:ascii="Times New Roman" w:hAnsi="Times New Roman"/>
          <w:color w:val="000000" w:themeColor="text1"/>
          <w:sz w:val="21"/>
          <w:highlight w:val="none"/>
          <w14:textFill>
            <w14:solidFill>
              <w14:schemeClr w14:val="tx1"/>
            </w14:solidFill>
          </w14:textFill>
        </w:rPr>
        <w:t>签章：                                    公章：</w:t>
      </w:r>
    </w:p>
    <w:p w14:paraId="78AD6CC4">
      <w:pPr>
        <w:pStyle w:val="25"/>
        <w:keepNext w:val="0"/>
        <w:keepLines w:val="0"/>
        <w:pageBreakBefore w:val="0"/>
        <w:widowControl w:val="0"/>
        <w:kinsoku/>
        <w:wordWrap/>
        <w:overflowPunct/>
        <w:topLinePunct w:val="0"/>
        <w:autoSpaceDE/>
        <w:autoSpaceDN/>
        <w:bidi w:val="0"/>
        <w:adjustRightInd/>
        <w:snapToGrid/>
        <w:spacing w:line="660" w:lineRule="exact"/>
        <w:ind w:left="26" w:leftChars="12" w:firstLine="413" w:firstLineChars="197"/>
        <w:contextualSpacing/>
        <w:textAlignment w:val="auto"/>
        <w:rPr>
          <w:rFonts w:hint="eastAsia" w:hAnsi="宋体"/>
          <w:b/>
          <w:color w:val="000000" w:themeColor="text1"/>
          <w:sz w:val="24"/>
          <w:szCs w:val="24"/>
          <w:highlight w:val="none"/>
          <w:lang w:eastAsia="zh-CN"/>
          <w14:textFill>
            <w14:solidFill>
              <w14:schemeClr w14:val="tx1"/>
            </w14:solidFill>
          </w14:textFill>
        </w:rPr>
      </w:pPr>
      <w:r>
        <w:rPr>
          <w:rFonts w:ascii="Times New Roman" w:hAnsi="Times New Roman"/>
          <w:color w:val="000000" w:themeColor="text1"/>
          <w:sz w:val="21"/>
          <w:highlight w:val="none"/>
          <w14:textFill>
            <w14:solidFill>
              <w14:schemeClr w14:val="tx1"/>
            </w14:solidFill>
          </w14:textFill>
        </w:rPr>
        <w:t>日期：</w:t>
      </w:r>
      <w:r>
        <w:rPr>
          <w:rFonts w:hint="eastAsia" w:ascii="Times New Roman" w:hAnsi="Times New Roman"/>
          <w:color w:val="000000" w:themeColor="text1"/>
          <w:sz w:val="21"/>
          <w:highlight w:val="none"/>
          <w14:textFill>
            <w14:solidFill>
              <w14:schemeClr w14:val="tx1"/>
            </w14:solidFill>
          </w14:textFill>
        </w:rPr>
        <w:t xml:space="preserve">   年   月  日</w:t>
      </w:r>
    </w:p>
    <w:p w14:paraId="1F20E404">
      <w:pPr>
        <w:pStyle w:val="25"/>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说明：</w:t>
      </w:r>
    </w:p>
    <w:p w14:paraId="4D556F94">
      <w:pPr>
        <w:pStyle w:val="25"/>
        <w:keepNext w:val="0"/>
        <w:keepLines w:val="0"/>
        <w:pageBreakBefore w:val="0"/>
        <w:widowControl w:val="0"/>
        <w:kinsoku/>
        <w:wordWrap/>
        <w:overflowPunct/>
        <w:topLinePunct w:val="0"/>
        <w:autoSpaceDE/>
        <w:autoSpaceDN/>
        <w:bidi w:val="0"/>
        <w:adjustRightInd/>
        <w:snapToGrid/>
        <w:spacing w:line="500" w:lineRule="exact"/>
        <w:ind w:left="26" w:leftChars="12" w:firstLine="310" w:firstLineChars="147"/>
        <w:contextualSpacing/>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1.供应商提出质疑时，应提交质疑函和必要的证明材料</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w:t>
      </w:r>
    </w:p>
    <w:p w14:paraId="72F11DEF">
      <w:pPr>
        <w:pStyle w:val="25"/>
        <w:keepNext w:val="0"/>
        <w:keepLines w:val="0"/>
        <w:pageBreakBefore w:val="0"/>
        <w:widowControl w:val="0"/>
        <w:kinsoku/>
        <w:wordWrap/>
        <w:overflowPunct/>
        <w:topLinePunct w:val="0"/>
        <w:autoSpaceDE/>
        <w:autoSpaceDN/>
        <w:bidi w:val="0"/>
        <w:adjustRightInd/>
        <w:snapToGrid/>
        <w:spacing w:line="500" w:lineRule="exact"/>
        <w:ind w:left="26" w:leftChars="12" w:firstLine="310" w:firstLineChars="147"/>
        <w:contextualSpacing/>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8F16A">
      <w:pPr>
        <w:pStyle w:val="25"/>
        <w:keepNext w:val="0"/>
        <w:keepLines w:val="0"/>
        <w:pageBreakBefore w:val="0"/>
        <w:widowControl w:val="0"/>
        <w:kinsoku/>
        <w:wordWrap/>
        <w:overflowPunct/>
        <w:topLinePunct w:val="0"/>
        <w:autoSpaceDE/>
        <w:autoSpaceDN/>
        <w:bidi w:val="0"/>
        <w:adjustRightInd/>
        <w:snapToGrid/>
        <w:spacing w:line="500" w:lineRule="exact"/>
        <w:ind w:left="26" w:leftChars="12" w:firstLine="310" w:firstLineChars="147"/>
        <w:contextualSpacing/>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3.质疑函的质疑事项应具体、明确，并有必要的事实依据和法律依据。</w:t>
      </w:r>
    </w:p>
    <w:p w14:paraId="6783B728">
      <w:pPr>
        <w:pStyle w:val="25"/>
        <w:keepNext w:val="0"/>
        <w:keepLines w:val="0"/>
        <w:pageBreakBefore w:val="0"/>
        <w:widowControl w:val="0"/>
        <w:kinsoku/>
        <w:wordWrap/>
        <w:overflowPunct/>
        <w:topLinePunct w:val="0"/>
        <w:autoSpaceDE/>
        <w:autoSpaceDN/>
        <w:bidi w:val="0"/>
        <w:adjustRightInd/>
        <w:snapToGrid/>
        <w:spacing w:line="500" w:lineRule="exact"/>
        <w:ind w:left="26" w:leftChars="12" w:firstLine="310" w:firstLineChars="147"/>
        <w:contextualSpacing/>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4.质疑函的质疑请求应与质疑事项相关。</w:t>
      </w:r>
    </w:p>
    <w:p w14:paraId="18BEA2A9">
      <w:pPr>
        <w:pStyle w:val="25"/>
        <w:keepNext w:val="0"/>
        <w:keepLines w:val="0"/>
        <w:pageBreakBefore w:val="0"/>
        <w:widowControl w:val="0"/>
        <w:kinsoku/>
        <w:wordWrap/>
        <w:overflowPunct/>
        <w:topLinePunct w:val="0"/>
        <w:autoSpaceDE/>
        <w:autoSpaceDN/>
        <w:bidi w:val="0"/>
        <w:adjustRightInd/>
        <w:snapToGrid/>
        <w:spacing w:line="500" w:lineRule="exact"/>
        <w:ind w:left="26" w:leftChars="12" w:firstLine="310" w:firstLineChars="147"/>
        <w:contextualSpacing/>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5.质疑供应商为法人或者其他组织的，质疑函应由法定代表人、主要负责人，或者其授权代表签字或者</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签章</w:t>
      </w:r>
      <w:r>
        <w:rPr>
          <w:rFonts w:hint="default" w:ascii="Times New Roman" w:hAnsi="Times New Roman" w:eastAsia="宋体" w:cs="Times New Roman"/>
          <w:b/>
          <w:color w:val="000000" w:themeColor="text1"/>
          <w:sz w:val="21"/>
          <w:szCs w:val="21"/>
          <w:highlight w:val="none"/>
          <w14:textFill>
            <w14:solidFill>
              <w14:schemeClr w14:val="tx1"/>
            </w14:solidFill>
          </w14:textFill>
        </w:rPr>
        <w:t>，并加盖</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供应商单位</w:t>
      </w:r>
      <w:r>
        <w:rPr>
          <w:rFonts w:hint="default" w:ascii="Times New Roman" w:hAnsi="Times New Roman" w:eastAsia="宋体" w:cs="Times New Roman"/>
          <w:b/>
          <w:color w:val="000000" w:themeColor="text1"/>
          <w:sz w:val="21"/>
          <w:szCs w:val="21"/>
          <w:highlight w:val="none"/>
          <w14:textFill>
            <w14:solidFill>
              <w14:schemeClr w14:val="tx1"/>
            </w14:solidFill>
          </w14:textFill>
        </w:rPr>
        <w:t>公章。</w:t>
      </w:r>
    </w:p>
    <w:p w14:paraId="1B02DCB3">
      <w:pPr>
        <w:pStyle w:val="25"/>
        <w:keepNext w:val="0"/>
        <w:keepLines w:val="0"/>
        <w:pageBreakBefore w:val="0"/>
        <w:widowControl w:val="0"/>
        <w:kinsoku/>
        <w:wordWrap/>
        <w:overflowPunct/>
        <w:topLinePunct w:val="0"/>
        <w:autoSpaceDE/>
        <w:autoSpaceDN/>
        <w:bidi w:val="0"/>
        <w:adjustRightInd/>
        <w:snapToGrid w:val="0"/>
        <w:spacing w:line="370" w:lineRule="exact"/>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p>
    <w:p w14:paraId="3AC3743F">
      <w:pPr>
        <w:spacing w:line="460" w:lineRule="exact"/>
        <w:jc w:val="both"/>
        <w:rPr>
          <w:rFonts w:hint="eastAsia" w:eastAsia="隶书"/>
          <w:color w:val="000000" w:themeColor="text1"/>
          <w:sz w:val="44"/>
          <w:highlight w:val="none"/>
          <w14:textFill>
            <w14:solidFill>
              <w14:schemeClr w14:val="tx1"/>
            </w14:solidFill>
          </w14:textFill>
        </w:rPr>
      </w:pPr>
    </w:p>
    <w:p w14:paraId="505FC1B8">
      <w:pPr>
        <w:pStyle w:val="4"/>
        <w:rPr>
          <w:rFonts w:hint="eastAsia"/>
          <w:color w:val="000000" w:themeColor="text1"/>
          <w:highlight w:val="none"/>
          <w14:textFill>
            <w14:solidFill>
              <w14:schemeClr w14:val="tx1"/>
            </w14:solidFill>
          </w14:textFill>
        </w:rPr>
      </w:pPr>
    </w:p>
    <w:p w14:paraId="732CE3D0">
      <w:pPr>
        <w:keepNext w:val="0"/>
        <w:keepLines w:val="0"/>
        <w:pageBreakBefore w:val="0"/>
        <w:widowControl w:val="0"/>
        <w:kinsoku/>
        <w:wordWrap/>
        <w:overflowPunct/>
        <w:topLinePunct w:val="0"/>
        <w:autoSpaceDE/>
        <w:autoSpaceDN/>
        <w:bidi w:val="0"/>
        <w:adjustRightInd/>
        <w:snapToGrid/>
        <w:spacing w:after="477" w:afterLines="150" w:line="700" w:lineRule="exact"/>
        <w:jc w:val="center"/>
        <w:textAlignment w:val="auto"/>
        <w:rPr>
          <w:rFonts w:hint="eastAsia"/>
          <w:b/>
          <w:bCs/>
          <w:color w:val="000000" w:themeColor="text1"/>
          <w:kern w:val="44"/>
          <w:sz w:val="32"/>
          <w:szCs w:val="32"/>
          <w:highlight w:val="none"/>
          <w14:textFill>
            <w14:solidFill>
              <w14:schemeClr w14:val="tx1"/>
            </w14:solidFill>
          </w14:textFill>
        </w:rPr>
      </w:pPr>
      <w:r>
        <w:rPr>
          <w:rFonts w:hint="eastAsia"/>
          <w:b/>
          <w:bCs/>
          <w:color w:val="000000" w:themeColor="text1"/>
          <w:kern w:val="44"/>
          <w:sz w:val="32"/>
          <w:szCs w:val="32"/>
          <w:highlight w:val="none"/>
          <w14:textFill>
            <w14:solidFill>
              <w14:schemeClr w14:val="tx1"/>
            </w14:solidFill>
          </w14:textFill>
        </w:rPr>
        <w:br w:type="page"/>
      </w:r>
      <w:r>
        <w:rPr>
          <w:rFonts w:hint="eastAsia"/>
          <w:b/>
          <w:bCs/>
          <w:color w:val="000000" w:themeColor="text1"/>
          <w:kern w:val="44"/>
          <w:sz w:val="32"/>
          <w:szCs w:val="32"/>
          <w:highlight w:val="none"/>
          <w14:textFill>
            <w14:solidFill>
              <w14:schemeClr w14:val="tx1"/>
            </w14:solidFill>
          </w14:textFill>
        </w:rPr>
        <w:t>投诉书（格式）</w:t>
      </w:r>
    </w:p>
    <w:p w14:paraId="0680A1C5">
      <w:pPr>
        <w:pStyle w:val="25"/>
        <w:keepNext w:val="0"/>
        <w:keepLines w:val="0"/>
        <w:pageBreakBefore w:val="0"/>
        <w:widowControl w:val="0"/>
        <w:kinsoku/>
        <w:wordWrap/>
        <w:overflowPunct/>
        <w:topLinePunct w:val="0"/>
        <w:autoSpaceDE/>
        <w:autoSpaceDN/>
        <w:bidi w:val="0"/>
        <w:adjustRightInd/>
        <w:snapToGrid w:val="0"/>
        <w:spacing w:line="430" w:lineRule="exact"/>
        <w:ind w:firstLine="422" w:firstLineChars="20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一、投诉相关主体基本情况：</w:t>
      </w:r>
    </w:p>
    <w:p w14:paraId="346A666E">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供应商：</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154A6062">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地址：</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邮编：</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647E41E9">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法定代表人/主要负责人：</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40B073D0">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联系电话：</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5E0F8DB9">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授权代表：</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联系电话：</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01FB9DDB">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地址：</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5596BF02">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邮编：</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11F3F8AD">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被投诉人1：</w:t>
      </w:r>
    </w:p>
    <w:p w14:paraId="3003EFFF">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地址：</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3288CAFA">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邮编：</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7B61457D">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联系人：</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联系电话：</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5DBBB842">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被投诉人2：</w:t>
      </w:r>
    </w:p>
    <w:p w14:paraId="019D254C">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p w14:paraId="29FCC3FD">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相关供应商：</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699793A3">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地址：</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bCs/>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邮编：</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bCs/>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35A36330">
      <w:pPr>
        <w:pStyle w:val="25"/>
        <w:keepNext w:val="0"/>
        <w:keepLines w:val="0"/>
        <w:pageBreakBefore w:val="0"/>
        <w:widowControl w:val="0"/>
        <w:kinsoku/>
        <w:wordWrap/>
        <w:overflowPunct/>
        <w:topLinePunct w:val="0"/>
        <w:autoSpaceDE/>
        <w:autoSpaceDN/>
        <w:bidi w:val="0"/>
        <w:adjustRightInd/>
        <w:snapToGrid w:val="0"/>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联系人：</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联系电话：</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06A10036">
      <w:pPr>
        <w:pStyle w:val="25"/>
        <w:keepNext w:val="0"/>
        <w:keepLines w:val="0"/>
        <w:pageBreakBefore w:val="0"/>
        <w:widowControl w:val="0"/>
        <w:kinsoku/>
        <w:wordWrap/>
        <w:overflowPunct/>
        <w:topLinePunct w:val="0"/>
        <w:autoSpaceDE/>
        <w:autoSpaceDN/>
        <w:bidi w:val="0"/>
        <w:adjustRightInd/>
        <w:snapToGrid w:val="0"/>
        <w:spacing w:line="430" w:lineRule="exact"/>
        <w:ind w:firstLine="422" w:firstLineChars="20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二、投诉项目基本情况：</w:t>
      </w:r>
    </w:p>
    <w:p w14:paraId="5AAE407D">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采购</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项目的名称：</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2EFB209D">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采购</w:t>
      </w:r>
      <w:r>
        <w:rPr>
          <w:rFonts w:hint="default" w:ascii="Times New Roman" w:hAnsi="Times New Roman" w:eastAsia="宋体" w:cs="Times New Roman"/>
          <w:color w:val="000000" w:themeColor="text1"/>
          <w:sz w:val="21"/>
          <w:szCs w:val="21"/>
          <w:highlight w:val="none"/>
          <w14:textFill>
            <w14:solidFill>
              <w14:schemeClr w14:val="tx1"/>
            </w14:solidFill>
          </w14:textFill>
        </w:rPr>
        <w:t>项目的编号：</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416F7C05">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采购人名称：</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441EADCE">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代理机构名称：</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508410D9">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bCs/>
          <w:color w:val="000000" w:themeColor="text1"/>
          <w:sz w:val="21"/>
          <w:szCs w:val="21"/>
          <w:highlight w:val="none"/>
          <w14:textFill>
            <w14:solidFill>
              <w14:schemeClr w14:val="tx1"/>
            </w14:solidFill>
          </w14:textFill>
        </w:rPr>
        <w:t>公告：</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是/否</w:t>
      </w:r>
      <w:r>
        <w:rPr>
          <w:rFonts w:hint="eastAsia" w:ascii="Times New Roman" w:hAnsi="Times New Roman" w:eastAsia="宋体" w:cs="Times New Roman"/>
          <w:bCs/>
          <w:color w:val="000000" w:themeColor="text1"/>
          <w:sz w:val="21"/>
          <w:szCs w:val="21"/>
          <w:highlight w:val="none"/>
          <w:u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公告期限：</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5F9F2958">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采购结果公告：</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是/否</w:t>
      </w:r>
      <w:r>
        <w:rPr>
          <w:rFonts w:hint="eastAsia" w:ascii="Times New Roman" w:hAnsi="Times New Roman" w:eastAsia="宋体" w:cs="Times New Roman"/>
          <w:bCs/>
          <w:color w:val="000000" w:themeColor="text1"/>
          <w:sz w:val="21"/>
          <w:szCs w:val="21"/>
          <w:highlight w:val="none"/>
          <w:u w:val="none"/>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公告期限：</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6A93E072">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6"/>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三、质疑基本情况</w:t>
      </w:r>
    </w:p>
    <w:p w14:paraId="6DD778CE">
      <w:pPr>
        <w:pStyle w:val="25"/>
        <w:keepNext w:val="0"/>
        <w:keepLines w:val="0"/>
        <w:pageBreakBefore w:val="0"/>
        <w:widowControl w:val="0"/>
        <w:kinsoku/>
        <w:wordWrap/>
        <w:overflowPunct/>
        <w:topLinePunct w:val="0"/>
        <w:autoSpaceDE/>
        <w:autoSpaceDN/>
        <w:bidi w:val="0"/>
        <w:adjustRightInd/>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投诉人于</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日，向</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提出质疑，质疑事项为：</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1"/>
          <w:szCs w:val="21"/>
          <w:highlight w:val="none"/>
          <w:u w:val="single"/>
          <w:lang w:val="en-US" w:eastAsia="zh-CN"/>
          <w14:textFill>
            <w14:solidFill>
              <w14:schemeClr w14:val="tx1"/>
            </w14:solidFill>
          </w14:textFill>
        </w:rPr>
        <w:t xml:space="preserve">                       </w:t>
      </w:r>
    </w:p>
    <w:p w14:paraId="5EEFA6D9">
      <w:pPr>
        <w:pStyle w:val="25"/>
        <w:keepNext w:val="0"/>
        <w:keepLines w:val="0"/>
        <w:pageBreakBefore w:val="0"/>
        <w:widowControl w:val="0"/>
        <w:kinsoku/>
        <w:wordWrap/>
        <w:overflowPunct/>
        <w:topLinePunct w:val="0"/>
        <w:autoSpaceDE/>
        <w:autoSpaceDN/>
        <w:bidi w:val="0"/>
        <w:adjustRightInd/>
        <w:spacing w:line="43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采购人/代理机构</w:t>
      </w:r>
      <w:r>
        <w:rPr>
          <w:rFonts w:hint="default" w:ascii="Times New Roman" w:hAnsi="Times New Roman" w:eastAsia="宋体" w:cs="Times New Roman"/>
          <w:bCs/>
          <w:color w:val="000000" w:themeColor="text1"/>
          <w:sz w:val="21"/>
          <w:szCs w:val="21"/>
          <w:highlight w:val="none"/>
          <w14:textFill>
            <w14:solidFill>
              <w14:schemeClr w14:val="tx1"/>
            </w14:solidFill>
          </w14:textFill>
        </w:rPr>
        <w:t>于</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月</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日，</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就质疑事项作出了答复/没有在法定期限内作出答复。                                                                                             </w:t>
      </w:r>
    </w:p>
    <w:p w14:paraId="1FEA377B">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6"/>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四、投诉事项具体内容</w:t>
      </w:r>
    </w:p>
    <w:p w14:paraId="6E4334BD">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投诉事项1：</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4633475D">
      <w:pPr>
        <w:pStyle w:val="25"/>
        <w:keepNext w:val="0"/>
        <w:keepLines w:val="0"/>
        <w:pageBreakBefore w:val="0"/>
        <w:widowControl w:val="0"/>
        <w:kinsoku/>
        <w:wordWrap/>
        <w:overflowPunct/>
        <w:topLinePunct w:val="0"/>
        <w:autoSpaceDE/>
        <w:autoSpaceDN/>
        <w:bidi w:val="0"/>
        <w:adjustRightInd/>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事实依据：</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4E99B0EE">
      <w:pPr>
        <w:pStyle w:val="25"/>
        <w:keepNext w:val="0"/>
        <w:keepLines w:val="0"/>
        <w:pageBreakBefore w:val="0"/>
        <w:widowControl w:val="0"/>
        <w:kinsoku/>
        <w:wordWrap/>
        <w:overflowPunct/>
        <w:topLinePunct w:val="0"/>
        <w:autoSpaceDE/>
        <w:autoSpaceDN/>
        <w:bidi w:val="0"/>
        <w:adjustRightInd/>
        <w:spacing w:line="430" w:lineRule="exact"/>
        <w:ind w:firstLine="420" w:firstLineChars="200"/>
        <w:textAlignment w:val="auto"/>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法律依据：</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69E5DDDB">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投诉事项2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Cs/>
          <w:color w:val="000000" w:themeColor="text1"/>
          <w:sz w:val="21"/>
          <w:szCs w:val="21"/>
          <w:highlight w:val="none"/>
          <w14:textFill>
            <w14:solidFill>
              <w14:schemeClr w14:val="tx1"/>
            </w14:solidFill>
          </w14:textFill>
        </w:rPr>
        <w:t xml:space="preserve">   </w:t>
      </w:r>
    </w:p>
    <w:p w14:paraId="572AECAA">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w:t>
      </w:r>
    </w:p>
    <w:p w14:paraId="4DDAAE2A">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6"/>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五、与投诉事项相关的投诉请求：</w:t>
      </w:r>
    </w:p>
    <w:p w14:paraId="435B8863">
      <w:pPr>
        <w:pStyle w:val="25"/>
        <w:keepNext w:val="0"/>
        <w:keepLines w:val="0"/>
        <w:pageBreakBefore w:val="0"/>
        <w:widowControl w:val="0"/>
        <w:kinsoku/>
        <w:wordWrap/>
        <w:overflowPunct/>
        <w:topLinePunct w:val="0"/>
        <w:autoSpaceDE/>
        <w:autoSpaceDN/>
        <w:bidi w:val="0"/>
        <w:adjustRightInd/>
        <w:spacing w:line="430" w:lineRule="exact"/>
        <w:ind w:left="26" w:leftChars="12" w:firstLine="413" w:firstLineChars="197"/>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请求：</w:t>
      </w:r>
      <w:r>
        <w:rPr>
          <w:rFonts w:hint="default" w:ascii="Times New Roman" w:hAnsi="Times New Roman" w:eastAsia="宋体" w:cs="Times New Roman"/>
          <w:bCs/>
          <w:color w:val="000000" w:themeColor="text1"/>
          <w:sz w:val="21"/>
          <w:szCs w:val="21"/>
          <w:highlight w:val="none"/>
          <w:u w:val="single"/>
          <w14:textFill>
            <w14:solidFill>
              <w14:schemeClr w14:val="tx1"/>
            </w14:solidFill>
          </w14:textFill>
        </w:rPr>
        <w:t xml:space="preserve">                                                                                 </w:t>
      </w:r>
    </w:p>
    <w:p w14:paraId="14BFAC9F">
      <w:pPr>
        <w:pStyle w:val="25"/>
        <w:keepNext w:val="0"/>
        <w:keepLines w:val="0"/>
        <w:pageBreakBefore w:val="0"/>
        <w:widowControl w:val="0"/>
        <w:kinsoku/>
        <w:wordWrap/>
        <w:overflowPunct/>
        <w:topLinePunct w:val="0"/>
        <w:autoSpaceDE/>
        <w:autoSpaceDN/>
        <w:bidi w:val="0"/>
        <w:adjustRightInd/>
        <w:spacing w:line="430" w:lineRule="exact"/>
        <w:ind w:left="26" w:leftChars="12" w:firstLine="308" w:firstLineChars="147"/>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1AFC00D5">
      <w:pPr>
        <w:pStyle w:val="25"/>
        <w:keepNext w:val="0"/>
        <w:keepLines w:val="0"/>
        <w:pageBreakBefore w:val="0"/>
        <w:widowControl w:val="0"/>
        <w:kinsoku/>
        <w:wordWrap/>
        <w:overflowPunct/>
        <w:topLinePunct w:val="0"/>
        <w:autoSpaceDE/>
        <w:autoSpaceDN/>
        <w:bidi w:val="0"/>
        <w:adjustRightInd/>
        <w:snapToGrid/>
        <w:spacing w:line="660" w:lineRule="exact"/>
        <w:ind w:left="26" w:leftChars="12" w:firstLine="413" w:firstLineChars="197"/>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签字</w:t>
      </w:r>
      <w:r>
        <w:rPr>
          <w:rFonts w:hint="eastAsia" w:hAnsi="宋体"/>
          <w:color w:val="000000" w:themeColor="text1"/>
          <w:sz w:val="21"/>
          <w:szCs w:val="21"/>
          <w:highlight w:val="none"/>
          <w:lang w:eastAsia="zh-CN"/>
          <w14:textFill>
            <w14:solidFill>
              <w14:schemeClr w14:val="tx1"/>
            </w14:solidFill>
          </w14:textFill>
        </w:rPr>
        <w:t>或</w:t>
      </w:r>
      <w:r>
        <w:rPr>
          <w:rFonts w:hint="eastAsia" w:hAnsi="宋体"/>
          <w:color w:val="000000" w:themeColor="text1"/>
          <w:sz w:val="21"/>
          <w:szCs w:val="21"/>
          <w:highlight w:val="none"/>
          <w14:textFill>
            <w14:solidFill>
              <w14:schemeClr w14:val="tx1"/>
            </w14:solidFill>
          </w14:textFill>
        </w:rPr>
        <w:t>签章：                                公章：</w:t>
      </w:r>
    </w:p>
    <w:p w14:paraId="77B2C4A6">
      <w:pPr>
        <w:pStyle w:val="25"/>
        <w:keepNext w:val="0"/>
        <w:keepLines w:val="0"/>
        <w:pageBreakBefore w:val="0"/>
        <w:widowControl w:val="0"/>
        <w:kinsoku/>
        <w:wordWrap/>
        <w:overflowPunct/>
        <w:topLinePunct w:val="0"/>
        <w:autoSpaceDE/>
        <w:autoSpaceDN/>
        <w:bidi w:val="0"/>
        <w:adjustRightInd/>
        <w:snapToGrid/>
        <w:spacing w:line="660" w:lineRule="exact"/>
        <w:ind w:left="26" w:leftChars="12" w:firstLine="413" w:firstLineChars="197"/>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日期：</w:t>
      </w:r>
    </w:p>
    <w:p w14:paraId="04DBC045">
      <w:pPr>
        <w:pStyle w:val="25"/>
        <w:spacing w:line="360" w:lineRule="auto"/>
        <w:ind w:left="26"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620E3BB6">
      <w:pPr>
        <w:pStyle w:val="25"/>
        <w:snapToGrid w:val="0"/>
        <w:spacing w:line="360" w:lineRule="auto"/>
        <w:rPr>
          <w:rFonts w:hint="eastAsia" w:hAnsi="宋体"/>
          <w:b/>
          <w:color w:val="000000" w:themeColor="text1"/>
          <w:sz w:val="24"/>
          <w:szCs w:val="24"/>
          <w:highlight w:val="none"/>
          <w14:textFill>
            <w14:solidFill>
              <w14:schemeClr w14:val="tx1"/>
            </w14:solidFill>
          </w14:textFill>
        </w:rPr>
      </w:pPr>
    </w:p>
    <w:p w14:paraId="3F624D85">
      <w:pPr>
        <w:pStyle w:val="25"/>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说明：</w:t>
      </w:r>
    </w:p>
    <w:p w14:paraId="3BA3506B">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default" w:ascii="Times New Roman" w:hAnsi="Times New Roman" w:cs="Times New Roman"/>
          <w:b/>
          <w:bCs/>
          <w:color w:val="000000" w:themeColor="text1"/>
          <w:sz w:val="21"/>
          <w:szCs w:val="21"/>
          <w:highlight w:val="none"/>
          <w14:textFill>
            <w14:solidFill>
              <w14:schemeClr w14:val="tx1"/>
            </w14:solidFill>
          </w14:textFill>
        </w:rPr>
        <w:t>。</w:t>
      </w:r>
    </w:p>
    <w:p w14:paraId="67F1B748">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8A23BC">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3.投诉书应简要列明质疑事项，质疑函、质疑答复等作为附件材料提供。</w:t>
      </w:r>
    </w:p>
    <w:p w14:paraId="1C9DDA9E">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4.投诉书的投诉事项应具体、明确，并有必要的事实依据和法律依据。</w:t>
      </w:r>
    </w:p>
    <w:p w14:paraId="3FF19B3D">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5.投诉书的投诉请求应与投诉事项相关。</w:t>
      </w:r>
    </w:p>
    <w:p w14:paraId="761D5BF2">
      <w:pPr>
        <w:pStyle w:val="25"/>
        <w:keepNext w:val="0"/>
        <w:keepLines w:val="0"/>
        <w:pageBreakBefore w:val="0"/>
        <w:widowControl w:val="0"/>
        <w:kinsoku/>
        <w:wordWrap/>
        <w:overflowPunct/>
        <w:topLinePunct w:val="0"/>
        <w:autoSpaceDE/>
        <w:autoSpaceDN/>
        <w:bidi w:val="0"/>
        <w:adjustRightInd/>
        <w:spacing w:line="500" w:lineRule="exact"/>
        <w:ind w:left="26" w:leftChars="12" w:firstLine="310" w:firstLineChars="147"/>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6.投诉人为法人或者其他组织的，投诉书应由法定代表人、主要负责人，或者其授权代表签字或</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签章</w:t>
      </w:r>
      <w:r>
        <w:rPr>
          <w:rFonts w:hint="default" w:ascii="Times New Roman" w:hAnsi="Times New Roman" w:cs="Times New Roman"/>
          <w:b/>
          <w:color w:val="000000" w:themeColor="text1"/>
          <w:sz w:val="21"/>
          <w:szCs w:val="21"/>
          <w:highlight w:val="none"/>
          <w14:textFill>
            <w14:solidFill>
              <w14:schemeClr w14:val="tx1"/>
            </w14:solidFill>
          </w14:textFill>
        </w:rPr>
        <w:t>，并加盖</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供应商单位</w:t>
      </w:r>
      <w:r>
        <w:rPr>
          <w:rFonts w:hint="default" w:ascii="Times New Roman" w:hAnsi="Times New Roman" w:cs="Times New Roman"/>
          <w:b/>
          <w:color w:val="000000" w:themeColor="text1"/>
          <w:sz w:val="21"/>
          <w:szCs w:val="21"/>
          <w:highlight w:val="none"/>
          <w14:textFill>
            <w14:solidFill>
              <w14:schemeClr w14:val="tx1"/>
            </w14:solidFill>
          </w14:textFill>
        </w:rPr>
        <w:t>公章。</w:t>
      </w:r>
    </w:p>
    <w:p w14:paraId="7EC397F1">
      <w:pPr>
        <w:pStyle w:val="5"/>
        <w:keepNext/>
        <w:keepLines/>
        <w:pageBreakBefore w:val="0"/>
        <w:widowControl w:val="0"/>
        <w:kinsoku/>
        <w:wordWrap/>
        <w:overflowPunct/>
        <w:topLinePunct w:val="0"/>
        <w:autoSpaceDE/>
        <w:autoSpaceDN/>
        <w:bidi w:val="0"/>
        <w:adjustRightInd/>
        <w:snapToGrid/>
        <w:spacing w:before="0" w:after="0" w:line="0" w:lineRule="atLeast"/>
        <w:textAlignment w:val="auto"/>
        <w:rPr>
          <w:rFonts w:hint="default"/>
          <w:color w:val="000000" w:themeColor="text1"/>
          <w:highlight w:val="none"/>
          <w14:textFill>
            <w14:solidFill>
              <w14:schemeClr w14:val="tx1"/>
            </w14:solidFill>
          </w14:textFill>
        </w:rPr>
      </w:pPr>
    </w:p>
    <w:p w14:paraId="07C340F0">
      <w:pPr>
        <w:rPr>
          <w:rFonts w:hint="default"/>
          <w:color w:val="000000" w:themeColor="text1"/>
          <w:highlight w:val="none"/>
          <w14:textFill>
            <w14:solidFill>
              <w14:schemeClr w14:val="tx1"/>
            </w14:solidFill>
          </w14:textFill>
        </w:rPr>
      </w:pPr>
    </w:p>
    <w:p w14:paraId="21554F2A">
      <w:pPr>
        <w:pStyle w:val="19"/>
        <w:rPr>
          <w:rFonts w:hint="default"/>
          <w:color w:val="000000" w:themeColor="text1"/>
          <w:highlight w:val="none"/>
          <w14:textFill>
            <w14:solidFill>
              <w14:schemeClr w14:val="tx1"/>
            </w14:solidFill>
          </w14:textFill>
        </w:rPr>
      </w:pPr>
    </w:p>
    <w:p w14:paraId="72096A10">
      <w:pPr>
        <w:pStyle w:val="19"/>
        <w:rPr>
          <w:rFonts w:hint="default"/>
          <w:color w:val="000000" w:themeColor="text1"/>
          <w:highlight w:val="none"/>
          <w14:textFill>
            <w14:solidFill>
              <w14:schemeClr w14:val="tx1"/>
            </w14:solidFill>
          </w14:textFill>
        </w:rPr>
      </w:pPr>
    </w:p>
    <w:p w14:paraId="37DBC747">
      <w:pPr>
        <w:spacing w:line="360" w:lineRule="exact"/>
        <w:ind w:left="225" w:right="270"/>
        <w:jc w:val="both"/>
        <w:rPr>
          <w:rFonts w:ascii="Times New Roman" w:hAnsi="Times New Roman" w:cs="Times New Roman"/>
          <w:b/>
          <w:color w:val="000000" w:themeColor="text1"/>
          <w:spacing w:val="-6"/>
          <w:sz w:val="21"/>
          <w:highlight w:val="none"/>
          <w14:textFill>
            <w14:solidFill>
              <w14:schemeClr w14:val="tx1"/>
            </w14:solidFill>
          </w14:textFill>
        </w:rPr>
      </w:pPr>
    </w:p>
    <w:p w14:paraId="16EB4B2A">
      <w:pPr>
        <w:pStyle w:val="113"/>
        <w:spacing w:line="500" w:lineRule="exact"/>
        <w:rPr>
          <w:rFonts w:hint="eastAsia" w:cs="宋体"/>
          <w:color w:val="000000" w:themeColor="text1"/>
          <w:sz w:val="24"/>
          <w:szCs w:val="24"/>
          <w:highlight w:val="none"/>
          <w14:textFill>
            <w14:solidFill>
              <w14:schemeClr w14:val="tx1"/>
            </w14:solidFill>
          </w14:textFill>
        </w:rPr>
      </w:pPr>
    </w:p>
    <w:p w14:paraId="5F40CFF8">
      <w:pPr>
        <w:rPr>
          <w:rFonts w:hint="eastAsia" w:ascii="黑体" w:eastAsia="黑体"/>
          <w:b/>
          <w:color w:val="000000" w:themeColor="text1"/>
          <w:sz w:val="36"/>
          <w:szCs w:val="36"/>
          <w:highlight w:val="none"/>
          <w14:textFill>
            <w14:solidFill>
              <w14:schemeClr w14:val="tx1"/>
            </w14:solidFill>
          </w14:textFill>
        </w:rPr>
      </w:pPr>
      <w:bookmarkStart w:id="259" w:name="_Toc500469660"/>
      <w:bookmarkStart w:id="260" w:name="_Toc500469818"/>
      <w:r>
        <w:rPr>
          <w:rFonts w:hint="eastAsia" w:ascii="黑体" w:eastAsia="黑体"/>
          <w:b/>
          <w:color w:val="000000" w:themeColor="text1"/>
          <w:sz w:val="36"/>
          <w:szCs w:val="36"/>
          <w:highlight w:val="none"/>
          <w14:textFill>
            <w14:solidFill>
              <w14:schemeClr w14:val="tx1"/>
            </w14:solidFill>
          </w14:textFill>
        </w:rPr>
        <w:br w:type="page"/>
      </w:r>
    </w:p>
    <w:p w14:paraId="327740D3">
      <w:pPr>
        <w:keepNext w:val="0"/>
        <w:keepLines w:val="0"/>
        <w:pageBreakBefore w:val="0"/>
        <w:widowControl w:val="0"/>
        <w:tabs>
          <w:tab w:val="left" w:pos="3212"/>
        </w:tabs>
        <w:kinsoku/>
        <w:wordWrap/>
        <w:overflowPunct/>
        <w:topLinePunct w:val="0"/>
        <w:autoSpaceDE w:val="0"/>
        <w:autoSpaceDN w:val="0"/>
        <w:bidi w:val="0"/>
        <w:adjustRightInd/>
        <w:snapToGrid/>
        <w:spacing w:line="700" w:lineRule="exact"/>
        <w:jc w:val="center"/>
        <w:textAlignment w:val="auto"/>
        <w:outlineLvl w:val="0"/>
        <w:rPr>
          <w:rFonts w:hint="eastAsia" w:ascii="黑体" w:eastAsia="黑体"/>
          <w:b/>
          <w:color w:val="000000" w:themeColor="text1"/>
          <w:sz w:val="36"/>
          <w:szCs w:val="36"/>
          <w:highlight w:val="none"/>
          <w14:textFill>
            <w14:solidFill>
              <w14:schemeClr w14:val="tx1"/>
            </w14:solidFill>
          </w14:textFill>
        </w:rPr>
      </w:pPr>
      <w:bookmarkStart w:id="261" w:name="_Toc18806"/>
      <w:r>
        <w:rPr>
          <w:rFonts w:hint="eastAsia" w:ascii="黑体" w:eastAsia="黑体"/>
          <w:b/>
          <w:color w:val="000000" w:themeColor="text1"/>
          <w:sz w:val="36"/>
          <w:szCs w:val="36"/>
          <w:highlight w:val="none"/>
          <w14:textFill>
            <w14:solidFill>
              <w14:schemeClr w14:val="tx1"/>
            </w14:solidFill>
          </w14:textFill>
        </w:rPr>
        <w:t>第</w:t>
      </w:r>
      <w:r>
        <w:rPr>
          <w:rFonts w:hint="eastAsia" w:ascii="黑体" w:eastAsia="黑体"/>
          <w:b/>
          <w:color w:val="000000" w:themeColor="text1"/>
          <w:sz w:val="36"/>
          <w:szCs w:val="36"/>
          <w:highlight w:val="none"/>
          <w:lang w:eastAsia="zh-CN"/>
          <w14:textFill>
            <w14:solidFill>
              <w14:schemeClr w14:val="tx1"/>
            </w14:solidFill>
          </w14:textFill>
        </w:rPr>
        <w:t>六</w:t>
      </w:r>
      <w:r>
        <w:rPr>
          <w:rFonts w:hint="eastAsia" w:ascii="黑体" w:eastAsia="黑体"/>
          <w:b/>
          <w:color w:val="000000" w:themeColor="text1"/>
          <w:sz w:val="36"/>
          <w:szCs w:val="36"/>
          <w:highlight w:val="none"/>
          <w14:textFill>
            <w14:solidFill>
              <w14:schemeClr w14:val="tx1"/>
            </w14:solidFill>
          </w14:textFill>
        </w:rPr>
        <w:t>章</w:t>
      </w:r>
      <w:r>
        <w:rPr>
          <w:rFonts w:hint="eastAsia" w:ascii="黑体" w:eastAsia="黑体"/>
          <w:b/>
          <w:color w:val="000000" w:themeColor="text1"/>
          <w:sz w:val="36"/>
          <w:szCs w:val="36"/>
          <w:highlight w:val="none"/>
          <w:lang w:val="en-US"/>
          <w14:textFill>
            <w14:solidFill>
              <w14:schemeClr w14:val="tx1"/>
            </w14:solidFill>
          </w14:textFill>
        </w:rPr>
        <w:t xml:space="preserve">  </w:t>
      </w:r>
      <w:bookmarkEnd w:id="259"/>
      <w:bookmarkEnd w:id="260"/>
      <w:r>
        <w:rPr>
          <w:rFonts w:hint="eastAsia" w:ascii="黑体" w:eastAsia="黑体"/>
          <w:b/>
          <w:color w:val="000000" w:themeColor="text1"/>
          <w:sz w:val="36"/>
          <w:szCs w:val="36"/>
          <w:highlight w:val="none"/>
          <w14:textFill>
            <w14:solidFill>
              <w14:schemeClr w14:val="tx1"/>
            </w14:solidFill>
          </w14:textFill>
        </w:rPr>
        <w:t>工程量清单及图纸（另册）</w:t>
      </w:r>
      <w:bookmarkEnd w:id="261"/>
    </w:p>
    <w:p w14:paraId="41FCD52A">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66DF4CB1">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4DCF9619">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42C8AB6A">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0671882B">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64755CD0">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7B9EF1F4">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041A0894">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30603FF3">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62A95A75">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26F4CB1A">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232B9C5C">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0FDE6B49">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02FAF59B">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5AA96C95">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2B6C8AD3">
      <w:pPr>
        <w:pStyle w:val="19"/>
        <w:spacing w:before="120" w:beforeLines="50" w:after="480" w:afterLines="200" w:line="360" w:lineRule="exact"/>
        <w:jc w:val="center"/>
        <w:rPr>
          <w:rFonts w:hint="eastAsia" w:ascii="黑体" w:eastAsia="黑体"/>
          <w:b/>
          <w:bCs/>
          <w:color w:val="000000" w:themeColor="text1"/>
          <w:sz w:val="36"/>
          <w:szCs w:val="36"/>
          <w:highlight w:val="none"/>
          <w:lang w:val="en-US"/>
          <w14:textFill>
            <w14:solidFill>
              <w14:schemeClr w14:val="tx1"/>
            </w14:solidFill>
          </w14:textFill>
        </w:rPr>
      </w:pPr>
    </w:p>
    <w:p w14:paraId="1C479AE0">
      <w:pPr>
        <w:keepNext w:val="0"/>
        <w:keepLines w:val="0"/>
        <w:pageBreakBefore w:val="0"/>
        <w:widowControl w:val="0"/>
        <w:tabs>
          <w:tab w:val="left" w:pos="1447"/>
        </w:tabs>
        <w:kinsoku/>
        <w:wordWrap/>
        <w:overflowPunct/>
        <w:topLinePunct w:val="0"/>
        <w:autoSpaceDE w:val="0"/>
        <w:autoSpaceDN w:val="0"/>
        <w:bidi w:val="0"/>
        <w:adjustRightInd/>
        <w:snapToGrid/>
        <w:spacing w:after="0" w:afterLines="150" w:line="700" w:lineRule="exact"/>
        <w:ind w:right="45"/>
        <w:jc w:val="center"/>
        <w:textAlignment w:val="auto"/>
        <w:outlineLvl w:val="0"/>
        <w:rPr>
          <w:rFonts w:hint="eastAsia" w:ascii="黑体" w:hAnsi="Times New Roman" w:eastAsia="黑体" w:cs="Times New Roman"/>
          <w:b/>
          <w:color w:val="000000" w:themeColor="text1"/>
          <w:sz w:val="36"/>
          <w:highlight w:val="none"/>
          <w14:textFill>
            <w14:solidFill>
              <w14:schemeClr w14:val="tx1"/>
            </w14:solidFill>
          </w14:textFill>
        </w:rPr>
      </w:pPr>
      <w:bookmarkStart w:id="262" w:name="_TOC_250007"/>
      <w:bookmarkEnd w:id="262"/>
      <w:bookmarkStart w:id="263" w:name="_Toc26583"/>
      <w:r>
        <w:rPr>
          <w:rFonts w:hint="eastAsia" w:ascii="黑体" w:eastAsia="黑体" w:cs="Times New Roman"/>
          <w:b/>
          <w:color w:val="000000" w:themeColor="text1"/>
          <w:sz w:val="36"/>
          <w:highlight w:val="none"/>
          <w14:textFill>
            <w14:solidFill>
              <w14:schemeClr w14:val="tx1"/>
            </w14:solidFill>
          </w14:textFill>
        </w:rPr>
        <w:t>第</w:t>
      </w:r>
      <w:r>
        <w:rPr>
          <w:rFonts w:hint="eastAsia" w:ascii="黑体" w:eastAsia="黑体" w:cs="Times New Roman"/>
          <w:b/>
          <w:color w:val="000000" w:themeColor="text1"/>
          <w:sz w:val="36"/>
          <w:highlight w:val="none"/>
          <w:lang w:eastAsia="zh-CN"/>
          <w14:textFill>
            <w14:solidFill>
              <w14:schemeClr w14:val="tx1"/>
            </w14:solidFill>
          </w14:textFill>
        </w:rPr>
        <w:t>七</w:t>
      </w:r>
      <w:r>
        <w:rPr>
          <w:rFonts w:hint="eastAsia" w:ascii="黑体" w:eastAsia="黑体" w:cs="Times New Roman"/>
          <w:b/>
          <w:color w:val="000000" w:themeColor="text1"/>
          <w:sz w:val="36"/>
          <w:highlight w:val="none"/>
          <w14:textFill>
            <w14:solidFill>
              <w14:schemeClr w14:val="tx1"/>
            </w14:solidFill>
          </w14:textFill>
        </w:rPr>
        <w:t>章</w:t>
      </w:r>
      <w:r>
        <w:rPr>
          <w:rFonts w:hint="eastAsia" w:ascii="黑体" w:eastAsia="黑体" w:cs="Times New Roman"/>
          <w:b/>
          <w:color w:val="000000" w:themeColor="text1"/>
          <w:sz w:val="36"/>
          <w:highlight w:val="none"/>
          <w:lang w:val="en-US"/>
          <w14:textFill>
            <w14:solidFill>
              <w14:schemeClr w14:val="tx1"/>
            </w14:solidFill>
          </w14:textFill>
        </w:rPr>
        <w:t xml:space="preserve">  </w:t>
      </w:r>
      <w:r>
        <w:rPr>
          <w:rFonts w:hint="eastAsia" w:ascii="黑体" w:eastAsia="黑体" w:cs="Times New Roman"/>
          <w:b/>
          <w:color w:val="000000" w:themeColor="text1"/>
          <w:sz w:val="36"/>
          <w:highlight w:val="none"/>
          <w14:textFill>
            <w14:solidFill>
              <w14:schemeClr w14:val="tx1"/>
            </w14:solidFill>
          </w14:textFill>
        </w:rPr>
        <w:t>合同条款及格式</w:t>
      </w:r>
      <w:bookmarkEnd w:id="263"/>
    </w:p>
    <w:p w14:paraId="76943F45">
      <w:pPr>
        <w:pStyle w:val="2"/>
        <w:keepNext w:val="0"/>
        <w:keepLines w:val="0"/>
        <w:pageBreakBefore w:val="0"/>
        <w:widowControl w:val="0"/>
        <w:tabs>
          <w:tab w:val="left" w:pos="5100"/>
        </w:tabs>
        <w:kinsoku/>
        <w:wordWrap/>
        <w:overflowPunct/>
        <w:topLinePunct w:val="0"/>
        <w:autoSpaceDE w:val="0"/>
        <w:autoSpaceDN w:val="0"/>
        <w:bidi w:val="0"/>
        <w:adjustRightInd/>
        <w:snapToGrid/>
        <w:spacing w:before="120" w:beforeLines="50" w:after="0" w:afterLines="300" w:line="700" w:lineRule="exact"/>
        <w:ind w:left="0"/>
        <w:jc w:val="center"/>
        <w:textAlignment w:val="auto"/>
        <w:outlineLvl w:val="0"/>
        <w:rPr>
          <w:rFonts w:hint="eastAsia" w:ascii="宋体" w:hAnsi="宋体" w:eastAsia="宋体" w:cs="宋体"/>
          <w:color w:val="000000" w:themeColor="text1"/>
          <w:sz w:val="36"/>
          <w:szCs w:val="36"/>
          <w:highlight w:val="none"/>
          <w14:textFill>
            <w14:solidFill>
              <w14:schemeClr w14:val="tx1"/>
            </w14:solidFill>
          </w14:textFill>
        </w:rPr>
      </w:pPr>
      <w:bookmarkStart w:id="264" w:name="_Toc5288"/>
      <w:bookmarkStart w:id="265" w:name="_Toc29185"/>
      <w:bookmarkStart w:id="266" w:name="_Toc500469585"/>
      <w:bookmarkStart w:id="267" w:name="_Toc8855"/>
      <w:bookmarkStart w:id="268" w:name="_Toc500469694"/>
      <w:bookmarkStart w:id="269" w:name="_Toc30068"/>
      <w:r>
        <w:rPr>
          <w:rFonts w:hint="eastAsia" w:ascii="宋体" w:hAnsi="宋体" w:eastAsia="宋体" w:cs="宋体"/>
          <w:color w:val="000000" w:themeColor="text1"/>
          <w:sz w:val="36"/>
          <w:szCs w:val="36"/>
          <w:highlight w:val="none"/>
          <w14:textFill>
            <w14:solidFill>
              <w14:schemeClr w14:val="tx1"/>
            </w14:solidFill>
          </w14:textFill>
        </w:rPr>
        <w:t>第一部</w:t>
      </w:r>
      <w:r>
        <w:rPr>
          <w:rFonts w:hint="eastAsia" w:ascii="宋体" w:hAnsi="宋体" w:eastAsia="宋体" w:cs="宋体"/>
          <w:color w:val="000000" w:themeColor="text1"/>
          <w:sz w:val="36"/>
          <w:szCs w:val="36"/>
          <w:highlight w:val="none"/>
          <w:lang w:val="en-US"/>
          <w14:textFill>
            <w14:solidFill>
              <w14:schemeClr w14:val="tx1"/>
            </w14:solidFill>
          </w14:textFill>
        </w:rPr>
        <w:t xml:space="preserve">分  </w:t>
      </w:r>
      <w:r>
        <w:rPr>
          <w:rFonts w:hint="eastAsia" w:ascii="宋体" w:hAnsi="宋体" w:eastAsia="宋体" w:cs="宋体"/>
          <w:color w:val="000000" w:themeColor="text1"/>
          <w:sz w:val="36"/>
          <w:szCs w:val="36"/>
          <w:highlight w:val="none"/>
          <w14:textFill>
            <w14:solidFill>
              <w14:schemeClr w14:val="tx1"/>
            </w14:solidFill>
          </w14:textFill>
        </w:rPr>
        <w:t>合同协议书</w:t>
      </w:r>
      <w:bookmarkEnd w:id="264"/>
    </w:p>
    <w:p w14:paraId="32FD966E">
      <w:pPr>
        <w:keepNext w:val="0"/>
        <w:keepLines w:val="0"/>
        <w:pageBreakBefore w:val="0"/>
        <w:widowControl w:val="0"/>
        <w:kinsoku/>
        <w:wordWrap/>
        <w:overflowPunct/>
        <w:topLinePunct w:val="0"/>
        <w:autoSpaceDE w:val="0"/>
        <w:autoSpaceDN w:val="0"/>
        <w:bidi w:val="0"/>
        <w:adjustRightInd/>
        <w:snapToGrid/>
        <w:spacing w:line="570" w:lineRule="exac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（发包人名称，以下简称“发包人”）为实施</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（项目名称），已接受</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（承包人名称，以下简称“承包人”）对该项目</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（项目名称）</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（标段名称）的</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竞标</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，并确定其为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人。发包人和承 包人共同达成如下协议。</w:t>
      </w:r>
    </w:p>
    <w:p w14:paraId="286C12B0">
      <w:pPr>
        <w:pStyle w:val="105"/>
        <w:keepNext w:val="0"/>
        <w:keepLines w:val="0"/>
        <w:pageBreakBefore w:val="0"/>
        <w:widowControl w:val="0"/>
        <w:tabs>
          <w:tab w:val="left" w:pos="764"/>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0" w:name="bookmark1897"/>
      <w:bookmarkEnd w:id="270"/>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本协议书与下列文件一起构成合同文件：</w:t>
      </w:r>
    </w:p>
    <w:p w14:paraId="2976CB96">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1" w:name="bookmark1898"/>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1"/>
      <w:r>
        <w:rPr>
          <w:rFonts w:hint="default" w:ascii="Times New Roman" w:hAnsi="Times New Roman" w:eastAsia="宋体" w:cs="Times New Roman"/>
          <w:color w:val="000000" w:themeColor="text1"/>
          <w:sz w:val="21"/>
          <w:szCs w:val="21"/>
          <w:highlight w:val="none"/>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14:textFill>
            <w14:solidFill>
              <w14:schemeClr w14:val="tx1"/>
            </w14:solidFill>
          </w14:textFill>
        </w:rPr>
        <w:t>通知书；</w:t>
      </w:r>
    </w:p>
    <w:p w14:paraId="2227B536">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2" w:name="bookmark1899"/>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2"/>
      <w:r>
        <w:rPr>
          <w:rFonts w:hint="default" w:ascii="Times New Roman" w:hAnsi="Times New Roman" w:eastAsia="宋体" w:cs="Times New Roman"/>
          <w:color w:val="000000" w:themeColor="text1"/>
          <w:sz w:val="21"/>
          <w:szCs w:val="21"/>
          <w:highlight w:val="none"/>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函及</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响应报价表</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CCD3CF1">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3" w:name="bookmark1900"/>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3"/>
      <w:r>
        <w:rPr>
          <w:rFonts w:hint="default" w:ascii="Times New Roman" w:hAnsi="Times New Roman" w:eastAsia="宋体" w:cs="Times New Roman"/>
          <w:color w:val="000000" w:themeColor="text1"/>
          <w:sz w:val="21"/>
          <w:szCs w:val="21"/>
          <w:highlight w:val="none"/>
          <w14:textFill>
            <w14:solidFill>
              <w14:schemeClr w14:val="tx1"/>
            </w14:solidFill>
          </w14:textFill>
        </w:rPr>
        <w:t>3）专用合同条款（含附加条款）；</w:t>
      </w:r>
    </w:p>
    <w:p w14:paraId="26C6B334">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4" w:name="bookmark1901"/>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4"/>
      <w:r>
        <w:rPr>
          <w:rFonts w:hint="default" w:ascii="Times New Roman" w:hAnsi="Times New Roman" w:eastAsia="宋体" w:cs="Times New Roman"/>
          <w:color w:val="000000" w:themeColor="text1"/>
          <w:sz w:val="21"/>
          <w:szCs w:val="21"/>
          <w:highlight w:val="none"/>
          <w14:textFill>
            <w14:solidFill>
              <w14:schemeClr w14:val="tx1"/>
            </w14:solidFill>
          </w14:textFill>
        </w:rPr>
        <w:t>4）通用合同条款；</w:t>
      </w:r>
    </w:p>
    <w:p w14:paraId="1CC3F14C">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5" w:name="bookmark1903"/>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5"/>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）图纸；</w:t>
      </w:r>
    </w:p>
    <w:p w14:paraId="38455B8C">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6" w:name="bookmark1904"/>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6"/>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）已标价工程量清单；</w:t>
      </w:r>
    </w:p>
    <w:p w14:paraId="0A009CB0">
      <w:pPr>
        <w:pStyle w:val="105"/>
        <w:keepNext w:val="0"/>
        <w:keepLines w:val="0"/>
        <w:pageBreakBefore w:val="0"/>
        <w:widowControl w:val="0"/>
        <w:tabs>
          <w:tab w:val="left" w:pos="903"/>
        </w:tabs>
        <w:kinsoku/>
        <w:wordWrap/>
        <w:overflowPunct/>
        <w:topLinePunct w:val="0"/>
        <w:autoSpaceDE w:val="0"/>
        <w:autoSpaceDN w:val="0"/>
        <w:bidi w:val="0"/>
        <w:adjustRightInd/>
        <w:snapToGrid/>
        <w:spacing w:line="5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7" w:name="bookmark1905"/>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277"/>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）其他合同文件。</w:t>
      </w:r>
    </w:p>
    <w:p w14:paraId="60AAF285">
      <w:pPr>
        <w:pStyle w:val="105"/>
        <w:keepNext w:val="0"/>
        <w:keepLines w:val="0"/>
        <w:pageBreakBefore w:val="0"/>
        <w:widowControl w:val="0"/>
        <w:tabs>
          <w:tab w:val="left" w:pos="764"/>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8" w:name="bookmark1906"/>
      <w:bookmarkEnd w:id="278"/>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上述文件互相补充和解释，如有不明确或不一致之处，以合同约定次序在先者为准。</w:t>
      </w:r>
    </w:p>
    <w:p w14:paraId="5C2D062C">
      <w:pPr>
        <w:pStyle w:val="105"/>
        <w:keepNext w:val="0"/>
        <w:keepLines w:val="0"/>
        <w:pageBreakBefore w:val="0"/>
        <w:widowControl w:val="0"/>
        <w:tabs>
          <w:tab w:val="left" w:pos="764"/>
          <w:tab w:val="left" w:pos="4291"/>
          <w:tab w:val="left" w:pos="5794"/>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79" w:name="bookmark1907"/>
      <w:bookmarkEnd w:id="279"/>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签约合同价：人民币（大写）</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元（¥</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subscript"/>
          <w:lang w:val="en-US" w:bidi="en-US"/>
          <w14:textFill>
            <w14:solidFill>
              <w14:schemeClr w14:val="tx1"/>
            </w14:solidFill>
          </w14:textFill>
        </w:rPr>
        <w:t>o</w:t>
      </w:r>
    </w:p>
    <w:p w14:paraId="6C1AF3BA">
      <w:pPr>
        <w:keepNext w:val="0"/>
        <w:keepLines w:val="0"/>
        <w:pageBreakBefore w:val="0"/>
        <w:widowControl w:val="0"/>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bookmarkStart w:id="280" w:name="bookmark1908"/>
      <w:bookmarkEnd w:id="280"/>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承包人项目经理：</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2A50462E">
      <w:pPr>
        <w:pStyle w:val="105"/>
        <w:keepNext w:val="0"/>
        <w:keepLines w:val="0"/>
        <w:pageBreakBefore w:val="0"/>
        <w:widowControl w:val="0"/>
        <w:tabs>
          <w:tab w:val="left" w:pos="764"/>
          <w:tab w:val="left" w:pos="3809"/>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工程质量符合</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标准。</w:t>
      </w:r>
    </w:p>
    <w:p w14:paraId="6039FC89">
      <w:pPr>
        <w:pStyle w:val="105"/>
        <w:keepNext w:val="0"/>
        <w:keepLines w:val="0"/>
        <w:pageBreakBefore w:val="0"/>
        <w:widowControl w:val="0"/>
        <w:tabs>
          <w:tab w:val="left" w:pos="764"/>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81" w:name="bookmark1910"/>
      <w:bookmarkEnd w:id="281"/>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承包人承诺按合同约定承担工程的实施、完成及缺陷修复。</w:t>
      </w:r>
    </w:p>
    <w:p w14:paraId="02A6FC82">
      <w:pPr>
        <w:pStyle w:val="105"/>
        <w:keepNext w:val="0"/>
        <w:keepLines w:val="0"/>
        <w:pageBreakBefore w:val="0"/>
        <w:widowControl w:val="0"/>
        <w:tabs>
          <w:tab w:val="left" w:pos="764"/>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82" w:name="bookmark1911"/>
      <w:bookmarkEnd w:id="282"/>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发包人承诺按合同约定的条件、时间和方式向承包人支付合同价款。</w:t>
      </w:r>
    </w:p>
    <w:p w14:paraId="20C6E7FE">
      <w:pPr>
        <w:pStyle w:val="105"/>
        <w:keepNext w:val="0"/>
        <w:keepLines w:val="0"/>
        <w:pageBreakBefore w:val="0"/>
        <w:widowControl w:val="0"/>
        <w:tabs>
          <w:tab w:val="left" w:pos="764"/>
          <w:tab w:val="left" w:pos="5717"/>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83" w:name="bookmark1912"/>
      <w:bookmarkEnd w:id="283"/>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承包人承诺执行监理人开工通知，计划工期为</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p w14:paraId="7EA05632">
      <w:pPr>
        <w:pStyle w:val="105"/>
        <w:keepNext w:val="0"/>
        <w:keepLines w:val="0"/>
        <w:pageBreakBefore w:val="0"/>
        <w:widowControl w:val="0"/>
        <w:tabs>
          <w:tab w:val="left" w:pos="764"/>
          <w:tab w:val="left" w:pos="2789"/>
        </w:tabs>
        <w:kinsoku/>
        <w:wordWrap/>
        <w:overflowPunct/>
        <w:topLinePunct w:val="0"/>
        <w:autoSpaceDE w:val="0"/>
        <w:autoSpaceDN w:val="0"/>
        <w:bidi w:val="0"/>
        <w:adjustRightInd/>
        <w:snapToGrid/>
        <w:spacing w:line="5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284" w:name="bookmark1913"/>
      <w:bookmarkEnd w:id="284"/>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本协议书一式</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份，合同双方各执一份。</w:t>
      </w:r>
    </w:p>
    <w:p w14:paraId="29E4339B">
      <w:pPr>
        <w:keepNext w:val="0"/>
        <w:keepLines w:val="0"/>
        <w:pageBreakBefore w:val="0"/>
        <w:widowControl w:val="0"/>
        <w:kinsoku/>
        <w:wordWrap/>
        <w:overflowPunct/>
        <w:topLinePunct w:val="0"/>
        <w:autoSpaceDE w:val="0"/>
        <w:autoSpaceDN w:val="0"/>
        <w:bidi w:val="0"/>
        <w:adjustRightInd/>
        <w:snapToGrid/>
        <w:spacing w:line="570" w:lineRule="exact"/>
        <w:ind w:firstLine="420" w:firstLineChars="200"/>
        <w:jc w:val="both"/>
        <w:textAlignment w:val="auto"/>
        <w:rPr>
          <w:rFonts w:hint="eastAsia" w:ascii="Times New Roman" w:hAnsi="Times New Roman" w:cs="Times New Roman"/>
          <w:bCs/>
          <w:color w:val="000000" w:themeColor="text1"/>
          <w:highlight w:val="none"/>
          <w14:textFill>
            <w14:solidFill>
              <w14:schemeClr w14:val="tx1"/>
            </w14:solidFill>
          </w14:textFill>
        </w:rPr>
      </w:pPr>
      <w:bookmarkStart w:id="285" w:name="bookmark1914"/>
      <w:bookmarkEnd w:id="285"/>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合同未尽事宜，双方另行签订补充协议。补充协议是合同的组成部分。</w:t>
      </w:r>
    </w:p>
    <w:p w14:paraId="741D3C80">
      <w:pPr>
        <w:pStyle w:val="19"/>
        <w:keepNext w:val="0"/>
        <w:keepLines w:val="0"/>
        <w:pageBreakBefore w:val="0"/>
        <w:widowControl w:val="0"/>
        <w:tabs>
          <w:tab w:val="left" w:pos="1277"/>
          <w:tab w:val="left" w:pos="4950"/>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发包</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w:t>
      </w:r>
      <w:r>
        <w:rPr>
          <w:rFonts w:ascii="Times New Roman" w:cs="Times New Roman"/>
          <w:color w:val="000000" w:themeColor="text1"/>
          <w:spacing w:val="-3"/>
          <w:highlight w:val="none"/>
          <w14:textFill>
            <w14:solidFill>
              <w14:schemeClr w14:val="tx1"/>
            </w14:solidFill>
          </w14:textFill>
        </w:rPr>
        <w:t>公</w:t>
      </w:r>
      <w:r>
        <w:rPr>
          <w:rFonts w:ascii="Times New Roman" w:cs="Times New Roman"/>
          <w:color w:val="000000" w:themeColor="text1"/>
          <w:highlight w:val="none"/>
          <w14:textFill>
            <w14:solidFill>
              <w14:schemeClr w14:val="tx1"/>
            </w14:solidFill>
          </w14:textFill>
        </w:rPr>
        <w:t>章</w:t>
      </w:r>
      <w:r>
        <w:rPr>
          <w:rFonts w:hint="eastAsia"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承包</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14:textFill>
            <w14:solidFill>
              <w14:schemeClr w14:val="tx1"/>
            </w14:solidFill>
          </w14:textFill>
        </w:rPr>
        <w:t xml:space="preserve">                  </w:t>
      </w:r>
      <w:r>
        <w:rPr>
          <w:rFonts w:hint="eastAsia" w:ascii="Times New Roman" w:cs="Times New Roman"/>
          <w:color w:val="000000" w:themeColor="text1"/>
          <w:highlight w:val="none"/>
          <w:lang w:val="en-US" w:eastAsia="zh-CN"/>
          <w14:textFill>
            <w14:solidFill>
              <w14:schemeClr w14:val="tx1"/>
            </w14:solidFill>
          </w14:textFill>
        </w:rPr>
        <w:t xml:space="preserve"> </w:t>
      </w:r>
      <w:r>
        <w:rPr>
          <w:rFonts w:hint="eastAsia" w:ascii="Times New Roman" w:cs="Times New Roman"/>
          <w:color w:val="000000" w:themeColor="text1"/>
          <w:highlight w:val="none"/>
          <w:lang w:val="en-US"/>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w:t>
      </w:r>
      <w:r>
        <w:rPr>
          <w:rFonts w:ascii="Times New Roman" w:cs="Times New Roman"/>
          <w:color w:val="000000" w:themeColor="text1"/>
          <w:spacing w:val="-3"/>
          <w:highlight w:val="none"/>
          <w14:textFill>
            <w14:solidFill>
              <w14:schemeClr w14:val="tx1"/>
            </w14:solidFill>
          </w14:textFill>
        </w:rPr>
        <w:t>公</w:t>
      </w:r>
      <w:r>
        <w:rPr>
          <w:rFonts w:ascii="Times New Roman" w:cs="Times New Roman"/>
          <w:color w:val="000000" w:themeColor="text1"/>
          <w:highlight w:val="none"/>
          <w14:textFill>
            <w14:solidFill>
              <w14:schemeClr w14:val="tx1"/>
            </w14:solidFill>
          </w14:textFill>
        </w:rPr>
        <w:t>章</w:t>
      </w:r>
      <w:r>
        <w:rPr>
          <w:rFonts w:hint="eastAsia" w:ascii="Times New Roman" w:hAnsi="Times New Roman" w:cs="Times New Roman"/>
          <w:color w:val="000000" w:themeColor="text1"/>
          <w:highlight w:val="none"/>
          <w14:textFill>
            <w14:solidFill>
              <w14:schemeClr w14:val="tx1"/>
            </w14:solidFill>
          </w14:textFill>
        </w:rPr>
        <w:t>）</w:t>
      </w:r>
    </w:p>
    <w:p w14:paraId="1615A295">
      <w:pPr>
        <w:pStyle w:val="19"/>
        <w:keepNext w:val="0"/>
        <w:keepLines w:val="0"/>
        <w:pageBreakBefore w:val="0"/>
        <w:widowControl w:val="0"/>
        <w:tabs>
          <w:tab w:val="left" w:pos="4950"/>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法定</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表人</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法定</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表人</w:t>
      </w:r>
    </w:p>
    <w:p w14:paraId="718A2F67">
      <w:pPr>
        <w:pStyle w:val="19"/>
        <w:keepNext w:val="0"/>
        <w:keepLines w:val="0"/>
        <w:pageBreakBefore w:val="0"/>
        <w:widowControl w:val="0"/>
        <w:tabs>
          <w:tab w:val="left" w:pos="4950"/>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或其</w:t>
      </w:r>
      <w:r>
        <w:rPr>
          <w:rFonts w:ascii="Times New Roman" w:cs="Times New Roman"/>
          <w:color w:val="000000" w:themeColor="text1"/>
          <w:spacing w:val="-3"/>
          <w:highlight w:val="none"/>
          <w14:textFill>
            <w14:solidFill>
              <w14:schemeClr w14:val="tx1"/>
            </w14:solidFill>
          </w14:textFill>
        </w:rPr>
        <w:t>委</w:t>
      </w:r>
      <w:r>
        <w:rPr>
          <w:rFonts w:ascii="Times New Roman" w:cs="Times New Roman"/>
          <w:color w:val="000000" w:themeColor="text1"/>
          <w:highlight w:val="none"/>
          <w14:textFill>
            <w14:solidFill>
              <w14:schemeClr w14:val="tx1"/>
            </w14:solidFill>
          </w14:textFill>
        </w:rPr>
        <w:t>托</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理</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或其</w:t>
      </w:r>
      <w:r>
        <w:rPr>
          <w:rFonts w:ascii="Times New Roman" w:cs="Times New Roman"/>
          <w:color w:val="000000" w:themeColor="text1"/>
          <w:spacing w:val="-3"/>
          <w:highlight w:val="none"/>
          <w14:textFill>
            <w14:solidFill>
              <w14:schemeClr w14:val="tx1"/>
            </w14:solidFill>
          </w14:textFill>
        </w:rPr>
        <w:t>委</w:t>
      </w:r>
      <w:r>
        <w:rPr>
          <w:rFonts w:ascii="Times New Roman" w:cs="Times New Roman"/>
          <w:color w:val="000000" w:themeColor="text1"/>
          <w:highlight w:val="none"/>
          <w14:textFill>
            <w14:solidFill>
              <w14:schemeClr w14:val="tx1"/>
            </w14:solidFill>
          </w14:textFill>
        </w:rPr>
        <w:t>托</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理</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p>
    <w:p w14:paraId="55193316">
      <w:pPr>
        <w:pStyle w:val="19"/>
        <w:keepNext w:val="0"/>
        <w:keepLines w:val="0"/>
        <w:pageBreakBefore w:val="0"/>
        <w:widowControl w:val="0"/>
        <w:tabs>
          <w:tab w:val="left" w:pos="4952"/>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（签</w:t>
      </w:r>
      <w:r>
        <w:rPr>
          <w:rFonts w:ascii="Times New Roman" w:cs="Times New Roman"/>
          <w:color w:val="000000" w:themeColor="text1"/>
          <w:spacing w:val="-3"/>
          <w:highlight w:val="none"/>
          <w14:textFill>
            <w14:solidFill>
              <w14:schemeClr w14:val="tx1"/>
            </w14:solidFill>
          </w14:textFill>
        </w:rPr>
        <w:t>字</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（签</w:t>
      </w:r>
      <w:r>
        <w:rPr>
          <w:rFonts w:ascii="Times New Roman" w:cs="Times New Roman"/>
          <w:color w:val="000000" w:themeColor="text1"/>
          <w:spacing w:val="-3"/>
          <w:highlight w:val="none"/>
          <w14:textFill>
            <w14:solidFill>
              <w14:schemeClr w14:val="tx1"/>
            </w14:solidFill>
          </w14:textFill>
        </w:rPr>
        <w:t>字</w:t>
      </w:r>
      <w:r>
        <w:rPr>
          <w:rFonts w:ascii="Times New Roman" w:cs="Times New Roman"/>
          <w:color w:val="000000" w:themeColor="text1"/>
          <w:highlight w:val="none"/>
          <w14:textFill>
            <w14:solidFill>
              <w14:schemeClr w14:val="tx1"/>
            </w14:solidFill>
          </w14:textFill>
        </w:rPr>
        <w:t>）</w:t>
      </w:r>
    </w:p>
    <w:p w14:paraId="1F5086EB">
      <w:pPr>
        <w:pStyle w:val="19"/>
        <w:keepNext w:val="0"/>
        <w:keepLines w:val="0"/>
        <w:pageBreakBefore w:val="0"/>
        <w:widowControl w:val="0"/>
        <w:tabs>
          <w:tab w:val="left" w:pos="3210"/>
          <w:tab w:val="left" w:pos="4952"/>
          <w:tab w:val="left" w:pos="8151"/>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组织</w:t>
      </w:r>
      <w:r>
        <w:rPr>
          <w:rFonts w:ascii="Times New Roman" w:cs="Times New Roman"/>
          <w:color w:val="000000" w:themeColor="text1"/>
          <w:spacing w:val="-3"/>
          <w:highlight w:val="none"/>
          <w14:textFill>
            <w14:solidFill>
              <w14:schemeClr w14:val="tx1"/>
            </w14:solidFill>
          </w14:textFill>
        </w:rPr>
        <w:t>机</w:t>
      </w:r>
      <w:r>
        <w:rPr>
          <w:rFonts w:ascii="Times New Roman" w:cs="Times New Roman"/>
          <w:color w:val="000000" w:themeColor="text1"/>
          <w:highlight w:val="none"/>
          <w14:textFill>
            <w14:solidFill>
              <w14:schemeClr w14:val="tx1"/>
            </w14:solidFill>
          </w14:textFill>
        </w:rPr>
        <w:t>构</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码</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spacing w:val="-3"/>
          <w:highlight w:val="none"/>
          <w:u w:val="single"/>
          <w14:textFill>
            <w14:solidFill>
              <w14:schemeClr w14:val="tx1"/>
            </w14:solidFill>
          </w14:textFill>
        </w:rPr>
        <w:t xml:space="preserve"> </w:t>
      </w:r>
      <w:r>
        <w:rPr>
          <w:rFonts w:ascii="Times New Roman" w:hAnsi="Times New Roman" w:cs="Times New Roman"/>
          <w:color w:val="000000" w:themeColor="text1"/>
          <w:spacing w:val="-3"/>
          <w:highlight w:val="none"/>
          <w:u w:val="single"/>
          <w14:textFill>
            <w14:solidFill>
              <w14:schemeClr w14:val="tx1"/>
            </w14:solidFill>
          </w14:textFill>
        </w:rPr>
        <w:tab/>
      </w:r>
      <w:r>
        <w:rPr>
          <w:rFonts w:ascii="Times New Roman" w:hAnsi="Times New Roman" w:cs="Times New Roman"/>
          <w:color w:val="000000" w:themeColor="text1"/>
          <w:spacing w:val="-3"/>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组织</w:t>
      </w:r>
      <w:r>
        <w:rPr>
          <w:rFonts w:ascii="Times New Roman" w:cs="Times New Roman"/>
          <w:color w:val="000000" w:themeColor="text1"/>
          <w:spacing w:val="-3"/>
          <w:highlight w:val="none"/>
          <w14:textFill>
            <w14:solidFill>
              <w14:schemeClr w14:val="tx1"/>
            </w14:solidFill>
          </w14:textFill>
        </w:rPr>
        <w:t>机</w:t>
      </w:r>
      <w:r>
        <w:rPr>
          <w:rFonts w:ascii="Times New Roman" w:cs="Times New Roman"/>
          <w:color w:val="000000" w:themeColor="text1"/>
          <w:highlight w:val="none"/>
          <w14:textFill>
            <w14:solidFill>
              <w14:schemeClr w14:val="tx1"/>
            </w14:solidFill>
          </w14:textFill>
        </w:rPr>
        <w:t>构</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码</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7C9FEA6E">
      <w:pPr>
        <w:pStyle w:val="19"/>
        <w:keepNext w:val="0"/>
        <w:keepLines w:val="0"/>
        <w:pageBreakBefore w:val="0"/>
        <w:widowControl w:val="0"/>
        <w:tabs>
          <w:tab w:val="left" w:pos="648"/>
          <w:tab w:val="left" w:pos="3210"/>
          <w:tab w:val="left" w:pos="4952"/>
          <w:tab w:val="left" w:pos="5374"/>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地</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址</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地</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址</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74B17A72">
      <w:pPr>
        <w:pStyle w:val="19"/>
        <w:keepNext w:val="0"/>
        <w:keepLines w:val="0"/>
        <w:pageBreakBefore w:val="0"/>
        <w:widowControl w:val="0"/>
        <w:tabs>
          <w:tab w:val="left" w:pos="3216"/>
          <w:tab w:val="left" w:pos="4952"/>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邮政</w:t>
      </w:r>
      <w:r>
        <w:rPr>
          <w:rFonts w:ascii="Times New Roman" w:cs="Times New Roman"/>
          <w:color w:val="000000" w:themeColor="text1"/>
          <w:spacing w:val="-3"/>
          <w:highlight w:val="none"/>
          <w14:textFill>
            <w14:solidFill>
              <w14:schemeClr w14:val="tx1"/>
            </w14:solidFill>
          </w14:textFill>
        </w:rPr>
        <w:t>编</w:t>
      </w:r>
      <w:r>
        <w:rPr>
          <w:rFonts w:ascii="Times New Roman" w:cs="Times New Roman"/>
          <w:color w:val="000000" w:themeColor="text1"/>
          <w:highlight w:val="none"/>
          <w14:textFill>
            <w14:solidFill>
              <w14:schemeClr w14:val="tx1"/>
            </w14:solidFill>
          </w14:textFill>
        </w:rPr>
        <w:t>码</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spacing w:val="-3"/>
          <w:highlight w:val="none"/>
          <w:u w:val="single"/>
          <w14:textFill>
            <w14:solidFill>
              <w14:schemeClr w14:val="tx1"/>
            </w14:solidFill>
          </w14:textFill>
        </w:rPr>
        <w:t xml:space="preserve"> </w:t>
      </w:r>
      <w:r>
        <w:rPr>
          <w:rFonts w:ascii="Times New Roman" w:hAnsi="Times New Roman" w:cs="Times New Roman"/>
          <w:color w:val="000000" w:themeColor="text1"/>
          <w:spacing w:val="-3"/>
          <w:highlight w:val="none"/>
          <w:u w:val="single"/>
          <w14:textFill>
            <w14:solidFill>
              <w14:schemeClr w14:val="tx1"/>
            </w14:solidFill>
          </w14:textFill>
        </w:rPr>
        <w:tab/>
      </w:r>
      <w:r>
        <w:rPr>
          <w:rFonts w:ascii="Times New Roman" w:hAnsi="Times New Roman" w:cs="Times New Roman"/>
          <w:color w:val="000000" w:themeColor="text1"/>
          <w:spacing w:val="-3"/>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邮政</w:t>
      </w:r>
      <w:r>
        <w:rPr>
          <w:rFonts w:ascii="Times New Roman" w:cs="Times New Roman"/>
          <w:color w:val="000000" w:themeColor="text1"/>
          <w:spacing w:val="-3"/>
          <w:highlight w:val="none"/>
          <w14:textFill>
            <w14:solidFill>
              <w14:schemeClr w14:val="tx1"/>
            </w14:solidFill>
          </w14:textFill>
        </w:rPr>
        <w:t>编</w:t>
      </w:r>
      <w:r>
        <w:rPr>
          <w:rFonts w:ascii="Times New Roman" w:cs="Times New Roman"/>
          <w:color w:val="000000" w:themeColor="text1"/>
          <w:highlight w:val="none"/>
          <w14:textFill>
            <w14:solidFill>
              <w14:schemeClr w14:val="tx1"/>
            </w14:solidFill>
          </w14:textFill>
        </w:rPr>
        <w:t>码：</w:t>
      </w:r>
      <w:r>
        <w:rPr>
          <w:rFonts w:ascii="Times New Roman" w:hAnsi="Times New Roman" w:cs="Times New Roman"/>
          <w:color w:val="000000" w:themeColor="text1"/>
          <w:spacing w:val="2"/>
          <w:highlight w:val="none"/>
          <w14:textFill>
            <w14:solidFill>
              <w14:schemeClr w14:val="tx1"/>
            </w14:solidFill>
          </w14:textFill>
        </w:rPr>
        <w:t xml:space="preserve"> </w:t>
      </w:r>
      <w:r>
        <w:rPr>
          <w:rFonts w:ascii="Times New Roman" w:hAnsi="Times New Roman" w:cs="Times New Roman"/>
          <w:color w:val="000000" w:themeColor="text1"/>
          <w:spacing w:val="2"/>
          <w:highlight w:val="none"/>
          <w14:textFill>
            <w14:solidFill>
              <w14:schemeClr w14:val="tx1"/>
            </w14:solidFill>
          </w14:textFill>
        </w:rPr>
        <mc:AlternateContent>
          <mc:Choice Requires="wpg">
            <w:drawing>
              <wp:inline distT="0" distB="0" distL="114300" distR="114300">
                <wp:extent cx="1332230" cy="7620"/>
                <wp:effectExtent l="0" t="0" r="0" b="0"/>
                <wp:docPr id="58" name="组合 59"/>
                <wp:cNvGraphicFramePr/>
                <a:graphic xmlns:a="http://schemas.openxmlformats.org/drawingml/2006/main">
                  <a:graphicData uri="http://schemas.microsoft.com/office/word/2010/wordprocessingGroup">
                    <wpg:wgp>
                      <wpg:cNvGrpSpPr>
                        <a:grpSpLocks noRot="1"/>
                      </wpg:cNvGrpSpPr>
                      <wpg:grpSpPr>
                        <a:xfrm>
                          <a:off x="0" y="0"/>
                          <a:ext cx="1332230" cy="7620"/>
                          <a:chOff x="0" y="0"/>
                          <a:chExt cx="2098" cy="12"/>
                        </a:xfrm>
                        <a:effectLst/>
                      </wpg:grpSpPr>
                      <wps:wsp>
                        <wps:cNvPr id="57" name="直线 60"/>
                        <wps:cNvCnPr/>
                        <wps:spPr>
                          <a:xfrm>
                            <a:off x="0" y="6"/>
                            <a:ext cx="2098" cy="0"/>
                          </a:xfrm>
                          <a:prstGeom prst="line">
                            <a:avLst/>
                          </a:prstGeom>
                          <a:ln w="7620" cap="flat" cmpd="sng">
                            <a:solidFill>
                              <a:srgbClr val="000000"/>
                            </a:solidFill>
                            <a:prstDash val="solid"/>
                            <a:headEnd type="none" w="med" len="med"/>
                            <a:tailEnd type="none" w="med" len="med"/>
                          </a:ln>
                          <a:effectLst/>
                        </wps:spPr>
                        <wps:bodyPr upright="1"/>
                      </wps:wsp>
                    </wpg:wgp>
                  </a:graphicData>
                </a:graphic>
              </wp:inline>
            </w:drawing>
          </mc:Choice>
          <mc:Fallback>
            <w:pict>
              <v:group id="组合 59" o:spid="_x0000_s1026" o:spt="203" style="height:0.6pt;width:104.9pt;" coordsize="2098,12" o:gfxdata="UEsDBAoAAAAAAIdO4kAAAAAAAAAAAAAAAAAEAAAAZHJzL1BLAwQUAAAACACHTuJAu3BIyNMAAAAD&#10;AQAADwAAAGRycy9kb3ducmV2LnhtbE2PQUvDQBCF74L/YRnBm90komiaTZGinopgK0hv0+w0Cc3O&#10;huw2af+9oxd7GXi8x5vvFYuT69RIQ2g9G0hnCSjiytuWawNfm7e7J1AhIlvsPJOBMwVYlNdXBebW&#10;T/xJ4zrWSko45GigibHPtQ5VQw7DzPfE4u394DCKHGptB5yk3HU6S5JH7bBl+dBgT8uGqsP66Ay8&#10;Tzi93Kev4+qwX563m4eP71VKxtzepMkcVKRT/A/DL76gQylMO39kG1RnQIbEvyteljzLjJ2EMtBl&#10;oS/Zyx9QSwMEFAAAAAgAh07iQK+eqnNgAgAARwUAAA4AAABkcnMvZTJvRG9jLnhtbKWUvW7bMBDH&#10;9wJ9B4J7I1tGnEaInCFOvARt0LQPwFCURJRf4NGWvXfo2L2v0akd+jRFXqNHWrJjZwlaDQI/7o73&#10;/92RF5drrchKeJDWlHR8MqJEGG4raZqSfvp48+YtJRCYqZiyRpR0I4Bezl6/uuhcIXLbWlUJTzCI&#10;gaJzJW1DcEWWAW+FZnBinTC4WVuvWcCpb7LKsw6ja5Xlo9E066yvnLdcAODqfLtJ+4j+JQFtXUsu&#10;5pYvtTBhG9ULxQJKglY6oLOUbV0LHt7XNYhAVElRaUh/PATHD/GfzS5Y0XjmWsn7FNhLUjjSpJk0&#10;eOgu1JwFRpZePgulJfcWbB1OuNXZVkgigirGoyM2C2+XLmlpiq5xO+hYqCPq/xyWv1vdeSKrkp5i&#10;3Q3TWPHHX1/+fPtKTs8jnc41BRotvLt3d34rEYe3ln8GYuwHi0jH0TA7tozzZu+2rr2O7qiZrFMB&#10;NrsCiHUgHBfHk0meT7A2HPfOpnlfH95iEZ858fa6d8tH55h89BnnKRVWDKeJ1AO3EIYMdxl1DvsX&#10;9lDh/6Det8yJVCuIvAaoZzuo3388/vxNpklSPBuNrsydT4ihgB7ukPcBpWkUxYqB0l5uCpbt1ToP&#10;YSGsJnFQUiVNTIkVbNUTYMVgEpeVIV3PmXCGd7nGO4QgtcN+ANMkX7BKVjdSqegBvnm4Up6sWLxP&#10;6euBH5jFQ+YM2q1d2tpKaAWrrk1FwsZhoxl8YGhMQYuKEiXwPYqjJDYwqV5iieqVSXQOKz0gjagf&#10;bLXBgiydl037pF9TA/Sdi/cLRwcX+Ok8We3fv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3BI&#10;yNMAAAADAQAADwAAAAAAAAABACAAAAAiAAAAZHJzL2Rvd25yZXYueG1sUEsBAhQAFAAAAAgAh07i&#10;QK+eqnNgAgAARwUAAA4AAAAAAAAAAQAgAAAAIgEAAGRycy9lMm9Eb2MueG1sUEsFBgAAAAAGAAYA&#10;WQEAAPQFAAAAAA==&#10;">
                <o:lock v:ext="edit" rotation="t" aspectratio="f"/>
                <v:line id="直线 60" o:spid="_x0000_s1026" o:spt="20" style="position:absolute;left:0;top:6;height:0;width:2098;" filled="f" stroked="t" coordsize="21600,21600" o:gfxdata="UEsDBAoAAAAAAIdO4kAAAAAAAAAAAAAAAAAEAAAAZHJzL1BLAwQUAAAACACHTuJAsDefD7wAAADb&#10;AAAADwAAAGRycy9kb3ducmV2LnhtbEWPT4vCMBTE78J+h/AWvGmq4B+qUXDdBS8q6rLnR/Nsis1L&#10;abKt+umNIHgcZuY3zHx5taVoqPaFYwWDfgKCOHO64FzB7+mnNwXhA7LG0jEpuJGH5eKjM8dUu5YP&#10;1BxDLiKEfYoKTAhVKqXPDFn0fVcRR+/saoshyjqXusY2wm0ph0kylhYLjgsGK/oylF2O/1bBfdya&#10;tfzeTfbmT66m++2pGdJaqe7nIJmBCHQN7/CrvdEKRh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3nw+8AAAA&#10;2w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w10:wrap type="none"/>
                <w10:anchorlock/>
              </v:group>
            </w:pict>
          </mc:Fallback>
        </mc:AlternateContent>
      </w:r>
    </w:p>
    <w:p w14:paraId="58E8BF5C">
      <w:pPr>
        <w:pStyle w:val="19"/>
        <w:keepNext w:val="0"/>
        <w:keepLines w:val="0"/>
        <w:pageBreakBefore w:val="0"/>
        <w:widowControl w:val="0"/>
        <w:tabs>
          <w:tab w:val="left" w:pos="3210"/>
          <w:tab w:val="left" w:pos="4952"/>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法定</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表</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法定</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表</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55AC3794">
      <w:pPr>
        <w:pStyle w:val="19"/>
        <w:keepNext w:val="0"/>
        <w:keepLines w:val="0"/>
        <w:pageBreakBefore w:val="0"/>
        <w:widowControl w:val="0"/>
        <w:tabs>
          <w:tab w:val="left" w:pos="3210"/>
          <w:tab w:val="left" w:pos="4952"/>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委托</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理</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委托</w:t>
      </w:r>
      <w:r>
        <w:rPr>
          <w:rFonts w:ascii="Times New Roman" w:cs="Times New Roman"/>
          <w:color w:val="000000" w:themeColor="text1"/>
          <w:spacing w:val="-3"/>
          <w:highlight w:val="none"/>
          <w14:textFill>
            <w14:solidFill>
              <w14:schemeClr w14:val="tx1"/>
            </w14:solidFill>
          </w14:textFill>
        </w:rPr>
        <w:t>代</w:t>
      </w:r>
      <w:r>
        <w:rPr>
          <w:rFonts w:ascii="Times New Roman" w:cs="Times New Roman"/>
          <w:color w:val="000000" w:themeColor="text1"/>
          <w:highlight w:val="none"/>
          <w14:textFill>
            <w14:solidFill>
              <w14:schemeClr w14:val="tx1"/>
            </w14:solidFill>
          </w14:textFill>
        </w:rPr>
        <w:t>理</w:t>
      </w:r>
      <w:r>
        <w:rPr>
          <w:rFonts w:ascii="Times New Roman" w:cs="Times New Roman"/>
          <w:color w:val="000000" w:themeColor="text1"/>
          <w:spacing w:val="-3"/>
          <w:highlight w:val="none"/>
          <w14:textFill>
            <w14:solidFill>
              <w14:schemeClr w14:val="tx1"/>
            </w14:solidFill>
          </w14:textFill>
        </w:rPr>
        <w:t>人</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65561FFE">
      <w:pPr>
        <w:pStyle w:val="19"/>
        <w:keepNext w:val="0"/>
        <w:keepLines w:val="0"/>
        <w:pageBreakBefore w:val="0"/>
        <w:widowControl w:val="0"/>
        <w:tabs>
          <w:tab w:val="left" w:pos="648"/>
          <w:tab w:val="left" w:pos="3210"/>
          <w:tab w:val="left" w:pos="4952"/>
          <w:tab w:val="left" w:pos="5374"/>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电</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话</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电</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话</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3F6BF1D5">
      <w:pPr>
        <w:pStyle w:val="19"/>
        <w:keepNext w:val="0"/>
        <w:keepLines w:val="0"/>
        <w:pageBreakBefore w:val="0"/>
        <w:widowControl w:val="0"/>
        <w:tabs>
          <w:tab w:val="left" w:pos="648"/>
          <w:tab w:val="left" w:pos="3210"/>
          <w:tab w:val="left" w:pos="4952"/>
          <w:tab w:val="left" w:pos="5374"/>
          <w:tab w:val="left" w:pos="8145"/>
        </w:tabs>
        <w:kinsoku/>
        <w:wordWrap/>
        <w:overflowPunct/>
        <w:topLinePunct w:val="0"/>
        <w:autoSpaceDE w:val="0"/>
        <w:autoSpaceDN w:val="0"/>
        <w:bidi w:val="0"/>
        <w:adjustRightInd/>
        <w:snapToGrid/>
        <w:spacing w:line="500" w:lineRule="exact"/>
        <w:textAlignment w:val="auto"/>
        <w:rPr>
          <w:rFonts w:hint="eastAsia"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传</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真</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传</w:t>
      </w:r>
      <w:r>
        <w:rPr>
          <w:rFonts w:ascii="Times New Roman" w:hAnsi="Times New Roman" w:cs="Times New Roman"/>
          <w:color w:val="000000" w:themeColor="text1"/>
          <w:highlight w:val="none"/>
          <w14:textFill>
            <w14:solidFill>
              <w14:schemeClr w14:val="tx1"/>
            </w14:solidFill>
          </w14:textFill>
        </w:rPr>
        <w:tab/>
      </w:r>
      <w:r>
        <w:rPr>
          <w:rFonts w:ascii="Times New Roman" w:cs="Times New Roman"/>
          <w:color w:val="000000" w:themeColor="text1"/>
          <w:spacing w:val="-3"/>
          <w:highlight w:val="none"/>
          <w14:textFill>
            <w14:solidFill>
              <w14:schemeClr w14:val="tx1"/>
            </w14:solidFill>
          </w14:textFill>
        </w:rPr>
        <w:t>真</w:t>
      </w:r>
      <w:r>
        <w:rPr>
          <w:rFonts w:asci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6ED1AE60">
      <w:pPr>
        <w:pStyle w:val="19"/>
        <w:keepNext w:val="0"/>
        <w:keepLines w:val="0"/>
        <w:pageBreakBefore w:val="0"/>
        <w:widowControl w:val="0"/>
        <w:tabs>
          <w:tab w:val="left" w:pos="3210"/>
          <w:tab w:val="left" w:pos="4952"/>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电子</w:t>
      </w:r>
      <w:r>
        <w:rPr>
          <w:rFonts w:ascii="Times New Roman" w:cs="Times New Roman"/>
          <w:color w:val="000000" w:themeColor="text1"/>
          <w:spacing w:val="-3"/>
          <w:highlight w:val="none"/>
          <w14:textFill>
            <w14:solidFill>
              <w14:schemeClr w14:val="tx1"/>
            </w14:solidFill>
          </w14:textFill>
        </w:rPr>
        <w:t>信</w:t>
      </w:r>
      <w:r>
        <w:rPr>
          <w:rFonts w:ascii="Times New Roman" w:cs="Times New Roman"/>
          <w:color w:val="000000" w:themeColor="text1"/>
          <w:highlight w:val="none"/>
          <w14:textFill>
            <w14:solidFill>
              <w14:schemeClr w14:val="tx1"/>
            </w14:solidFill>
          </w14:textFill>
        </w:rPr>
        <w:t>箱</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spacing w:val="-3"/>
          <w:highlight w:val="none"/>
          <w:u w:val="single"/>
          <w14:textFill>
            <w14:solidFill>
              <w14:schemeClr w14:val="tx1"/>
            </w14:solidFill>
          </w14:textFill>
        </w:rPr>
        <w:t xml:space="preserve"> </w:t>
      </w:r>
      <w:r>
        <w:rPr>
          <w:rFonts w:ascii="Times New Roman" w:hAnsi="Times New Roman" w:cs="Times New Roman"/>
          <w:color w:val="000000" w:themeColor="text1"/>
          <w:spacing w:val="-3"/>
          <w:highlight w:val="none"/>
          <w:u w:val="single"/>
          <w14:textFill>
            <w14:solidFill>
              <w14:schemeClr w14:val="tx1"/>
            </w14:solidFill>
          </w14:textFill>
        </w:rPr>
        <w:tab/>
      </w:r>
      <w:r>
        <w:rPr>
          <w:rFonts w:ascii="Times New Roman" w:hAnsi="Times New Roman" w:cs="Times New Roman"/>
          <w:color w:val="000000" w:themeColor="text1"/>
          <w:spacing w:val="-3"/>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电子</w:t>
      </w:r>
      <w:r>
        <w:rPr>
          <w:rFonts w:ascii="Times New Roman" w:cs="Times New Roman"/>
          <w:color w:val="000000" w:themeColor="text1"/>
          <w:spacing w:val="-3"/>
          <w:highlight w:val="none"/>
          <w14:textFill>
            <w14:solidFill>
              <w14:schemeClr w14:val="tx1"/>
            </w14:solidFill>
          </w14:textFill>
        </w:rPr>
        <w:t>信</w:t>
      </w:r>
      <w:r>
        <w:rPr>
          <w:rFonts w:ascii="Times New Roman" w:cs="Times New Roman"/>
          <w:color w:val="000000" w:themeColor="text1"/>
          <w:highlight w:val="none"/>
          <w14:textFill>
            <w14:solidFill>
              <w14:schemeClr w14:val="tx1"/>
            </w14:solidFill>
          </w14:textFill>
        </w:rPr>
        <w:t>箱</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227015D9">
      <w:pPr>
        <w:pStyle w:val="19"/>
        <w:keepNext w:val="0"/>
        <w:keepLines w:val="0"/>
        <w:pageBreakBefore w:val="0"/>
        <w:widowControl w:val="0"/>
        <w:tabs>
          <w:tab w:val="left" w:pos="3210"/>
          <w:tab w:val="left" w:pos="4952"/>
          <w:tab w:val="left" w:pos="8149"/>
        </w:tabs>
        <w:kinsoku/>
        <w:wordWrap/>
        <w:overflowPunct/>
        <w:topLinePunct w:val="0"/>
        <w:autoSpaceDE w:val="0"/>
        <w:autoSpaceDN w:val="0"/>
        <w:bidi w:val="0"/>
        <w:adjustRightInd/>
        <w:snapToGrid/>
        <w:spacing w:line="50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cs="Times New Roman"/>
          <w:color w:val="000000" w:themeColor="text1"/>
          <w:highlight w:val="none"/>
          <w14:textFill>
            <w14:solidFill>
              <w14:schemeClr w14:val="tx1"/>
            </w14:solidFill>
          </w14:textFill>
        </w:rPr>
        <w:t>开户</w:t>
      </w:r>
      <w:r>
        <w:rPr>
          <w:rFonts w:ascii="Times New Roman" w:cs="Times New Roman"/>
          <w:color w:val="000000" w:themeColor="text1"/>
          <w:spacing w:val="-3"/>
          <w:highlight w:val="none"/>
          <w14:textFill>
            <w14:solidFill>
              <w14:schemeClr w14:val="tx1"/>
            </w14:solidFill>
          </w14:textFill>
        </w:rPr>
        <w:t>银</w:t>
      </w:r>
      <w:r>
        <w:rPr>
          <w:rFonts w:ascii="Times New Roman" w:cs="Times New Roman"/>
          <w:color w:val="000000" w:themeColor="text1"/>
          <w:highlight w:val="none"/>
          <w14:textFill>
            <w14:solidFill>
              <w14:schemeClr w14:val="tx1"/>
            </w14:solidFill>
          </w14:textFill>
        </w:rPr>
        <w:t>行</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spacing w:val="-3"/>
          <w:highlight w:val="none"/>
          <w:u w:val="single"/>
          <w14:textFill>
            <w14:solidFill>
              <w14:schemeClr w14:val="tx1"/>
            </w14:solidFill>
          </w14:textFill>
        </w:rPr>
        <w:t xml:space="preserve"> </w:t>
      </w:r>
      <w:r>
        <w:rPr>
          <w:rFonts w:ascii="Times New Roman" w:hAnsi="Times New Roman" w:cs="Times New Roman"/>
          <w:color w:val="000000" w:themeColor="text1"/>
          <w:spacing w:val="-3"/>
          <w:highlight w:val="none"/>
          <w:u w:val="single"/>
          <w14:textFill>
            <w14:solidFill>
              <w14:schemeClr w14:val="tx1"/>
            </w14:solidFill>
          </w14:textFill>
        </w:rPr>
        <w:tab/>
      </w:r>
      <w:r>
        <w:rPr>
          <w:rFonts w:ascii="Times New Roman" w:hAnsi="Times New Roman" w:cs="Times New Roman"/>
          <w:color w:val="000000" w:themeColor="text1"/>
          <w:spacing w:val="-3"/>
          <w:highlight w:val="none"/>
          <w14:textFill>
            <w14:solidFill>
              <w14:schemeClr w14:val="tx1"/>
            </w14:solidFill>
          </w14:textFill>
        </w:rPr>
        <w:tab/>
      </w:r>
      <w:r>
        <w:rPr>
          <w:rFonts w:ascii="Times New Roman" w:cs="Times New Roman"/>
          <w:color w:val="000000" w:themeColor="text1"/>
          <w:highlight w:val="none"/>
          <w14:textFill>
            <w14:solidFill>
              <w14:schemeClr w14:val="tx1"/>
            </w14:solidFill>
          </w14:textFill>
        </w:rPr>
        <w:t>开户</w:t>
      </w:r>
      <w:r>
        <w:rPr>
          <w:rFonts w:ascii="Times New Roman" w:cs="Times New Roman"/>
          <w:color w:val="000000" w:themeColor="text1"/>
          <w:spacing w:val="-3"/>
          <w:highlight w:val="none"/>
          <w14:textFill>
            <w14:solidFill>
              <w14:schemeClr w14:val="tx1"/>
            </w14:solidFill>
          </w14:textFill>
        </w:rPr>
        <w:t>银</w:t>
      </w:r>
      <w:r>
        <w:rPr>
          <w:rFonts w:ascii="Times New Roman" w:cs="Times New Roman"/>
          <w:color w:val="000000" w:themeColor="text1"/>
          <w:highlight w:val="none"/>
          <w14:textFill>
            <w14:solidFill>
              <w14:schemeClr w14:val="tx1"/>
            </w14:solidFill>
          </w14:textFill>
        </w:rPr>
        <w:t>行</w:t>
      </w:r>
      <w:r>
        <w:rPr>
          <w:rFonts w:ascii="Times New Roman" w:cs="Times New Roman"/>
          <w:color w:val="000000" w:themeColor="text1"/>
          <w:spacing w:val="-3"/>
          <w:highlight w:val="none"/>
          <w14:textFill>
            <w14:solidFill>
              <w14:schemeClr w14:val="tx1"/>
            </w14:solidFill>
          </w14:textFill>
        </w:rPr>
        <w:t>：</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ab/>
      </w:r>
    </w:p>
    <w:p w14:paraId="3681EB79">
      <w:pPr>
        <w:pStyle w:val="19"/>
        <w:keepNext w:val="0"/>
        <w:keepLines w:val="0"/>
        <w:pageBreakBefore w:val="0"/>
        <w:widowControl w:val="0"/>
        <w:tabs>
          <w:tab w:val="left" w:pos="648"/>
          <w:tab w:val="left" w:pos="3210"/>
          <w:tab w:val="left" w:pos="4952"/>
          <w:tab w:val="left" w:pos="5374"/>
          <w:tab w:val="left" w:pos="8149"/>
        </w:tabs>
        <w:kinsoku/>
        <w:wordWrap/>
        <w:overflowPunct/>
        <w:topLinePunct w:val="0"/>
        <w:autoSpaceDE w:val="0"/>
        <w:autoSpaceDN w:val="0"/>
        <w:bidi w:val="0"/>
        <w:adjustRightInd/>
        <w:snapToGrid/>
        <w:spacing w:line="500" w:lineRule="exact"/>
        <w:textAlignment w:val="auto"/>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账</w:t>
      </w:r>
      <w:r>
        <w:rPr>
          <w:rFonts w:hint="eastAsia"/>
          <w:color w:val="000000" w:themeColor="text1"/>
          <w:highlight w:val="none"/>
          <w14:textFill>
            <w14:solidFill>
              <w14:schemeClr w14:val="tx1"/>
            </w14:solidFill>
          </w14:textFill>
        </w:rPr>
        <w:tab/>
      </w:r>
      <w:r>
        <w:rPr>
          <w:rFonts w:hint="eastAsia"/>
          <w:color w:val="000000" w:themeColor="text1"/>
          <w:spacing w:val="-3"/>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ab/>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账</w:t>
      </w:r>
      <w:r>
        <w:rPr>
          <w:rFonts w:hint="eastAsia"/>
          <w:color w:val="000000" w:themeColor="text1"/>
          <w:highlight w:val="none"/>
          <w14:textFill>
            <w14:solidFill>
              <w14:schemeClr w14:val="tx1"/>
            </w14:solidFill>
          </w14:textFill>
        </w:rPr>
        <w:tab/>
      </w:r>
      <w:r>
        <w:rPr>
          <w:rFonts w:hint="eastAsia"/>
          <w:color w:val="000000" w:themeColor="text1"/>
          <w:spacing w:val="-3"/>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ab/>
      </w:r>
    </w:p>
    <w:p w14:paraId="4811188F">
      <w:pPr>
        <w:pStyle w:val="19"/>
        <w:tabs>
          <w:tab w:val="left" w:pos="648"/>
          <w:tab w:val="left" w:pos="3210"/>
          <w:tab w:val="left" w:pos="4952"/>
          <w:tab w:val="left" w:pos="5374"/>
          <w:tab w:val="left" w:pos="8149"/>
        </w:tabs>
        <w:spacing w:line="470" w:lineRule="exact"/>
        <w:rPr>
          <w:rFonts w:hint="eastAsia"/>
          <w:color w:val="000000" w:themeColor="text1"/>
          <w:highlight w:val="none"/>
          <w:u w:val="single"/>
          <w14:textFill>
            <w14:solidFill>
              <w14:schemeClr w14:val="tx1"/>
            </w14:solidFill>
          </w14:textFill>
        </w:rPr>
      </w:pPr>
    </w:p>
    <w:p w14:paraId="202F801B">
      <w:pPr>
        <w:rPr>
          <w:rFonts w:hint="eastAsia"/>
          <w:color w:val="000000" w:themeColor="text1"/>
          <w:highlight w:val="none"/>
          <w:u w:val="single"/>
          <w14:textFill>
            <w14:solidFill>
              <w14:schemeClr w14:val="tx1"/>
            </w14:solidFill>
          </w14:textFill>
        </w:rPr>
      </w:pPr>
    </w:p>
    <w:p w14:paraId="365C4B48">
      <w:pPr>
        <w:pStyle w:val="19"/>
        <w:rPr>
          <w:rFonts w:hint="eastAsia"/>
          <w:color w:val="000000" w:themeColor="text1"/>
          <w:highlight w:val="none"/>
          <w:u w:val="single"/>
          <w14:textFill>
            <w14:solidFill>
              <w14:schemeClr w14:val="tx1"/>
            </w14:solidFill>
          </w14:textFill>
        </w:rPr>
      </w:pPr>
    </w:p>
    <w:p w14:paraId="2EA75A2E">
      <w:pPr>
        <w:rPr>
          <w:rFonts w:hint="eastAsia"/>
          <w:color w:val="000000" w:themeColor="text1"/>
          <w:highlight w:val="none"/>
          <w:u w:val="single"/>
          <w14:textFill>
            <w14:solidFill>
              <w14:schemeClr w14:val="tx1"/>
            </w14:solidFill>
          </w14:textFill>
        </w:rPr>
      </w:pPr>
    </w:p>
    <w:p w14:paraId="45A47367">
      <w:pPr>
        <w:pStyle w:val="19"/>
        <w:rPr>
          <w:rFonts w:hint="eastAsia"/>
          <w:color w:val="000000" w:themeColor="text1"/>
          <w:highlight w:val="none"/>
          <w:u w:val="single"/>
          <w14:textFill>
            <w14:solidFill>
              <w14:schemeClr w14:val="tx1"/>
            </w14:solidFill>
          </w14:textFill>
        </w:rPr>
      </w:pPr>
    </w:p>
    <w:p w14:paraId="33A0A5C3">
      <w:pPr>
        <w:rPr>
          <w:rFonts w:hint="eastAsia"/>
          <w:color w:val="000000" w:themeColor="text1"/>
          <w:highlight w:val="none"/>
          <w:u w:val="single"/>
          <w14:textFill>
            <w14:solidFill>
              <w14:schemeClr w14:val="tx1"/>
            </w14:solidFill>
          </w14:textFill>
        </w:rPr>
      </w:pPr>
    </w:p>
    <w:p w14:paraId="6E53D61D">
      <w:pPr>
        <w:pStyle w:val="19"/>
        <w:rPr>
          <w:rFonts w:hint="eastAsia"/>
          <w:color w:val="000000" w:themeColor="text1"/>
          <w:highlight w:val="none"/>
          <w:u w:val="single"/>
          <w14:textFill>
            <w14:solidFill>
              <w14:schemeClr w14:val="tx1"/>
            </w14:solidFill>
          </w14:textFill>
        </w:rPr>
      </w:pPr>
    </w:p>
    <w:p w14:paraId="419DF08F">
      <w:pPr>
        <w:rPr>
          <w:rFonts w:hint="eastAsia"/>
          <w:color w:val="000000" w:themeColor="text1"/>
          <w:highlight w:val="none"/>
          <w:u w:val="single"/>
          <w14:textFill>
            <w14:solidFill>
              <w14:schemeClr w14:val="tx1"/>
            </w14:solidFill>
          </w14:textFill>
        </w:rPr>
      </w:pPr>
    </w:p>
    <w:p w14:paraId="46B27217">
      <w:pPr>
        <w:pStyle w:val="19"/>
        <w:rPr>
          <w:rFonts w:hint="eastAsia"/>
          <w:color w:val="000000" w:themeColor="text1"/>
          <w:highlight w:val="none"/>
          <w:u w:val="single"/>
          <w14:textFill>
            <w14:solidFill>
              <w14:schemeClr w14:val="tx1"/>
            </w14:solidFill>
          </w14:textFill>
        </w:rPr>
      </w:pPr>
    </w:p>
    <w:p w14:paraId="142DE8DD">
      <w:pPr>
        <w:rPr>
          <w:rFonts w:hint="eastAsia"/>
          <w:color w:val="000000" w:themeColor="text1"/>
          <w:highlight w:val="none"/>
          <w:u w:val="single"/>
          <w14:textFill>
            <w14:solidFill>
              <w14:schemeClr w14:val="tx1"/>
            </w14:solidFill>
          </w14:textFill>
        </w:rPr>
      </w:pPr>
    </w:p>
    <w:p w14:paraId="2FF45ECB">
      <w:pPr>
        <w:pStyle w:val="19"/>
        <w:rPr>
          <w:rFonts w:hint="eastAsia"/>
          <w:color w:val="000000" w:themeColor="text1"/>
          <w:highlight w:val="none"/>
          <w:u w:val="single"/>
          <w14:textFill>
            <w14:solidFill>
              <w14:schemeClr w14:val="tx1"/>
            </w14:solidFill>
          </w14:textFill>
        </w:rPr>
      </w:pPr>
    </w:p>
    <w:p w14:paraId="48126D68">
      <w:pPr>
        <w:rPr>
          <w:rFonts w:hint="eastAsia"/>
          <w:color w:val="000000" w:themeColor="text1"/>
          <w:highlight w:val="none"/>
          <w:u w:val="single"/>
          <w14:textFill>
            <w14:solidFill>
              <w14:schemeClr w14:val="tx1"/>
            </w14:solidFill>
          </w14:textFill>
        </w:rPr>
      </w:pPr>
    </w:p>
    <w:p w14:paraId="34260D65">
      <w:pPr>
        <w:pStyle w:val="19"/>
        <w:rPr>
          <w:rFonts w:hint="eastAsia"/>
          <w:color w:val="000000" w:themeColor="text1"/>
          <w:highlight w:val="none"/>
          <w:u w:val="single"/>
          <w14:textFill>
            <w14:solidFill>
              <w14:schemeClr w14:val="tx1"/>
            </w14:solidFill>
          </w14:textFill>
        </w:rPr>
      </w:pPr>
    </w:p>
    <w:p w14:paraId="4A34581E">
      <w:pPr>
        <w:rPr>
          <w:rFonts w:hint="eastAsia"/>
          <w:color w:val="000000" w:themeColor="text1"/>
          <w:highlight w:val="none"/>
          <w:u w:val="single"/>
          <w14:textFill>
            <w14:solidFill>
              <w14:schemeClr w14:val="tx1"/>
            </w14:solidFill>
          </w14:textFill>
        </w:rPr>
      </w:pPr>
    </w:p>
    <w:p w14:paraId="5B74AD78">
      <w:pPr>
        <w:pStyle w:val="19"/>
        <w:rPr>
          <w:rFonts w:hint="eastAsia"/>
          <w:color w:val="000000" w:themeColor="text1"/>
          <w:highlight w:val="none"/>
          <w:u w:val="single"/>
          <w14:textFill>
            <w14:solidFill>
              <w14:schemeClr w14:val="tx1"/>
            </w14:solidFill>
          </w14:textFill>
        </w:rPr>
      </w:pPr>
    </w:p>
    <w:p w14:paraId="00F0B2F2">
      <w:pPr>
        <w:rPr>
          <w:rFonts w:hint="eastAsia"/>
          <w:color w:val="000000" w:themeColor="text1"/>
          <w:highlight w:val="none"/>
          <w:u w:val="single"/>
          <w14:textFill>
            <w14:solidFill>
              <w14:schemeClr w14:val="tx1"/>
            </w14:solidFill>
          </w14:textFill>
        </w:rPr>
      </w:pPr>
    </w:p>
    <w:p w14:paraId="5FAE8603">
      <w:pPr>
        <w:pStyle w:val="19"/>
        <w:rPr>
          <w:rFonts w:hint="eastAsia"/>
          <w:color w:val="000000" w:themeColor="text1"/>
          <w:highlight w:val="none"/>
          <w:u w:val="single"/>
          <w14:textFill>
            <w14:solidFill>
              <w14:schemeClr w14:val="tx1"/>
            </w14:solidFill>
          </w14:textFill>
        </w:rPr>
      </w:pPr>
    </w:p>
    <w:p w14:paraId="0684DF1E">
      <w:pPr>
        <w:rPr>
          <w:rFonts w:hint="eastAsia"/>
          <w:color w:val="000000" w:themeColor="text1"/>
          <w:highlight w:val="none"/>
          <w:u w:val="single"/>
          <w14:textFill>
            <w14:solidFill>
              <w14:schemeClr w14:val="tx1"/>
            </w14:solidFill>
          </w14:textFill>
        </w:rPr>
      </w:pPr>
    </w:p>
    <w:p w14:paraId="7F33EB00">
      <w:pPr>
        <w:pStyle w:val="19"/>
        <w:rPr>
          <w:rFonts w:hint="eastAsia"/>
          <w:color w:val="000000" w:themeColor="text1"/>
          <w:highlight w:val="none"/>
          <w:u w:val="single"/>
          <w14:textFill>
            <w14:solidFill>
              <w14:schemeClr w14:val="tx1"/>
            </w14:solidFill>
          </w14:textFill>
        </w:rPr>
      </w:pPr>
    </w:p>
    <w:p w14:paraId="4973E613">
      <w:pPr>
        <w:rPr>
          <w:rFonts w:hint="eastAsia"/>
          <w:color w:val="000000" w:themeColor="text1"/>
          <w:highlight w:val="none"/>
          <w:u w:val="single"/>
          <w14:textFill>
            <w14:solidFill>
              <w14:schemeClr w14:val="tx1"/>
            </w14:solidFill>
          </w14:textFill>
        </w:rPr>
      </w:pPr>
    </w:p>
    <w:p w14:paraId="66235AB5">
      <w:pPr>
        <w:pStyle w:val="19"/>
        <w:rPr>
          <w:rFonts w:hint="eastAsia"/>
          <w:color w:val="000000" w:themeColor="text1"/>
          <w:highlight w:val="none"/>
          <w:u w:val="single"/>
          <w14:textFill>
            <w14:solidFill>
              <w14:schemeClr w14:val="tx1"/>
            </w14:solidFill>
          </w14:textFill>
        </w:rPr>
      </w:pPr>
    </w:p>
    <w:p w14:paraId="12DB1EB9">
      <w:pPr>
        <w:rPr>
          <w:rFonts w:hint="eastAsia"/>
          <w:color w:val="000000" w:themeColor="text1"/>
          <w:highlight w:val="none"/>
          <w:u w:val="single"/>
          <w14:textFill>
            <w14:solidFill>
              <w14:schemeClr w14:val="tx1"/>
            </w14:solidFill>
          </w14:textFill>
        </w:rPr>
      </w:pPr>
    </w:p>
    <w:p w14:paraId="3AAB234C">
      <w:pPr>
        <w:pStyle w:val="19"/>
        <w:rPr>
          <w:rFonts w:hint="eastAsia"/>
          <w:color w:val="000000" w:themeColor="text1"/>
          <w:highlight w:val="none"/>
          <w:u w:val="single"/>
          <w14:textFill>
            <w14:solidFill>
              <w14:schemeClr w14:val="tx1"/>
            </w14:solidFill>
          </w14:textFill>
        </w:rPr>
      </w:pPr>
    </w:p>
    <w:p w14:paraId="007C4399">
      <w:pPr>
        <w:rPr>
          <w:rFonts w:hint="default"/>
          <w:color w:val="000000" w:themeColor="text1"/>
          <w:highlight w:val="none"/>
          <w:lang w:val="en-US" w:eastAsia="zh-CN"/>
          <w14:textFill>
            <w14:solidFill>
              <w14:schemeClr w14:val="tx1"/>
            </w14:solidFill>
          </w14:textFill>
        </w:rPr>
      </w:pPr>
    </w:p>
    <w:p w14:paraId="3F32681E">
      <w:pPr>
        <w:pStyle w:val="2"/>
        <w:keepNext w:val="0"/>
        <w:keepLines w:val="0"/>
        <w:pageBreakBefore w:val="0"/>
        <w:widowControl w:val="0"/>
        <w:tabs>
          <w:tab w:val="left" w:pos="1929"/>
        </w:tabs>
        <w:kinsoku/>
        <w:wordWrap/>
        <w:overflowPunct/>
        <w:topLinePunct w:val="0"/>
        <w:autoSpaceDE w:val="0"/>
        <w:autoSpaceDN w:val="0"/>
        <w:bidi w:val="0"/>
        <w:adjustRightInd/>
        <w:snapToGrid/>
        <w:spacing w:after="600" w:afterLines="250" w:line="700" w:lineRule="exact"/>
        <w:ind w:left="0" w:right="0"/>
        <w:jc w:val="center"/>
        <w:textAlignment w:val="auto"/>
        <w:outlineLvl w:val="0"/>
        <w:rPr>
          <w:rFonts w:hint="eastAsia" w:ascii="宋体" w:hAnsi="宋体" w:eastAsia="宋体" w:cs="宋体"/>
          <w:color w:val="000000" w:themeColor="text1"/>
          <w:sz w:val="36"/>
          <w:szCs w:val="36"/>
          <w:highlight w:val="none"/>
          <w:lang w:eastAsia="zh-CN"/>
          <w14:textFill>
            <w14:solidFill>
              <w14:schemeClr w14:val="tx1"/>
            </w14:solidFill>
          </w14:textFill>
        </w:rPr>
      </w:pPr>
      <w:bookmarkStart w:id="286" w:name="_Toc500469586"/>
      <w:bookmarkStart w:id="287" w:name="_Toc7205"/>
      <w:bookmarkStart w:id="288" w:name="_Toc500469707"/>
      <w:bookmarkStart w:id="289" w:name="_Toc25349"/>
      <w:bookmarkStart w:id="290" w:name="_Toc14666"/>
      <w:r>
        <w:rPr>
          <w:rFonts w:hint="eastAsia" w:ascii="宋体" w:hAnsi="宋体" w:eastAsia="宋体" w:cs="宋体"/>
          <w:color w:val="000000" w:themeColor="text1"/>
          <w:sz w:val="36"/>
          <w:szCs w:val="36"/>
          <w:highlight w:val="none"/>
          <w14:textFill>
            <w14:solidFill>
              <w14:schemeClr w14:val="tx1"/>
            </w14:solidFill>
          </w14:textFill>
        </w:rPr>
        <w:t xml:space="preserve">第二部分  </w:t>
      </w:r>
      <w:bookmarkEnd w:id="286"/>
      <w:bookmarkEnd w:id="287"/>
      <w:bookmarkEnd w:id="288"/>
      <w:bookmarkEnd w:id="289"/>
      <w:r>
        <w:rPr>
          <w:rFonts w:hint="eastAsia" w:ascii="宋体" w:hAnsi="宋体" w:eastAsia="宋体" w:cs="宋体"/>
          <w:color w:val="000000" w:themeColor="text1"/>
          <w:sz w:val="36"/>
          <w:szCs w:val="36"/>
          <w:highlight w:val="none"/>
          <w:lang w:eastAsia="zh-CN"/>
          <w14:textFill>
            <w14:solidFill>
              <w14:schemeClr w14:val="tx1"/>
            </w14:solidFill>
          </w14:textFill>
        </w:rPr>
        <w:t>通用合同条款</w:t>
      </w:r>
      <w:bookmarkEnd w:id="290"/>
    </w:p>
    <w:p w14:paraId="27F9812C">
      <w:pPr>
        <w:pStyle w:val="19"/>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ascii="Times New Roman" w:hAnsi="宋体" w:eastAsia="宋体" w:cs="Times New Roman"/>
          <w:color w:val="000000" w:themeColor="text1"/>
          <w:sz w:val="24"/>
          <w:szCs w:val="24"/>
          <w:highlight w:val="none"/>
          <w14:textFill>
            <w14:solidFill>
              <w14:schemeClr w14:val="tx1"/>
            </w14:solidFill>
          </w14:textFill>
        </w:rPr>
      </w:pPr>
      <w:r>
        <w:rPr>
          <w:rFonts w:hint="default" w:ascii="Times New Roman" w:hAnsi="宋体" w:eastAsia="宋体" w:cs="Times New Roman"/>
          <w:color w:val="000000" w:themeColor="text1"/>
          <w:sz w:val="24"/>
          <w:szCs w:val="24"/>
          <w:highlight w:val="none"/>
          <w:lang w:val="en-US" w:eastAsia="en-US"/>
          <w14:textFill>
            <w14:solidFill>
              <w14:schemeClr w14:val="tx1"/>
            </w14:solidFill>
          </w14:textFill>
        </w:rPr>
        <w:t>采用</w:t>
      </w:r>
      <w:r>
        <w:rPr>
          <w:rFonts w:hint="default" w:ascii="Times New Roman" w:hAnsi="宋体" w:eastAsia="宋体" w:cs="Times New Roman"/>
          <w:color w:val="000000" w:themeColor="text1"/>
          <w:sz w:val="24"/>
          <w:szCs w:val="24"/>
          <w:highlight w:val="none"/>
          <w:lang w:val="en-US" w:eastAsia="zh-CN"/>
          <w14:textFill>
            <w14:solidFill>
              <w14:schemeClr w14:val="tx1"/>
            </w14:solidFill>
          </w14:textFill>
        </w:rPr>
        <w:t>广西壮族自治区水利厅印制的《广西水利水电工程施工电子招标文件参考文本》（综合评估法）</w:t>
      </w:r>
      <w:r>
        <w:rPr>
          <w:rFonts w:hint="default" w:ascii="Times New Roman" w:hAnsi="宋体" w:eastAsia="宋体" w:cs="Times New Roman"/>
          <w:color w:val="000000" w:themeColor="text1"/>
          <w:sz w:val="24"/>
          <w:szCs w:val="24"/>
          <w:highlight w:val="none"/>
          <w:lang w:val="en-US" w:eastAsia="en-US"/>
          <w14:textFill>
            <w14:solidFill>
              <w14:schemeClr w14:val="tx1"/>
            </w14:solidFill>
          </w14:textFill>
        </w:rPr>
        <w:t>的“</w:t>
      </w:r>
      <w:r>
        <w:rPr>
          <w:rFonts w:hint="eastAsia" w:ascii="Times New Roman" w:hAnsi="宋体" w:eastAsia="宋体" w:cs="Times New Roman"/>
          <w:color w:val="000000" w:themeColor="text1"/>
          <w:sz w:val="24"/>
          <w:szCs w:val="24"/>
          <w:highlight w:val="none"/>
          <w:lang w:val="en-US" w:eastAsia="zh-CN"/>
          <w14:textFill>
            <w14:solidFill>
              <w14:schemeClr w14:val="tx1"/>
            </w14:solidFill>
          </w14:textFill>
        </w:rPr>
        <w:t>通用合同条款</w:t>
      </w:r>
      <w:r>
        <w:rPr>
          <w:rFonts w:hint="default" w:ascii="Times New Roman" w:hAnsi="宋体" w:eastAsia="宋体" w:cs="Times New Roman"/>
          <w:color w:val="000000" w:themeColor="text1"/>
          <w:sz w:val="24"/>
          <w:szCs w:val="24"/>
          <w:highlight w:val="none"/>
          <w:lang w:val="en-US" w:eastAsia="en-US"/>
          <w14:textFill>
            <w14:solidFill>
              <w14:schemeClr w14:val="tx1"/>
            </w14:solidFill>
          </w14:textFill>
        </w:rPr>
        <w:t>”。</w:t>
      </w:r>
    </w:p>
    <w:p w14:paraId="112C2D97">
      <w:pPr>
        <w:keepNext w:val="0"/>
        <w:keepLines w:val="0"/>
        <w:pageBreakBefore w:val="0"/>
        <w:widowControl w:val="0"/>
        <w:kinsoku/>
        <w:wordWrap/>
        <w:overflowPunct/>
        <w:topLinePunct w:val="0"/>
        <w:autoSpaceDE w:val="0"/>
        <w:autoSpaceDN w:val="0"/>
        <w:bidi w:val="0"/>
        <w:adjustRightInd/>
        <w:snapToGrid/>
        <w:spacing w:after="0" w:afterLines="1150" w:line="700" w:lineRule="exact"/>
        <w:jc w:val="center"/>
        <w:textAlignment w:val="auto"/>
        <w:rPr>
          <w:rFonts w:hint="default" w:ascii="Times New Roman" w:hAnsi="Times New Roman" w:cs="Times New Roman"/>
          <w:b/>
          <w:bCs w:val="0"/>
          <w:color w:val="000000" w:themeColor="text1"/>
          <w:spacing w:val="10"/>
          <w:sz w:val="56"/>
          <w:szCs w:val="44"/>
          <w:highlight w:val="none"/>
          <w:u w:val="single"/>
          <w:lang w:val="en-US" w:eastAsia="zh-CN"/>
          <w14:textFill>
            <w14:solidFill>
              <w14:schemeClr w14:val="tx1"/>
            </w14:solidFill>
          </w14:textFill>
        </w:rPr>
      </w:pPr>
    </w:p>
    <w:p w14:paraId="6EC15661">
      <w:pPr>
        <w:keepNext w:val="0"/>
        <w:keepLines w:val="0"/>
        <w:pageBreakBefore w:val="0"/>
        <w:widowControl w:val="0"/>
        <w:kinsoku/>
        <w:wordWrap/>
        <w:overflowPunct/>
        <w:topLinePunct w:val="0"/>
        <w:autoSpaceDE w:val="0"/>
        <w:autoSpaceDN w:val="0"/>
        <w:bidi w:val="0"/>
        <w:adjustRightInd/>
        <w:snapToGrid/>
        <w:spacing w:after="0" w:afterLines="1150" w:line="700" w:lineRule="exact"/>
        <w:jc w:val="center"/>
        <w:textAlignment w:val="auto"/>
        <w:rPr>
          <w:rFonts w:hint="default" w:ascii="Times New Roman" w:hAnsi="Times New Roman" w:cs="Times New Roman"/>
          <w:b/>
          <w:bCs w:val="0"/>
          <w:color w:val="000000" w:themeColor="text1"/>
          <w:spacing w:val="10"/>
          <w:sz w:val="56"/>
          <w:szCs w:val="44"/>
          <w:highlight w:val="none"/>
          <w:u w:val="single"/>
          <w:lang w:val="en-US" w:eastAsia="zh-CN"/>
          <w14:textFill>
            <w14:solidFill>
              <w14:schemeClr w14:val="tx1"/>
            </w14:solidFill>
          </w14:textFill>
        </w:rPr>
      </w:pPr>
    </w:p>
    <w:p w14:paraId="6FC1FFBE">
      <w:pPr>
        <w:keepNext w:val="0"/>
        <w:keepLines w:val="0"/>
        <w:pageBreakBefore w:val="0"/>
        <w:widowControl w:val="0"/>
        <w:kinsoku/>
        <w:wordWrap/>
        <w:overflowPunct/>
        <w:topLinePunct w:val="0"/>
        <w:autoSpaceDE w:val="0"/>
        <w:autoSpaceDN w:val="0"/>
        <w:bidi w:val="0"/>
        <w:adjustRightInd/>
        <w:snapToGrid/>
        <w:spacing w:after="0" w:afterLines="1150" w:line="700" w:lineRule="exact"/>
        <w:jc w:val="center"/>
        <w:textAlignment w:val="auto"/>
        <w:rPr>
          <w:rFonts w:hint="default" w:ascii="Times New Roman" w:hAnsi="Times New Roman" w:cs="Times New Roman"/>
          <w:b/>
          <w:bCs w:val="0"/>
          <w:color w:val="000000" w:themeColor="text1"/>
          <w:spacing w:val="10"/>
          <w:sz w:val="56"/>
          <w:szCs w:val="44"/>
          <w:highlight w:val="none"/>
          <w:u w:val="single"/>
          <w:lang w:val="en-US" w:eastAsia="zh-CN"/>
          <w14:textFill>
            <w14:solidFill>
              <w14:schemeClr w14:val="tx1"/>
            </w14:solidFill>
          </w14:textFill>
        </w:rPr>
      </w:pPr>
    </w:p>
    <w:p w14:paraId="7822258B">
      <w:pPr>
        <w:keepNext w:val="0"/>
        <w:keepLines w:val="0"/>
        <w:pageBreakBefore w:val="0"/>
        <w:widowControl w:val="0"/>
        <w:kinsoku/>
        <w:wordWrap/>
        <w:overflowPunct/>
        <w:topLinePunct w:val="0"/>
        <w:autoSpaceDE w:val="0"/>
        <w:autoSpaceDN w:val="0"/>
        <w:bidi w:val="0"/>
        <w:adjustRightInd/>
        <w:snapToGrid/>
        <w:spacing w:after="0" w:afterLines="1150" w:line="700" w:lineRule="exact"/>
        <w:jc w:val="center"/>
        <w:textAlignment w:val="auto"/>
        <w:rPr>
          <w:rFonts w:hint="default" w:ascii="Times New Roman" w:hAnsi="Times New Roman" w:cs="Times New Roman"/>
          <w:b/>
          <w:bCs w:val="0"/>
          <w:color w:val="000000" w:themeColor="text1"/>
          <w:spacing w:val="10"/>
          <w:sz w:val="56"/>
          <w:szCs w:val="44"/>
          <w:highlight w:val="none"/>
          <w:u w:val="single"/>
          <w:lang w:val="en-US" w:eastAsia="zh-CN"/>
          <w14:textFill>
            <w14:solidFill>
              <w14:schemeClr w14:val="tx1"/>
            </w14:solidFill>
          </w14:textFill>
        </w:rPr>
      </w:pPr>
    </w:p>
    <w:p w14:paraId="09919000">
      <w:pPr>
        <w:pStyle w:val="2"/>
        <w:keepNext w:val="0"/>
        <w:keepLines w:val="0"/>
        <w:pageBreakBefore w:val="0"/>
        <w:widowControl w:val="0"/>
        <w:tabs>
          <w:tab w:val="left" w:pos="1607"/>
        </w:tabs>
        <w:kinsoku/>
        <w:wordWrap/>
        <w:overflowPunct/>
        <w:topLinePunct w:val="0"/>
        <w:autoSpaceDE w:val="0"/>
        <w:autoSpaceDN w:val="0"/>
        <w:bidi w:val="0"/>
        <w:adjustRightInd/>
        <w:snapToGrid/>
        <w:spacing w:after="0" w:afterLines="200" w:line="700" w:lineRule="exact"/>
        <w:ind w:left="0" w:right="0"/>
        <w:jc w:val="center"/>
        <w:textAlignment w:val="auto"/>
        <w:outlineLvl w:val="0"/>
        <w:rPr>
          <w:rFonts w:hint="eastAsia" w:ascii="宋体" w:hAnsi="宋体" w:eastAsia="宋体" w:cs="宋体"/>
          <w:color w:val="000000" w:themeColor="text1"/>
          <w:sz w:val="36"/>
          <w:szCs w:val="36"/>
          <w:highlight w:val="none"/>
          <w:lang w:eastAsia="zh-CN"/>
          <w14:textFill>
            <w14:solidFill>
              <w14:schemeClr w14:val="tx1"/>
            </w14:solidFill>
          </w14:textFill>
        </w:rPr>
      </w:pPr>
      <w:bookmarkStart w:id="291" w:name="_Toc14369"/>
      <w:bookmarkStart w:id="292" w:name="_Toc500469708"/>
      <w:bookmarkStart w:id="293" w:name="_Toc29184"/>
      <w:bookmarkStart w:id="294" w:name="_Toc500469587"/>
      <w:bookmarkStart w:id="295" w:name="_Toc25049"/>
      <w:bookmarkStart w:id="296" w:name="_Toc16728"/>
      <w:r>
        <w:rPr>
          <w:rFonts w:hint="eastAsia" w:ascii="宋体" w:hAnsi="宋体" w:eastAsia="宋体" w:cs="宋体"/>
          <w:color w:val="000000" w:themeColor="text1"/>
          <w:sz w:val="36"/>
          <w:szCs w:val="36"/>
          <w:highlight w:val="none"/>
          <w14:textFill>
            <w14:solidFill>
              <w14:schemeClr w14:val="tx1"/>
            </w14:solidFill>
          </w14:textFill>
        </w:rPr>
        <w:t xml:space="preserve">第三部分  </w:t>
      </w:r>
      <w:bookmarkEnd w:id="291"/>
      <w:bookmarkEnd w:id="292"/>
      <w:bookmarkEnd w:id="293"/>
      <w:bookmarkEnd w:id="294"/>
      <w:bookmarkEnd w:id="295"/>
      <w:r>
        <w:rPr>
          <w:rFonts w:hint="eastAsia" w:ascii="宋体" w:hAnsi="宋体" w:eastAsia="宋体" w:cs="宋体"/>
          <w:color w:val="000000" w:themeColor="text1"/>
          <w:sz w:val="36"/>
          <w:szCs w:val="36"/>
          <w:highlight w:val="none"/>
          <w:lang w:eastAsia="zh-CN"/>
          <w14:textFill>
            <w14:solidFill>
              <w14:schemeClr w14:val="tx1"/>
            </w14:solidFill>
          </w14:textFill>
        </w:rPr>
        <w:t>专用合同条款</w:t>
      </w:r>
      <w:bookmarkEnd w:id="296"/>
    </w:p>
    <w:p w14:paraId="6CB14CD7">
      <w:pPr>
        <w:pStyle w:val="4"/>
        <w:keepNext w:val="0"/>
        <w:keepLines w:val="0"/>
        <w:pageBreakBefore w:val="0"/>
        <w:kinsoku/>
        <w:wordWrap/>
        <w:overflowPunct/>
        <w:topLinePunct w:val="0"/>
        <w:autoSpaceDE/>
        <w:autoSpaceDN/>
        <w:bidi w:val="0"/>
        <w:adjustRightInd/>
        <w:snapToGrid/>
        <w:spacing w:before="0" w:line="470" w:lineRule="exact"/>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297" w:name="_Toc1406168910"/>
      <w:bookmarkStart w:id="298" w:name="_Toc25420"/>
      <w:bookmarkStart w:id="299" w:name="_Toc8641"/>
      <w:bookmarkStart w:id="300" w:name="_Toc500469765"/>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 一般约定</w:t>
      </w:r>
      <w:bookmarkEnd w:id="297"/>
      <w:bookmarkEnd w:id="298"/>
      <w:bookmarkEnd w:id="299"/>
    </w:p>
    <w:p w14:paraId="1C74B761">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01" w:name="bookmark1585"/>
      <w:bookmarkStart w:id="302" w:name="bookmark1584"/>
      <w:bookmarkStart w:id="303" w:name="bookmark1583"/>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1.1词语定义</w:t>
      </w:r>
      <w:bookmarkEnd w:id="301"/>
      <w:bookmarkEnd w:id="302"/>
      <w:bookmarkEnd w:id="303"/>
    </w:p>
    <w:p w14:paraId="1BD6E2B1">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1.1.2</w:t>
      </w:r>
      <w:r>
        <w:rPr>
          <w:rFonts w:hint="default" w:ascii="Times New Roman" w:hAnsi="Times New Roman" w:eastAsia="宋体" w:cs="Times New Roman"/>
          <w:color w:val="000000" w:themeColor="text1"/>
          <w:sz w:val="21"/>
          <w:szCs w:val="21"/>
          <w:highlight w:val="none"/>
          <w14:textFill>
            <w14:solidFill>
              <w14:schemeClr w14:val="tx1"/>
            </w14:solidFill>
          </w14:textFill>
        </w:rPr>
        <w:t>合同当事人和人员</w:t>
      </w:r>
    </w:p>
    <w:p w14:paraId="002E206C">
      <w:pPr>
        <w:pStyle w:val="127"/>
        <w:keepNext w:val="0"/>
        <w:keepLines w:val="0"/>
        <w:pageBreakBefore w:val="0"/>
        <w:tabs>
          <w:tab w:val="left" w:pos="4064"/>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1.1.2.</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2发包人：</w:t>
      </w:r>
      <w:r>
        <w:rPr>
          <w:rFonts w:hint="default" w:ascii="Times New Roman" w:hAnsi="Times New Roman" w:eastAsia="宋体" w:cs="Times New Roman"/>
          <w:color w:val="000000" w:themeColor="text1"/>
          <w:sz w:val="21"/>
          <w:szCs w:val="21"/>
          <w:highlight w:val="none"/>
          <w:u w:val="single"/>
          <w:lang w:val="zh-CN" w:eastAsia="zh-CN" w:bidi="zh-CN"/>
          <w14:textFill>
            <w14:solidFill>
              <w14:schemeClr w14:val="tx1"/>
            </w14:solidFill>
          </w14:textFill>
        </w:rPr>
        <w:t>金秀瑶族自治县桐木镇人民政府</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028C3FC6">
      <w:pPr>
        <w:pStyle w:val="127"/>
        <w:keepNext w:val="0"/>
        <w:keepLines w:val="0"/>
        <w:pageBreakBefore w:val="0"/>
        <w:tabs>
          <w:tab w:val="left" w:pos="4066"/>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1.1.2.</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3承包人：</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28F7294B">
      <w:pPr>
        <w:pStyle w:val="127"/>
        <w:keepNext w:val="0"/>
        <w:keepLines w:val="0"/>
        <w:pageBreakBefore w:val="0"/>
        <w:tabs>
          <w:tab w:val="left" w:pos="4066"/>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1.1.2.</w:t>
      </w: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4承包人项目负责人、技术负责人和专职安全员</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（项目负责人、技术负责人和专职安全员的姓名、身</w:t>
      </w:r>
      <w:r>
        <w:rPr>
          <w:rFonts w:hint="default" w:ascii="Times New Roman" w:hAnsi="Times New Roman" w:eastAsia="宋体" w:cs="Times New Roman"/>
          <w:color w:val="auto"/>
          <w:sz w:val="21"/>
          <w:szCs w:val="21"/>
          <w:highlight w:val="none"/>
          <w:lang w:eastAsia="zh-CN"/>
        </w:rPr>
        <w:t>份证号号码，项目负责人执业证书号码以及项目负责人和专职安全员水行政主管部门颁发的安全生产考核合格证书号码）。</w:t>
      </w:r>
    </w:p>
    <w:p w14:paraId="0A8CA57C">
      <w:pPr>
        <w:pStyle w:val="127"/>
        <w:keepNext w:val="0"/>
        <w:keepLines w:val="0"/>
        <w:pageBreakBefore w:val="0"/>
        <w:tabs>
          <w:tab w:val="left" w:pos="4064"/>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1.1.2.</w:t>
      </w:r>
      <w:r>
        <w:rPr>
          <w:rFonts w:hint="default" w:ascii="Times New Roman" w:hAnsi="Times New Roman" w:eastAsia="宋体" w:cs="Times New Roman"/>
          <w:color w:val="auto"/>
          <w:sz w:val="21"/>
          <w:szCs w:val="21"/>
          <w:highlight w:val="none"/>
          <w:lang w:val="zh-CN" w:eastAsia="zh-CN" w:bidi="zh-CN"/>
        </w:rPr>
        <w:t>5分包人：</w:t>
      </w:r>
      <w:r>
        <w:rPr>
          <w:rFonts w:hint="default" w:ascii="Times New Roman" w:hAnsi="Times New Roman" w:eastAsia="宋体" w:cs="Times New Roman"/>
          <w:color w:val="auto"/>
          <w:sz w:val="21"/>
          <w:szCs w:val="21"/>
          <w:highlight w:val="none"/>
          <w:u w:val="single"/>
          <w:lang w:eastAsia="zh-CN"/>
        </w:rPr>
        <w:tab/>
      </w:r>
      <w:r>
        <w:rPr>
          <w:rFonts w:hint="default" w:ascii="Times New Roman" w:hAnsi="Times New Roman" w:eastAsia="宋体" w:cs="Times New Roman"/>
          <w:color w:val="auto"/>
          <w:sz w:val="21"/>
          <w:szCs w:val="21"/>
          <w:highlight w:val="none"/>
          <w:lang w:eastAsia="zh-CN"/>
        </w:rPr>
        <w:t>。</w:t>
      </w:r>
    </w:p>
    <w:p w14:paraId="17F0F6D0">
      <w:pPr>
        <w:pStyle w:val="127"/>
        <w:keepNext w:val="0"/>
        <w:keepLines w:val="0"/>
        <w:pageBreakBefore w:val="0"/>
        <w:tabs>
          <w:tab w:val="left" w:pos="4064"/>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1.1.2.6</w:t>
      </w:r>
      <w:r>
        <w:rPr>
          <w:rFonts w:hint="default" w:ascii="Times New Roman" w:hAnsi="Times New Roman" w:eastAsia="宋体" w:cs="Times New Roman"/>
          <w:color w:val="auto"/>
          <w:sz w:val="21"/>
          <w:szCs w:val="21"/>
          <w:highlight w:val="none"/>
          <w:lang w:val="zh-CN" w:eastAsia="zh-CN" w:bidi="zh-CN"/>
        </w:rPr>
        <w:t>监理人：</w:t>
      </w:r>
      <w:r>
        <w:rPr>
          <w:rFonts w:hint="default" w:ascii="Times New Roman" w:hAnsi="Times New Roman" w:eastAsia="宋体" w:cs="Times New Roman"/>
          <w:color w:val="auto"/>
          <w:sz w:val="21"/>
          <w:szCs w:val="21"/>
          <w:highlight w:val="none"/>
          <w:u w:val="single"/>
          <w:lang w:eastAsia="zh-CN"/>
        </w:rPr>
        <w:tab/>
      </w:r>
      <w:r>
        <w:rPr>
          <w:rFonts w:hint="default" w:ascii="Times New Roman" w:hAnsi="Times New Roman" w:eastAsia="宋体" w:cs="Times New Roman"/>
          <w:color w:val="auto"/>
          <w:sz w:val="21"/>
          <w:szCs w:val="21"/>
          <w:highlight w:val="none"/>
          <w:lang w:eastAsia="zh-CN"/>
        </w:rPr>
        <w:t>。</w:t>
      </w:r>
    </w:p>
    <w:p w14:paraId="0DA6D348">
      <w:pPr>
        <w:pStyle w:val="127"/>
        <w:keepNext w:val="0"/>
        <w:keepLines w:val="0"/>
        <w:pageBreakBefore w:val="0"/>
        <w:tabs>
          <w:tab w:val="left" w:pos="3649"/>
        </w:tabs>
        <w:kinsoku/>
        <w:wordWrap/>
        <w:overflowPunct/>
        <w:topLinePunct w:val="0"/>
        <w:autoSpaceDE/>
        <w:autoSpaceDN/>
        <w:bidi w:val="0"/>
        <w:adjustRightInd/>
        <w:snapToGrid/>
        <w:spacing w:after="0" w:line="470" w:lineRule="exact"/>
        <w:ind w:firstLine="44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1.1.4.3</w:t>
      </w:r>
      <w:r>
        <w:rPr>
          <w:rFonts w:hint="default" w:ascii="Times New Roman" w:hAnsi="Times New Roman" w:eastAsia="宋体" w:cs="Times New Roman"/>
          <w:color w:val="auto"/>
          <w:sz w:val="21"/>
          <w:szCs w:val="21"/>
          <w:highlight w:val="none"/>
          <w:lang w:val="zh-CN" w:eastAsia="zh-CN" w:bidi="zh-CN"/>
        </w:rPr>
        <w:t>工期：</w:t>
      </w:r>
      <w:r>
        <w:rPr>
          <w:rFonts w:hint="default" w:ascii="Times New Roman" w:hAnsi="Times New Roman" w:eastAsia="宋体" w:cs="Times New Roman"/>
          <w:color w:val="auto"/>
          <w:sz w:val="21"/>
          <w:szCs w:val="21"/>
          <w:highlight w:val="none"/>
          <w:u w:val="single"/>
          <w:lang w:eastAsia="zh-CN"/>
        </w:rPr>
        <w:tab/>
      </w:r>
      <w:r>
        <w:rPr>
          <w:rFonts w:hint="default" w:ascii="Times New Roman" w:hAnsi="Times New Roman" w:eastAsia="宋体" w:cs="Times New Roman"/>
          <w:color w:val="auto"/>
          <w:sz w:val="21"/>
          <w:szCs w:val="21"/>
          <w:highlight w:val="none"/>
          <w:lang w:eastAsia="zh-CN"/>
        </w:rPr>
        <w:t>。</w:t>
      </w:r>
    </w:p>
    <w:p w14:paraId="6149EC4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bidi="ar-SA"/>
        </w:rPr>
      </w:pPr>
      <w:r>
        <w:rPr>
          <w:rFonts w:hint="default" w:ascii="Times New Roman" w:hAnsi="Times New Roman" w:eastAsia="宋体" w:cs="Times New Roman"/>
          <w:color w:val="auto"/>
          <w:sz w:val="21"/>
          <w:szCs w:val="21"/>
          <w:highlight w:val="none"/>
          <w:lang w:eastAsia="zh-CN" w:bidi="ar-SA"/>
        </w:rPr>
        <w:t>1.1.4.5缺陷责任期（工程质量保修期）：</w:t>
      </w:r>
      <w:r>
        <w:rPr>
          <w:rFonts w:hint="default" w:ascii="Times New Roman" w:hAnsi="Times New Roman" w:eastAsia="宋体" w:cs="Times New Roman"/>
          <w:color w:val="auto"/>
          <w:sz w:val="21"/>
          <w:szCs w:val="21"/>
          <w:highlight w:val="none"/>
          <w:u w:val="single"/>
          <w:lang w:eastAsia="zh-CN" w:bidi="ar-SA"/>
        </w:rPr>
        <w:t>完工（竣工）验收合格之日起</w:t>
      </w:r>
      <w:r>
        <w:rPr>
          <w:rFonts w:hint="eastAsia" w:ascii="Times New Roman" w:hAnsi="Times New Roman" w:cs="Times New Roman"/>
          <w:color w:val="auto"/>
          <w:sz w:val="21"/>
          <w:szCs w:val="21"/>
          <w:highlight w:val="none"/>
          <w:u w:val="single"/>
          <w:lang w:eastAsia="zh-CN" w:bidi="ar-SA"/>
        </w:rPr>
        <w:t>壹</w:t>
      </w:r>
      <w:r>
        <w:rPr>
          <w:rFonts w:hint="default" w:ascii="Times New Roman" w:hAnsi="Times New Roman" w:eastAsia="宋体" w:cs="Times New Roman"/>
          <w:color w:val="auto"/>
          <w:sz w:val="21"/>
          <w:szCs w:val="21"/>
          <w:highlight w:val="none"/>
          <w:u w:val="single"/>
          <w:lang w:eastAsia="zh-CN" w:bidi="ar-SA"/>
        </w:rPr>
        <w:t>年</w:t>
      </w:r>
      <w:r>
        <w:rPr>
          <w:rFonts w:hint="default" w:ascii="Times New Roman" w:hAnsi="Times New Roman" w:eastAsia="宋体" w:cs="Times New Roman"/>
          <w:color w:val="auto"/>
          <w:sz w:val="21"/>
          <w:szCs w:val="21"/>
          <w:highlight w:val="none"/>
          <w:lang w:eastAsia="zh-CN" w:bidi="ar-SA"/>
        </w:rPr>
        <w:t>。</w:t>
      </w:r>
    </w:p>
    <w:p w14:paraId="58AF91A4">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auto"/>
          <w:sz w:val="24"/>
          <w:szCs w:val="24"/>
          <w:highlight w:val="none"/>
          <w:lang w:eastAsia="zh-CN"/>
        </w:rPr>
      </w:pPr>
      <w:bookmarkStart w:id="304" w:name="bookmark1587"/>
      <w:bookmarkStart w:id="305" w:name="bookmark1588"/>
      <w:bookmarkStart w:id="306" w:name="bookmark1586"/>
      <w:r>
        <w:rPr>
          <w:rFonts w:hint="default" w:ascii="Times New Roman" w:hAnsi="Times New Roman" w:eastAsia="宋体" w:cs="Times New Roman"/>
          <w:color w:val="auto"/>
          <w:sz w:val="24"/>
          <w:szCs w:val="24"/>
          <w:highlight w:val="none"/>
          <w:lang w:eastAsia="zh-CN"/>
        </w:rPr>
        <w:t>1.4合同文件的优先顺序</w:t>
      </w:r>
      <w:bookmarkEnd w:id="304"/>
      <w:bookmarkEnd w:id="305"/>
      <w:bookmarkEnd w:id="306"/>
    </w:p>
    <w:p w14:paraId="27D8AF7A">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进入合同的各项文件及其优先顺序如下：</w:t>
      </w:r>
    </w:p>
    <w:p w14:paraId="37BED564">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07" w:name="bookmark1589"/>
      <w:bookmarkEnd w:id="307"/>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）合同协议书（包括补充协议、合同谈判备忘录）；</w:t>
      </w:r>
    </w:p>
    <w:p w14:paraId="325C2C88">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08" w:name="bookmark1590"/>
      <w:bookmarkEnd w:id="308"/>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14:textFill>
            <w14:solidFill>
              <w14:schemeClr w14:val="tx1"/>
            </w14:solidFill>
          </w14:textFill>
        </w:rPr>
        <w:t>通知书；</w:t>
      </w:r>
    </w:p>
    <w:p w14:paraId="175D7082">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09" w:name="bookmark1591"/>
      <w:bookmarkEnd w:id="309"/>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函及</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响应报价表</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C1501F5">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0" w:name="bookmark1592"/>
      <w:bookmarkEnd w:id="310"/>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）专用合同条款（含附加条款）；</w:t>
      </w:r>
    </w:p>
    <w:p w14:paraId="5A32B09B">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1" w:name="bookmark1593"/>
      <w:bookmarkEnd w:id="311"/>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）通用合同条款；</w:t>
      </w:r>
    </w:p>
    <w:p w14:paraId="3EC94CCB">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2" w:name="bookmark1594"/>
      <w:bookmarkEnd w:id="312"/>
      <w:bookmarkStart w:id="313" w:name="bookmark1595"/>
      <w:bookmarkEnd w:id="313"/>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14:textFill>
            <w14:solidFill>
              <w14:schemeClr w14:val="tx1"/>
            </w14:solidFill>
          </w14:textFill>
        </w:rPr>
        <w:t>）图纸；</w:t>
      </w:r>
    </w:p>
    <w:p w14:paraId="55433127">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4" w:name="bookmark1596"/>
      <w:bookmarkEnd w:id="314"/>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14:textFill>
            <w14:solidFill>
              <w14:schemeClr w14:val="tx1"/>
            </w14:solidFill>
          </w14:textFill>
        </w:rPr>
        <w:t>）已标价工程量清单；</w:t>
      </w:r>
    </w:p>
    <w:p w14:paraId="5BAC25D9">
      <w:pPr>
        <w:pStyle w:val="105"/>
        <w:keepNext w:val="0"/>
        <w:keepLines w:val="0"/>
        <w:pageBreakBefore w:val="0"/>
        <w:tabs>
          <w:tab w:val="left" w:pos="923"/>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5" w:name="bookmark1597"/>
      <w:bookmarkEnd w:id="315"/>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14:textFill>
            <w14:solidFill>
              <w14:schemeClr w14:val="tx1"/>
            </w14:solidFill>
          </w14:textFill>
        </w:rPr>
        <w:t>文件其他内容；</w:t>
      </w:r>
    </w:p>
    <w:p w14:paraId="1F9950F8">
      <w:pPr>
        <w:pStyle w:val="105"/>
        <w:keepNext w:val="0"/>
        <w:keepLines w:val="0"/>
        <w:pageBreakBefore w:val="0"/>
        <w:tabs>
          <w:tab w:val="left" w:pos="1026"/>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16" w:name="bookmark1598"/>
      <w:bookmarkEnd w:id="316"/>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）其他合同文件。</w:t>
      </w:r>
    </w:p>
    <w:p w14:paraId="1BA787A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 xml:space="preserve">上述文件将互相补充，若有不明确或不一致处，以上列次序在先者为准。另外双方有关工 </w:t>
      </w:r>
    </w:p>
    <w:p w14:paraId="3E84FA82">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 xml:space="preserve">程的洽商、变更等书面协议或文件视为本合同的组成部分，若有不明确或不一致处以时间顺序 </w:t>
      </w:r>
    </w:p>
    <w:p w14:paraId="45672479">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 xml:space="preserve">在后者为准。 </w:t>
      </w:r>
    </w:p>
    <w:p w14:paraId="0F7129BE">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t xml:space="preserve">1.6 图纸和承包人文件 </w:t>
      </w:r>
    </w:p>
    <w:p w14:paraId="14D19B1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1.6.1 图纸的提供： </w:t>
      </w:r>
    </w:p>
    <w:p w14:paraId="063BE57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 </w:t>
      </w:r>
    </w:p>
    <w:p w14:paraId="742715B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1.6.2 承包人提供的文件： </w:t>
      </w:r>
    </w:p>
    <w:p w14:paraId="4B4142E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有下列情形之一的，承包人应免费向监理人提交相关部分工程的施工图纸 3 份，并附必要的计算书、技术资料，或施工工艺图、设备安装图及安装设备的使用和维护手册各 2 份供监理人批准。 </w:t>
      </w:r>
    </w:p>
    <w:p w14:paraId="5F4B875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（1）为使第 1.6.1 项所述的施工图纸适合于经现场测量后的纵、横断面； </w:t>
      </w:r>
    </w:p>
    <w:p w14:paraId="6D5F570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（2）为使第 1.6.1 项所述的施工图纸适合于现场具体地形； </w:t>
      </w:r>
    </w:p>
    <w:p w14:paraId="7991FC3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（3）为使第 1.6.1 项所述的施工图纸适合于因尺寸与位置变化而引起局部变更； </w:t>
      </w:r>
    </w:p>
    <w:p w14:paraId="1DC6D49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（4）由于合同要求与施工需要。 </w:t>
      </w:r>
    </w:p>
    <w:p w14:paraId="720445C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此类图纸应按监理人规定的格式和图幅绘制。监理人在收到由承包人绘制的上述工程、工艺图纸、计算书和有关技术资料后 14 天内应予批准或提出修改要求，承包人应按监理人提出的要求做出修改，重新向监理人提交，监理人应在 7 天内批准或提出进一步的修改意见。 </w:t>
      </w:r>
    </w:p>
    <w:p w14:paraId="3BC2C9B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1.6.4 图纸的错误： </w:t>
      </w:r>
    </w:p>
    <w:p w14:paraId="4D54B9D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当承包人在查阅合同文件或在本合同工程实施过程中，发现有关的工程设计、技术规范、 图 </w:t>
      </w:r>
    </w:p>
    <w:p w14:paraId="5E7F5FA6">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纸或其他资料中的任何差错、遗漏或缺陷后，应及时通知监理人。监理人接到该通知后，应立即就此做出决定，并通知承包人和发包人。 </w:t>
      </w:r>
    </w:p>
    <w:p w14:paraId="4DAF136F">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pPr>
      <w:bookmarkStart w:id="317" w:name="bookmark1601"/>
      <w:bookmarkStart w:id="318" w:name="bookmark1600"/>
      <w:bookmarkStart w:id="319" w:name="bookmark1599"/>
      <w:r>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t>1.7联络</w:t>
      </w:r>
      <w:bookmarkEnd w:id="317"/>
      <w:bookmarkEnd w:id="318"/>
      <w:bookmarkEnd w:id="319"/>
    </w:p>
    <w:p w14:paraId="4205CBF9">
      <w:pPr>
        <w:pStyle w:val="105"/>
        <w:keepNext w:val="0"/>
        <w:keepLines w:val="0"/>
        <w:pageBreakBefore w:val="0"/>
        <w:tabs>
          <w:tab w:val="left" w:pos="2074"/>
        </w:tabs>
        <w:kinsoku/>
        <w:wordWrap/>
        <w:overflowPunct/>
        <w:topLinePunct w:val="0"/>
        <w:autoSpaceDE/>
        <w:autoSpaceDN/>
        <w:bidi w:val="0"/>
        <w:adjustRightInd/>
        <w:snapToGrid/>
        <w:spacing w:line="470" w:lineRule="exact"/>
        <w:ind w:firstLine="46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1.7.2</w:t>
      </w:r>
      <w:r>
        <w:rPr>
          <w:rFonts w:hint="default" w:ascii="Times New Roman" w:hAnsi="Times New Roman" w:eastAsia="宋体" w:cs="Times New Roman"/>
          <w:color w:val="000000" w:themeColor="text1"/>
          <w:sz w:val="21"/>
          <w:szCs w:val="21"/>
          <w:highlight w:val="none"/>
          <w14:textFill>
            <w14:solidFill>
              <w14:schemeClr w14:val="tx1"/>
            </w14:solidFill>
          </w14:textFill>
        </w:rPr>
        <w:t>来往函件均应按技术标准和要求（合同技术条款）约定的期限送</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（填写文件送达地 点）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069B3FB1">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320" w:name="bookmark1604"/>
      <w:bookmarkEnd w:id="320"/>
      <w:bookmarkStart w:id="321" w:name="_Toc18296"/>
      <w:bookmarkStart w:id="322" w:name="_Toc7249"/>
      <w:bookmarkStart w:id="323" w:name="bookmark1603"/>
      <w:bookmarkStart w:id="324" w:name="_Toc105283944"/>
      <w:bookmarkStart w:id="325" w:name="_Toc27866"/>
      <w:bookmarkStart w:id="326" w:name="bookmark1605"/>
      <w:bookmarkStart w:id="327" w:name="bookmark1602"/>
      <w:bookmarkStart w:id="328" w:name="_Toc2257"/>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 发包人义务</w:t>
      </w:r>
      <w:bookmarkEnd w:id="321"/>
      <w:bookmarkEnd w:id="322"/>
      <w:bookmarkEnd w:id="323"/>
      <w:bookmarkEnd w:id="324"/>
      <w:bookmarkEnd w:id="325"/>
      <w:bookmarkEnd w:id="326"/>
      <w:bookmarkEnd w:id="327"/>
      <w:bookmarkEnd w:id="328"/>
    </w:p>
    <w:p w14:paraId="2CAE827C">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pPr>
      <w:bookmarkStart w:id="329" w:name="bookmark1607"/>
      <w:bookmarkStart w:id="330" w:name="bookmark1608"/>
      <w:bookmarkStart w:id="331" w:name="bookmark1606"/>
      <w:r>
        <w:rPr>
          <w:rFonts w:hint="default" w:ascii="Times New Roman" w:hAnsi="Times New Roman" w:eastAsia="宋体" w:cs="Times New Roman"/>
          <w:b/>
          <w:bCs/>
          <w:color w:val="000000" w:themeColor="text1"/>
          <w:sz w:val="24"/>
          <w:szCs w:val="24"/>
          <w:highlight w:val="none"/>
          <w:lang w:val="zh-CN" w:eastAsia="zh-CN" w:bidi="zh-CN"/>
          <w14:textFill>
            <w14:solidFill>
              <w14:schemeClr w14:val="tx1"/>
            </w14:solidFill>
          </w14:textFill>
        </w:rPr>
        <w:t>2.3提供施工场地</w:t>
      </w:r>
      <w:bookmarkEnd w:id="329"/>
      <w:bookmarkEnd w:id="330"/>
      <w:bookmarkEnd w:id="331"/>
    </w:p>
    <w:p w14:paraId="16DCEF3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（1）发包人负责办理项目用地的使用权，完成拆迁补偿工作，并在项目实施过程中继续协助承包人解决以上事项的遗留问题。 </w:t>
      </w:r>
    </w:p>
    <w:p w14:paraId="11630CF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（2）发包人提供的施工场地范围为：原则上发包人指定施工场地范围为用地红线图标示的用地红线范围以内为准。本标段范围内临时设施用地按设计规划总用地指标包干使用，承包人进前 30 天对临时用地设施进行总体规划，报监理人和发包人审批，再进行临时用地征收。因承包人原因对超出总体临时用地部分，发包人协助办理（但不承诺做到），相关费用由承包人承担。 </w:t>
      </w:r>
    </w:p>
    <w:p w14:paraId="5CFD1D0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发包人负责办理工地范围（发包人提供的施工场地范围）内的征地和移民，向承包人提供满足工程使用的施工用地（发包人提供的施工场地范围内），提供用地的时间为监理人批准的单位、单项或分部工程进场施工日期之前，以满足承包人施工需要；但承包人至少提前 30 天向监理人提出用地申请报告。 </w:t>
      </w:r>
    </w:p>
    <w:p w14:paraId="1C35B5A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（4）如果承包人要求使用额外的临时施工用地，应至少提前 60 天向监理人提出报告，发包人协助以获得其所需之用地，报告应阐明所需额外用地的理由。发包人将协助承包人获得其所需的用地，但有关的土地补偿、拆迁安置、土地复垦和办理临时占地手续等所有费用都应由承包人负担。发包人不承诺保证获得或提供承包人要求的额外临时用地。</w:t>
      </w:r>
    </w:p>
    <w:p w14:paraId="07E7312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（5）因承包人的原因引起的永久占地需要超出发包人提供给承包人的永久用地范围的新增永久占地，由发包人负责办理征地手续，所需的征地补偿、拆迁、移民安置费用和办理征地手续的费用均由承包人承担。 </w:t>
      </w:r>
    </w:p>
    <w:p w14:paraId="0C303F9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（6）如本项目有其他承包人施工，本合同的承包人必须服从监理人的协调，做好与其他承包人的配合工作。 </w:t>
      </w:r>
    </w:p>
    <w:p w14:paraId="217D4C1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（7）发包人提供的施工场地三通一平（含施工道路）完成情况按招标现状，承包人应无条件接受现场条件。 </w:t>
      </w:r>
    </w:p>
    <w:p w14:paraId="2943BA7C">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2.8其它义务</w:t>
      </w:r>
    </w:p>
    <w:p w14:paraId="5A27B48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2.8.1 协助承包人处理周边关系及环境保护事宜。 </w:t>
      </w:r>
    </w:p>
    <w:p w14:paraId="6E02B17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2.8.2 根据承包人要求，发包人配合承包人在开始施工前办理施工所需的各种证件、批件和 </w:t>
      </w:r>
    </w:p>
    <w:p w14:paraId="51BEAF0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有关申请报批手续，并取得必须的许可，使承包人免于承担由于未履行上述义务的各种罚款和责任。 </w:t>
      </w:r>
    </w:p>
    <w:p w14:paraId="42E6670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2.8.3 其他未尽事宜待签订施工合同时双方再协商。 </w:t>
      </w:r>
    </w:p>
    <w:p w14:paraId="36492DA6">
      <w:pPr>
        <w:pStyle w:val="4"/>
        <w:keepNext w:val="0"/>
        <w:keepLines w:val="0"/>
        <w:pageBreakBefore w:val="0"/>
        <w:kinsoku/>
        <w:wordWrap/>
        <w:overflowPunct/>
        <w:topLinePunct w:val="0"/>
        <w:autoSpaceDE/>
        <w:autoSpaceDN/>
        <w:bidi w:val="0"/>
        <w:adjustRightInd/>
        <w:snapToGrid/>
        <w:spacing w:before="0"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32" w:name="bookmark1609"/>
      <w:bookmarkEnd w:id="332"/>
      <w:bookmarkStart w:id="333" w:name="bookmark1614"/>
      <w:bookmarkEnd w:id="333"/>
      <w:bookmarkStart w:id="334" w:name="bookmark1615"/>
      <w:bookmarkStart w:id="335" w:name="_Toc14740"/>
      <w:bookmarkStart w:id="336" w:name="_Toc5847"/>
      <w:bookmarkStart w:id="337" w:name="_Toc2059059865"/>
      <w:bookmarkStart w:id="338" w:name="_Toc12139"/>
      <w:bookmarkStart w:id="339" w:name="_Toc6637"/>
      <w:bookmarkStart w:id="340" w:name="bookmark1613"/>
      <w:bookmarkStart w:id="341" w:name="bookmark1612"/>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 监理人</w:t>
      </w:r>
      <w:bookmarkEnd w:id="334"/>
      <w:bookmarkEnd w:id="335"/>
      <w:bookmarkEnd w:id="336"/>
      <w:bookmarkEnd w:id="337"/>
      <w:bookmarkEnd w:id="338"/>
      <w:bookmarkEnd w:id="339"/>
    </w:p>
    <w:p w14:paraId="48336013">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42" w:name="bookmark161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3.1监理人的职责和权力</w:t>
      </w:r>
      <w:bookmarkEnd w:id="340"/>
      <w:bookmarkEnd w:id="341"/>
      <w:bookmarkEnd w:id="342"/>
    </w:p>
    <w:p w14:paraId="6F14C844">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3.1.1</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监理人须根据发包人事先批准的权力范围行使权力，发包人批准的权力范围：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按本工程委托监理合同</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8DD613F">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343" w:name="bookmark1619"/>
      <w:bookmarkEnd w:id="343"/>
      <w:bookmarkStart w:id="344" w:name="_Toc30982"/>
      <w:bookmarkStart w:id="345" w:name="_Toc8827"/>
      <w:bookmarkStart w:id="346" w:name="_Toc4014"/>
      <w:bookmarkStart w:id="347" w:name="_Toc23429"/>
      <w:bookmarkStart w:id="348" w:name="_Toc718918703"/>
      <w:bookmarkStart w:id="349" w:name="bookmark1620"/>
      <w:bookmarkStart w:id="350" w:name="bookmark1617"/>
      <w:bookmarkStart w:id="351" w:name="bookmark1618"/>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4. 承包人</w:t>
      </w:r>
      <w:bookmarkEnd w:id="344"/>
      <w:bookmarkEnd w:id="345"/>
      <w:bookmarkEnd w:id="346"/>
      <w:bookmarkEnd w:id="347"/>
      <w:bookmarkEnd w:id="348"/>
      <w:bookmarkEnd w:id="349"/>
    </w:p>
    <w:p w14:paraId="197D7C07">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52" w:name="bookmark1621"/>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4.1承包人的一般义务</w:t>
      </w:r>
      <w:bookmarkEnd w:id="350"/>
      <w:bookmarkEnd w:id="351"/>
      <w:bookmarkEnd w:id="352"/>
    </w:p>
    <w:p w14:paraId="7C90CA6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53" w:name="bookmark1622"/>
      <w:bookmarkEnd w:id="353"/>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4.1.7 避免施工对公众与他人的利益造成损害 </w:t>
      </w:r>
    </w:p>
    <w:p w14:paraId="1D8A8EF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承包人对实施和完成本合同工程及缺陷修复工程中的一切施工作业（尤其是管线开挖、爆破作业、钻孔桩施工、路基路面碾压等存在震动的施工作业以及需要临时改变当地交通、灌溉、排水现状的施工作业） ，在受影响段项目开工前，由承包人提出建议，由设计、监理、发包方共同复核，按核定方案实施，承包人有责任采取足够的预防措施，以保证不影响临近建筑物、构造物、高压线路、通讯光缆及电缆管道等各种设施或附近水源的安全与正常使用,不对群众的财产造成损失，也不干扰群众的生产、生活和通行方便，如未针对性对某个施工位置影响情况提出解决方案并经发包方、监理、设计共同认定，而是按承包人施工组织设计正常施工引起上述情况发生，并由此导致的第三方评估、索赔、赔偿、诉讼费用及其他开支时，应由承包人承担一切责任及费用。承包人在</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报价和组织施工时应充分考虑这一因素。 </w:t>
      </w:r>
    </w:p>
    <w:p w14:paraId="1A0E252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4.1.8 为他人提供方便 </w:t>
      </w:r>
    </w:p>
    <w:p w14:paraId="7B25A15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承包人应按发包人或监理人的指示为他人在施工场地或附近实施与工程有关的其他各项工作提供可能的条件。在施工期间为其他土建承包人和机电、金结设备安装承包人提供工作面及必要的协作配合。 </w:t>
      </w:r>
    </w:p>
    <w:p w14:paraId="75AC06E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4.1.9 工程的维护和照管 </w:t>
      </w:r>
    </w:p>
    <w:p w14:paraId="5249E97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竣工验收证书颁发前，承包人应负责照管和维护工程及将用于或安装在本工程中的材料、设备。竣工验收证书颁发时尚有部分未交工工程的，承包人还应负责该未交工工程、材料、设备的照管和维护工作，直至交工后移交给发包人为止。 </w:t>
      </w:r>
    </w:p>
    <w:p w14:paraId="17E45F0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（2）在承包人负责照管与维护期间，如果本工程或材料、设备等发生损失或损害，除不可抗力原因之外，承包人均应自费弥补，并达到合同要求。承包人还应对按第 19 条规定而实施作业的过程中由承包人造成的对工程的任何损失或损害负责。 </w:t>
      </w:r>
    </w:p>
    <w:p w14:paraId="52B96C9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4.1.10 其他义务 </w:t>
      </w:r>
    </w:p>
    <w:p w14:paraId="24C48D17">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（一）办理建筑意外伤害保险。 </w:t>
      </w:r>
    </w:p>
    <w:p w14:paraId="0598181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 3‰，由发包人在办理开工手续前垫支，由承包人承担）。 </w:t>
      </w:r>
    </w:p>
    <w:p w14:paraId="15066D7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保险期限自投保之日（工程开工之日）起至工程竣工（或投入使用）验收时止，时间上涵盖施工全过程的任一时段。 </w:t>
      </w:r>
    </w:p>
    <w:p w14:paraId="524DA25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每一个被保险人建筑意外伤害保险包含意外伤害保险和意外伤害医疗保险，保险金额按《工伤保险条例》第三十九条第三款和</w:t>
      </w:r>
      <w:r>
        <w:rPr>
          <w:rFonts w:hint="eastAsia" w:ascii="Times New Roman" w:hAnsi="Times New Roman" w:cs="Times New Roman"/>
          <w:color w:val="000000" w:themeColor="text1"/>
          <w:sz w:val="21"/>
          <w:szCs w:val="21"/>
          <w:highlight w:val="none"/>
          <w:lang w:eastAsia="zh-CN" w:bidi="ar"/>
          <w14:textFill>
            <w14:solidFill>
              <w14:schemeClr w14:val="tx1"/>
            </w14:solidFill>
          </w14:textFill>
        </w:rPr>
        <w:t>金秀瑶族自治县</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当地补助标准进行补偿。承包人办理投保手续后，应将投保有关信息以布告形式张贴于施工现场，告之被保险人。 </w:t>
      </w:r>
    </w:p>
    <w:p w14:paraId="4FA4520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鉴于本合同工程各工种调动频繁、用工流动性大等特点，投保实行不记名和不计人数的方式，一旦该工程项目发生人员意外伤害，只要是在该工程发生的，都应该由保险公司在保险责任范围内负责赔付。 </w:t>
      </w:r>
    </w:p>
    <w:p w14:paraId="41E598EA">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（二）执行农民工工资保证金制度，缴纳农民工工资保证金（适用于在本自治区行政区域内施 工的所有水利水电工程项目）。 </w:t>
      </w:r>
    </w:p>
    <w:p w14:paraId="750C4C1C">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承包人按时发放农民工工资，在发包人按时支付工程进度款后，承包人发生拖欠农民工工资的，发包人从农民工工资保证金中先行垫付，并在当月工程款结算时给予扣回，承包人将作为不良信用单位记入该承包人工资支付信用档案。承包人恶意拖欠、克扣农民工工资的，发包人将按</w:t>
      </w:r>
      <w:r>
        <w:rPr>
          <w:rFonts w:hint="eastAsia" w:ascii="Times New Roman" w:hAnsi="Times New Roman" w:eastAsia="宋体" w:cs="Times New Roman"/>
          <w:b/>
          <w:bCs/>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文件承诺书的相关规定处理。 </w:t>
      </w:r>
    </w:p>
    <w:p w14:paraId="2C19C83A">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因承包人拖欠农民工工资等原因造成农民工到发包人或政府相关部门聚众闹事、追讨工资等事件，按 1000 元/人/次进行处罚，如达三次以上，没收全部履约保证金，如造成发包人损失的，由承包人负责赔偿。 </w:t>
      </w:r>
    </w:p>
    <w:p w14:paraId="22CFB0E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1.根据《国务院办公厅关于全面治理拖欠农民工工资问题的意见》（国办发〔2016〕1 号）和《广西壮族自治区人民政府办公厅关于全面治理拖欠农民工工资问题的实施意见》（桂政办发〔2016〕113 号）精神，在办理工程项目开工手续前，住所地 在广西境内的（或住所地不在广西境内的）承包人必须向其住所地（或工程项目实际用工地的） 相关劳动保障部门履行以下义务： </w:t>
      </w:r>
    </w:p>
    <w:p w14:paraId="7532B03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（1）按以下标准在劳动保障部门指定的账户足额存入农民工工资保证金： 工程项目中标价（合同价）1000 万元（含 1000 万元）以下的，按 2％计算；超过 1000 万元部分，按 1%计算。 </w:t>
      </w:r>
    </w:p>
    <w:p w14:paraId="28691AD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（2）承包人在</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竞标</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时，必须在</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文件中作如下承诺： </w:t>
      </w:r>
    </w:p>
    <w:p w14:paraId="33F8166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① 如实说明其以前所承建的工程项目中工资支付的情况，特别注明是否存在拖欠或克扣农民工工资的行为。 </w:t>
      </w:r>
    </w:p>
    <w:p w14:paraId="241339B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② 承诺中标后及时、足额存入农民工工资保证金。 </w:t>
      </w:r>
    </w:p>
    <w:p w14:paraId="661BA04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③ 承诺依法足额支付农民工工资，一旦其承建的工程项目出现拖欠农民工工资情况的，可由劳动保障部门从工资保证金中先予垫支。 </w:t>
      </w:r>
    </w:p>
    <w:p w14:paraId="0A224E1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承包人应当持根据上述作出的承诺和说明、存入农民工工资保证金的银行凭证到劳动保障部门报备。由劳动保障部门出具备案证明后到水利部门办理开工手续。 </w:t>
      </w:r>
    </w:p>
    <w:p w14:paraId="63B21F3F">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（三）现场考察 </w:t>
      </w:r>
    </w:p>
    <w:p w14:paraId="03DCBE6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（1）发包人不组织</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供应商</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对招标项目施工现场进行考察，承包人在提交</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文件之前，应视 </w:t>
      </w:r>
    </w:p>
    <w:p w14:paraId="13FC8505">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为已对现场及其周围环境和与之有关的可用资料进行了视察和检查，并对以下几点在费用和时间方面的可行性感到满意： </w:t>
      </w:r>
    </w:p>
    <w:p w14:paraId="22B5294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①现场的形状和性质； </w:t>
      </w:r>
    </w:p>
    <w:p w14:paraId="412AEF0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②水文和气候的条件； </w:t>
      </w:r>
    </w:p>
    <w:p w14:paraId="167FE9D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③为工程施工和完工以及修补其任何缺陷所需的工作和材料的范围与性质； </w:t>
      </w:r>
    </w:p>
    <w:p w14:paraId="61F5694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④进入现场的手段以及承包人可能需要的生产和生活条件； </w:t>
      </w:r>
    </w:p>
    <w:p w14:paraId="204B036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⑤项目周围社会民风情况和场内外道路使用情况。 </w:t>
      </w:r>
    </w:p>
    <w:p w14:paraId="5783490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并且，一般应认为承包人已取得有关上述可能对其</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文件产生影响或发生作用的风险、意外事件及所有其它情况的全部必要资料。 </w:t>
      </w:r>
    </w:p>
    <w:p w14:paraId="5677D78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应当认为承包人的</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文件是以发包人提供的可利用的资料和承包人自己进行的上述视察和检查为依据的。无论发包人提供或承包人自己收集的上述资料，对于其完整性和正确性以及做出的推论、解释和结论均由承包人负责。 </w:t>
      </w:r>
    </w:p>
    <w:p w14:paraId="0A6D4A7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（2）承包人不得以下列理由提出索取额外款项的申请：①对上述第（1）项所述事项或其他 </w:t>
      </w:r>
    </w:p>
    <w:p w14:paraId="04912365">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方面有所误解；②指出任何受雇或非受雇于发包人的人员向承包人提供错误或不足够资料；③ </w:t>
      </w:r>
    </w:p>
    <w:p w14:paraId="5FCADDB1">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同时承包人亦不得以上述第（1）项理由或因承包人未能预见任何事实上会影响或已经影响合同 </w:t>
      </w:r>
    </w:p>
    <w:p w14:paraId="196C10BA">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工程进行的施工为理由，而获得免除其根据合同规定须承担的风险或责任；④非征地原因引起 </w:t>
      </w:r>
    </w:p>
    <w:p w14:paraId="10077B02">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的群众阻挡施工。 </w:t>
      </w:r>
    </w:p>
    <w:p w14:paraId="46AF5717">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（四）工程施工的义务和责任 </w:t>
      </w:r>
    </w:p>
    <w:p w14:paraId="3AB5B70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（1）施工用电及用水约定 </w:t>
      </w:r>
    </w:p>
    <w:p w14:paraId="6DDF4AF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A.施工用电 </w:t>
      </w:r>
    </w:p>
    <w:p w14:paraId="7087CD0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工程区内农村 10kV 供电网较为普遍，各施工区的用电均可采用就近从农村 10kV 电网引接方式接取电源。承包人应为其出现停电事故后急需恢复用电的重要工程部位（如照明和排水、补救中断的混凝土浇筑等）配备一定容量的事故备用电源，为紧急供电之用。 承包人负责从 10KV 线路 T 接点（含 T 接点）起至低压计量出口间线路、设备的建设、安装以及维护、维修、拆除等，并负责勘测设计、评审、征地拆迁及青苗补偿、施工、安装、验收等。与承包人电力设施有关的所有设备（包括配电箱、低压配电线等）、材料和施工均须经监理人批准，并在同意撤除以前，保证上述设备和材料处于正常使用和安全状态。 </w:t>
      </w:r>
    </w:p>
    <w:p w14:paraId="39DCB1A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承包人需按时向供电部门（或发包人）交纳电费（包括线损、变损费用等）。 </w:t>
      </w:r>
    </w:p>
    <w:p w14:paraId="6BBD253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为了保证电力供应的安全性和可靠性，要求承包人在开工日期后的 15 天内提交用电申请。 承包人在该申请中应说明要求的用电量及电力负荷计划。 </w:t>
      </w:r>
    </w:p>
    <w:p w14:paraId="2B9CD05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由于承包人的配电线路出现故障或管理不善而引起的停电损失，发包人将不负责任。承包人应为其出现停电事故后急需恢复用电的重要工程部位（如排水、补救中断的混凝土浇筑等） 配备 一定容量的事故备用电源，为紧急供电之用。 </w:t>
      </w:r>
    </w:p>
    <w:p w14:paraId="4E6A068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B.施工用水 </w:t>
      </w:r>
    </w:p>
    <w:p w14:paraId="658ACBE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本标段施工供水主要有施工生产用水以及生活用水，由施工单位自行解决。 </w:t>
      </w:r>
    </w:p>
    <w:p w14:paraId="1E21519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承包人负责生产、生活用水，场内及场外用水管路、设备、设施的建设与维护等费用已包含在有关单价和总价中，发包人不再另行支付由此所发生的一切费用。 </w:t>
      </w:r>
    </w:p>
    <w:p w14:paraId="76231A7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（2）除民房、坟墓及专项迁改外，承包人应按监理人的指示负责拆除、清理已征用土地范 围内的地上地下附属物，例如：旧基础、旧石墙、旧管道、杂物、竹木、蕉木、树木、树（竹） 根、杂草等，并承担其费用。 </w:t>
      </w:r>
    </w:p>
    <w:p w14:paraId="746A6AD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（3）承包人负责施工工程度汛措施并承担其费用。未达到度汛目标或承包人未尽到合同文件规定的责任、义务等造成的损失由承包人自行承担。 本工程基坑排水（包括初期排水和经常性排水）费用含在其他临时工程费中，发包人不另行支付。 </w:t>
      </w:r>
    </w:p>
    <w:p w14:paraId="4909EBB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（4）承包人负责工程安全防护工作并承担其费用。根据工程需要，提供和维修施工使用的照明、围栏设施，并负责安全保卫工作。其费用已包含在合同价格中，发包人不另行支付。 承包人必须文明、安全施工，在施工期间发生的一切人员伤亡和财产损失等责任事故和所发生的一切费用概由承包人承担。 </w:t>
      </w:r>
    </w:p>
    <w:p w14:paraId="708FD3B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（5）将发包人按合同约定支付的各项价款专用于合同工程，且应及时支付其雇用人员工资，并及时向分包人支付合同价款； </w:t>
      </w:r>
    </w:p>
    <w:p w14:paraId="4202AE5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（6）承包人免费为发包人及监理人提供施工现场办公用房（共 2 间，每间约 25 平方米，水电齐全。不包括办公设施），承担施工过程中用水、用电费用。 </w:t>
      </w:r>
    </w:p>
    <w:p w14:paraId="6459C62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（7）现场施工配合与协调 </w:t>
      </w:r>
    </w:p>
    <w:p w14:paraId="4DFE190B">
      <w:pPr>
        <w:keepNext w:val="0"/>
        <w:keepLines w:val="0"/>
        <w:pageBreakBefore w:val="0"/>
        <w:widowControl/>
        <w:kinsoku/>
        <w:wordWrap/>
        <w:overflowPunct/>
        <w:topLinePunct w:val="0"/>
        <w:autoSpaceDE/>
        <w:autoSpaceDN/>
        <w:bidi w:val="0"/>
        <w:adjustRightInd/>
        <w:snapToGrid/>
        <w:spacing w:line="470" w:lineRule="exact"/>
        <w:ind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承包人</w:t>
      </w:r>
      <w:r>
        <w:rPr>
          <w:rFonts w:hint="eastAsia" w:ascii="Times New Roman" w:hAnsi="Times New Roman" w:eastAsia="宋体" w:cs="Times New Roman"/>
          <w:b/>
          <w:bCs/>
          <w:color w:val="000000" w:themeColor="text1"/>
          <w:sz w:val="21"/>
          <w:szCs w:val="21"/>
          <w:highlight w:val="none"/>
          <w:lang w:eastAsia="zh-CN" w:bidi="ar"/>
          <w14:textFill>
            <w14:solidFill>
              <w14:schemeClr w14:val="tx1"/>
            </w14:solidFill>
          </w14:textFill>
        </w:rPr>
        <w:t>竞标</w:t>
      </w: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时，应在施工组织设计文件对发包人提供的临时用地编制使用计划，包括位置、 </w:t>
      </w:r>
    </w:p>
    <w:p w14:paraId="1C81E58D">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面积、使用起止时间等。 </w:t>
      </w:r>
    </w:p>
    <w:p w14:paraId="4532EC2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承包人必须服从发包人和监理人的统一协调和管理，与其他承包人密切配合，共同优质、快 </w:t>
      </w:r>
    </w:p>
    <w:p w14:paraId="22053488">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速完成本工程的建设。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14:paraId="13AF292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1）工作面的安全和施工质量影响。 </w:t>
      </w:r>
    </w:p>
    <w:p w14:paraId="3CDED0D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2）施工进度的影响。 </w:t>
      </w:r>
    </w:p>
    <w:p w14:paraId="48856A3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3）及时提供或移交工作面。 </w:t>
      </w:r>
    </w:p>
    <w:p w14:paraId="162EC57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4）保持相邻界面附近的结构质量。 </w:t>
      </w:r>
    </w:p>
    <w:p w14:paraId="0AEA686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5）为其他标段承包人提供交通道路、交叉工作面的作业场地。</w:t>
      </w:r>
    </w:p>
    <w:p w14:paraId="17A3084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6）为其他标段承包人提供用水及用电方便，相关费用按有关标准由其他标段承包人支付。 </w:t>
      </w:r>
    </w:p>
    <w:p w14:paraId="2D4999F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在承建标段范围区段的维护与保养，不得造成损坏或障碍而影响相邻标段的施工。因施工不当造成其它他标段相关设施及设备破坏的（如施工监控、监测、检测的设施、设备等），应当无偿恢复和承担相应费用。 </w:t>
      </w:r>
    </w:p>
    <w:p w14:paraId="06B56C5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凡属于需要承包人交付给其他承包人的工作面以及与其他承包人交叉作业的工作面，承包人必须服从监理人的决定，按规定的完工日期完成并将清理好的工作面移交给发包人，并取得监理人的同意。如由于承包人本身的原因导致无法按时移交，除视为承包人逾期违约而根据第11.5 款处以工期延误违约金外，还应对其他承包人向发包人提出的索赔承担全部责任。 </w:t>
      </w:r>
    </w:p>
    <w:p w14:paraId="34FE882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（8）对现场作业和施工方法负责 </w:t>
      </w:r>
    </w:p>
    <w:p w14:paraId="2590654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监理人对承包人的施工计划、方法、措施以及设计图纸的审查与批准，或对于分包人的确认，或对于承包人所实施工程的检查和检验，并不意味着可变更或减轻承包人应承担的全部合同义务和责任。 </w:t>
      </w:r>
    </w:p>
    <w:p w14:paraId="04693B4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（9）负责辖区内及其周边环境和生态的保护工作 </w:t>
      </w:r>
    </w:p>
    <w:p w14:paraId="1288DE5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遵守环境和生态保护的法律、法规和规章，采取必要的措施保护工地及其附近的生态环境，免受因其施工的废水和噪声污染以及其它因素造成的环境破坏、人员伤害及财产损失。由此造成的费用由承包人承担。 </w:t>
      </w:r>
    </w:p>
    <w:p w14:paraId="5FA9914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10）在符合合同要求所许可的范围内，实施和完成本合同工程及缺陷修复工程中的一切施工作业，不得对现有工程及各种管道、电线、电缆、涵闸等设施造成任何影响或破坏，不得影响邻近建筑物、构造物、当地居民与企业财产等的安全与正常使用或不适当地干扰群众的通行方便。如果发生上述情况，并由此导致索赔、赔偿、诉讼费及其他开支时，应由承包人承担一切责任及费用。承包人应协调和处理好与当地群众的关系。 </w:t>
      </w:r>
    </w:p>
    <w:p w14:paraId="6213A29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11）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 </w:t>
      </w:r>
    </w:p>
    <w:p w14:paraId="790D6FC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（12）承包人在现场修筑和负责维护的公路，应按合同规定无偿提供给其他承包人使用。 承包人负责本标段使用道路的协调和运行维护，包括自建临时道路、已建乡村公路和其他承包人提供的已建施工道路，并在关键交叉路口设置醒目标志和人员指挥，出现堵塞时协调组织人员恢复道路通畅，费用不再另行支付。 </w:t>
      </w:r>
    </w:p>
    <w:p w14:paraId="423DD44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（13）承包人应为监理人、发包人现场代表对施工现场的检查监督提供必要的配合，并对这种配合对施工的影响应有充分的考虑。</w:t>
      </w:r>
    </w:p>
    <w:p w14:paraId="2758E4A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主动配合地方劳动、安全、技术监督、计量管理、环境保护、公安、消防、税务等部门依照有关政策法规开展的各项检验、检查、注册、登记和发证工作，如压力容器和特种设备的安装检验与定期检验等，有关费用由承包人承担。 </w:t>
      </w:r>
    </w:p>
    <w:p w14:paraId="0D4045E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（14）工程竣工后，承包人应按监理人的指示清理施工现场（工完场清）直至监理人、发包人检查合格为止，同时要求对临时用地（施工区等）的施工清理、垃圾清理恢复到原地貌原状或交地给群众接受为止。</w:t>
      </w:r>
    </w:p>
    <w:p w14:paraId="541309F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经过公路、城市道路、乡村道路和发包人提供的进场道路的施工车辆，必须按交警、城管、环保、环卫等部门规定执行。施工车辆的营运手续办理、清洗、道路除尘等一切费用由承包人承担。由于车辆超载、带泥或洒漏造成的道路损坏、环境污染等，其责任和费用均由承包人承担。 </w:t>
      </w:r>
    </w:p>
    <w:p w14:paraId="1309EB1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（16）按照发包人的要求作好安全文明宣传、领导检查宣传等工作，相关费用由承包人承担。 </w:t>
      </w:r>
    </w:p>
    <w:p w14:paraId="242485B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（17）本标段所涉及的土方开挖、回填，承包人需做好土方平衡规划，如承包人施工过程 </w:t>
      </w:r>
    </w:p>
    <w:p w14:paraId="084C1C3E">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额外增加开挖、运距等，增加的费用由承包人负责，发包人不再另行支付。 </w:t>
      </w:r>
    </w:p>
    <w:p w14:paraId="649AB8D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施工过程中所清理的表土、种植土必须自行集中堆放，且便于土地复垦（或水土保持工程施工）时再次利用，并承担其费用。如不按规定集中堆放，因此而产生的其他一切费用由承包人负责。 </w:t>
      </w:r>
    </w:p>
    <w:p w14:paraId="48DD91B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18）承包人在开展爆破作业前，应进行爆破试验，所采用的爆破参数不应损坏附近既有的公路、管线、民房及其他建筑物，不得影响附近村庄安全。否则发生的费用由承包人负责。承包人在爆破前，应查明工程建设区内有无爆破敏感建筑、国防军事设施、通讯电力设施、居民区等，按规定作好爆破可能造成影响区的原始物证收集及整理工作（摄像或照片），相关原始资料需取得产权人签字确认，并做好安全防护措施；需临时中断公路交通的，做好安全警戒工作并设置安全警示标识牌。上述工作所发生的费用由承包人负责。 </w:t>
      </w:r>
    </w:p>
    <w:p w14:paraId="0AC5E54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所有涉及爆破作业的承包人，应由监理人会同各方商定爆破时间，或由监理人决定爆破时间， </w:t>
      </w:r>
    </w:p>
    <w:p w14:paraId="0AE53267">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各方必须遵守该爆破时间和安全规程。遵守上述要求不应构成要求增加费用和延长工期的依据。 </w:t>
      </w:r>
    </w:p>
    <w:p w14:paraId="67CE0A1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19）承包人需遵守政府有关主管部门对施工场地交通、施工噪音以及环境保护和安全生产等的管理规定，办理相关于续、并以书面形式通知发包人；施工过程中由承包人负责处理自身原因涉及环保、卫生、交通、污水处理和自身原因引起的一切纠纷、事故赔偿责任和社会治安等关系。其中施工期间生产的废排水，承包人应根据施工组织设计并结合现场情况考虑制定处理措施方案。其费用已包含在合同价格中，发包人不另行支付。 </w:t>
      </w:r>
    </w:p>
    <w:p w14:paraId="7106238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20）己完工工程未交付发包人之前，由承包人负责己完工程的保护工作，保护期间发生损坏，承包人自费予以修复。发包人要求承包人采取特殊措施保护的工程部位，承包人必须按照发包人的要求完成并承担相应费用。 </w:t>
      </w:r>
    </w:p>
    <w:p w14:paraId="19D6B5D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（21）承包人负责承担在施工过程中因施工造成的各种损失赔偿，包括但不限于施工爆破、 施工掘进等造成的房屋及其他构建筑物、地上（地下）管网、线路、道路等的各种不同程度的损失和影响赔偿，也包括施工引起的大气污染、声光污染、震动等造成的损失和影响的赔偿；对于施工过程造成的水土流失、地下水破坏、文物的挖掘和迁建等按有关规定执行，所发生的费用由承包人承担，发包人不另行支付费用。 </w:t>
      </w:r>
    </w:p>
    <w:p w14:paraId="66C7064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（22）工程完工后，承包人应按监理人的指示清理施工现场，做到（工完场清）。并在工程竣工验收后按发包人要求 90 天内完成并提交工程竣工资料和工程结算资料。承包人逾期提交，发包人将对承包人的拖延行为视为违约，并按 10000 元/天计算违约金，违约金从承包人应得的工程款中扣除，但其最终的累计总金额不超过合同价格的 2%。 </w:t>
      </w:r>
    </w:p>
    <w:p w14:paraId="35AE269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（23）鼓励承包人根据工程建设实际，吸纳建档立卡贫困劳动力参加工程建设。 </w:t>
      </w:r>
    </w:p>
    <w:p w14:paraId="7C67A73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（24）执行自治区关于松材线虫病防控工作的有关规定，工程建设采用的模板、支撑及脚手架以钢模板、钢支撑为主，不使用松木及其包装材料。木质模板及仿材尽量就地采购，避免长途转运。 </w:t>
      </w:r>
    </w:p>
    <w:p w14:paraId="6FA3BAF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（25）承包人的承诺：</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w:t>
      </w:r>
    </w:p>
    <w:p w14:paraId="55A280FB">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54" w:name="bookmark1650"/>
      <w:bookmarkStart w:id="355" w:name="bookmark1651"/>
      <w:bookmarkStart w:id="356" w:name="bookmark1652"/>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4.3分包</w:t>
      </w:r>
      <w:bookmarkEnd w:id="354"/>
      <w:bookmarkEnd w:id="355"/>
      <w:bookmarkEnd w:id="356"/>
    </w:p>
    <w:p w14:paraId="54A51740">
      <w:pPr>
        <w:pStyle w:val="105"/>
        <w:keepNext w:val="0"/>
        <w:keepLines w:val="0"/>
        <w:pageBreakBefore w:val="0"/>
        <w:tabs>
          <w:tab w:val="left" w:pos="5849"/>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4.3.</w:t>
      </w:r>
      <w:r>
        <w:rPr>
          <w:rFonts w:hint="default" w:ascii="Times New Roman" w:hAnsi="Times New Roman" w:eastAsia="宋体" w:cs="Times New Roman"/>
          <w:color w:val="000000" w:themeColor="text1"/>
          <w:sz w:val="21"/>
          <w:szCs w:val="21"/>
          <w:highlight w:val="none"/>
          <w14:textFill>
            <w14:solidFill>
              <w14:schemeClr w14:val="tx1"/>
            </w14:solidFill>
          </w14:textFill>
        </w:rPr>
        <w:t>2允许承包人分包的工程项目、工作内容与分包金额限额为：</w:t>
      </w:r>
    </w:p>
    <w:p w14:paraId="0E1948A0">
      <w:pPr>
        <w:pStyle w:val="127"/>
        <w:keepNext w:val="0"/>
        <w:keepLines w:val="0"/>
        <w:pageBreakBefore w:val="0"/>
        <w:tabs>
          <w:tab w:val="left" w:pos="924"/>
          <w:tab w:val="left" w:pos="3770"/>
        </w:tabs>
        <w:kinsoku/>
        <w:wordWrap/>
        <w:overflowPunct/>
        <w:topLinePunct w:val="0"/>
        <w:autoSpaceDE/>
        <w:autoSpaceDN/>
        <w:bidi w:val="0"/>
        <w:adjustRightInd/>
        <w:snapToGrid/>
        <w:spacing w:after="0" w:line="470" w:lineRule="exact"/>
        <w:ind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57" w:name="bookmark1653"/>
      <w:bookmarkEnd w:id="357"/>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）工程项目：</w:t>
      </w:r>
      <w:r>
        <w:rPr>
          <w:rFonts w:hint="default" w:ascii="Times New Roman" w:hAnsi="Times New Roman" w:eastAsia="宋体" w:cs="Times New Roman"/>
          <w:color w:val="000000" w:themeColor="text1"/>
          <w:sz w:val="21"/>
          <w:szCs w:val="21"/>
          <w:highlight w:val="none"/>
          <w:u w:val="single"/>
          <w:lang w:eastAsia="zh-CN" w:bidi="zh-CN"/>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7F1CC612">
      <w:pPr>
        <w:pStyle w:val="127"/>
        <w:keepNext w:val="0"/>
        <w:keepLines w:val="0"/>
        <w:pageBreakBefore w:val="0"/>
        <w:tabs>
          <w:tab w:val="left" w:pos="924"/>
          <w:tab w:val="left" w:pos="3770"/>
        </w:tabs>
        <w:kinsoku/>
        <w:wordWrap/>
        <w:overflowPunct/>
        <w:topLinePunct w:val="0"/>
        <w:autoSpaceDE/>
        <w:autoSpaceDN/>
        <w:bidi w:val="0"/>
        <w:adjustRightInd/>
        <w:snapToGrid/>
        <w:spacing w:after="0" w:line="470" w:lineRule="exact"/>
        <w:ind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58" w:name="bookmark1654"/>
      <w:bookmarkEnd w:id="358"/>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）工作内容：</w:t>
      </w:r>
      <w:r>
        <w:rPr>
          <w:rFonts w:hint="default" w:ascii="Times New Roman" w:hAnsi="Times New Roman" w:eastAsia="宋体" w:cs="Times New Roman"/>
          <w:color w:val="000000" w:themeColor="text1"/>
          <w:sz w:val="21"/>
          <w:szCs w:val="21"/>
          <w:highlight w:val="none"/>
          <w:u w:val="single"/>
          <w:lang w:eastAsia="zh-CN" w:bidi="zh-CN"/>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516C4219">
      <w:pPr>
        <w:pStyle w:val="105"/>
        <w:keepNext w:val="0"/>
        <w:keepLines w:val="0"/>
        <w:pageBreakBefore w:val="0"/>
        <w:tabs>
          <w:tab w:val="left" w:pos="924"/>
          <w:tab w:val="left" w:pos="4190"/>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59" w:name="bookmark1655"/>
      <w:bookmarkEnd w:id="359"/>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）分包金额限额：</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376F003C">
      <w:pPr>
        <w:pStyle w:val="105"/>
        <w:keepNext w:val="0"/>
        <w:keepLines w:val="0"/>
        <w:pageBreakBefore w:val="0"/>
        <w:tabs>
          <w:tab w:val="left" w:pos="5849"/>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4.3.</w:t>
      </w:r>
      <w:r>
        <w:rPr>
          <w:rFonts w:hint="default" w:ascii="Times New Roman" w:hAnsi="Times New Roman" w:eastAsia="宋体" w:cs="Times New Roman"/>
          <w:color w:val="000000" w:themeColor="text1"/>
          <w:sz w:val="21"/>
          <w:szCs w:val="21"/>
          <w:highlight w:val="none"/>
          <w14:textFill>
            <w14:solidFill>
              <w14:schemeClr w14:val="tx1"/>
            </w14:solidFill>
          </w14:textFill>
        </w:rPr>
        <w:t>10 分包人项目管理机构的设立：</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21978BC3">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 xml:space="preserve">4.5承包人项目负责人 </w:t>
      </w:r>
    </w:p>
    <w:p w14:paraId="57B8246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4.5.1 承包人成立项目部时，应派出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文件中承诺的项目经理和技术负责人，发包人和监理工程师认为项目经理和技术负责人不能胜任或其他原因不能够正常履职的，承包人应予以更换（更换人员不得低于原资质及能力要求），同时发包人有权要求承包人按 5 万元/人▪次支付违约金。未事先征得发包人和监理工程师的同意，承包人不得擅自更换项目经理和技术负责人， 如擅自更换，发包人有权要求承包人按 10 万元/人▪次支付违约金。 </w:t>
      </w:r>
    </w:p>
    <w:p w14:paraId="6660EAB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项目经理、技术负责人在开工令后的工程实施过程中，必须保证每月至少有 22 天在施工现场，离开施工现场时，须事先取得发包人同意，擅自或申请后未经批准离开现场,核查中每少 1 天按 1000 元/人▪天向发包人支付违约金。 </w:t>
      </w:r>
    </w:p>
    <w:p w14:paraId="484D8F9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上述违约金在当期工程进度款中扣除。</w:t>
      </w:r>
    </w:p>
    <w:p w14:paraId="50A721F7">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 xml:space="preserve">4.6承包人人员的管理 </w:t>
      </w:r>
    </w:p>
    <w:p w14:paraId="7CFDE3D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4.6.1 承包人应按监理人批准的人员进场计划，及时组织人员进场,如果承包人在开工令前接到监理人要求人员进场的通知 7 天后仍未安排相关人员进场，应进行违约处理，项目经理、 技术负责人未按时进场的，按 500 元/人▪天支付违约金，其他主要管理人员未按时进场的，按 200元/人▪天支付违约金，如果承包人接到通知后 14 天未安排相关人员进场,将要求其更换人选，同时执行人员更换违约条款。 </w:t>
      </w:r>
    </w:p>
    <w:p w14:paraId="5D14CEA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4.6.3 承包人安排在施工场地的主要管理人员和技术骨干应与承包人承诺的名单一致，并保持相 对稳定。未经监理人批准，上述人员不应无故不到位或被替换；若确实无法到位或需替换，需经监理人审核并报发包人批准后，用同等资质和经历的人员替换。 </w:t>
      </w:r>
    </w:p>
    <w:p w14:paraId="703012C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 </w:t>
      </w:r>
    </w:p>
    <w:p w14:paraId="44F51B0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4.6.6 承包人主要管理人员（除项目经理、技术负责人以外的人员）驻工程现场时间不得少于 22 天/月，否则每月按少于 22 天的天数按 500 元/天进行罚款，发包人在每月支付给承包人的进度付款中直接扣除。 </w:t>
      </w:r>
    </w:p>
    <w:p w14:paraId="7FB658F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4.6.7 劳务分包 </w:t>
      </w:r>
    </w:p>
    <w:p w14:paraId="1D21E1E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承包人可以直接雇用农民工或将劳务作业分包给具有劳务分包资质的劳务分包人，但承包人或分包人必须依法签订劳动合同，并将劳动合同报监理人备案。承包人和劳务分包人必须按照有关法律、法规和劳务合同按时支付劳务工资，落实各项劳动保护措施。</w:t>
      </w:r>
    </w:p>
    <w:p w14:paraId="452B7C84">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60" w:name="bookmark1657"/>
      <w:bookmarkStart w:id="361" w:name="bookmark1656"/>
      <w:bookmarkStart w:id="362" w:name="bookmark1658"/>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4.7撤换承包人项目经理和其他人员</w:t>
      </w:r>
      <w:bookmarkEnd w:id="360"/>
      <w:bookmarkEnd w:id="361"/>
      <w:bookmarkEnd w:id="362"/>
    </w:p>
    <w:p w14:paraId="1BEB6C7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承包人应对其项目经理和其他人员进行有效管理。监理人要求撤换不能胜任本职工作、行 为 </w:t>
      </w:r>
    </w:p>
    <w:p w14:paraId="56DB90A3">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不端或玩忽职守的承包人项目经理和其他人员的，承包人应予以撤换，同时委派经发包人与 监理人同意的新的项目经理和其他人员，非工程管理能力的其他行为不端问题被撤换的,如在 7 天内完成撤换的，不处罚违约金，否则按 4.5.1 条处罚，其他人员则按 5 万元/人</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次。 </w:t>
      </w:r>
    </w:p>
    <w:p w14:paraId="2467E15F">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4.8 保障承包人人员的合法权益 </w:t>
      </w:r>
    </w:p>
    <w:p w14:paraId="231590A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4.8.3 承包人应为其雇佣人员提供必要的食宿条件，以及符合环境保护和卫生要求的生活环境，承包人还应配备必要的伤病防治和急救的医护人员与医疗设施，其费用已包含在合同价格中。 </w:t>
      </w:r>
    </w:p>
    <w:p w14:paraId="4B88E62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4.8.5 承包人应严格按照国家及当地关于保障农民工权益等有关规定，为农民工办理相关保险，保障农民工工资、福利等权益。若由于农民工因工作原因受到事故伤害或患职业病而引起劳动争议，承包人应积极配合劳动保障监察部门进行调查处理，并按处理意见解决劳动争议。 </w:t>
      </w:r>
    </w:p>
    <w:p w14:paraId="6D7F7C0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4.8.7 承包人应严格遵守《保障农民工工资支付条例》（国务院令第 724 号）及当地有关农民工工资保障的相关规定、制度，认真做好农民工劳动合同的签订、履行和管理工作，并向 劳动保障行政部门进行用工备案。承包人应建立健全劳动合同管理制度，规范劳动合同的签订行为，完善劳动合同内容并对劳动合同实行动态管理。承包人除依法与所雇用的农民工建立劳动合同关系外，还应按劳动合同约定足额支付农民工工资，不得无故拖欠或克扣。对使用农民工实行实名制管理、配备劳资专管人员、申请开工报告前缴纳农民工工资保障金等规定按文件相关规定执行。如因承包人违反上述规定，给发包人造成不良影响，发包人除动用应支付承包人的工程款用以支付农民工工资以外，承包人还应支付发包人每次 10 万元的违约金。若因此引发阻工停工事件，由承包人无条件承担由此给发包人带来的一切损失。 </w:t>
      </w:r>
    </w:p>
    <w:p w14:paraId="02CABD4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承包人应按照当地有关部门规定缴纳农民工工资保障金。</w:t>
      </w:r>
    </w:p>
    <w:p w14:paraId="1BC84CA3">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4.9 工程价款应专款专用 </w:t>
      </w:r>
    </w:p>
    <w:p w14:paraId="2F9B788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24FF71D4">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63" w:name="bookmark1659"/>
      <w:bookmarkStart w:id="364" w:name="bookmark1660"/>
      <w:bookmarkStart w:id="365" w:name="bookmark1661"/>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4.11不利物质条件</w:t>
      </w:r>
      <w:bookmarkEnd w:id="363"/>
      <w:bookmarkEnd w:id="364"/>
      <w:bookmarkEnd w:id="365"/>
    </w:p>
    <w:p w14:paraId="45F96341">
      <w:pPr>
        <w:pStyle w:val="105"/>
        <w:keepNext w:val="0"/>
        <w:keepLines w:val="0"/>
        <w:pageBreakBefore w:val="0"/>
        <w:tabs>
          <w:tab w:val="left" w:pos="8230"/>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4.11.1</w:t>
      </w:r>
      <w:r>
        <w:rPr>
          <w:rFonts w:hint="default" w:ascii="Times New Roman" w:hAnsi="Times New Roman" w:eastAsia="宋体" w:cs="Times New Roman"/>
          <w:color w:val="000000" w:themeColor="text1"/>
          <w:sz w:val="21"/>
          <w:szCs w:val="21"/>
          <w:highlight w:val="none"/>
          <w14:textFill>
            <w14:solidFill>
              <w14:schemeClr w14:val="tx1"/>
            </w14:solidFill>
          </w14:textFill>
        </w:rPr>
        <w:t>不利物质条件的范围：</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按</w:t>
      </w:r>
      <w:r>
        <w:rPr>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t>通用合同条款</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执行</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6A01DB2A">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366" w:name="bookmark1664"/>
      <w:bookmarkEnd w:id="366"/>
      <w:bookmarkStart w:id="367" w:name="bookmark1662"/>
      <w:bookmarkStart w:id="368" w:name="_Toc26114"/>
      <w:bookmarkStart w:id="369" w:name="_Toc347230106"/>
      <w:bookmarkStart w:id="370" w:name="bookmark1663"/>
      <w:bookmarkStart w:id="371" w:name="bookmark1665"/>
      <w:bookmarkStart w:id="372" w:name="_Toc25710"/>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5. 材料和工程设备</w:t>
      </w:r>
      <w:bookmarkEnd w:id="367"/>
      <w:bookmarkEnd w:id="368"/>
      <w:bookmarkEnd w:id="369"/>
      <w:bookmarkEnd w:id="370"/>
      <w:bookmarkEnd w:id="371"/>
      <w:bookmarkEnd w:id="372"/>
    </w:p>
    <w:p w14:paraId="5EA85988">
      <w:pPr>
        <w:pStyle w:val="5"/>
        <w:keepNext w:val="0"/>
        <w:keepLines w:val="0"/>
        <w:pageBreakBefore w:val="0"/>
        <w:kinsoku/>
        <w:wordWrap/>
        <w:overflowPunct/>
        <w:topLinePunct w:val="0"/>
        <w:autoSpaceDE/>
        <w:autoSpaceDN/>
        <w:bidi w:val="0"/>
        <w:adjustRightInd/>
        <w:snapToGrid/>
        <w:spacing w:line="470" w:lineRule="exact"/>
        <w:ind w:left="0" w:leftChars="0" w:firstLine="42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73" w:name="bookmark1668"/>
      <w:bookmarkStart w:id="374" w:name="bookmark1667"/>
      <w:bookmarkStart w:id="375" w:name="bookmark1666"/>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5.2发包人提供的材料和工程设备</w:t>
      </w:r>
      <w:bookmarkEnd w:id="373"/>
      <w:bookmarkEnd w:id="374"/>
      <w:bookmarkEnd w:id="375"/>
    </w:p>
    <w:p w14:paraId="1EC4C4E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376" w:name="bookmark1669"/>
      <w:bookmarkEnd w:id="376"/>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 除第5.2 款或工程量清单约定由发包人提供的材料和工程设备外，承包人负责采购、 运输和保管完成本合同工作所需的材料和工程设备，设备采购前需报发包人审批，,必须提供三家以上的业内信誉好的品牌或厂家，发包人亦可另行考察 2-3 家，发现有更优的设备，在价格不超过</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报价的设备材料价款，发包方有权确定另行考察的品牌或厂家,经发包人考察签字同意后方可采购，发包人可到设备厂家进行监造，费用发包人自行解决.所有包括在设备里的材料都应该是最适合于本工程项目的工作条件、环境且必需是新的，必须为相关行业内的知名品牌并没有任何质量缺陷的;材料的选择应考虑到使用期长,维修费用低，所有的材料都应设计成能抵抗工作时的应力、周围的恶劣环境而不会造成变形或损坏,影响相应材料设备的效率和可靠性）。 </w:t>
      </w:r>
    </w:p>
    <w:p w14:paraId="1BBAD7F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发包人对承包人采购的设备进行全过程监督管理，所采购的设备质量须达到国家或行业相关标准，并提供所采购的设备（包括其主要附件）的合格证书或相关权威机构（部门）出具的检验 </w:t>
      </w:r>
    </w:p>
    <w:p w14:paraId="3D686727">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合格资料。</w:t>
      </w:r>
    </w:p>
    <w:p w14:paraId="2BB6A313">
      <w:pPr>
        <w:pStyle w:val="105"/>
        <w:keepNext w:val="0"/>
        <w:keepLines w:val="0"/>
        <w:pageBreakBefore w:val="0"/>
        <w:tabs>
          <w:tab w:val="left" w:pos="8230"/>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5.2.1  发包人提供的材料和工程：</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无</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D319D4E">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77" w:name="bookmark1672"/>
      <w:bookmarkEnd w:id="377"/>
      <w:bookmarkStart w:id="378" w:name="_Toc1942276484"/>
      <w:bookmarkStart w:id="379" w:name="_Toc6599"/>
      <w:bookmarkStart w:id="380" w:name="_Toc2090"/>
      <w:bookmarkStart w:id="381" w:name="bookmark1671"/>
      <w:bookmarkStart w:id="382" w:name="bookmark1673"/>
      <w:bookmarkStart w:id="383" w:name="bookmark1670"/>
      <w:bookmarkStart w:id="384" w:name="_Toc453"/>
      <w:bookmarkStart w:id="385" w:name="_Toc11513"/>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6. 施工设备和临时设施</w:t>
      </w:r>
      <w:bookmarkEnd w:id="378"/>
      <w:bookmarkEnd w:id="379"/>
      <w:bookmarkEnd w:id="380"/>
      <w:bookmarkEnd w:id="381"/>
      <w:bookmarkEnd w:id="382"/>
      <w:bookmarkEnd w:id="383"/>
      <w:bookmarkEnd w:id="384"/>
      <w:bookmarkEnd w:id="385"/>
    </w:p>
    <w:p w14:paraId="2D677271">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86" w:name="bookmark1674"/>
      <w:bookmarkStart w:id="387" w:name="bookmark1675"/>
      <w:bookmarkStart w:id="388" w:name="bookmark167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6.1承包人提供的施工设备和临时设施</w:t>
      </w:r>
      <w:bookmarkEnd w:id="386"/>
      <w:bookmarkEnd w:id="387"/>
      <w:bookmarkEnd w:id="388"/>
    </w:p>
    <w:p w14:paraId="68A260C2">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6.1.2</w:t>
      </w:r>
      <w:r>
        <w:rPr>
          <w:rFonts w:hint="default" w:ascii="Times New Roman" w:hAnsi="Times New Roman" w:eastAsia="宋体" w:cs="Times New Roman"/>
          <w:color w:val="000000" w:themeColor="text1"/>
          <w:sz w:val="21"/>
          <w:szCs w:val="21"/>
          <w:highlight w:val="none"/>
          <w14:textFill>
            <w14:solidFill>
              <w14:schemeClr w14:val="tx1"/>
            </w14:solidFill>
          </w14:textFill>
        </w:rPr>
        <w:t>承包人自行承担修建临时设施的费用，需要临时占地的，由承包人办理相关申请手续，发包人予以协助，发生的相关费用由承包人承担。</w:t>
      </w:r>
    </w:p>
    <w:p w14:paraId="76EBA103">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389" w:name="bookmark1678"/>
      <w:bookmarkStart w:id="390" w:name="bookmark1679"/>
      <w:bookmarkStart w:id="391" w:name="bookmark1677"/>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6.2发包人提供的施工设备和临时设施</w:t>
      </w:r>
      <w:bookmarkEnd w:id="389"/>
      <w:bookmarkEnd w:id="390"/>
      <w:bookmarkEnd w:id="391"/>
    </w:p>
    <w:p w14:paraId="25A594EA">
      <w:pPr>
        <w:pStyle w:val="105"/>
        <w:keepNext w:val="0"/>
        <w:keepLines w:val="0"/>
        <w:pageBreakBefore w:val="0"/>
        <w:numPr>
          <w:ilvl w:val="0"/>
          <w:numId w:val="2"/>
        </w:numPr>
        <w:tabs>
          <w:tab w:val="left" w:pos="903"/>
          <w:tab w:val="left" w:pos="8198"/>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val="en-US"/>
          <w14:textFill>
            <w14:solidFill>
              <w14:schemeClr w14:val="tx1"/>
            </w14:solidFill>
          </w14:textFill>
        </w:rPr>
      </w:pPr>
      <w:bookmarkStart w:id="392" w:name="bookmark1680"/>
      <w:bookmarkEnd w:id="392"/>
      <w:r>
        <w:rPr>
          <w:rFonts w:hint="default" w:ascii="Times New Roman" w:hAnsi="Times New Roman" w:eastAsia="宋体" w:cs="Times New Roman"/>
          <w:color w:val="000000" w:themeColor="text1"/>
          <w:sz w:val="21"/>
          <w:szCs w:val="21"/>
          <w:highlight w:val="none"/>
          <w14:textFill>
            <w14:solidFill>
              <w14:schemeClr w14:val="tx1"/>
            </w14:solidFill>
          </w14:textFill>
        </w:rPr>
        <w:t>发包人提供的的施工设备：</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无</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8C8BA3F">
      <w:pPr>
        <w:pStyle w:val="105"/>
        <w:keepNext w:val="0"/>
        <w:keepLines w:val="0"/>
        <w:pageBreakBefore w:val="0"/>
        <w:numPr>
          <w:ilvl w:val="0"/>
          <w:numId w:val="2"/>
        </w:numPr>
        <w:tabs>
          <w:tab w:val="left" w:pos="903"/>
          <w:tab w:val="left" w:pos="8198"/>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393" w:name="bookmark1681"/>
      <w:bookmarkEnd w:id="393"/>
      <w:r>
        <w:rPr>
          <w:rFonts w:hint="default" w:ascii="Times New Roman" w:hAnsi="Times New Roman" w:eastAsia="宋体" w:cs="Times New Roman"/>
          <w:color w:val="000000" w:themeColor="text1"/>
          <w:sz w:val="21"/>
          <w:szCs w:val="21"/>
          <w:highlight w:val="none"/>
          <w14:textFill>
            <w14:solidFill>
              <w14:schemeClr w14:val="tx1"/>
            </w14:solidFill>
          </w14:textFill>
        </w:rPr>
        <w:t>发包人提供的临时设施：</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无</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68A8C41F">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 xml:space="preserve">6.3 要求承包人增加或更换施工设备 </w:t>
      </w:r>
      <w:r>
        <w:rPr>
          <w:rFonts w:hint="default" w:ascii="Times New Roman" w:hAnsi="Times New Roman" w:eastAsia="宋体" w:cs="Times New Roman"/>
          <w:color w:val="000000" w:themeColor="text1"/>
          <w:sz w:val="24"/>
          <w:szCs w:val="24"/>
          <w:highlight w:val="none"/>
          <w:lang w:eastAsia="zh-CN" w:bidi="ar"/>
          <w14:textFill>
            <w14:solidFill>
              <w14:schemeClr w14:val="tx1"/>
            </w14:solidFill>
          </w14:textFill>
        </w:rPr>
        <w:t xml:space="preserve"> </w:t>
      </w:r>
    </w:p>
    <w:p w14:paraId="369624E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 工期延误由承包人承担。 </w:t>
      </w:r>
    </w:p>
    <w:p w14:paraId="201402FB">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394" w:name="bookmark1684"/>
      <w:bookmarkEnd w:id="394"/>
      <w:bookmarkStart w:id="395" w:name="_Toc11357"/>
      <w:bookmarkStart w:id="396" w:name="_Toc1966053410"/>
      <w:bookmarkStart w:id="397" w:name="_Toc8746"/>
      <w:bookmarkStart w:id="398" w:name="_Toc18798"/>
      <w:bookmarkStart w:id="399" w:name="_Toc398"/>
      <w:bookmarkStart w:id="400" w:name="bookmark1682"/>
      <w:bookmarkStart w:id="401" w:name="bookmark1683"/>
      <w:bookmarkStart w:id="402" w:name="bookmark1685"/>
      <w:bookmarkStart w:id="403" w:name="bookmark1686"/>
      <w:bookmarkStart w:id="404" w:name="bookmark1687"/>
      <w:bookmarkStart w:id="405" w:name="bookmark1688"/>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7.交通运输</w:t>
      </w:r>
      <w:bookmarkEnd w:id="395"/>
      <w:bookmarkEnd w:id="396"/>
      <w:bookmarkEnd w:id="397"/>
      <w:bookmarkEnd w:id="398"/>
      <w:bookmarkEnd w:id="399"/>
      <w:bookmarkEnd w:id="400"/>
      <w:bookmarkEnd w:id="401"/>
      <w:bookmarkEnd w:id="402"/>
    </w:p>
    <w:p w14:paraId="35724C36">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7.1道路通行权和场外设施</w:t>
      </w:r>
      <w:bookmarkEnd w:id="403"/>
      <w:bookmarkEnd w:id="404"/>
      <w:bookmarkEnd w:id="405"/>
    </w:p>
    <w:p w14:paraId="188B3D7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道路通行权和场外设施的约定：</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 xml:space="preserve">承包人应根据合同工程的施工需要及相关 管 理 部 门 的 规 </w:t>
      </w:r>
    </w:p>
    <w:p w14:paraId="13B587EA">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定 ，负责办理取得出入施工场地的专用和临时道路的通行权，以及取得为工程建设所需修建场外设施的权利。并 按规定办理有关手续、承担有关费用，对使用的场外交通道路造成破坏的，承包人应负责维修和维护并承担相应的费用（有维护养护单位的社会道路除外）</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w:t>
      </w:r>
    </w:p>
    <w:p w14:paraId="0F4F9E4A">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7.7 临时道路 </w:t>
      </w:r>
    </w:p>
    <w:p w14:paraId="431B204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承包人应对所使用的临时道路（包括原有、新建和改建的道路）进行养护和维修，直到工程完工，并应保证发包人免于承担因上述临时道路的使用所引起的补偿费、诉讼费、损害赔偿及其它开支。</w:t>
      </w:r>
    </w:p>
    <w:p w14:paraId="11D24FD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所有出入现场的临时道路均应按晴雨畅通的标准进行养护和维修，直至工程完工。在工程完工时，对于约定予以保留的，需由所在地相应的协调组织机构验收合格；对于约定工程完工后不予保留的，承包人应按约定拆除、恢复原貌，完成土地复垦，并承担相应费用。 </w:t>
      </w:r>
    </w:p>
    <w:p w14:paraId="69A43C2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承包人修建的临时道路，应无偿为本工程项目参加建设的其他单位使用，承包人也不能因 </w:t>
      </w:r>
    </w:p>
    <w:p w14:paraId="0065BEFE">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此提出任何费用补偿</w:t>
      </w:r>
    </w:p>
    <w:p w14:paraId="59656B65">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06" w:name="_Toc22154"/>
      <w:bookmarkStart w:id="407" w:name="_Toc28858"/>
      <w:bookmarkStart w:id="408" w:name="_Toc25674"/>
      <w:bookmarkStart w:id="409" w:name="bookmark1690"/>
      <w:bookmarkStart w:id="410" w:name="bookmark1692"/>
      <w:bookmarkStart w:id="411" w:name="_Toc976"/>
      <w:bookmarkStart w:id="412" w:name="bookmark1689"/>
      <w:bookmarkStart w:id="413" w:name="_Toc1043714604"/>
      <w:bookmarkStart w:id="414" w:name="bookmark1694"/>
      <w:bookmarkStart w:id="415" w:name="bookmark1695"/>
      <w:bookmarkStart w:id="416" w:name="bookmark1693"/>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8. 测量放线</w:t>
      </w:r>
      <w:bookmarkEnd w:id="406"/>
      <w:bookmarkEnd w:id="407"/>
      <w:bookmarkEnd w:id="408"/>
      <w:bookmarkEnd w:id="409"/>
      <w:bookmarkEnd w:id="410"/>
      <w:bookmarkEnd w:id="411"/>
      <w:bookmarkEnd w:id="412"/>
      <w:bookmarkEnd w:id="413"/>
    </w:p>
    <w:p w14:paraId="1C615363">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8.1施工控制网</w:t>
      </w:r>
      <w:bookmarkEnd w:id="414"/>
      <w:bookmarkEnd w:id="415"/>
      <w:bookmarkEnd w:id="416"/>
    </w:p>
    <w:p w14:paraId="2885C915">
      <w:pPr>
        <w:pStyle w:val="127"/>
        <w:keepNext w:val="0"/>
        <w:keepLines w:val="0"/>
        <w:pageBreakBefore w:val="0"/>
        <w:tabs>
          <w:tab w:val="left" w:pos="750"/>
          <w:tab w:val="left" w:pos="4898"/>
        </w:tabs>
        <w:kinsoku/>
        <w:wordWrap/>
        <w:overflowPunct/>
        <w:topLinePunct w:val="0"/>
        <w:autoSpaceDE/>
        <w:autoSpaceDN/>
        <w:bidi w:val="0"/>
        <w:adjustRightInd/>
        <w:snapToGrid/>
        <w:spacing w:after="0" w:line="470" w:lineRule="exact"/>
        <w:ind w:left="420" w:firstLine="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bookmarkStart w:id="417" w:name="bookmark1696"/>
      <w:bookmarkEnd w:id="417"/>
      <w:r>
        <w:rPr>
          <w:rFonts w:hint="default" w:ascii="Times New Roman" w:hAnsi="Times New Roman" w:eastAsia="宋体" w:cs="Times New Roman"/>
          <w:color w:val="000000" w:themeColor="text1"/>
          <w:sz w:val="21"/>
          <w:szCs w:val="21"/>
          <w:highlight w:val="none"/>
          <w:lang w:eastAsia="zh-CN" w:bidi="zh-CN"/>
          <w14:textFill>
            <w14:solidFill>
              <w14:schemeClr w14:val="tx1"/>
            </w14:solidFill>
          </w14:textFill>
        </w:rPr>
        <w:t>8.1.</w:t>
      </w: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1 施工控制网的约定：</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由承包人负责测设，并报监理人审批，相关费用由承包人承担</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w:t>
      </w:r>
    </w:p>
    <w:p w14:paraId="6B661FE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8.1.3 对基准坐标资料的内容的确认与维护 </w:t>
      </w:r>
    </w:p>
    <w:p w14:paraId="07FE848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承包人应根据发包人书面移交的控制网数据，负责对原始控制网数据的复测，根据工程施工放样的需要对控制网进行加密。承包人有义务提出并纠正发包人提供的基本坐标资料中的差错，并对所有放线的准确性负责。 </w:t>
      </w:r>
    </w:p>
    <w:p w14:paraId="221C4A3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（2）对因自身原因造成原始控制点的破坏，不得因此向发包人索取可能延长的工期和可能增加的费用； </w:t>
      </w:r>
    </w:p>
    <w:p w14:paraId="2066DB0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（3）施工控制网允许发包人、监理人以及其它承包人使用。 </w:t>
      </w:r>
    </w:p>
    <w:p w14:paraId="0EA30719">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 xml:space="preserve">8.3 基准资料错误的责任 </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w:t>
      </w:r>
    </w:p>
    <w:p w14:paraId="70364F8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对发包人所提供的测量基准点、基准线和水准点及其书面资料的真实性、准确性和完整性进行复核，并对复核成果负责。承包人因使用复核成果导致测量放线工作返工或造成工程损失的，由承包人承担由此增加的费用和（或）相应的工期延误。发包人向承包人提供列入合同文件的施工场地内的工程地质图纸和报告、水文和地质勘探资料、以及地下障碍物图纸等施工场地有关资料，承包人有责任对上述资料的真实性、准确性、完整性进行复核并承担全部责任。发包人不对承包人使用上述资料所做的分析、判断和推论负责。 </w:t>
      </w:r>
    </w:p>
    <w:p w14:paraId="3EBBD85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承包人发现发包人提供的上述基准资料存在明显错误或疏忽的，应及时通知监理人。承包人应对发包人提供的资料进行核实，发现明显错误或疏忽的，应自收到资料之日起 28 日内书面通知发包人和监理人，否则应承担由此造成的损失。 </w:t>
      </w:r>
    </w:p>
    <w:p w14:paraId="11334710">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8.4 监理人使用施工控制网</w:t>
      </w: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 </w:t>
      </w:r>
    </w:p>
    <w:p w14:paraId="5A5B3F2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经监理人批准，其他相关承包人也可免费使用施工控制网。 </w:t>
      </w:r>
    </w:p>
    <w:p w14:paraId="56BA2B8A">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18" w:name="_Toc15272"/>
      <w:bookmarkStart w:id="419" w:name="_Toc6475"/>
      <w:bookmarkStart w:id="420" w:name="_Toc12135"/>
      <w:bookmarkStart w:id="421" w:name="_Toc202010781"/>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9. 施工安全、治安保卫和环境保护</w:t>
      </w:r>
      <w:bookmarkEnd w:id="418"/>
      <w:bookmarkEnd w:id="419"/>
      <w:bookmarkEnd w:id="420"/>
      <w:bookmarkEnd w:id="421"/>
    </w:p>
    <w:p w14:paraId="52B9DC1C">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9.1 发包人的施工安全责任 </w:t>
      </w:r>
    </w:p>
    <w:p w14:paraId="4E205F2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9.1.3 但由于承包人原因造成的应由承包人承担责任。  </w:t>
      </w:r>
    </w:p>
    <w:p w14:paraId="6D7FA9D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9.1.4 承包人负责收集施工现场及施工可能影响的毗邻区域内供水、排水、供电、供气、供热、通信、广播电视等地上和地下管线资料、气象和水文观测资料，拟建工程可能影响的相邻建筑物地下工程的有关资料，并保证有关资料的真实、准确、完整，满足有关技术规程的要求。其费用已包含在</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报价中，发包人不再另行支付。承包人造成施工现场及施工可能影响的毗邻区域内工程建筑物或管线损坏的，由承包人负责恢复并承担经济损失。  </w:t>
      </w:r>
    </w:p>
    <w:p w14:paraId="46056B1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9.1.7 承包人负责在拆除工程和爆破工程施工 14 天前向有关部门或机构报送相关备案资料，发包人予以协助。 </w:t>
      </w:r>
    </w:p>
    <w:p w14:paraId="30463AAF">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9.2 承包人的施工安全责任 </w:t>
      </w:r>
    </w:p>
    <w:p w14:paraId="3D3BFEA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承包人应根据本工程的实际安全施工要求，编制施工安全技术措施，并在签订合同协议书后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 </w:t>
      </w:r>
    </w:p>
    <w:p w14:paraId="6C1B007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监理人和发包人在检查中发现有安全问题或有违反安全管理规章制度的情况时，可视其为承包人违约，应按第 22.1 款的规定处理。 </w:t>
      </w:r>
    </w:p>
    <w:p w14:paraId="158E8B0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9.2.5 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  </w:t>
      </w:r>
    </w:p>
    <w:p w14:paraId="1708160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9.2.8 承包人应充分关注和保障所有在现场工作的人员的安全，采取以下有效措施，使现场和本合同工程的实施保持有条不紊，以免使让述人员的安全受到威胁。 </w:t>
      </w:r>
    </w:p>
    <w:p w14:paraId="3B7E37C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（1）按国家、部委文件规定的最低数量和资质条件配备专职安全生产管理人员； </w:t>
      </w:r>
    </w:p>
    <w:p w14:paraId="2F68F3E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（2）承包人的垂直运输机械作业人员、施工船舶作业人员、爆破作业人员、安装拆卸工、 </w:t>
      </w:r>
    </w:p>
    <w:p w14:paraId="09E63B6E">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起重信号工、电工、焊工等国家规定的特种作业人员，必须按照国家规定经过专门的安全作业 </w:t>
      </w:r>
    </w:p>
    <w:p w14:paraId="60CC5F81">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培训，并取得特种作业操作资格证书后，方可上岗作业； </w:t>
      </w:r>
    </w:p>
    <w:p w14:paraId="12A94343">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（3）所有施工机具设备和高空作业设备均应定期检查，并有安全员的签字记录。 </w:t>
      </w:r>
    </w:p>
    <w:p w14:paraId="03B126AF">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9.2.9 为保护本合同工程免遭损坏，或为了现场附近和过往群众的安全与方便，在确有必要的时候和地方，或当监理人或有关主管部门要求时，承包人应自费提供照明、警卫、护栅、警告标志等安全防护设施。 </w:t>
      </w:r>
    </w:p>
    <w:p w14:paraId="5A56C0E1">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9.2.10 在通航水域施工时，承包人应与当地主管部门取得联系，设置必要的导航标志，及时发布航行通告，确保施工水域安全。 </w:t>
      </w:r>
    </w:p>
    <w:p w14:paraId="270CA0C1">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 </w:t>
      </w:r>
    </w:p>
    <w:p w14:paraId="2C0F98B4">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9.2.12 承包人应当在施工组织设计中编制安全技术措施和施工现场临时用电方案，对下列达到一定规模的危险性较大的分部分项工程编织专项施工方案，并附具安全验算结果，经施工单位技术负责人、总监理工程师签字后实施，由专职安全生产管理人员进行现场监督： </w:t>
      </w:r>
    </w:p>
    <w:p w14:paraId="4A893460">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（1）基坑支护与降水工程； </w:t>
      </w:r>
    </w:p>
    <w:p w14:paraId="21E75A0C">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（2）土方和石方开挖工程； </w:t>
      </w:r>
    </w:p>
    <w:p w14:paraId="7E0DDDD0">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（3）模板工程及支撑体系； </w:t>
      </w:r>
    </w:p>
    <w:p w14:paraId="26CC811B">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（4）起重吊装及安装拆卸工程； </w:t>
      </w:r>
    </w:p>
    <w:p w14:paraId="50DE428E">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（5）脚手架工程； </w:t>
      </w:r>
    </w:p>
    <w:p w14:paraId="7A3F516C">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（6）拆除、爆破工程；</w:t>
      </w:r>
    </w:p>
    <w:p w14:paraId="475D2C4B">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（7）围堰工程； </w:t>
      </w:r>
    </w:p>
    <w:p w14:paraId="0973330E">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（8）水上作业工程； </w:t>
      </w:r>
    </w:p>
    <w:p w14:paraId="6C4A6D64">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（9）沉井工程； </w:t>
      </w:r>
    </w:p>
    <w:p w14:paraId="6D235D61">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（10）其他危险性较大的工程。 </w:t>
      </w:r>
    </w:p>
    <w:p w14:paraId="5350FC2A">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其中应组织专家论证和审查的专项施工方案：高边坡、深基坑、地下暗挖工程、高大模板工程的专项施工方案等。专项施工方案评审发生的费用由承包人负责。  </w:t>
      </w:r>
    </w:p>
    <w:p w14:paraId="69162CD8">
      <w:pPr>
        <w:keepNext w:val="0"/>
        <w:keepLines w:val="0"/>
        <w:pageBreakBefore w:val="0"/>
        <w:widowControl/>
        <w:kinsoku/>
        <w:wordWrap/>
        <w:overflowPunct/>
        <w:topLinePunct w:val="0"/>
        <w:autoSpaceDE/>
        <w:autoSpaceDN/>
        <w:bidi w:val="0"/>
        <w:adjustRightInd/>
        <w:snapToGrid/>
        <w:spacing w:line="51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9.2.14 承包人应在工地配备必要的消防设备和救助设备，所需费用由承包人负责承担。 </w:t>
      </w:r>
    </w:p>
    <w:p w14:paraId="79BE4AC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9.2.15 承包人应按照安全生产措施计划和安全生产措施费使用计划开展安全生产工作、使用安全生产措施费用，并在施工安全月报中反映安全生产工作开展情况、危险源监测管理情况、事故隐患排查治理情况、现场安全生产状况和安全生产措施费用使用情况。 </w:t>
      </w:r>
    </w:p>
    <w:p w14:paraId="3EB1720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9.2.16 施工安全控制目标：无责任死亡事故发生，杜绝较大及以上机械设备事故、火灾事故、交通事故、垮（塌）事故。一旦事故发生，承包人应尽快将事故详细情况报告监理人及发包人。若遇重大的交通事故或其他重大伤亡事故，承包人应以现有最快的手段立即报告监理人，同时报告发包人和事故现场所在地的政府相关职能部门。发生上述事故，承包人应采取措施妥善处理并将事故的损失及对工程的影响减少到最小。 </w:t>
      </w:r>
    </w:p>
    <w:p w14:paraId="27CDA6E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9.2.17 承包人应具备以下安全生产条件：（1）具有安全生产许可证；（2）建立健全安全生 </w:t>
      </w:r>
    </w:p>
    <w:p w14:paraId="72DC2567">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产管理制度；（3）按要求配备安全生产监督管理人员；（4）人员资质符合要求；（5）特种作业人员持证上岗；（6）配备必须的劳动防护用品；（7）设备、设施、器具和安全标志符合安全生产要求；（8）建立职业健康安全管理体系。 </w:t>
      </w:r>
    </w:p>
    <w:p w14:paraId="09D0D82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9.2.18 接受项目主管部门、发包人组织的安全责任目标考核，接受发包人委托的安全生产技术服务单位对安全生产工作的监督、检查；如果因承包人原因导致发包人安全责任目标考核 不合格，承包人应向发包人支付违约金 10 万元。 </w:t>
      </w:r>
    </w:p>
    <w:p w14:paraId="6133358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9.2.19 安全装备 </w:t>
      </w:r>
    </w:p>
    <w:p w14:paraId="2B8DEB7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应向所有人员包括前往工地参观人员提供合格的安全帽和安全带等安全防护设施设备。从施工作业开始到导致危险因素的状态解除，施工作业现场必须始终采取防护措施。除电话系统以外，还应在所有时间保持有效且可靠的信号装置以便在工程的关键部位（包括地下工程）传递信号。监理人有权要求承包人撤离穿着、配备和保护与从事工作不适应的人员。如果工程任何部分的施工不满足上述所有要求，除非确属紧急情况，否则监理人将指示立刻暂停违反本款规定的部分工程的施工。 </w:t>
      </w:r>
    </w:p>
    <w:p w14:paraId="1B2636D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9.2.20 民用爆炸物品的使用 </w:t>
      </w:r>
    </w:p>
    <w:p w14:paraId="021DB84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（1）在履行本合同中规定的义务而使用、运输并储存民用爆炸物品或其他类似物品方面， 承包人应按照法律规定进行施工，开工前做好安全技术交底工作，施工过程中做好所有必要的安全预防措施。所有上述法规均应适用于易燃易爆品或其他在使用、运输或储存中存在危险的物品。 </w:t>
      </w:r>
    </w:p>
    <w:p w14:paraId="2EA682F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承包人在进行任何爆破之前应获得必要的许可,并由取得爆破从业资格人员在规定时间内进行操作，并应遵守任何就此事项规定的指示。承包人应将有关炸药的储存、运输和使用的上述安排和预防措施通知发包人和监理人，但遵守本条款的要求不应免除与炸药有关的条例法律和其它规定赋予承包人的责任和义务。 </w:t>
      </w:r>
    </w:p>
    <w:p w14:paraId="0C38A49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（3）承包人须按国家相关规定编制民爆物品的储存、运输、使用等方案并报相关主管部门批准后严格执行。 </w:t>
      </w:r>
    </w:p>
    <w:p w14:paraId="353FAC4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9.2.21 火工产品的使用、储存受到节假日及国家、地方重要会议的影响，会造成停工（影响施工进度），不构成要求增加费用和延长工期的依据。 承包人应充分考虑火工产品的供应及协调问题以及火工产品的使用对工程费用和工期的影响。 </w:t>
      </w:r>
    </w:p>
    <w:p w14:paraId="7FFDD8E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9.2.22 发包人对承包人在安全文明施工、水保、环保措施等方面提出的整改意见，承包人应遵照执行，否则发包人将对承包人按相关规定处以违约金，并且不能免除承包人的整改义务。 </w:t>
      </w:r>
    </w:p>
    <w:p w14:paraId="6ECD061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9.2.23 承包人应严格遵守发包人为确保本项目安全生产颁发的各项规章制度，应含安全生产目标管理、安全生产责任制管理、安全生产考核奖惩、安全生产措施费管理、安全生产文件和档案管理、安全隐患排查和治理、安全教育培训、特种作业人员管理、设备设施安全管理、建设项目安全设施“三同时”管理、危险物品和重大危险源管理、作业安全管理、相关方及外用工管理、职业健康管理、劳动防护用品管理、工程事故报告、应急管理、文明施工、环境保护、职业卫生、健康管理、消防安全、社会治安管理、交通安全管理、工程防洪度汛安全管理等方面的管理制度。 </w:t>
      </w:r>
    </w:p>
    <w:p w14:paraId="2D10003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9.2.24 施工时配置的塔机等施工设备均容易成为雷击目标，承包人在施工生产和生活用电时均应做好良好的接地，并安装好漏电保护器，在建筑物和设备上按规定采用独立避雷设施保护并采取防止感应雷和防静电的措施，其费用已包含在合同价格中，发包人不再另行支付。 </w:t>
      </w:r>
    </w:p>
    <w:p w14:paraId="5317A26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9.2.25 根据工程需要，承包人需提供和维修施工使用的照明、围栏设施，并负责安全保卫工作。其费用已包含在合同价格中，发包人不再另行支付。 </w:t>
      </w:r>
    </w:p>
    <w:p w14:paraId="13B40D1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9.2.26 承包人应严格按照隧洞施工安全生产措施进行生产作业，确保人员及工程安全。 承包人必须按照标准规范和设计要求编制隧洞施工专项施工方案，确保按方案组织实施，严禁擅自改变施工方法；严格落实进洞人员安全教育和登记、刷卡或翻牌管理，洞口值班人员做好记录工作，严禁无关人员进入隧洞；必须设置洞口防护设施，通风、排水、供电等设备设置合理有序，符合规范要求；必须强化实施工序和现场管理，确保支（防）护到位，严禁冒险作业；必须按照规定严格民用爆炸物品管理，严禁在施工现场违规运输、存放和使用民用爆炸物品，爆破作业必须由专业人员实施；必须按照规定制定应急、配备救援装备，严禁事故发生后违章指挥、冒险施救。必须开展隧洞施工事故应急演练并做好分析评估；必须保证隧洞通讯系统通畅，通讯设备应保证其性能可靠；必须确保洞内通风和给排水等设备性能可靠，运转正常，有一定容量富余,应急设备完好、充足；完善隧洞施工人员安全教育培训体系，认真开展全员培训、技能培训和重点岗位培训；做好地质超前预报，避免隧洞施工不良地质引起的塌方和涌水导致的安全事故；做好度汛防汛工作，在低洼地段和山谷地施工做好安全防范措施，建立安全预警机制，防止暴雨导致的山洪和泥石流倒灌洞内。 </w:t>
      </w:r>
    </w:p>
    <w:p w14:paraId="0571329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9.2.27 承包人应按照安全生产标准化进行施工管理，争取项目实现安全生产标准化达标。</w:t>
      </w:r>
    </w:p>
    <w:p w14:paraId="7BC39481">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9.3 治安保卫 </w:t>
      </w:r>
      <w:r>
        <w:rPr>
          <w:rFonts w:hint="default" w:ascii="Times New Roman" w:hAnsi="Times New Roman" w:eastAsia="宋体" w:cs="Times New Roman"/>
          <w:color w:val="000000" w:themeColor="text1"/>
          <w:sz w:val="24"/>
          <w:szCs w:val="24"/>
          <w:highlight w:val="none"/>
          <w:lang w:eastAsia="zh-CN" w:bidi="ar"/>
          <w14:textFill>
            <w14:solidFill>
              <w14:schemeClr w14:val="tx1"/>
            </w14:solidFill>
          </w14:textFill>
        </w:rPr>
        <w:t xml:space="preserve"> </w:t>
      </w:r>
    </w:p>
    <w:p w14:paraId="5F44781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9.3.1 工地治安保卫由承包人负责，发包人协助承包人就治安保卫有关事宜与地方主管部门联系、协调。  </w:t>
      </w:r>
    </w:p>
    <w:p w14:paraId="243D01D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9.3.3 承包人应在工程开工后编制施工场地治安管理计划，并制定应对突发治安事件的紧急预案。在施工过程中发生暴乱爆炸等恐怖事件，以及群殴、械斗等群体性突发治安事件的， 承包人应立即向当地政府报告，并通知发包人。承包人应积极协助当地有关部门采取措施平息事态，防止事态扩大，尽量减少财产损失和避免人员伤亡。 </w:t>
      </w:r>
    </w:p>
    <w:p w14:paraId="055A1CD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9.3.4 承包人应尊重当地的民风、民俗、宗教信仰、民族习惯。在项目建设过程中，要维护民族团结，妥善处理与地方的矛盾和纠纷。承包人在雇佣当地劳务时，要处理好当地民风、民俗、宗教习惯等与工程建设之间的关系，如发生纠纷，承包人应积极采取有效措施进行处理，消除影响。 </w:t>
      </w:r>
    </w:p>
    <w:p w14:paraId="116916A8">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9.4 环境保护 </w:t>
      </w:r>
    </w:p>
    <w:p w14:paraId="0F1076A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9.4.7 承包人应根据环境保护、水土保持的批复方案实施，并符合相关规定的验收。取、弃土场的选择及上述相关图纸及文件应报监理人和发包人批准后实施，如果当地水土保持部门或环保部门有要求，还应该将图纸及文件报相关部门审核后再予以实施。 </w:t>
      </w:r>
    </w:p>
    <w:p w14:paraId="5CB7732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9.4.8 承包人应按合同约定采取有效措施，对料场、弃渣场、临时堆放场、边坡等部位及时按要求进行防护，做好排水措施和水土保持。施工期排水费用（基坑排水、河道降水、稻田降排水等，包括排水工程建设及运行费）包含在工程量清单的“其他施工临时工程”中，场内施工排水费用包含在相应项目的单价中。 </w:t>
      </w:r>
    </w:p>
    <w:p w14:paraId="3B6BC0D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9.4.9 承包人应按国家饮用水管理标准定期对饮用水源进行监测，防止施工活动污染饮用水源。 </w:t>
      </w:r>
    </w:p>
    <w:p w14:paraId="7341FC6D">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9.5 事故处理  </w:t>
      </w:r>
    </w:p>
    <w:p w14:paraId="0FE0C1FA">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承包人应根据国家及行业部门有关规定制定事故应急救援预案，结合工程建设实际和特点， 制定事故现场处置方案；落实预警预防措施，配备必要的应急救援器材、设备及应急队伍；认真做好安全生产、人员教育培训及安全考核等工作，并按照监理人批准的安全生产保障措施等实施；开展应急宣传、培训，定期组织应急演练；配合事故调查处理；妥善处理事故善后事宜。 </w:t>
      </w:r>
    </w:p>
    <w:p w14:paraId="075B7ABE">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9.6 水土保持 </w:t>
      </w:r>
    </w:p>
    <w:p w14:paraId="590DDC64">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9.6.4 承包人的水土保持措施应按照设计要求和相应的法律规范实施，承包人应完成承包范围内的土地复垦，并达到当地自然资源部门的接收要求，同时做好复垦验收资料。配合做好土地复垦验收工作，确保通过土地复垦验收。 </w:t>
      </w:r>
    </w:p>
    <w:p w14:paraId="72DC0D3C">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9.7 文明工地 </w:t>
      </w:r>
    </w:p>
    <w:p w14:paraId="6F59D07C">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9.7. 1 本合同文明工地的约定：按水利部《水利系统文明建设工地评审管理办法》创建文明建设工地。 </w:t>
      </w:r>
    </w:p>
    <w:p w14:paraId="39425091">
      <w:pPr>
        <w:pStyle w:val="4"/>
        <w:keepNext w:val="0"/>
        <w:keepLines w:val="0"/>
        <w:pageBreakBefore w:val="0"/>
        <w:kinsoku/>
        <w:wordWrap/>
        <w:overflowPunct/>
        <w:topLinePunct w:val="0"/>
        <w:autoSpaceDE/>
        <w:autoSpaceDN/>
        <w:bidi w:val="0"/>
        <w:adjustRightInd/>
        <w:snapToGrid/>
        <w:spacing w:before="0" w:line="53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22" w:name="_Toc845"/>
      <w:bookmarkStart w:id="423" w:name="bookmark1709"/>
      <w:bookmarkStart w:id="424" w:name="bookmark1710"/>
      <w:bookmarkStart w:id="425" w:name="_Toc8738"/>
      <w:bookmarkStart w:id="426" w:name="bookmark1708"/>
      <w:bookmarkStart w:id="427" w:name="_Toc27987"/>
      <w:bookmarkStart w:id="428" w:name="_Toc17631"/>
      <w:bookmarkStart w:id="429" w:name="_Toc279920817"/>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11. 开工和竣工（完工</w:t>
      </w:r>
      <w:bookmarkEnd w:id="422"/>
      <w:bookmarkEnd w:id="423"/>
      <w:bookmarkEnd w:id="424"/>
      <w:bookmarkEnd w:id="425"/>
      <w:bookmarkEnd w:id="426"/>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bookmarkEnd w:id="427"/>
      <w:bookmarkEnd w:id="428"/>
      <w:bookmarkEnd w:id="429"/>
    </w:p>
    <w:p w14:paraId="1DA0CB0D">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pPr>
      <w:bookmarkStart w:id="430" w:name="bookmark1712"/>
      <w:bookmarkStart w:id="431" w:name="bookmark1713"/>
      <w:bookmarkStart w:id="432" w:name="bookmark1711"/>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11.2本工程主体工程完工时间为：</w:t>
      </w:r>
      <w:r>
        <w:rPr>
          <w:rFonts w:hint="eastAsia" w:ascii="Times New Roman" w:hAnsi="Times New Roman" w:eastAsia="宋体" w:cs="Times New Roman"/>
          <w:b/>
          <w:bCs/>
          <w:color w:val="000000" w:themeColor="text1"/>
          <w:sz w:val="24"/>
          <w:szCs w:val="24"/>
          <w:highlight w:val="none"/>
          <w:lang w:eastAsia="zh-CN" w:bidi="ar"/>
          <w14:textFill>
            <w14:solidFill>
              <w14:schemeClr w14:val="tx1"/>
            </w14:solidFill>
          </w14:textFill>
        </w:rPr>
        <w:t>竞争性磋商文件</w:t>
      </w: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约定的完工时间。</w:t>
      </w:r>
      <w:bookmarkEnd w:id="430"/>
      <w:bookmarkEnd w:id="431"/>
      <w:bookmarkEnd w:id="432"/>
    </w:p>
    <w:p w14:paraId="5DCCF240">
      <w:pPr>
        <w:pStyle w:val="5"/>
        <w:keepNext w:val="0"/>
        <w:keepLines w:val="0"/>
        <w:pageBreakBefore w:val="0"/>
        <w:kinsoku/>
        <w:wordWrap/>
        <w:overflowPunct/>
        <w:topLinePunct w:val="0"/>
        <w:autoSpaceDE/>
        <w:autoSpaceDN/>
        <w:bidi w:val="0"/>
        <w:adjustRightInd/>
        <w:snapToGrid/>
        <w:spacing w:line="53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33" w:name="bookmark1716"/>
      <w:bookmarkStart w:id="434" w:name="bookmark1714"/>
      <w:bookmarkStart w:id="435" w:name="bookmark1715"/>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11.3发包人的工期延误</w:t>
      </w:r>
      <w:bookmarkEnd w:id="433"/>
      <w:bookmarkEnd w:id="434"/>
      <w:bookmarkEnd w:id="435"/>
    </w:p>
    <w:p w14:paraId="53B3DF51">
      <w:pPr>
        <w:pStyle w:val="5"/>
        <w:keepNext w:val="0"/>
        <w:keepLines w:val="0"/>
        <w:pageBreakBefore w:val="0"/>
        <w:kinsoku/>
        <w:wordWrap/>
        <w:overflowPunct/>
        <w:topLinePunct w:val="0"/>
        <w:autoSpaceDE/>
        <w:autoSpaceDN/>
        <w:bidi w:val="0"/>
        <w:adjustRightInd/>
        <w:snapToGrid/>
        <w:spacing w:line="53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36" w:name="bookmark1717"/>
      <w:bookmarkStart w:id="437" w:name="bookmark1719"/>
      <w:bookmarkStart w:id="438" w:name="bookmark1718"/>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11.4异常恶劣的气候条件</w:t>
      </w:r>
      <w:bookmarkEnd w:id="436"/>
      <w:bookmarkEnd w:id="437"/>
      <w:bookmarkEnd w:id="438"/>
    </w:p>
    <w:p w14:paraId="524CF906">
      <w:pPr>
        <w:pStyle w:val="105"/>
        <w:keepNext w:val="0"/>
        <w:keepLines w:val="0"/>
        <w:pageBreakBefore w:val="0"/>
        <w:kinsoku/>
        <w:wordWrap/>
        <w:overflowPunct/>
        <w:topLinePunct w:val="0"/>
        <w:autoSpaceDE/>
        <w:autoSpaceDN/>
        <w:bidi w:val="0"/>
        <w:adjustRightInd/>
        <w:snapToGrid/>
        <w:spacing w:line="53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11.4.3</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本合同工程界定异常恶劣气候条件的范围为：</w:t>
      </w:r>
    </w:p>
    <w:p w14:paraId="2C6642D3">
      <w:pPr>
        <w:pStyle w:val="105"/>
        <w:keepNext w:val="0"/>
        <w:keepLines w:val="0"/>
        <w:pageBreakBefore w:val="0"/>
        <w:tabs>
          <w:tab w:val="left" w:pos="903"/>
          <w:tab w:val="left" w:pos="2959"/>
          <w:tab w:val="left" w:pos="5261"/>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39" w:name="bookmark1720"/>
      <w:bookmarkEnd w:id="439"/>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）日降雨量大于</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200</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mm</w:t>
      </w:r>
      <w:r>
        <w:rPr>
          <w:rFonts w:hint="default" w:ascii="Times New Roman" w:hAnsi="Times New Roman" w:eastAsia="宋体" w:cs="Times New Roman"/>
          <w:color w:val="000000" w:themeColor="text1"/>
          <w:sz w:val="21"/>
          <w:szCs w:val="21"/>
          <w:highlight w:val="none"/>
          <w14:textFill>
            <w14:solidFill>
              <w14:schemeClr w14:val="tx1"/>
            </w14:solidFill>
          </w14:textFill>
        </w:rPr>
        <w:t>的雨日超过</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5 </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p w14:paraId="26AF0F11">
      <w:pPr>
        <w:pStyle w:val="105"/>
        <w:keepNext w:val="0"/>
        <w:keepLines w:val="0"/>
        <w:pageBreakBefore w:val="0"/>
        <w:tabs>
          <w:tab w:val="left" w:pos="903"/>
          <w:tab w:val="left" w:pos="2539"/>
          <w:tab w:val="left" w:pos="4044"/>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0" w:name="bookmark1721"/>
      <w:bookmarkEnd w:id="440"/>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）风速大于</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24.5</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m/s</w:t>
      </w:r>
      <w:r>
        <w:rPr>
          <w:rFonts w:hint="default" w:ascii="Times New Roman" w:hAnsi="Times New Roman" w:eastAsia="宋体" w:cs="Times New Roman"/>
          <w:color w:val="000000" w:themeColor="text1"/>
          <w:sz w:val="21"/>
          <w:szCs w:val="21"/>
          <w:highlight w:val="none"/>
          <w14:textFill>
            <w14:solidFill>
              <w14:schemeClr w14:val="tx1"/>
            </w14:solidFill>
          </w14:textFill>
        </w:rPr>
        <w:t>的</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10 </w:t>
      </w:r>
      <w:r>
        <w:rPr>
          <w:rFonts w:hint="default" w:ascii="Times New Roman" w:hAnsi="Times New Roman" w:eastAsia="宋体" w:cs="Times New Roman"/>
          <w:color w:val="000000" w:themeColor="text1"/>
          <w:sz w:val="21"/>
          <w:szCs w:val="21"/>
          <w:highlight w:val="none"/>
          <w14:textFill>
            <w14:solidFill>
              <w14:schemeClr w14:val="tx1"/>
            </w14:solidFill>
          </w14:textFill>
        </w:rPr>
        <w:t>级以上台风灾害；</w:t>
      </w:r>
    </w:p>
    <w:p w14:paraId="115862A0">
      <w:pPr>
        <w:pStyle w:val="105"/>
        <w:keepNext w:val="0"/>
        <w:keepLines w:val="0"/>
        <w:pageBreakBefore w:val="0"/>
        <w:tabs>
          <w:tab w:val="left" w:pos="903"/>
          <w:tab w:val="left" w:pos="2750"/>
          <w:tab w:val="left" w:pos="4855"/>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1" w:name="bookmark1722"/>
      <w:bookmarkEnd w:id="441"/>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）日气温超过</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40</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的高温大于</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p w14:paraId="20B38F9C">
      <w:pPr>
        <w:pStyle w:val="105"/>
        <w:keepNext w:val="0"/>
        <w:keepLines w:val="0"/>
        <w:pageBreakBefore w:val="0"/>
        <w:tabs>
          <w:tab w:val="left" w:pos="903"/>
          <w:tab w:val="left" w:pos="2750"/>
          <w:tab w:val="left" w:pos="4855"/>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2" w:name="bookmark1723"/>
      <w:bookmarkEnd w:id="442"/>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）日气温低于</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-10</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的严寒大于</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2 </w:t>
      </w:r>
      <w:r>
        <w:rPr>
          <w:rFonts w:hint="default" w:ascii="Times New Roman" w:hAnsi="Times New Roman" w:eastAsia="宋体" w:cs="Times New Roman"/>
          <w:color w:val="000000" w:themeColor="text1"/>
          <w:sz w:val="21"/>
          <w:szCs w:val="21"/>
          <w:highlight w:val="none"/>
          <w14:textFill>
            <w14:solidFill>
              <w14:schemeClr w14:val="tx1"/>
            </w14:solidFill>
          </w14:textFill>
        </w:rPr>
        <w:t>天。</w:t>
      </w:r>
    </w:p>
    <w:p w14:paraId="2022E34B">
      <w:pPr>
        <w:pStyle w:val="105"/>
        <w:keepNext w:val="0"/>
        <w:keepLines w:val="0"/>
        <w:pageBreakBefore w:val="0"/>
        <w:tabs>
          <w:tab w:val="left" w:pos="903"/>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3" w:name="bookmark1724"/>
      <w:bookmarkEnd w:id="443"/>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5</w:t>
      </w:r>
      <w:r>
        <w:rPr>
          <w:rFonts w:hint="default" w:ascii="Times New Roman" w:hAnsi="Times New Roman" w:eastAsia="宋体" w:cs="Times New Roman"/>
          <w:color w:val="000000" w:themeColor="text1"/>
          <w:sz w:val="21"/>
          <w:szCs w:val="21"/>
          <w:highlight w:val="none"/>
          <w14:textFill>
            <w14:solidFill>
              <w14:schemeClr w14:val="tx1"/>
            </w14:solidFill>
          </w14:textFill>
        </w:rPr>
        <w:t>）造成工程损坏的冰雹和大雪灾害；</w:t>
      </w:r>
    </w:p>
    <w:p w14:paraId="4B54EBFE">
      <w:pPr>
        <w:pStyle w:val="105"/>
        <w:keepNext w:val="0"/>
        <w:keepLines w:val="0"/>
        <w:pageBreakBefore w:val="0"/>
        <w:tabs>
          <w:tab w:val="left" w:pos="903"/>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4" w:name="bookmark1725"/>
      <w:bookmarkEnd w:id="444"/>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（6）</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6</w:t>
      </w:r>
      <w:r>
        <w:rPr>
          <w:rFonts w:hint="default" w:ascii="Times New Roman" w:hAnsi="Times New Roman" w:eastAsia="宋体" w:cs="Times New Roman"/>
          <w:color w:val="000000" w:themeColor="text1"/>
          <w:sz w:val="21"/>
          <w:szCs w:val="21"/>
          <w:highlight w:val="none"/>
          <w14:textFill>
            <w14:solidFill>
              <w14:schemeClr w14:val="tx1"/>
            </w14:solidFill>
          </w14:textFill>
        </w:rPr>
        <w:t>级以上的地震；</w:t>
      </w:r>
    </w:p>
    <w:p w14:paraId="5EBE30DC">
      <w:pPr>
        <w:pStyle w:val="105"/>
        <w:keepNext w:val="0"/>
        <w:keepLines w:val="0"/>
        <w:pageBreakBefore w:val="0"/>
        <w:tabs>
          <w:tab w:val="left" w:pos="903"/>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5" w:name="bookmark1726"/>
      <w:bookmarkEnd w:id="445"/>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（7）</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50</w:t>
      </w:r>
      <w:r>
        <w:rPr>
          <w:rFonts w:hint="default" w:ascii="Times New Roman" w:hAnsi="Times New Roman" w:eastAsia="宋体" w:cs="Times New Roman"/>
          <w:color w:val="000000" w:themeColor="text1"/>
          <w:sz w:val="21"/>
          <w:szCs w:val="21"/>
          <w:highlight w:val="none"/>
          <w14:textFill>
            <w14:solidFill>
              <w14:schemeClr w14:val="tx1"/>
            </w14:solidFill>
          </w14:textFill>
        </w:rPr>
        <w:t>年一遇及以上的洪水；</w:t>
      </w:r>
    </w:p>
    <w:p w14:paraId="5D55C392">
      <w:pPr>
        <w:pStyle w:val="105"/>
        <w:keepNext w:val="0"/>
        <w:keepLines w:val="0"/>
        <w:pageBreakBefore w:val="0"/>
        <w:tabs>
          <w:tab w:val="left" w:pos="903"/>
        </w:tabs>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46" w:name="bookmark1727"/>
      <w:bookmarkEnd w:id="446"/>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8</w:t>
      </w:r>
      <w:r>
        <w:rPr>
          <w:rFonts w:hint="default" w:ascii="Times New Roman" w:hAnsi="Times New Roman" w:eastAsia="宋体" w:cs="Times New Roman"/>
          <w:color w:val="000000" w:themeColor="text1"/>
          <w:sz w:val="21"/>
          <w:szCs w:val="21"/>
          <w:highlight w:val="none"/>
          <w14:textFill>
            <w14:solidFill>
              <w14:schemeClr w14:val="tx1"/>
            </w14:solidFill>
          </w14:textFill>
        </w:rPr>
        <w:t>）其他异常恶劣气候灾害。</w:t>
      </w:r>
    </w:p>
    <w:p w14:paraId="7ADF93AE">
      <w:pPr>
        <w:pStyle w:val="5"/>
        <w:keepNext w:val="0"/>
        <w:keepLines w:val="0"/>
        <w:pageBreakBefore w:val="0"/>
        <w:kinsoku/>
        <w:wordWrap/>
        <w:overflowPunct/>
        <w:topLinePunct w:val="0"/>
        <w:autoSpaceDE/>
        <w:autoSpaceDN/>
        <w:bidi w:val="0"/>
        <w:adjustRightInd/>
        <w:snapToGrid/>
        <w:spacing w:line="53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47" w:name="bookmark1730"/>
      <w:bookmarkStart w:id="448" w:name="bookmark1728"/>
      <w:bookmarkStart w:id="449" w:name="bookmark1729"/>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11.5承包人工期延误</w:t>
      </w:r>
      <w:bookmarkEnd w:id="447"/>
      <w:bookmarkEnd w:id="448"/>
      <w:bookmarkEnd w:id="449"/>
    </w:p>
    <w:p w14:paraId="197CEB28">
      <w:pPr>
        <w:pStyle w:val="105"/>
        <w:keepNext w:val="0"/>
        <w:keepLines w:val="0"/>
        <w:pageBreakBefore w:val="0"/>
        <w:kinsoku/>
        <w:wordWrap/>
        <w:overflowPunct/>
        <w:topLinePunct w:val="0"/>
        <w:autoSpaceDE/>
        <w:autoSpaceDN/>
        <w:bidi w:val="0"/>
        <w:adjustRightInd/>
        <w:snapToGrid/>
        <w:spacing w:line="53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）逾期完工违约金表（参考格式）</w:t>
      </w:r>
    </w:p>
    <w:tbl>
      <w:tblPr>
        <w:tblStyle w:val="43"/>
        <w:tblW w:w="0" w:type="auto"/>
        <w:jc w:val="center"/>
        <w:tblLayout w:type="fixed"/>
        <w:tblCellMar>
          <w:top w:w="0" w:type="dxa"/>
          <w:left w:w="10" w:type="dxa"/>
          <w:bottom w:w="0" w:type="dxa"/>
          <w:right w:w="10" w:type="dxa"/>
        </w:tblCellMar>
      </w:tblPr>
      <w:tblGrid>
        <w:gridCol w:w="809"/>
        <w:gridCol w:w="2308"/>
        <w:gridCol w:w="3765"/>
        <w:gridCol w:w="1703"/>
      </w:tblGrid>
      <w:tr w14:paraId="48DFDEB1">
        <w:tblPrEx>
          <w:tblCellMar>
            <w:top w:w="0" w:type="dxa"/>
            <w:left w:w="10" w:type="dxa"/>
            <w:bottom w:w="0" w:type="dxa"/>
            <w:right w:w="10" w:type="dxa"/>
          </w:tblCellMar>
        </w:tblPrEx>
        <w:trPr>
          <w:trHeight w:val="454" w:hRule="atLeast"/>
          <w:jc w:val="center"/>
        </w:trPr>
        <w:tc>
          <w:tcPr>
            <w:tcW w:w="809" w:type="dxa"/>
            <w:tcBorders>
              <w:top w:val="single" w:color="auto" w:sz="4" w:space="0"/>
              <w:left w:val="single" w:color="auto" w:sz="4" w:space="0"/>
            </w:tcBorders>
            <w:shd w:val="clear" w:color="auto" w:fill="FFFFFF"/>
            <w:noWrap w:val="0"/>
            <w:vAlign w:val="center"/>
          </w:tcPr>
          <w:p w14:paraId="7926EA39">
            <w:pPr>
              <w:pStyle w:val="124"/>
              <w:keepNext w:val="0"/>
              <w:keepLines w:val="0"/>
              <w:pageBreakBefore w:val="0"/>
              <w:kinsoku/>
              <w:wordWrap/>
              <w:overflowPunct/>
              <w:topLinePunct w:val="0"/>
              <w:autoSpaceDE/>
              <w:autoSpaceDN/>
              <w:bidi w:val="0"/>
              <w:adjustRightInd/>
              <w:snapToGrid/>
              <w:spacing w:line="47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2308" w:type="dxa"/>
            <w:tcBorders>
              <w:top w:val="single" w:color="auto" w:sz="4" w:space="0"/>
              <w:left w:val="single" w:color="auto" w:sz="4" w:space="0"/>
            </w:tcBorders>
            <w:shd w:val="clear" w:color="auto" w:fill="FFFFFF"/>
            <w:noWrap w:val="0"/>
            <w:vAlign w:val="center"/>
          </w:tcPr>
          <w:p w14:paraId="23F2D291">
            <w:pPr>
              <w:pStyle w:val="124"/>
              <w:keepNext w:val="0"/>
              <w:keepLines w:val="0"/>
              <w:pageBreakBefore w:val="0"/>
              <w:kinsoku/>
              <w:wordWrap/>
              <w:overflowPunct/>
              <w:topLinePunct w:val="0"/>
              <w:autoSpaceDE/>
              <w:autoSpaceDN/>
              <w:bidi w:val="0"/>
              <w:adjustRightInd/>
              <w:snapToGrid/>
              <w:spacing w:line="47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项目及其说明</w:t>
            </w:r>
          </w:p>
        </w:tc>
        <w:tc>
          <w:tcPr>
            <w:tcW w:w="3765" w:type="dxa"/>
            <w:tcBorders>
              <w:top w:val="single" w:color="auto" w:sz="4" w:space="0"/>
              <w:left w:val="single" w:color="auto" w:sz="4" w:space="0"/>
            </w:tcBorders>
            <w:shd w:val="clear" w:color="auto" w:fill="FFFFFF"/>
            <w:noWrap w:val="0"/>
            <w:vAlign w:val="center"/>
          </w:tcPr>
          <w:p w14:paraId="4FA431A9">
            <w:pPr>
              <w:pStyle w:val="124"/>
              <w:keepNext w:val="0"/>
              <w:keepLines w:val="0"/>
              <w:pageBreakBefore w:val="0"/>
              <w:kinsoku/>
              <w:wordWrap/>
              <w:overflowPunct/>
              <w:topLinePunct w:val="0"/>
              <w:autoSpaceDE/>
              <w:autoSpaceDN/>
              <w:bidi w:val="0"/>
              <w:adjustRightInd/>
              <w:snapToGrid/>
              <w:spacing w:line="47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要求完工日期</w:t>
            </w:r>
          </w:p>
        </w:tc>
        <w:tc>
          <w:tcPr>
            <w:tcW w:w="1703" w:type="dxa"/>
            <w:tcBorders>
              <w:top w:val="single" w:color="auto" w:sz="4" w:space="0"/>
              <w:left w:val="single" w:color="auto" w:sz="4" w:space="0"/>
              <w:right w:val="single" w:color="auto" w:sz="4" w:space="0"/>
            </w:tcBorders>
            <w:shd w:val="clear" w:color="auto" w:fill="FFFFFF"/>
            <w:noWrap w:val="0"/>
            <w:vAlign w:val="center"/>
          </w:tcPr>
          <w:p w14:paraId="2338E308">
            <w:pPr>
              <w:pStyle w:val="124"/>
              <w:keepNext w:val="0"/>
              <w:keepLines w:val="0"/>
              <w:pageBreakBefore w:val="0"/>
              <w:kinsoku/>
              <w:wordWrap/>
              <w:overflowPunct/>
              <w:topLinePunct w:val="0"/>
              <w:autoSpaceDE/>
              <w:autoSpaceDN/>
              <w:bidi w:val="0"/>
              <w:adjustRightInd/>
              <w:snapToGrid/>
              <w:spacing w:line="470" w:lineRule="exact"/>
              <w:ind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违约金(元/天)</w:t>
            </w:r>
          </w:p>
        </w:tc>
      </w:tr>
      <w:tr w14:paraId="7919CA61">
        <w:tblPrEx>
          <w:tblCellMar>
            <w:top w:w="0" w:type="dxa"/>
            <w:left w:w="10" w:type="dxa"/>
            <w:bottom w:w="0" w:type="dxa"/>
            <w:right w:w="10" w:type="dxa"/>
          </w:tblCellMar>
        </w:tblPrEx>
        <w:trPr>
          <w:trHeight w:val="454" w:hRule="atLeast"/>
          <w:jc w:val="center"/>
        </w:trPr>
        <w:tc>
          <w:tcPr>
            <w:tcW w:w="809" w:type="dxa"/>
            <w:tcBorders>
              <w:top w:val="single" w:color="auto" w:sz="4" w:space="0"/>
              <w:left w:val="single" w:color="auto" w:sz="4" w:space="0"/>
            </w:tcBorders>
            <w:shd w:val="clear" w:color="auto" w:fill="FFFFFF"/>
            <w:noWrap w:val="0"/>
            <w:vAlign w:val="center"/>
          </w:tcPr>
          <w:p w14:paraId="148DE5D7">
            <w:pPr>
              <w:keepNext w:val="0"/>
              <w:keepLines w:val="0"/>
              <w:pageBreakBefore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8" w:type="dxa"/>
            <w:tcBorders>
              <w:top w:val="single" w:color="auto" w:sz="4" w:space="0"/>
              <w:left w:val="single" w:color="auto" w:sz="4" w:space="0"/>
            </w:tcBorders>
            <w:shd w:val="clear" w:color="auto" w:fill="FFFFFF"/>
            <w:noWrap w:val="0"/>
            <w:vAlign w:val="center"/>
          </w:tcPr>
          <w:p w14:paraId="7434A437">
            <w:pPr>
              <w:keepNext w:val="0"/>
              <w:keepLines w:val="0"/>
              <w:pageBreakBefore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全部工程</w:t>
            </w:r>
          </w:p>
        </w:tc>
        <w:tc>
          <w:tcPr>
            <w:tcW w:w="3765" w:type="dxa"/>
            <w:tcBorders>
              <w:top w:val="single" w:color="auto" w:sz="4" w:space="0"/>
              <w:left w:val="single" w:color="auto" w:sz="4" w:space="0"/>
            </w:tcBorders>
            <w:shd w:val="clear" w:color="auto" w:fill="FFFFFF"/>
            <w:noWrap w:val="0"/>
            <w:vAlign w:val="center"/>
          </w:tcPr>
          <w:p w14:paraId="6E35A8B4">
            <w:pPr>
              <w:keepNext w:val="0"/>
              <w:keepLines w:val="0"/>
              <w:pageBreakBefore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约定的完工时间</w:t>
            </w:r>
          </w:p>
        </w:tc>
        <w:tc>
          <w:tcPr>
            <w:tcW w:w="1703" w:type="dxa"/>
            <w:tcBorders>
              <w:top w:val="single" w:color="auto" w:sz="4" w:space="0"/>
              <w:left w:val="single" w:color="auto" w:sz="4" w:space="0"/>
              <w:right w:val="single" w:color="auto" w:sz="4" w:space="0"/>
            </w:tcBorders>
            <w:shd w:val="clear" w:color="auto" w:fill="FFFFFF"/>
            <w:noWrap w:val="0"/>
            <w:vAlign w:val="center"/>
          </w:tcPr>
          <w:p w14:paraId="77B6C3ED">
            <w:pPr>
              <w:keepNext w:val="0"/>
              <w:keepLines w:val="0"/>
              <w:pageBreakBefore w:val="0"/>
              <w:kinsoku/>
              <w:wordWrap/>
              <w:overflowPunct/>
              <w:topLinePunct w:val="0"/>
              <w:autoSpaceDE/>
              <w:autoSpaceDN/>
              <w:bidi w:val="0"/>
              <w:adjustRightInd/>
              <w:snapToGrid/>
              <w:spacing w:line="470" w:lineRule="exact"/>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万分之四</w:t>
            </w:r>
          </w:p>
        </w:tc>
      </w:tr>
      <w:tr w14:paraId="47FF4949">
        <w:tblPrEx>
          <w:tblCellMar>
            <w:top w:w="0" w:type="dxa"/>
            <w:left w:w="10" w:type="dxa"/>
            <w:bottom w:w="0" w:type="dxa"/>
            <w:right w:w="10" w:type="dxa"/>
          </w:tblCellMar>
        </w:tblPrEx>
        <w:trPr>
          <w:trHeight w:val="454" w:hRule="atLeast"/>
          <w:jc w:val="center"/>
        </w:trPr>
        <w:tc>
          <w:tcPr>
            <w:tcW w:w="809" w:type="dxa"/>
            <w:tcBorders>
              <w:top w:val="single" w:color="auto" w:sz="4" w:space="0"/>
              <w:left w:val="single" w:color="auto" w:sz="4" w:space="0"/>
            </w:tcBorders>
            <w:shd w:val="clear" w:color="auto" w:fill="FFFFFF"/>
            <w:noWrap w:val="0"/>
            <w:vAlign w:val="center"/>
          </w:tcPr>
          <w:p w14:paraId="474F4295">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8" w:type="dxa"/>
            <w:tcBorders>
              <w:top w:val="single" w:color="auto" w:sz="4" w:space="0"/>
              <w:left w:val="single" w:color="auto" w:sz="4" w:space="0"/>
            </w:tcBorders>
            <w:shd w:val="clear" w:color="auto" w:fill="FFFFFF"/>
            <w:noWrap w:val="0"/>
            <w:vAlign w:val="center"/>
          </w:tcPr>
          <w:p w14:paraId="64279CC4">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5" w:type="dxa"/>
            <w:tcBorders>
              <w:top w:val="single" w:color="auto" w:sz="4" w:space="0"/>
              <w:left w:val="single" w:color="auto" w:sz="4" w:space="0"/>
            </w:tcBorders>
            <w:shd w:val="clear" w:color="auto" w:fill="FFFFFF"/>
            <w:noWrap w:val="0"/>
            <w:vAlign w:val="center"/>
          </w:tcPr>
          <w:p w14:paraId="025D96F9">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03" w:type="dxa"/>
            <w:tcBorders>
              <w:top w:val="single" w:color="auto" w:sz="4" w:space="0"/>
              <w:left w:val="single" w:color="auto" w:sz="4" w:space="0"/>
              <w:right w:val="single" w:color="auto" w:sz="4" w:space="0"/>
            </w:tcBorders>
            <w:shd w:val="clear" w:color="auto" w:fill="FFFFFF"/>
            <w:noWrap w:val="0"/>
            <w:vAlign w:val="center"/>
          </w:tcPr>
          <w:p w14:paraId="591F3CD5">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A690EDD">
        <w:tblPrEx>
          <w:tblCellMar>
            <w:top w:w="0" w:type="dxa"/>
            <w:left w:w="10" w:type="dxa"/>
            <w:bottom w:w="0" w:type="dxa"/>
            <w:right w:w="10" w:type="dxa"/>
          </w:tblCellMar>
        </w:tblPrEx>
        <w:trPr>
          <w:trHeight w:val="454" w:hRule="atLeast"/>
          <w:jc w:val="center"/>
        </w:trPr>
        <w:tc>
          <w:tcPr>
            <w:tcW w:w="809" w:type="dxa"/>
            <w:tcBorders>
              <w:top w:val="single" w:color="auto" w:sz="4" w:space="0"/>
              <w:left w:val="single" w:color="auto" w:sz="4" w:space="0"/>
              <w:bottom w:val="single" w:color="auto" w:sz="4" w:space="0"/>
            </w:tcBorders>
            <w:shd w:val="clear" w:color="auto" w:fill="FFFFFF"/>
            <w:noWrap w:val="0"/>
            <w:vAlign w:val="center"/>
          </w:tcPr>
          <w:p w14:paraId="5832C405">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2308" w:type="dxa"/>
            <w:tcBorders>
              <w:top w:val="single" w:color="auto" w:sz="4" w:space="0"/>
              <w:left w:val="single" w:color="auto" w:sz="4" w:space="0"/>
              <w:bottom w:val="single" w:color="auto" w:sz="4" w:space="0"/>
            </w:tcBorders>
            <w:shd w:val="clear" w:color="auto" w:fill="FFFFFF"/>
            <w:noWrap w:val="0"/>
            <w:vAlign w:val="center"/>
          </w:tcPr>
          <w:p w14:paraId="76EA7C30">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765" w:type="dxa"/>
            <w:tcBorders>
              <w:top w:val="single" w:color="auto" w:sz="4" w:space="0"/>
              <w:left w:val="single" w:color="auto" w:sz="4" w:space="0"/>
              <w:bottom w:val="single" w:color="auto" w:sz="4" w:space="0"/>
            </w:tcBorders>
            <w:shd w:val="clear" w:color="auto" w:fill="FFFFFF"/>
            <w:noWrap w:val="0"/>
            <w:vAlign w:val="center"/>
          </w:tcPr>
          <w:p w14:paraId="6D2229A4">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5E5E8F">
            <w:pPr>
              <w:keepNext w:val="0"/>
              <w:keepLines w:val="0"/>
              <w:pageBreakBefore w:val="0"/>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2CDF2621">
      <w:pPr>
        <w:pStyle w:val="105"/>
        <w:keepNext w:val="0"/>
        <w:keepLines w:val="0"/>
        <w:pageBreakBefore w:val="0"/>
        <w:tabs>
          <w:tab w:val="left" w:pos="7999"/>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承包人如未能按上表各节点要求的完工日期前完工，逾期完工违约金按</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万分之四</w:t>
      </w:r>
      <w:r>
        <w:rPr>
          <w:rFonts w:hint="default" w:ascii="Times New Roman" w:hAnsi="Times New Roman" w:eastAsia="宋体" w:cs="Times New Roman"/>
          <w:color w:val="000000" w:themeColor="text1"/>
          <w:sz w:val="21"/>
          <w:szCs w:val="21"/>
          <w:highlight w:val="none"/>
          <w14:textFill>
            <w14:solidFill>
              <w14:schemeClr w14:val="tx1"/>
            </w14:solidFill>
          </w14:textFill>
        </w:rPr>
        <w:t>元/ 天</w:t>
      </w:r>
      <w:r>
        <w:rPr>
          <w:rFonts w:hint="default" w:ascii="Times New Roman" w:hAnsi="Times New Roman" w:eastAsia="宋体" w:cs="Times New Roman"/>
          <w:i/>
          <w:iCs/>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计算。</w:t>
      </w:r>
    </w:p>
    <w:p w14:paraId="513A0079">
      <w:pPr>
        <w:pStyle w:val="105"/>
        <w:keepNext w:val="0"/>
        <w:keepLines w:val="0"/>
        <w:pageBreakBefore w:val="0"/>
        <w:tabs>
          <w:tab w:val="left" w:pos="922"/>
          <w:tab w:val="left" w:pos="6190"/>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450" w:name="bookmark1731"/>
      <w:bookmarkEnd w:id="450"/>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）全部逾期完工违约金的总限额不超过合同总价的</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5 </w:t>
      </w:r>
      <w:r>
        <w:rPr>
          <w:rFonts w:hint="default" w:ascii="Times New Roman" w:hAnsi="Times New Roman" w:eastAsia="宋体" w:cs="Times New Roman"/>
          <w:color w:val="000000" w:themeColor="text1"/>
          <w:sz w:val="21"/>
          <w:szCs w:val="21"/>
          <w:highlight w:val="none"/>
          <w14:textFill>
            <w14:solidFill>
              <w14:schemeClr w14:val="tx1"/>
            </w14:solidFill>
          </w14:textFill>
        </w:rPr>
        <w:t>%，发包人可从应向承包人支付的任何金额中扣除此项违约金或以其他方式收回此款，此违约金的支付并不能解除承包人应完成工程的责任或合同规定的其他责任。</w:t>
      </w:r>
    </w:p>
    <w:p w14:paraId="06406151">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51" w:name="bookmark1733"/>
      <w:bookmarkStart w:id="452" w:name="bookmark1732"/>
      <w:bookmarkStart w:id="453" w:name="bookmark1734"/>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11.6工期提前</w:t>
      </w:r>
      <w:bookmarkEnd w:id="451"/>
      <w:bookmarkEnd w:id="452"/>
      <w:bookmarkEnd w:id="453"/>
    </w:p>
    <w:p w14:paraId="286648A7">
      <w:pPr>
        <w:pStyle w:val="105"/>
        <w:keepNext w:val="0"/>
        <w:keepLines w:val="0"/>
        <w:pageBreakBefore w:val="0"/>
        <w:tabs>
          <w:tab w:val="left" w:pos="8218"/>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工期提前的资金约定：</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在保证工程质量的前提下，发包人鼓励承包人提前完工，但本合同工程无提前工期奖金</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444413A7">
      <w:pPr>
        <w:pStyle w:val="4"/>
        <w:keepNext w:val="0"/>
        <w:keepLines w:val="0"/>
        <w:pageBreakBefore w:val="0"/>
        <w:kinsoku/>
        <w:wordWrap/>
        <w:overflowPunct/>
        <w:topLinePunct w:val="0"/>
        <w:autoSpaceDE/>
        <w:autoSpaceDN/>
        <w:bidi w:val="0"/>
        <w:adjustRightInd/>
        <w:snapToGrid/>
        <w:spacing w:before="0" w:line="470" w:lineRule="exact"/>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54" w:name="_Toc23224"/>
      <w:bookmarkStart w:id="455" w:name="_Toc1462804162"/>
      <w:bookmarkStart w:id="456" w:name="bookmark1737"/>
      <w:bookmarkStart w:id="457" w:name="_Toc31692"/>
      <w:bookmarkStart w:id="458" w:name="bookmark1735"/>
      <w:bookmarkStart w:id="459" w:name="_Toc6849"/>
      <w:bookmarkStart w:id="460" w:name="_Toc11763"/>
      <w:bookmarkStart w:id="461" w:name="bookmark1736"/>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12. 暂停施工</w:t>
      </w:r>
      <w:bookmarkEnd w:id="454"/>
      <w:bookmarkEnd w:id="455"/>
      <w:bookmarkEnd w:id="456"/>
      <w:bookmarkEnd w:id="457"/>
      <w:bookmarkEnd w:id="458"/>
      <w:bookmarkEnd w:id="459"/>
      <w:bookmarkEnd w:id="460"/>
      <w:bookmarkEnd w:id="461"/>
    </w:p>
    <w:p w14:paraId="566C848E">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62" w:name="bookmark1740"/>
      <w:bookmarkStart w:id="463" w:name="bookmark1738"/>
      <w:bookmarkStart w:id="464" w:name="bookmark1739"/>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12.1承包人暂停施工的责任</w:t>
      </w:r>
      <w:bookmarkEnd w:id="462"/>
      <w:bookmarkEnd w:id="463"/>
      <w:bookmarkEnd w:id="464"/>
    </w:p>
    <w:p w14:paraId="73FD574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465" w:name="bookmark1741"/>
      <w:bookmarkEnd w:id="465"/>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承包人承担暂停施工责任的其它情形：属于下列任何一种情况引起的暂停施工，承包人不能提出增加费用和延长工期的要求： </w:t>
      </w:r>
    </w:p>
    <w:p w14:paraId="7825D7A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①合同中另有规定的。 </w:t>
      </w:r>
    </w:p>
    <w:p w14:paraId="3BE41BD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②由于承包人违约引起的暂停施工。 </w:t>
      </w:r>
    </w:p>
    <w:p w14:paraId="66D8C45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③由于现场非异常恶劣气候条件引起的正常停工。 </w:t>
      </w:r>
    </w:p>
    <w:p w14:paraId="29D9EBB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④由于承包人为工程的合理施工和保证安全所必须的暂停施工。 </w:t>
      </w:r>
    </w:p>
    <w:p w14:paraId="4E676F5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⑤未得到监理人许可的承包人擅自停工。 </w:t>
      </w:r>
    </w:p>
    <w:p w14:paraId="7F346D1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⑥其它由于承包人原因引起的暂停施工。 </w:t>
      </w:r>
    </w:p>
    <w:p w14:paraId="37A2CCE8">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12.2发包人暂停施工的责任</w:t>
      </w:r>
    </w:p>
    <w:p w14:paraId="1E1DF117">
      <w:pPr>
        <w:pStyle w:val="105"/>
        <w:keepNext w:val="0"/>
        <w:keepLines w:val="0"/>
        <w:pageBreakBefore w:val="0"/>
        <w:tabs>
          <w:tab w:val="left" w:pos="923"/>
          <w:tab w:val="left" w:pos="8218"/>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bookmarkStart w:id="466" w:name="bookmark1742"/>
      <w:bookmarkEnd w:id="466"/>
      <w:r>
        <w:rPr>
          <w:rFonts w:hint="default" w:ascii="Times New Roman" w:hAnsi="Times New Roman" w:eastAsia="宋体" w:cs="Times New Roman"/>
          <w:color w:val="000000" w:themeColor="text1"/>
          <w:sz w:val="21"/>
          <w:szCs w:val="21"/>
          <w:highlight w:val="none"/>
          <w14:textFill>
            <w14:solidFill>
              <w14:schemeClr w14:val="tx1"/>
            </w14:solidFill>
          </w14:textFill>
        </w:rPr>
        <w:t>发包人承担暂停施工责任的其它情形：</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发包人可以根据资金到位情况暂停部分项目的施工，发包人只延长因该部分暂停施工增加的工期，但不增加投资</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w:t>
      </w:r>
    </w:p>
    <w:p w14:paraId="15C425F7">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67" w:name="bookmark1743"/>
      <w:bookmarkStart w:id="468" w:name="bookmark1744"/>
      <w:bookmarkStart w:id="469" w:name="_Toc16665"/>
      <w:bookmarkStart w:id="470" w:name="_Toc26672"/>
      <w:bookmarkStart w:id="471" w:name="_Toc4631"/>
      <w:bookmarkStart w:id="472" w:name="bookmark1745"/>
      <w:bookmarkStart w:id="473" w:name="_Toc1569442510"/>
      <w:bookmarkStart w:id="474" w:name="_Toc7610"/>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13. 工程质量</w:t>
      </w:r>
      <w:bookmarkEnd w:id="467"/>
      <w:bookmarkEnd w:id="468"/>
      <w:bookmarkEnd w:id="469"/>
      <w:bookmarkEnd w:id="470"/>
      <w:bookmarkEnd w:id="471"/>
      <w:bookmarkEnd w:id="472"/>
      <w:bookmarkEnd w:id="473"/>
      <w:bookmarkEnd w:id="474"/>
    </w:p>
    <w:p w14:paraId="0EF18FD2">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75" w:name="bookmark1748"/>
      <w:bookmarkStart w:id="476" w:name="bookmark1747"/>
      <w:bookmarkStart w:id="477" w:name="bookmark174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13.7质量评定</w:t>
      </w:r>
      <w:bookmarkEnd w:id="475"/>
      <w:bookmarkEnd w:id="476"/>
      <w:bookmarkEnd w:id="477"/>
    </w:p>
    <w:p w14:paraId="3E87A737">
      <w:pPr>
        <w:pStyle w:val="105"/>
        <w:keepNext w:val="0"/>
        <w:keepLines w:val="0"/>
        <w:pageBreakBefore w:val="0"/>
        <w:tabs>
          <w:tab w:val="left" w:pos="8228"/>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13.7.4</w:t>
      </w:r>
      <w:r>
        <w:rPr>
          <w:rFonts w:hint="default" w:ascii="Times New Roman" w:hAnsi="Times New Roman" w:eastAsia="宋体" w:cs="Times New Roman"/>
          <w:color w:val="000000" w:themeColor="text1"/>
          <w:sz w:val="21"/>
          <w:szCs w:val="21"/>
          <w:highlight w:val="none"/>
          <w14:textFill>
            <w14:solidFill>
              <w14:schemeClr w14:val="tx1"/>
            </w14:solidFill>
          </w14:textFill>
        </w:rPr>
        <w:t>重要隐蔽单元工程和关键部位单元工程质量评定的约定：</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合格</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10C5A781">
      <w:pPr>
        <w:pStyle w:val="105"/>
        <w:keepNext w:val="0"/>
        <w:keepLines w:val="0"/>
        <w:pageBreakBefore w:val="0"/>
        <w:tabs>
          <w:tab w:val="left" w:pos="3751"/>
          <w:tab w:val="left" w:pos="4834"/>
          <w:tab w:val="left" w:pos="8225"/>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 xml:space="preserve">13.7.7 </w:t>
      </w:r>
      <w:r>
        <w:rPr>
          <w:rFonts w:hint="default" w:ascii="Times New Roman" w:hAnsi="Times New Roman" w:eastAsia="宋体" w:cs="Times New Roman"/>
          <w:color w:val="000000" w:themeColor="text1"/>
          <w:sz w:val="21"/>
          <w:szCs w:val="21"/>
          <w:highlight w:val="none"/>
          <w14:textFill>
            <w14:solidFill>
              <w14:schemeClr w14:val="tx1"/>
            </w14:solidFill>
          </w14:textFill>
        </w:rPr>
        <w:t>工程合格标准为：</w:t>
      </w:r>
      <w:r>
        <w:rPr>
          <w:rFonts w:hint="default" w:ascii="Times New Roman" w:hAnsi="Times New Roman" w:eastAsia="宋体" w:cs="Times New Roman"/>
          <w:color w:val="000000" w:themeColor="text1"/>
          <w:sz w:val="21"/>
          <w:szCs w:val="21"/>
          <w:highlight w:val="none"/>
          <w:u w:val="single"/>
          <w:lang w:bidi="ar"/>
          <w14:textFill>
            <w14:solidFill>
              <w14:schemeClr w14:val="tx1"/>
            </w14:solidFill>
          </w14:textFill>
        </w:rPr>
        <w:t>达到设计要求及水利水电工程施工质量检验与评定规程要求的合格标准</w:t>
      </w:r>
      <w:r>
        <w:rPr>
          <w:rFonts w:hint="default" w:ascii="Times New Roman" w:hAnsi="Times New Roman" w:eastAsia="宋体" w:cs="Times New Roman"/>
          <w:color w:val="000000" w:themeColor="text1"/>
          <w:sz w:val="21"/>
          <w:szCs w:val="21"/>
          <w:highlight w:val="none"/>
          <w14:textFill>
            <w14:solidFill>
              <w14:schemeClr w14:val="tx1"/>
            </w14:solidFill>
          </w14:textFill>
        </w:rPr>
        <w:t>；优良标准为：</w:t>
      </w:r>
      <w:r>
        <w:rPr>
          <w:rFonts w:hint="default" w:ascii="Times New Roman" w:hAnsi="Times New Roman" w:eastAsia="宋体" w:cs="Times New Roman"/>
          <w:color w:val="000000" w:themeColor="text1"/>
          <w:sz w:val="21"/>
          <w:szCs w:val="21"/>
          <w:highlight w:val="none"/>
          <w:u w:val="single"/>
          <w:lang w:bidi="ar"/>
          <w14:textFill>
            <w14:solidFill>
              <w14:schemeClr w14:val="tx1"/>
            </w14:solidFill>
          </w14:textFill>
        </w:rPr>
        <w:t>达到设计要求及水利水电工程施工质量检验与评定规程要求的优良标准</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bidi="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达到优良的奖金为：</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无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0ADE14EC">
      <w:pPr>
        <w:pStyle w:val="5"/>
        <w:keepNext w:val="0"/>
        <w:keepLines w:val="0"/>
        <w:pageBreakBefore w:val="0"/>
        <w:kinsoku/>
        <w:wordWrap/>
        <w:overflowPunct/>
        <w:topLinePunct w:val="0"/>
        <w:autoSpaceDE/>
        <w:autoSpaceDN/>
        <w:bidi w:val="0"/>
        <w:adjustRightInd/>
        <w:snapToGrid/>
        <w:spacing w:line="470" w:lineRule="exact"/>
        <w:ind w:left="0" w:leftChars="0" w:firstLine="0" w:firstLineChars="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78" w:name="bookmark1750"/>
      <w:bookmarkStart w:id="479" w:name="bookmark1749"/>
      <w:bookmarkStart w:id="480" w:name="bookmark1751"/>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13.8质量事故处理</w:t>
      </w:r>
      <w:bookmarkEnd w:id="478"/>
      <w:bookmarkEnd w:id="479"/>
      <w:bookmarkEnd w:id="480"/>
    </w:p>
    <w:p w14:paraId="491147C9">
      <w:pPr>
        <w:pStyle w:val="105"/>
        <w:keepNext w:val="0"/>
        <w:keepLines w:val="0"/>
        <w:pageBreakBefore w:val="0"/>
        <w:tabs>
          <w:tab w:val="left" w:pos="4814"/>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13.8.4</w:t>
      </w:r>
      <w:r>
        <w:rPr>
          <w:rFonts w:hint="default" w:ascii="Times New Roman" w:hAnsi="Times New Roman" w:eastAsia="宋体" w:cs="Times New Roman"/>
          <w:color w:val="000000" w:themeColor="text1"/>
          <w:sz w:val="21"/>
          <w:szCs w:val="21"/>
          <w:highlight w:val="none"/>
          <w14:textFill>
            <w14:solidFill>
              <w14:schemeClr w14:val="tx1"/>
            </w14:solidFill>
          </w14:textFill>
        </w:rPr>
        <w:t>工程竣工验收时，</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承包人及监理人</w:t>
      </w:r>
      <w:r>
        <w:rPr>
          <w:rFonts w:hint="default" w:ascii="Times New Roman" w:hAnsi="Times New Roman" w:eastAsia="宋体" w:cs="Times New Roman"/>
          <w:color w:val="000000" w:themeColor="text1"/>
          <w:sz w:val="21"/>
          <w:szCs w:val="21"/>
          <w:highlight w:val="none"/>
          <w14:textFill>
            <w14:solidFill>
              <w14:schemeClr w14:val="tx1"/>
            </w14:solidFill>
          </w14:textFill>
        </w:rPr>
        <w:t>向竣工验收委员会汇报并提交历次质量缺陷处理的备案资料。</w:t>
      </w:r>
    </w:p>
    <w:p w14:paraId="06F2AC35">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81" w:name="_Toc18626"/>
      <w:bookmarkStart w:id="482" w:name="bookmark1752"/>
      <w:bookmarkStart w:id="483" w:name="bookmark1753"/>
      <w:bookmarkStart w:id="484" w:name="_Toc6407"/>
      <w:bookmarkStart w:id="485" w:name="_Toc1965527390"/>
      <w:bookmarkStart w:id="486" w:name="_Toc31748"/>
      <w:bookmarkStart w:id="487" w:name="bookmark1754"/>
      <w:bookmarkStart w:id="488" w:name="_Toc20650"/>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14.试验和检验</w:t>
      </w:r>
      <w:bookmarkEnd w:id="481"/>
      <w:bookmarkEnd w:id="482"/>
      <w:bookmarkEnd w:id="483"/>
      <w:bookmarkEnd w:id="484"/>
      <w:bookmarkEnd w:id="485"/>
      <w:bookmarkEnd w:id="486"/>
      <w:bookmarkEnd w:id="487"/>
      <w:bookmarkEnd w:id="488"/>
    </w:p>
    <w:p w14:paraId="2A6A230C">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489" w:name="bookmark1756"/>
      <w:bookmarkStart w:id="490" w:name="bookmark1755"/>
      <w:bookmarkStart w:id="491" w:name="bookmark1757"/>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14.1材料、工程设备和工程的试验和检验</w:t>
      </w:r>
      <w:bookmarkEnd w:id="489"/>
      <w:bookmarkEnd w:id="490"/>
      <w:bookmarkEnd w:id="491"/>
    </w:p>
    <w:p w14:paraId="5906C2F3">
      <w:pPr>
        <w:pStyle w:val="105"/>
        <w:keepNext w:val="0"/>
        <w:keepLines w:val="0"/>
        <w:pageBreakBefore w:val="0"/>
        <w:tabs>
          <w:tab w:val="left" w:pos="2071"/>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14.1.5</w:t>
      </w:r>
      <w:r>
        <w:rPr>
          <w:rFonts w:hint="default" w:ascii="Times New Roman" w:hAnsi="Times New Roman" w:eastAsia="宋体" w:cs="Times New Roman"/>
          <w:color w:val="000000" w:themeColor="text1"/>
          <w:sz w:val="21"/>
          <w:szCs w:val="21"/>
          <w:highlight w:val="none"/>
          <w14:textFill>
            <w14:solidFill>
              <w14:schemeClr w14:val="tx1"/>
            </w14:solidFill>
          </w14:textFill>
        </w:rPr>
        <w:t>水工金属结构、启闭机及机电产品进场后的交货检查和验收中，承包人负责</w:t>
      </w:r>
      <w:r>
        <w:rPr>
          <w:rFonts w:hint="default" w:ascii="Times New Roman" w:hAnsi="Times New Roman" w:eastAsia="宋体" w:cs="Times New Roman"/>
          <w:color w:val="000000" w:themeColor="text1"/>
          <w:sz w:val="21"/>
          <w:szCs w:val="21"/>
          <w:highlight w:val="none"/>
          <w:u w:val="single"/>
          <w:lang w:bidi="ar"/>
          <w14:textFill>
            <w14:solidFill>
              <w14:schemeClr w14:val="tx1"/>
            </w14:solidFill>
          </w14:textFill>
        </w:rPr>
        <w:t>查收设备规格及数量，并保管设备</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38592728">
      <w:pPr>
        <w:pStyle w:val="105"/>
        <w:keepNext w:val="0"/>
        <w:keepLines w:val="0"/>
        <w:pageBreakBefore w:val="0"/>
        <w:tabs>
          <w:tab w:val="left" w:pos="7525"/>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bidi="ar"/>
          <w14:textFill>
            <w14:solidFill>
              <w14:schemeClr w14:val="tx1"/>
            </w14:solidFill>
          </w14:textFill>
        </w:rPr>
        <w:t>发包人提供的所有设备因承包人保管和管理不当造成损坏或者遗失的，由承包人照价赔偿或从工程款中扣除相应款数</w:t>
      </w:r>
      <w:r>
        <w:rPr>
          <w:rFonts w:hint="default" w:ascii="Times New Roman" w:hAnsi="Times New Roman" w:eastAsia="宋体" w:cs="Times New Roman"/>
          <w:color w:val="000000" w:themeColor="text1"/>
          <w:sz w:val="21"/>
          <w:szCs w:val="21"/>
          <w:highlight w:val="none"/>
          <w:lang w:bidi="ar"/>
          <w14:textFill>
            <w14:solidFill>
              <w14:schemeClr w14:val="tx1"/>
            </w14:solidFill>
          </w14:textFill>
        </w:rPr>
        <w:t>。</w:t>
      </w:r>
    </w:p>
    <w:p w14:paraId="707EA0E4">
      <w:pPr>
        <w:pStyle w:val="105"/>
        <w:keepNext w:val="0"/>
        <w:keepLines w:val="0"/>
        <w:pageBreakBefore w:val="0"/>
        <w:tabs>
          <w:tab w:val="left" w:pos="7525"/>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14.1.6</w:t>
      </w:r>
      <w:r>
        <w:rPr>
          <w:rFonts w:hint="default" w:ascii="Times New Roman" w:hAnsi="Times New Roman" w:eastAsia="宋体" w:cs="Times New Roman"/>
          <w:color w:val="000000" w:themeColor="text1"/>
          <w:sz w:val="21"/>
          <w:szCs w:val="21"/>
          <w:highlight w:val="none"/>
          <w14:textFill>
            <w14:solidFill>
              <w14:schemeClr w14:val="tx1"/>
            </w14:solidFill>
          </w14:textFill>
        </w:rPr>
        <w:t>本工程实行见证取样的试块、试件及有关材料：</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按</w:t>
      </w:r>
      <w:r>
        <w:rPr>
          <w:rFonts w:hint="eastAsia" w:ascii="Times New Roman" w:hAnsi="Times New Roman" w:eastAsia="宋体" w:cs="Times New Roman"/>
          <w:color w:val="000000" w:themeColor="text1"/>
          <w:sz w:val="21"/>
          <w:szCs w:val="21"/>
          <w:highlight w:val="none"/>
          <w:u w:val="single"/>
          <w:lang w:eastAsia="zh-CN"/>
          <w14:textFill>
            <w14:solidFill>
              <w14:schemeClr w14:val="tx1"/>
            </w14:solidFill>
          </w14:textFill>
        </w:rPr>
        <w:t>通用合同条款</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执行</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08C30F9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14.1.7 本项目相关检测费用如为承包人责任引起，导致多次检测的，则从第二次起的检测费用由承包人承担。</w:t>
      </w:r>
    </w:p>
    <w:p w14:paraId="461E7F4C">
      <w:pPr>
        <w:pStyle w:val="4"/>
        <w:keepNext w:val="0"/>
        <w:keepLines w:val="0"/>
        <w:pageBreakBefore w:val="0"/>
        <w:kinsoku/>
        <w:wordWrap/>
        <w:overflowPunct/>
        <w:topLinePunct w:val="0"/>
        <w:autoSpaceDE/>
        <w:autoSpaceDN/>
        <w:bidi w:val="0"/>
        <w:adjustRightInd/>
        <w:snapToGrid/>
        <w:spacing w:before="0" w:line="470" w:lineRule="exact"/>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492" w:name="_Toc21467"/>
      <w:bookmarkStart w:id="493" w:name="_Toc217"/>
      <w:bookmarkStart w:id="494" w:name="_Toc752314433"/>
      <w:bookmarkStart w:id="495" w:name="_Toc2879"/>
      <w:bookmarkStart w:id="496" w:name="_Toc9826"/>
      <w:bookmarkStart w:id="497" w:name="bookmark1760"/>
      <w:bookmarkStart w:id="498" w:name="bookmark1758"/>
      <w:bookmarkStart w:id="499" w:name="bookmark1759"/>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15. 变更</w:t>
      </w:r>
      <w:bookmarkEnd w:id="492"/>
      <w:bookmarkEnd w:id="493"/>
      <w:bookmarkEnd w:id="494"/>
      <w:bookmarkEnd w:id="495"/>
      <w:bookmarkEnd w:id="496"/>
      <w:bookmarkEnd w:id="497"/>
    </w:p>
    <w:p w14:paraId="00D77A08">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00" w:name="bookmark1761"/>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15.1变更的范围和内容</w:t>
      </w:r>
      <w:bookmarkEnd w:id="498"/>
      <w:bookmarkEnd w:id="499"/>
      <w:bookmarkEnd w:id="500"/>
    </w:p>
    <w:p w14:paraId="28D696C5">
      <w:pPr>
        <w:pStyle w:val="105"/>
        <w:keepNext w:val="0"/>
        <w:keepLines w:val="0"/>
        <w:pageBreakBefore w:val="0"/>
        <w:tabs>
          <w:tab w:val="left" w:pos="2244"/>
          <w:tab w:val="left" w:pos="5791"/>
          <w:tab w:val="left" w:pos="7224"/>
        </w:tabs>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bookmarkStart w:id="501" w:name="bookmark1762"/>
      <w:bookmarkEnd w:id="501"/>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本合同工程不因增加或减少合同工程量而调整合同单价。</w:t>
      </w:r>
    </w:p>
    <w:p w14:paraId="44ED62BC">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02" w:name="bookmark1764"/>
      <w:bookmarkStart w:id="503" w:name="bookmark1763"/>
      <w:bookmarkStart w:id="504" w:name="bookmark1765"/>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15.4变更的估价原则</w:t>
      </w:r>
      <w:bookmarkEnd w:id="502"/>
      <w:bookmarkEnd w:id="503"/>
      <w:bookmarkEnd w:id="504"/>
    </w:p>
    <w:p w14:paraId="0EAFC03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15.4.3 已标价工程量清单中无适用或类似子目的单价，按照以下原则确定:①有定额可套的，套用编制施工招标控制价所选定额计算，并乘以中标价下浮系数（中标价下浮系数为中标价与上限控制价的比值）， 其中材料价格有信息价的按当地同期信息价，无信息的由发包人、承包人、监理人市场询价确定。②无定额可套的，由发包人、承包人、监理人市场询价确定。按上述原则计算的单价需经审计或财评审核确认。 </w:t>
      </w:r>
    </w:p>
    <w:p w14:paraId="5EC9B2DD">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15.5 承包人的合理化建议 </w:t>
      </w:r>
    </w:p>
    <w:p w14:paraId="464663F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15.5.2 承包人提出的合理化建议缩短了工期,发包人按第 11.6 款的规定给予奖励。 承包人提出的合理化建议降低了合同价格或者提高了工程经济效益的，发包人无金额给予 奖励。 </w:t>
      </w:r>
    </w:p>
    <w:p w14:paraId="0FF6F743">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15.6 暂列金额 </w:t>
      </w:r>
    </w:p>
    <w:p w14:paraId="7DC9929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15.6.l 暂列金额应由监理人报发包人批准后指令全部或部分地使用，或者根本不予动用。 </w:t>
      </w:r>
    </w:p>
    <w:p w14:paraId="7256A3D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15.6.2 对于经发包人批准的每一笔暂列金额，监理人有权向承包人发出实施工程或提供材料、工程设备或服务的指令。这些指令应由承包人完成，监理人应根据第 15.4 款约定的变更 估价原则和第 15.7 款的规定，对合同价格进行相应调整。 </w:t>
      </w:r>
    </w:p>
    <w:p w14:paraId="4CB3B0B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15.6.3 当监理人提出要求时，承包人应提供有关暂列金额支出的所有报价单、发票、凭证和账单或收据，除非该工作是根据已标价工程量清单列明的单价或总额价进行的估价。 </w:t>
      </w:r>
    </w:p>
    <w:p w14:paraId="18106AA0">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15.9 变更管理 </w:t>
      </w:r>
    </w:p>
    <w:p w14:paraId="170F7E0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15.9.1 本工程变更管理按水利部水规计〔2020〕283 号《关于印发&lt;水利工程设计变更管理暂行办法&gt;的通知》的有关规定执行； </w:t>
      </w:r>
    </w:p>
    <w:p w14:paraId="6614624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15.9.2 发包人为确保工程安全签发的各种工程变更，承包人须无条件接受，并按变更要求、相关技术标准、规范执行</w:t>
      </w:r>
    </w:p>
    <w:p w14:paraId="7B903FB2">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505" w:name="bookmark1771"/>
      <w:bookmarkStart w:id="506" w:name="bookmark1770"/>
      <w:bookmarkStart w:id="507" w:name="bookmark1772"/>
      <w:bookmarkStart w:id="508" w:name="_Toc13554"/>
      <w:bookmarkStart w:id="509" w:name="_Toc827441541"/>
      <w:bookmarkStart w:id="510" w:name="_Toc32202"/>
      <w:bookmarkStart w:id="511" w:name="_Toc16771"/>
      <w:bookmarkStart w:id="512" w:name="_Toc24486"/>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16.价格调整</w:t>
      </w:r>
      <w:bookmarkEnd w:id="505"/>
      <w:bookmarkEnd w:id="506"/>
      <w:bookmarkEnd w:id="507"/>
      <w:bookmarkEnd w:id="508"/>
      <w:bookmarkEnd w:id="509"/>
      <w:bookmarkEnd w:id="510"/>
      <w:bookmarkEnd w:id="511"/>
      <w:bookmarkEnd w:id="512"/>
    </w:p>
    <w:p w14:paraId="4A6207B2">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13" w:name="bookmark1774"/>
      <w:bookmarkStart w:id="514" w:name="bookmark1775"/>
      <w:bookmarkStart w:id="515" w:name="bookmark1773"/>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16.1物价波动引起的价格调整</w:t>
      </w:r>
      <w:bookmarkEnd w:id="513"/>
      <w:bookmarkEnd w:id="514"/>
      <w:bookmarkEnd w:id="515"/>
    </w:p>
    <w:p w14:paraId="00BDDB3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16.1.1 在本合同工程实施过程中，机电设备和金属结构设备价格不作调整。 </w:t>
      </w:r>
    </w:p>
    <w:p w14:paraId="1081494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在本合同工程实施过程中，如因市场物价波动及法律政策变化而引起主要材料价格变动幅度超过规定值时，应予以调整材料补差来结算工程价款，材料补差按以下规定调整：  </w:t>
      </w:r>
    </w:p>
    <w:p w14:paraId="6AE0C7C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1.调整方式</w:t>
      </w:r>
    </w:p>
    <w:p w14:paraId="24D7DDF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（1）主要材料价格变化幅度超过±10％时，超过±10%的部分给予调整材料价差，并计列相应的税金；±10%以内（含±10%）属于承包人的风险范围，材料价差不予调整； </w:t>
      </w:r>
    </w:p>
    <w:p w14:paraId="3D816D4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（2）主要补差材料名称：仅对在市场上购买的水泥、钢材（不含机电设备和金属结构设备）、</w:t>
      </w:r>
    </w:p>
    <w:p w14:paraId="2364844A">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砂、河卵石、碎石、块石、汽油、柴油进行补差，其它材料价格一律不予调整。 </w:t>
      </w:r>
    </w:p>
    <w:p w14:paraId="32BE779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（3）主要材料补差款按季度结算，在下一季度的第一个月结算上一季度的主要材料补差款。 </w:t>
      </w:r>
    </w:p>
    <w:p w14:paraId="3DCFB17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（4）基准期主要补差材料价格（不含税价）：以施工图预算审核时采用的《来宾市建设工程造价信息》（工程所在地）中发布的主要材料市场价（不含税价）为基准； </w:t>
      </w:r>
    </w:p>
    <w:p w14:paraId="5FEDD7E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（5）施工期结算期主要材料价格：施工期结算取当年度各月度出版的《来宾市建设工程造价信息》（工程所在地）中发布的主要补差材料信息价格（不含税价）的平均价； </w:t>
      </w:r>
    </w:p>
    <w:p w14:paraId="6D66E57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（6）主要材料补差按以下公式进行补差： </w:t>
      </w:r>
    </w:p>
    <w:p w14:paraId="7DC4DC4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△A=∑Qi*[A</w:t>
      </w:r>
      <w:r>
        <w:rPr>
          <w:rFonts w:hint="default" w:ascii="Times New Roman" w:hAnsi="Times New Roman" w:eastAsia="宋体" w:cs="Times New Roman"/>
          <w:color w:val="000000" w:themeColor="text1"/>
          <w:sz w:val="21"/>
          <w:szCs w:val="21"/>
          <w:highlight w:val="none"/>
          <w:vertAlign w:val="subscript"/>
          <w:lang w:eastAsia="zh-CN" w:bidi="ar"/>
          <w14:textFill>
            <w14:solidFill>
              <w14:schemeClr w14:val="tx1"/>
            </w14:solidFill>
          </w14:textFill>
        </w:rPr>
        <w:t>i</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-A</w:t>
      </w:r>
      <w:r>
        <w:rPr>
          <w:rFonts w:hint="default" w:ascii="Times New Roman" w:hAnsi="Times New Roman" w:eastAsia="宋体" w:cs="Times New Roman"/>
          <w:color w:val="000000" w:themeColor="text1"/>
          <w:sz w:val="21"/>
          <w:szCs w:val="21"/>
          <w:highlight w:val="none"/>
          <w:vertAlign w:val="subscript"/>
          <w:lang w:eastAsia="zh-CN" w:bidi="ar"/>
          <w14:textFill>
            <w14:solidFill>
              <w14:schemeClr w14:val="tx1"/>
            </w14:solidFill>
          </w14:textFill>
        </w:rPr>
        <w:t>0i</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*（1±10%）]*（1+P%） </w:t>
      </w:r>
    </w:p>
    <w:p w14:paraId="355D683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其中： </w:t>
      </w:r>
    </w:p>
    <w:p w14:paraId="58E7C67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△A——主要材料补差款； </w:t>
      </w:r>
    </w:p>
    <w:p w14:paraId="379B799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Q</w:t>
      </w:r>
      <w:r>
        <w:rPr>
          <w:rFonts w:hint="default" w:ascii="Times New Roman" w:hAnsi="Times New Roman" w:eastAsia="宋体" w:cs="Times New Roman"/>
          <w:color w:val="000000" w:themeColor="text1"/>
          <w:sz w:val="21"/>
          <w:szCs w:val="21"/>
          <w:highlight w:val="none"/>
          <w:vertAlign w:val="subscript"/>
          <w:lang w:eastAsia="zh-CN" w:bidi="ar"/>
          <w14:textFill>
            <w14:solidFill>
              <w14:schemeClr w14:val="tx1"/>
            </w14:solidFill>
          </w14:textFill>
        </w:rPr>
        <w:t>i</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——结算期完成工程量统计的各主要补差材料用量； </w:t>
      </w:r>
    </w:p>
    <w:p w14:paraId="0AB76B7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A</w:t>
      </w:r>
      <w:r>
        <w:rPr>
          <w:rFonts w:hint="default" w:ascii="Times New Roman" w:hAnsi="Times New Roman" w:eastAsia="宋体" w:cs="Times New Roman"/>
          <w:color w:val="000000" w:themeColor="text1"/>
          <w:sz w:val="21"/>
          <w:szCs w:val="21"/>
          <w:highlight w:val="none"/>
          <w:vertAlign w:val="subscript"/>
          <w:lang w:eastAsia="zh-CN" w:bidi="ar"/>
          <w14:textFill>
            <w14:solidFill>
              <w14:schemeClr w14:val="tx1"/>
            </w14:solidFill>
          </w14:textFill>
        </w:rPr>
        <w:t>i</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——结算期各主要补差材料价格（不含税价）； </w:t>
      </w:r>
    </w:p>
    <w:p w14:paraId="06924C0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A</w:t>
      </w:r>
      <w:r>
        <w:rPr>
          <w:rFonts w:hint="default" w:ascii="Times New Roman" w:hAnsi="Times New Roman" w:eastAsia="宋体" w:cs="Times New Roman"/>
          <w:color w:val="000000" w:themeColor="text1"/>
          <w:sz w:val="21"/>
          <w:szCs w:val="21"/>
          <w:highlight w:val="none"/>
          <w:vertAlign w:val="subscript"/>
          <w:lang w:eastAsia="zh-CN" w:bidi="ar"/>
          <w14:textFill>
            <w14:solidFill>
              <w14:schemeClr w14:val="tx1"/>
            </w14:solidFill>
          </w14:textFill>
        </w:rPr>
        <w:t>0i</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——基准期各主要补差材料价格（不含税价）； </w:t>
      </w:r>
    </w:p>
    <w:p w14:paraId="32498CC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P——增值税率。 </w:t>
      </w:r>
    </w:p>
    <w:p w14:paraId="2859B21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承包人引起工期延长而导致材料上涨时，由承包人自行承担，不作调整，下降时，按本款 </w:t>
      </w:r>
    </w:p>
    <w:p w14:paraId="54F335C9">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以上约定方法调整。 </w:t>
      </w:r>
    </w:p>
    <w:p w14:paraId="7789BD2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2.支付方式 </w:t>
      </w:r>
    </w:p>
    <w:p w14:paraId="1AEC899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（1）上一季度出版的《来宾市建设工程造价信息》（工程所在地） 各主要补差材料信息价格的平均价高于基准期主要补差材料价格 10%的，承包人提出书面报告,由发包人按变更程序备案后方可按进度款请款，否则在结算款请款支付，发包人在 7 个工作日内确认后对超过部分以价格之差予以价差调整，承包人应当在以上情况发生后 14 天内，将调整原因、金额以书面形式通 知监理工程师，监理工程师确认调整金额后作为追加合同价款，经发包人认可后与工程款同期支付。 </w:t>
      </w:r>
    </w:p>
    <w:p w14:paraId="69D9636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（2）上一季度出版的《来宾市建设工程造价信息》</w:t>
      </w:r>
      <w:r>
        <w:rPr>
          <w:rFonts w:hint="eastAsia" w:ascii="Times New Roman" w:hAnsi="Times New Roman"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工程所在地</w:t>
      </w:r>
      <w:r>
        <w:rPr>
          <w:rFonts w:hint="eastAsia" w:ascii="Times New Roman" w:hAnsi="Times New Roman"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各主要补差材料信息价格的平均价低于基准期主要补差材料价格 10%的，发包人按变更程序备案后方可按进度款请款，否则在结算款请款支付。在当期合同款中对超过部分予以价差调整并扣除相关款项。 </w:t>
      </w:r>
    </w:p>
    <w:p w14:paraId="16CB7FE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材料补差不以承包人做出的工地价为依据，也不考虑对运杂费、采保费和保险费进行补差。 承包人未在约定的工期内（因不可抗力、异常恶劣的气候条件、发包人原因等造成的工期延误计算在内）完工，因延误工期而遇上价格上涨的，则工期外价格上涨金额由承包人自行承担。 </w:t>
      </w:r>
    </w:p>
    <w:p w14:paraId="275ADE0F">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16.2 工程量清单中，各项单价的构成涵盖内容除了定额构成内容，还包括合同技术条款所列的价格构成内容。在</w:t>
      </w:r>
      <w:r>
        <w:rPr>
          <w:rFonts w:hint="eastAsia" w:ascii="Times New Roman" w:hAnsi="Times New Roman" w:eastAsia="宋体" w:cs="Times New Roman"/>
          <w:b/>
          <w:bCs/>
          <w:color w:val="000000" w:themeColor="text1"/>
          <w:sz w:val="24"/>
          <w:szCs w:val="24"/>
          <w:highlight w:val="none"/>
          <w:lang w:eastAsia="zh-CN" w:bidi="ar"/>
          <w14:textFill>
            <w14:solidFill>
              <w14:schemeClr w14:val="tx1"/>
            </w14:solidFill>
          </w14:textFill>
        </w:rPr>
        <w:t>响应</w:t>
      </w: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报价中无新答疑或无特别声明的，实施中施工组织措施发生改变，费用和价格均不作调整。</w:t>
      </w:r>
      <w:r>
        <w:rPr>
          <w:rFonts w:hint="default" w:ascii="Times New Roman" w:hAnsi="Times New Roman" w:eastAsia="宋体" w:cs="Times New Roman"/>
          <w:color w:val="000000" w:themeColor="text1"/>
          <w:sz w:val="24"/>
          <w:szCs w:val="24"/>
          <w:highlight w:val="none"/>
          <w:lang w:eastAsia="zh-CN" w:bidi="ar"/>
          <w14:textFill>
            <w14:solidFill>
              <w14:schemeClr w14:val="tx1"/>
            </w14:solidFill>
          </w14:textFill>
        </w:rPr>
        <w:t xml:space="preserve"> </w:t>
      </w:r>
    </w:p>
    <w:p w14:paraId="20CE2985">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16.3 人工费调整</w:t>
      </w: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 </w:t>
      </w:r>
    </w:p>
    <w:p w14:paraId="7F2FE4A6">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合同约定工期内（包括已审批的合理延长工期签证时间），按照我区行政主管部门发布的人工调整文件进行调整。当是承包人引起工期延长而遇到的人工上涨时，由承包人自行承担，价格不作调整。 </w:t>
      </w:r>
    </w:p>
    <w:p w14:paraId="0C086770">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516" w:name="bookmark1779"/>
      <w:bookmarkEnd w:id="516"/>
      <w:bookmarkStart w:id="517" w:name="_Toc13939"/>
      <w:bookmarkStart w:id="518" w:name="bookmark1780"/>
      <w:bookmarkStart w:id="519" w:name="_Toc1028523360"/>
      <w:bookmarkStart w:id="520" w:name="_Toc11321"/>
      <w:bookmarkStart w:id="521" w:name="bookmark1778"/>
      <w:bookmarkStart w:id="522" w:name="_Toc16749"/>
      <w:bookmarkStart w:id="523" w:name="_Toc12454"/>
      <w:bookmarkStart w:id="524" w:name="bookmark1777"/>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17. 计量与支付</w:t>
      </w:r>
      <w:bookmarkEnd w:id="517"/>
      <w:bookmarkEnd w:id="518"/>
      <w:bookmarkEnd w:id="519"/>
      <w:bookmarkEnd w:id="520"/>
      <w:bookmarkEnd w:id="521"/>
      <w:bookmarkEnd w:id="522"/>
      <w:bookmarkEnd w:id="523"/>
      <w:bookmarkEnd w:id="524"/>
      <w:bookmarkStart w:id="525" w:name="bookmark1783"/>
      <w:bookmarkStart w:id="526" w:name="bookmark1781"/>
      <w:bookmarkStart w:id="527" w:name="bookmark1782"/>
    </w:p>
    <w:p w14:paraId="6AF6AC33">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17.1 计量 </w:t>
      </w:r>
    </w:p>
    <w:p w14:paraId="65DFCA1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17.1.2 计量方法 </w:t>
      </w:r>
    </w:p>
    <w:p w14:paraId="72BDB92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工程的计量应以净值为准，除非项目专用合同条款另有约定。工程量清单中各个子目的具体计量方法按本合同文件技术标准中的规定执行。 </w:t>
      </w:r>
    </w:p>
    <w:p w14:paraId="27F5933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17.1.4 单价子目的计量 </w:t>
      </w:r>
    </w:p>
    <w:p w14:paraId="65395FC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bidi="ar"/>
        </w:rPr>
        <w:t xml:space="preserve">承包人未在已标价工程量清单中填入单价或总额价的工程子目，将被认为其已包含在本合同的其他子目的单价和总额价中，发包人将不另行支付。 </w:t>
      </w:r>
    </w:p>
    <w:p w14:paraId="6BEF446C">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17.2预付款</w:t>
      </w:r>
      <w:bookmarkEnd w:id="525"/>
      <w:bookmarkEnd w:id="526"/>
      <w:bookmarkEnd w:id="527"/>
    </w:p>
    <w:p w14:paraId="297C8B45">
      <w:pPr>
        <w:pageBreakBefore w:val="0"/>
        <w:widowControl/>
        <w:kinsoku/>
        <w:wordWrap/>
        <w:overflowPunct/>
        <w:topLinePunct w:val="0"/>
        <w:autoSpaceDE/>
        <w:autoSpaceDN/>
        <w:bidi w:val="0"/>
        <w:adjustRightInd/>
        <w:snapToGrid/>
        <w:spacing w:line="426" w:lineRule="exact"/>
        <w:ind w:firstLine="420" w:firstLineChars="200"/>
        <w:textAlignment w:val="auto"/>
        <w:rPr>
          <w:rFonts w:ascii="Times New Roman" w:hAnsi="Times New Roman"/>
          <w:color w:val="auto"/>
          <w:sz w:val="21"/>
          <w:szCs w:val="21"/>
          <w:highlight w:val="none"/>
          <w:lang w:eastAsia="zh-CN"/>
        </w:rPr>
      </w:pPr>
      <w:r>
        <w:rPr>
          <w:rFonts w:ascii="Times New Roman" w:hAnsi="Times New Roman" w:eastAsia="宋体"/>
          <w:color w:val="auto"/>
          <w:sz w:val="21"/>
          <w:szCs w:val="21"/>
          <w:highlight w:val="none"/>
          <w:lang w:eastAsia="zh-CN" w:bidi="ar"/>
        </w:rPr>
        <w:t xml:space="preserve">17.2.1 预付款 </w:t>
      </w:r>
    </w:p>
    <w:p w14:paraId="6BB4E12C">
      <w:pPr>
        <w:pageBreakBefore w:val="0"/>
        <w:widowControl/>
        <w:kinsoku/>
        <w:wordWrap/>
        <w:overflowPunct/>
        <w:topLinePunct w:val="0"/>
        <w:autoSpaceDE/>
        <w:autoSpaceDN/>
        <w:bidi w:val="0"/>
        <w:adjustRightInd/>
        <w:snapToGrid/>
        <w:spacing w:line="426" w:lineRule="exact"/>
        <w:ind w:firstLine="420" w:firstLineChars="200"/>
        <w:textAlignment w:val="auto"/>
        <w:rPr>
          <w:rFonts w:hint="eastAsia" w:ascii="Times New Roman" w:hAnsi="Times New Roman" w:eastAsia="宋体"/>
          <w:color w:val="auto"/>
          <w:sz w:val="21"/>
          <w:szCs w:val="21"/>
          <w:highlight w:val="none"/>
          <w:lang w:val="en-US" w:eastAsia="zh-CN" w:bidi="ar"/>
        </w:rPr>
      </w:pPr>
      <w:r>
        <w:rPr>
          <w:rFonts w:hint="eastAsia" w:ascii="Times New Roman" w:hAnsi="Times New Roman" w:eastAsia="宋体"/>
          <w:color w:val="auto"/>
          <w:sz w:val="21"/>
          <w:szCs w:val="21"/>
          <w:highlight w:val="none"/>
          <w:lang w:val="en-US" w:eastAsia="zh-CN" w:bidi="ar"/>
        </w:rPr>
        <w:t>（</w:t>
      </w:r>
      <w:r>
        <w:rPr>
          <w:rFonts w:hint="default" w:ascii="Times New Roman" w:hAnsi="Times New Roman" w:eastAsia="宋体"/>
          <w:color w:val="auto"/>
          <w:sz w:val="21"/>
          <w:szCs w:val="21"/>
          <w:highlight w:val="none"/>
          <w:lang w:val="en-US" w:eastAsia="zh-CN" w:bidi="ar"/>
        </w:rPr>
        <w:t>1</w:t>
      </w:r>
      <w:r>
        <w:rPr>
          <w:rFonts w:hint="eastAsia" w:ascii="Times New Roman" w:hAnsi="Times New Roman" w:eastAsia="宋体"/>
          <w:color w:val="auto"/>
          <w:sz w:val="21"/>
          <w:szCs w:val="21"/>
          <w:highlight w:val="none"/>
          <w:lang w:val="en-US" w:eastAsia="zh-CN" w:bidi="ar"/>
        </w:rPr>
        <w:t>）本项目有预付款，工程进度款按施工方进场施工后支付30％预付款，承包人于每月 25 日前将进度报至业主审核。工程竣工验收合格后，工程款累计支付至实际完成工程量造价的 85%。经审计部门结算审定后，工程进度款支付至工程结算价的100%，承包人按工程价款结算总额的3%预存履约的工程质量保修金待缺陷责任期(12 个月) 满后 30 天内，双方确认无质量返修问题后返还。</w:t>
      </w:r>
    </w:p>
    <w:p w14:paraId="5D253258">
      <w:pPr>
        <w:pageBreakBefore w:val="0"/>
        <w:widowControl/>
        <w:kinsoku/>
        <w:wordWrap/>
        <w:overflowPunct/>
        <w:topLinePunct w:val="0"/>
        <w:autoSpaceDE/>
        <w:autoSpaceDN/>
        <w:bidi w:val="0"/>
        <w:adjustRightInd/>
        <w:snapToGrid/>
        <w:spacing w:line="426" w:lineRule="exact"/>
        <w:ind w:firstLine="420" w:firstLineChars="200"/>
        <w:textAlignment w:val="auto"/>
        <w:rPr>
          <w:rFonts w:ascii="Times New Roman" w:hAnsi="Times New Roman"/>
          <w:color w:val="auto"/>
          <w:sz w:val="21"/>
          <w:szCs w:val="21"/>
          <w:highlight w:val="none"/>
          <w:lang w:eastAsia="zh-CN"/>
        </w:rPr>
      </w:pPr>
      <w:r>
        <w:rPr>
          <w:rFonts w:ascii="Times New Roman" w:hAnsi="Times New Roman" w:eastAsia="宋体"/>
          <w:color w:val="auto"/>
          <w:sz w:val="21"/>
          <w:szCs w:val="21"/>
          <w:highlight w:val="none"/>
          <w:lang w:eastAsia="zh-CN" w:bidi="ar"/>
        </w:rPr>
        <w:t xml:space="preserve">17.2.2 预付款保函  </w:t>
      </w:r>
    </w:p>
    <w:p w14:paraId="2ACB33D5">
      <w:pPr>
        <w:pageBreakBefore w:val="0"/>
        <w:widowControl/>
        <w:kinsoku/>
        <w:wordWrap/>
        <w:overflowPunct/>
        <w:topLinePunct w:val="0"/>
        <w:autoSpaceDE/>
        <w:autoSpaceDN/>
        <w:bidi w:val="0"/>
        <w:adjustRightInd/>
        <w:snapToGrid/>
        <w:spacing w:line="426" w:lineRule="exact"/>
        <w:ind w:firstLine="420" w:firstLineChars="200"/>
        <w:textAlignment w:val="auto"/>
        <w:rPr>
          <w:rFonts w:ascii="Times New Roman" w:hAnsi="Times New Roman"/>
          <w:color w:val="000000" w:themeColor="text1"/>
          <w:sz w:val="21"/>
          <w:szCs w:val="21"/>
          <w:highlight w:val="none"/>
          <w:lang w:eastAsia="zh-CN"/>
          <w14:textFill>
            <w14:solidFill>
              <w14:schemeClr w14:val="tx1"/>
            </w14:solidFill>
          </w14:textFill>
        </w:rPr>
      </w:pPr>
      <w:r>
        <w:rPr>
          <w:rFonts w:ascii="Times New Roman" w:hAnsi="Times New Roman" w:eastAsia="宋体"/>
          <w:color w:val="auto"/>
          <w:sz w:val="21"/>
          <w:szCs w:val="21"/>
          <w:highlight w:val="none"/>
          <w:lang w:eastAsia="zh-CN" w:bidi="ar"/>
        </w:rPr>
        <w:t>除项目专用合同条款另有约定外，承包人应在收到开工预付</w:t>
      </w:r>
      <w:r>
        <w:rPr>
          <w:rFonts w:ascii="Times New Roman" w:hAnsi="Times New Roman" w:eastAsia="宋体"/>
          <w:color w:val="000000" w:themeColor="text1"/>
          <w:sz w:val="21"/>
          <w:szCs w:val="21"/>
          <w:highlight w:val="none"/>
          <w:lang w:eastAsia="zh-CN" w:bidi="ar"/>
          <w14:textFill>
            <w14:solidFill>
              <w14:schemeClr w14:val="tx1"/>
            </w14:solidFill>
          </w14:textFill>
        </w:rPr>
        <w:t xml:space="preserve">款前向发包人提交开工预付款保函，开工预付款保函的担保金额应与开工预付款金额相同。出具保函的银行须与第 4.2 款的要求相同，所需费用由承包人承担。银行保函的正本由发包人保存，该保函在发包人将开工预付款全部扣回之前一直有效，担保金额可根据开工预付款扣回的金额相应递减。 </w:t>
      </w:r>
    </w:p>
    <w:p w14:paraId="41774A19">
      <w:pPr>
        <w:pageBreakBefore w:val="0"/>
        <w:widowControl/>
        <w:kinsoku/>
        <w:wordWrap/>
        <w:overflowPunct/>
        <w:topLinePunct w:val="0"/>
        <w:autoSpaceDE/>
        <w:autoSpaceDN/>
        <w:bidi w:val="0"/>
        <w:adjustRightInd/>
        <w:snapToGrid/>
        <w:spacing w:line="426" w:lineRule="exact"/>
        <w:ind w:firstLine="420" w:firstLineChars="200"/>
        <w:textAlignment w:val="auto"/>
        <w:rPr>
          <w:rFonts w:ascii="Times New Roman" w:hAnsi="Times New Roman"/>
          <w:color w:val="000000" w:themeColor="text1"/>
          <w:sz w:val="21"/>
          <w:szCs w:val="21"/>
          <w:highlight w:val="none"/>
          <w:lang w:eastAsia="zh-CN"/>
          <w14:textFill>
            <w14:solidFill>
              <w14:schemeClr w14:val="tx1"/>
            </w14:solidFill>
          </w14:textFill>
        </w:rPr>
      </w:pPr>
      <w:r>
        <w:rPr>
          <w:rFonts w:ascii="Times New Roman" w:hAnsi="Times New Roman" w:eastAsia="宋体"/>
          <w:color w:val="000000" w:themeColor="text1"/>
          <w:sz w:val="21"/>
          <w:szCs w:val="21"/>
          <w:highlight w:val="none"/>
          <w:lang w:eastAsia="zh-CN" w:bidi="ar"/>
          <w14:textFill>
            <w14:solidFill>
              <w14:schemeClr w14:val="tx1"/>
            </w14:solidFill>
          </w14:textFill>
        </w:rPr>
        <w:t xml:space="preserve">17.2.3 预付款的扣回与还清 </w:t>
      </w:r>
    </w:p>
    <w:p w14:paraId="372FDFBF">
      <w:pPr>
        <w:pageBreakBefore w:val="0"/>
        <w:widowControl/>
        <w:kinsoku/>
        <w:wordWrap/>
        <w:overflowPunct/>
        <w:topLinePunct w:val="0"/>
        <w:autoSpaceDE/>
        <w:autoSpaceDN/>
        <w:bidi w:val="0"/>
        <w:adjustRightInd/>
        <w:snapToGrid/>
        <w:spacing w:line="426" w:lineRule="exact"/>
        <w:ind w:firstLine="420" w:firstLineChars="200"/>
        <w:textAlignment w:val="auto"/>
        <w:rPr>
          <w:rFonts w:ascii="Times New Roman" w:hAnsi="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olor w:val="000000" w:themeColor="text1"/>
          <w:sz w:val="21"/>
          <w:szCs w:val="21"/>
          <w:highlight w:val="none"/>
          <w:lang w:eastAsia="zh-CN" w:bidi="ar"/>
          <w14:textFill>
            <w14:solidFill>
              <w14:schemeClr w14:val="tx1"/>
            </w14:solidFill>
          </w14:textFill>
        </w:rPr>
        <w:t>（1）</w:t>
      </w:r>
      <w:r>
        <w:rPr>
          <w:rFonts w:ascii="Times New Roman" w:hAnsi="Times New Roman" w:eastAsia="宋体"/>
          <w:color w:val="000000" w:themeColor="text1"/>
          <w:sz w:val="21"/>
          <w:szCs w:val="21"/>
          <w:highlight w:val="none"/>
          <w:lang w:eastAsia="zh-CN" w:bidi="ar"/>
          <w14:textFill>
            <w14:solidFill>
              <w14:schemeClr w14:val="tx1"/>
            </w14:solidFill>
          </w14:textFill>
        </w:rPr>
        <w:t xml:space="preserve">开工预付款在进度付款证书的累计金额未达到签约合同价的 30％之前不予扣回，在达到签约合同价 30％时开始扣款，直至合同累计完成金额达到签约合同价的 80%时全部扣清。 </w:t>
      </w:r>
    </w:p>
    <w:p w14:paraId="0ADD871A">
      <w:pPr>
        <w:pageBreakBefore w:val="0"/>
        <w:widowControl/>
        <w:kinsoku/>
        <w:wordWrap/>
        <w:overflowPunct/>
        <w:topLinePunct w:val="0"/>
        <w:autoSpaceDE/>
        <w:autoSpaceDN/>
        <w:bidi w:val="0"/>
        <w:adjustRightInd/>
        <w:snapToGrid/>
        <w:spacing w:line="426" w:lineRule="exact"/>
        <w:textAlignment w:val="auto"/>
        <w:rPr>
          <w:rFonts w:ascii="Times New Roman" w:hAnsi="Times New Roman" w:eastAsia="宋体"/>
          <w:color w:val="000000" w:themeColor="text1"/>
          <w:sz w:val="21"/>
          <w:szCs w:val="21"/>
          <w:highlight w:val="none"/>
          <w:lang w:eastAsia="zh-CN" w:bidi="ar"/>
          <w14:textFill>
            <w14:solidFill>
              <w14:schemeClr w14:val="tx1"/>
            </w14:solidFill>
          </w14:textFill>
        </w:rPr>
      </w:pPr>
      <w:r>
        <w:rPr>
          <w:rFonts w:ascii="Times New Roman" w:hAnsi="Times New Roman" w:eastAsia="宋体"/>
          <w:color w:val="000000" w:themeColor="text1"/>
          <w:sz w:val="21"/>
          <w:szCs w:val="21"/>
          <w:highlight w:val="none"/>
          <w:lang w:eastAsia="zh-CN" w:bidi="ar"/>
          <w14:textFill>
            <w14:solidFill>
              <w14:schemeClr w14:val="tx1"/>
            </w14:solidFill>
          </w14:textFill>
        </w:rPr>
        <w:t>计算公式如</w:t>
      </w:r>
      <w:r>
        <w:rPr>
          <w:rFonts w:hint="eastAsia" w:ascii="Times New Roman" w:hAnsi="Times New Roman"/>
          <w:color w:val="000000" w:themeColor="text1"/>
          <w:sz w:val="21"/>
          <w:szCs w:val="21"/>
          <w:highlight w:val="none"/>
          <w:lang w:eastAsia="zh-CN" w:bidi="ar"/>
          <w14:textFill>
            <w14:solidFill>
              <w14:schemeClr w14:val="tx1"/>
            </w14:solidFill>
          </w14:textFill>
        </w:rPr>
        <w:t>下：</w:t>
      </w:r>
    </w:p>
    <w:p w14:paraId="3D796A4F">
      <w:pPr>
        <w:pageBreakBefore w:val="0"/>
        <w:widowControl/>
        <w:kinsoku/>
        <w:wordWrap/>
        <w:overflowPunct/>
        <w:topLinePunct w:val="0"/>
        <w:autoSpaceDE/>
        <w:autoSpaceDN/>
        <w:bidi w:val="0"/>
        <w:adjustRightInd/>
        <w:snapToGrid/>
        <w:spacing w:line="426" w:lineRule="exact"/>
        <w:textAlignment w:val="auto"/>
        <w:rPr>
          <w:rFonts w:ascii="Times New Roman" w:hAnsi="Times New Roman" w:eastAsia="宋体"/>
          <w:color w:val="000000" w:themeColor="text1"/>
          <w:szCs w:val="21"/>
          <w:highlight w:val="none"/>
          <w:lang w:bidi="mn-Mong-CN"/>
          <w14:textFill>
            <w14:solidFill>
              <w14:schemeClr w14:val="tx1"/>
            </w14:solidFill>
          </w14:textFill>
        </w:rPr>
      </w:pPr>
      <w:r>
        <w:rPr>
          <w:rFonts w:ascii="Times New Roman" w:hAnsi="Times New Roman" w:eastAsia="宋体"/>
          <w:color w:val="000000" w:themeColor="text1"/>
          <w:szCs w:val="21"/>
          <w:highlight w:val="none"/>
          <w:lang w:bidi="mn-Mong-CN"/>
          <w14:textFill>
            <w14:solidFill>
              <w14:schemeClr w14:val="tx1"/>
            </w14:solidFill>
          </w14:textFill>
        </w:rPr>
        <w:pict>
          <v:shape id="对象 5" o:spid="_x0000_s2050" o:spt="75" type="#_x0000_t75" style="position:absolute;left:0pt;margin-left:86.25pt;margin-top:1.1pt;height:31.5pt;width:126.4pt;mso-wrap-distance-bottom:0pt;mso-wrap-distance-left:9pt;mso-wrap-distance-right:9pt;mso-wrap-distance-top:0pt;z-index:251667456;mso-width-relative:page;mso-height-relative:page;" o:ole="t" fillcolor="#ACA899" filled="f" o:preferrelative="t" stroked="f" coordsize="21600,21600">
            <v:path/>
            <v:fill on="f" focussize="0,0"/>
            <v:stroke on="f"/>
            <v:imagedata r:id="rId26" o:title=""/>
            <o:lock v:ext="edit" aspectratio="f"/>
            <w10:wrap type="square"/>
          </v:shape>
          <o:OLEObject Type="Embed" ProgID="" ShapeID="对象 5" DrawAspect="Content" ObjectID="_1468075725" r:id="rId25">
            <o:LockedField>false</o:LockedField>
          </o:OLEObject>
        </w:pict>
      </w:r>
    </w:p>
    <w:p w14:paraId="05866C6E">
      <w:pPr>
        <w:pStyle w:val="105"/>
        <w:pageBreakBefore w:val="0"/>
        <w:kinsoku/>
        <w:wordWrap/>
        <w:overflowPunct/>
        <w:topLinePunct w:val="0"/>
        <w:autoSpaceDE/>
        <w:autoSpaceDN/>
        <w:bidi w:val="0"/>
        <w:adjustRightInd/>
        <w:snapToGrid/>
        <w:spacing w:line="426" w:lineRule="exact"/>
        <w:ind w:firstLine="420"/>
        <w:jc w:val="both"/>
        <w:textAlignment w:val="auto"/>
        <w:rPr>
          <w:rFonts w:ascii="Times New Roman" w:hAnsi="Times New Roman" w:cs="Times New Roman"/>
          <w:color w:val="000000" w:themeColor="text1"/>
          <w:szCs w:val="21"/>
          <w:highlight w:val="none"/>
          <w:lang w:bidi="mn-Mong-CN"/>
          <w14:textFill>
            <w14:solidFill>
              <w14:schemeClr w14:val="tx1"/>
            </w14:solidFill>
          </w14:textFill>
        </w:rPr>
      </w:pPr>
    </w:p>
    <w:p w14:paraId="13FF904D">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pPr>
      <w:bookmarkStart w:id="528" w:name="OLE_LINK32"/>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式中：R——每次进度付款中累计扣回的金额；</w:t>
      </w:r>
    </w:p>
    <w:p w14:paraId="68E0E885">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 xml:space="preserve">      </w:t>
      </w:r>
      <w:bookmarkStart w:id="529" w:name="_Toc221951241"/>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A——工程预付款总金额；</w:t>
      </w:r>
      <w:bookmarkEnd w:id="529"/>
    </w:p>
    <w:p w14:paraId="506ACBA0">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 xml:space="preserve">      </w:t>
      </w:r>
      <w:bookmarkStart w:id="530" w:name="_Toc221951242"/>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S——签约合同价格；</w:t>
      </w:r>
      <w:bookmarkEnd w:id="530"/>
    </w:p>
    <w:p w14:paraId="03EAD759">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 xml:space="preserve">      </w:t>
      </w:r>
      <w:bookmarkStart w:id="531" w:name="_Toc221951243"/>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C——合同累计完成金额；</w:t>
      </w:r>
      <w:bookmarkEnd w:id="531"/>
    </w:p>
    <w:p w14:paraId="4F9B0395">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 xml:space="preserve">      </w:t>
      </w:r>
      <w:bookmarkStart w:id="532" w:name="_Toc221951244"/>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F</w:t>
      </w:r>
      <w:r>
        <w:rPr>
          <w:rFonts w:hint="default" w:ascii="Times New Roman" w:hAnsi="Times New Roman" w:eastAsia="宋体" w:cs="Times New Roman"/>
          <w:color w:val="000000" w:themeColor="text1"/>
          <w:sz w:val="21"/>
          <w:szCs w:val="21"/>
          <w:highlight w:val="none"/>
          <w:vertAlign w:val="subscript"/>
          <w:lang w:bidi="mn-Mong-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bidi="mn-Mong-CN"/>
          <w14:textFill>
            <w14:solidFill>
              <w14:schemeClr w14:val="tx1"/>
            </w14:solidFill>
          </w14:textFill>
        </w:rPr>
        <w:t>——开始扣款时合同累计完成金额达到签约合同价格的比例；</w:t>
      </w:r>
      <w:bookmarkEnd w:id="532"/>
    </w:p>
    <w:p w14:paraId="73E1BA11">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lang w:val="en-US"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mn-Mong-CN"/>
          <w14:textFill>
            <w14:solidFill>
              <w14:schemeClr w14:val="tx1"/>
            </w14:solidFill>
          </w14:textFill>
        </w:rPr>
        <w:t xml:space="preserve">      </w:t>
      </w:r>
      <w:bookmarkStart w:id="533" w:name="_Toc221951245"/>
      <w:r>
        <w:rPr>
          <w:rFonts w:hint="default" w:ascii="Times New Roman" w:hAnsi="Times New Roman" w:eastAsia="宋体" w:cs="Times New Roman"/>
          <w:color w:val="000000" w:themeColor="text1"/>
          <w:sz w:val="21"/>
          <w:szCs w:val="21"/>
          <w:highlight w:val="none"/>
          <w:lang w:val="en-US" w:bidi="mn-Mong-CN"/>
          <w14:textFill>
            <w14:solidFill>
              <w14:schemeClr w14:val="tx1"/>
            </w14:solidFill>
          </w14:textFill>
        </w:rPr>
        <w:t>F</w:t>
      </w:r>
      <w:r>
        <w:rPr>
          <w:rFonts w:hint="default" w:ascii="Times New Roman" w:hAnsi="Times New Roman" w:eastAsia="宋体" w:cs="Times New Roman"/>
          <w:color w:val="000000" w:themeColor="text1"/>
          <w:sz w:val="21"/>
          <w:szCs w:val="21"/>
          <w:highlight w:val="none"/>
          <w:vertAlign w:val="subscript"/>
          <w:lang w:val="en-US" w:bidi="mn-Mong-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bidi="mn-Mong-CN"/>
          <w14:textFill>
            <w14:solidFill>
              <w14:schemeClr w14:val="tx1"/>
            </w14:solidFill>
          </w14:textFill>
        </w:rPr>
        <w:t>——全部扣清时合同累计完成金额达到签约合同价格的比例。</w:t>
      </w:r>
      <w:bookmarkEnd w:id="533"/>
    </w:p>
    <w:p w14:paraId="4B490F07">
      <w:pPr>
        <w:pStyle w:val="105"/>
        <w:pageBreakBefore w:val="0"/>
        <w:kinsoku/>
        <w:wordWrap/>
        <w:overflowPunct/>
        <w:topLinePunct w:val="0"/>
        <w:autoSpaceDE/>
        <w:autoSpaceDN/>
        <w:bidi w:val="0"/>
        <w:adjustRightInd/>
        <w:snapToGrid/>
        <w:spacing w:line="426"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上述合同累计完成金额均指价格调整前未扣质量保证金的金额。</w:t>
      </w:r>
    </w:p>
    <w:p w14:paraId="303EA2D6">
      <w:pPr>
        <w:pageBreakBefore w:val="0"/>
        <w:widowControl/>
        <w:kinsoku/>
        <w:wordWrap/>
        <w:overflowPunct/>
        <w:topLinePunct w:val="0"/>
        <w:autoSpaceDE/>
        <w:autoSpaceDN/>
        <w:bidi w:val="0"/>
        <w:adjustRightInd/>
        <w:snapToGrid/>
        <w:spacing w:line="426" w:lineRule="exact"/>
        <w:ind w:firstLine="420" w:firstLineChars="200"/>
        <w:textAlignment w:val="auto"/>
        <w:rPr>
          <w:rFonts w:hint="default" w:ascii="Times New Roman" w:hAnsi="Times New Roman" w:eastAsia="宋体" w:cs="Times New Roman"/>
          <w:color w:val="000000" w:themeColor="text1"/>
          <w:sz w:val="21"/>
          <w:szCs w:val="21"/>
          <w:highlight w:val="none"/>
          <w:lang w:eastAsia="zh-CN" w:bidi="mn-Mong-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mn-Mong-CN"/>
          <w14:textFill>
            <w14:solidFill>
              <w14:schemeClr w14:val="tx1"/>
            </w14:solidFill>
          </w14:textFill>
        </w:rPr>
        <w:t xml:space="preserve">（2）当材料、设备已用于或安装在永久工程之中时，材料、设备预付款应从进度付款证书中扣回，扣回期不超过 3 个月。已经支付材料、设备预付款的材料、设备运至项目现场并经开箱双控 验收后，其材料、设备所有权应属于发包人。 </w:t>
      </w:r>
    </w:p>
    <w:bookmarkEnd w:id="528"/>
    <w:p w14:paraId="690A4CEF">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34" w:name="bookmark1789"/>
      <w:bookmarkStart w:id="535" w:name="bookmark1790"/>
      <w:bookmarkStart w:id="536" w:name="bookmark1791"/>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17.3工程进度付款</w:t>
      </w:r>
      <w:bookmarkEnd w:id="534"/>
      <w:bookmarkEnd w:id="535"/>
      <w:bookmarkEnd w:id="536"/>
    </w:p>
    <w:p w14:paraId="73AE751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17.3.2 进度付款申请单 </w:t>
      </w:r>
    </w:p>
    <w:p w14:paraId="7BB5CD8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承包人提交进度付款申请单的份数：</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承包人应在每月 20 日向监理人提交进度付款申请，纸质进度付款申请单一式八份</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w:t>
      </w:r>
    </w:p>
    <w:p w14:paraId="1E21F23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在每月进度价款支付前，承包人应提供结算工程量验收资料，包括工艺验收、单元工程验收和分部工程验收资料，并提供上月的农民工工资支付清单，发包人才予以支付。 </w:t>
      </w:r>
    </w:p>
    <w:p w14:paraId="36C21B8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承包人在施工过程中必须按规定足额投入必要的安全文明措施费用，在例行安全文明检查过程中，如发现承包人未按规定足额投入安全文明措施费用，经发出整改通知后在规定时限内仍未整改到位的，在当月进度款中按规定比例扣除。 </w:t>
      </w:r>
    </w:p>
    <w:p w14:paraId="0F63AB0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17.3.3 进度付款证书和支付时间 </w:t>
      </w:r>
    </w:p>
    <w:p w14:paraId="1EB3F07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（1）如果该付款周期应结算的价款经扣留和扣回后的款额少于 0.5%合同价，则该付款周期监理人可不核证支付，上述款额将按付款周期结转</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直至累计应支付的款额达到 0.5%合同价止。 </w:t>
      </w:r>
    </w:p>
    <w:p w14:paraId="25A2088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（2）发包人按照内控程序完成所有进度付款环节审批后的 28 天内，将进度应付款支付给承包人。发包人不按期支付的</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按同期贷款一年基准利率计算利息向承包人支付逾期付款。逾期付款计算基数为发包人的应付未付款额</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时间从应付而未付该款额之日算起(不计复利) 。 </w:t>
      </w:r>
    </w:p>
    <w:p w14:paraId="3CBDB62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17.3.5 工程</w:t>
      </w:r>
      <w:r>
        <w:rPr>
          <w:rFonts w:hint="default" w:ascii="Times New Roman" w:hAnsi="Times New Roman" w:eastAsia="宋体" w:cs="Times New Roman"/>
          <w:color w:val="auto"/>
          <w:sz w:val="21"/>
          <w:szCs w:val="21"/>
          <w:highlight w:val="none"/>
          <w:lang w:eastAsia="zh-CN" w:bidi="ar"/>
        </w:rPr>
        <w:t xml:space="preserve">进度付款的支付比例 </w:t>
      </w:r>
    </w:p>
    <w:p w14:paraId="08CC542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eastAsia="zh-CN" w:bidi="ar"/>
        </w:rPr>
        <w:t>工程进度款按施工方进场施工后支付30％预付款，承包人于每月 25 日前将进度报至业主审核。工程竣工验收合格后，工程款累计支付至实际完成工程量造价的 85%。经审计部门结算审定后，工程进度款支付至工程结算价的100%，承包人按工程价款结算总额的3%预存履约的工程质量保修金待缺陷责任期(12 个月) 满后 30 天内，双方确认无质量返修问题后返还。</w:t>
      </w:r>
    </w:p>
    <w:p w14:paraId="18CE500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bidi="ar"/>
        </w:rPr>
        <w:t xml:space="preserve">17.3.6 月支付 </w:t>
      </w:r>
    </w:p>
    <w:p w14:paraId="0703C25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bidi="ar"/>
        </w:rPr>
        <w:t xml:space="preserve">承包人每月可申报一次进度款。 </w:t>
      </w:r>
    </w:p>
    <w:p w14:paraId="3931629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auto"/>
          <w:sz w:val="21"/>
          <w:szCs w:val="21"/>
          <w:highlight w:val="none"/>
          <w:lang w:eastAsia="zh-CN" w:bidi="ar"/>
        </w:rPr>
        <w:t>发包人每支付一次工程进度款，承包人应开具正式的</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增值税（税率按国家、地方规定）发票给发包人。 </w:t>
      </w:r>
    </w:p>
    <w:p w14:paraId="78F171C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17.3.7 人工费支付 </w:t>
      </w:r>
    </w:p>
    <w:p w14:paraId="795C67C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（1）本工程的工程款计量周期和工程款进度结算办法按原合同专用合同条款第 17.3 款关于工程进度付款的条款执行。 </w:t>
      </w:r>
    </w:p>
    <w:p w14:paraId="44A7CCB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（2）发包人对于本工程的人工费用拨付周期不得超过 1 个月，拨付日期应当在每月 20 日之前拨付至承包人相关农民工工资专户。</w:t>
      </w:r>
    </w:p>
    <w:p w14:paraId="5955049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承包人需按要求做好“一金七制”工作，落实好农民工工资保证金制度、劳务用工实名管理制度、劳动合同制度、施工全过程结算制度、农民工工资专用账户管理制度、总承包单位通过银行代发农民工工资制度、按月足额发放工资制度和维权信息公示制度。 </w:t>
      </w:r>
    </w:p>
    <w:p w14:paraId="5967BF1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（4）根据《广西壮族自治区工程建设领域农民工工资专用账户管理暂行办法实施细则》第 十五条规定，本项目人工费用拨付周期为一个月，承包人应在每月 15 日前，将本月需要支付的农民工工资发放表等相关请款材料及上月农民工工资支付情况材料一并提交给发包人。发包人在 5 个工作日内完成核实及支付工作，承包人需按照提交的农民工工资发放表按时足额支付约定的人工费用。 </w:t>
      </w:r>
    </w:p>
    <w:p w14:paraId="1DD05BBA">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（5）承包人在申请工程进度款时，如发包人已将当月人工费用按照本补充协议约定支付至本工程农民工工资专户，则将已支付的人工费在近期进度款支付时相应扣除。 </w:t>
      </w:r>
    </w:p>
    <w:p w14:paraId="54C14627">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37" w:name="bookmark1793"/>
      <w:bookmarkStart w:id="538" w:name="bookmark1794"/>
      <w:bookmarkStart w:id="539" w:name="bookmark1792"/>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17.4质量保证金</w:t>
      </w:r>
      <w:bookmarkEnd w:id="537"/>
      <w:bookmarkEnd w:id="538"/>
      <w:bookmarkEnd w:id="539"/>
    </w:p>
    <w:p w14:paraId="19EFADD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17.4.1 质量保证金为工程结算价款的 3%，发包人在完工验收合格后扣留结算总价的 3%作为质保金。在工程项目完工前，已经缴纳履约保证金的，发包人不得同时扣留工程质量保证金。 </w:t>
      </w:r>
    </w:p>
    <w:p w14:paraId="0AACE7CE">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17.4.2 在约定的质量保修期满时，承包人向发包人申请返还 3%的质量保证金，发包人应在 30 天内会同承包人按照合同约定的内容核实承包人是否完成质量保修。如无异议，发包人应当在核实后将质量保证金（不计利息）返还承包人。 </w:t>
      </w:r>
    </w:p>
    <w:p w14:paraId="7429C15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17.4.3 在约定的质量保修期满时，承包人没有完成保修责任的，发包人有权扣留与未履行责任剩余工程所需要金额相应的质量保证金余额，并有权根据约定要求延长质量保修期，直至完成剩余工作为止。</w:t>
      </w:r>
    </w:p>
    <w:p w14:paraId="4C5F1378">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40" w:name="bookmark1797"/>
      <w:bookmarkStart w:id="541" w:name="bookmark1795"/>
      <w:bookmarkStart w:id="542" w:name="bookmark179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17.5竣工（完工）结算</w:t>
      </w:r>
      <w:bookmarkEnd w:id="540"/>
      <w:bookmarkEnd w:id="541"/>
      <w:bookmarkEnd w:id="542"/>
    </w:p>
    <w:p w14:paraId="577CF516">
      <w:pPr>
        <w:pStyle w:val="105"/>
        <w:keepNext w:val="0"/>
        <w:keepLines w:val="0"/>
        <w:pageBreakBefore w:val="0"/>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17.5.1</w:t>
      </w:r>
      <w:r>
        <w:rPr>
          <w:rFonts w:hint="default" w:ascii="Times New Roman" w:hAnsi="Times New Roman" w:eastAsia="宋体" w:cs="Times New Roman"/>
          <w:color w:val="000000" w:themeColor="text1"/>
          <w:sz w:val="21"/>
          <w:szCs w:val="21"/>
          <w:highlight w:val="none"/>
          <w14:textFill>
            <w14:solidFill>
              <w14:schemeClr w14:val="tx1"/>
            </w14:solidFill>
          </w14:textFill>
        </w:rPr>
        <w:t>竣工（完工）付款申请单</w:t>
      </w:r>
    </w:p>
    <w:p w14:paraId="780B926B">
      <w:pPr>
        <w:pStyle w:val="105"/>
        <w:keepNext w:val="0"/>
        <w:keepLines w:val="0"/>
        <w:pageBreakBefore w:val="0"/>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543" w:name="bookmark1798"/>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End w:id="543"/>
      <w:r>
        <w:rPr>
          <w:rFonts w:hint="default" w:ascii="Times New Roman" w:hAnsi="Times New Roman" w:eastAsia="宋体" w:cs="Times New Roman"/>
          <w:color w:val="000000" w:themeColor="text1"/>
          <w:sz w:val="21"/>
          <w:szCs w:val="21"/>
          <w:highlight w:val="none"/>
          <w14:textFill>
            <w14:solidFill>
              <w14:schemeClr w14:val="tx1"/>
            </w14:solidFill>
          </w14:textFill>
        </w:rPr>
        <w:t>1）承包人应提交竣工付款申请单份数：在签订施工承包合同时明确。</w:t>
      </w:r>
    </w:p>
    <w:p w14:paraId="5146461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17.5.3 除按通用合同条款所说的内容外，增加以下内容：最终结算以财政评审结果为准。 </w:t>
      </w:r>
    </w:p>
    <w:p w14:paraId="31FF660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17.5.4 承包人应当配合发包人核算工程量及配合做好结算工作，如承包人不配合发包人核 </w:t>
      </w:r>
    </w:p>
    <w:p w14:paraId="404F364D">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算的，由发包人自行或委托相关单位进行核算已完工程量，由此产生的费用及损失由承包人承 </w:t>
      </w:r>
    </w:p>
    <w:p w14:paraId="070E97B4">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担。</w:t>
      </w:r>
    </w:p>
    <w:p w14:paraId="34EACE25">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44" w:name="bookmark1801"/>
      <w:bookmarkEnd w:id="544"/>
      <w:bookmarkStart w:id="545" w:name="bookmark1802"/>
      <w:bookmarkStart w:id="546" w:name="bookmark1800"/>
      <w:bookmarkStart w:id="547" w:name="bookmark1799"/>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17.6最终结清</w:t>
      </w:r>
      <w:bookmarkEnd w:id="545"/>
      <w:bookmarkEnd w:id="546"/>
      <w:bookmarkEnd w:id="547"/>
    </w:p>
    <w:p w14:paraId="4439A85A">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548" w:name="bookmark1803"/>
      <w:bookmarkStart w:id="549" w:name="bookmark1804"/>
      <w:bookmarkStart w:id="550" w:name="bookmark1805"/>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（1）承包人应提交最终结清申请单份数：</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一式十份</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w:t>
      </w:r>
    </w:p>
    <w:p w14:paraId="2D910C3B">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17.6.2 承包人报审的结算工程造价与审核单位审核工程造价误差率超过 6%的，超出部分所 </w:t>
      </w:r>
    </w:p>
    <w:p w14:paraId="3BA0699A">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产生的审核费将由承包人支付，并在审定结算工程款中抵扣。 </w:t>
      </w:r>
    </w:p>
    <w:p w14:paraId="4088836E">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17.7竣工财务决算</w:t>
      </w:r>
      <w:bookmarkEnd w:id="548"/>
      <w:bookmarkEnd w:id="549"/>
      <w:bookmarkEnd w:id="550"/>
    </w:p>
    <w:p w14:paraId="6BC06E1E">
      <w:pPr>
        <w:pStyle w:val="105"/>
        <w:keepNext w:val="0"/>
        <w:keepLines w:val="0"/>
        <w:pageBreakBefore w:val="0"/>
        <w:tabs>
          <w:tab w:val="left" w:pos="6264"/>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承包人应为竣工财务决算编制提供的资料：</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按发包人要求提交相关竣工结算材料</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74CA45E8">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551" w:name="bookmark1808"/>
      <w:bookmarkEnd w:id="551"/>
      <w:bookmarkStart w:id="552" w:name="_Toc797"/>
      <w:bookmarkStart w:id="553" w:name="bookmark1807"/>
      <w:bookmarkStart w:id="554" w:name="_Toc2273"/>
      <w:bookmarkStart w:id="555" w:name="bookmark1806"/>
      <w:bookmarkStart w:id="556" w:name="bookmark1809"/>
      <w:bookmarkStart w:id="557" w:name="_Toc22392"/>
      <w:bookmarkStart w:id="558" w:name="_Toc268901303"/>
      <w:bookmarkStart w:id="559" w:name="_Toc30479"/>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18. 竣工验收（验收）</w:t>
      </w:r>
      <w:bookmarkEnd w:id="552"/>
      <w:bookmarkEnd w:id="553"/>
      <w:bookmarkEnd w:id="554"/>
      <w:bookmarkEnd w:id="555"/>
      <w:bookmarkEnd w:id="556"/>
      <w:bookmarkEnd w:id="557"/>
      <w:bookmarkEnd w:id="558"/>
      <w:bookmarkEnd w:id="559"/>
    </w:p>
    <w:p w14:paraId="540A3488">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60" w:name="bookmark1811"/>
      <w:bookmarkStart w:id="561" w:name="bookmark1810"/>
      <w:bookmarkStart w:id="562" w:name="bookmark1812"/>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18.1验收工作分类</w:t>
      </w:r>
      <w:bookmarkEnd w:id="560"/>
      <w:bookmarkEnd w:id="561"/>
      <w:bookmarkEnd w:id="562"/>
    </w:p>
    <w:p w14:paraId="561CA338">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根据《水利工程建设项目验收管理规定》（水利部令第30号）和《水利水电建设工程验收规程》</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（SL223）2008）</w:t>
      </w:r>
      <w:r>
        <w:rPr>
          <w:rFonts w:hint="default" w:ascii="Times New Roman" w:hAnsi="Times New Roman" w:eastAsia="宋体" w:cs="Times New Roman"/>
          <w:color w:val="000000" w:themeColor="text1"/>
          <w:sz w:val="21"/>
          <w:szCs w:val="21"/>
          <w:highlight w:val="none"/>
          <w14:textFill>
            <w14:solidFill>
              <w14:schemeClr w14:val="tx1"/>
            </w14:solidFill>
          </w14:textFill>
        </w:rPr>
        <w:t>的相关规定执行。</w:t>
      </w:r>
    </w:p>
    <w:p w14:paraId="004EB1D4">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63" w:name="bookmark1815"/>
      <w:bookmarkStart w:id="564" w:name="bookmark1813"/>
      <w:bookmarkStart w:id="565" w:name="bookmark1814"/>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18.2分部工程验收</w:t>
      </w:r>
      <w:bookmarkEnd w:id="563"/>
      <w:bookmarkEnd w:id="564"/>
      <w:bookmarkEnd w:id="565"/>
    </w:p>
    <w:p w14:paraId="0EFF5C2F">
      <w:pPr>
        <w:pStyle w:val="105"/>
        <w:keepNext w:val="0"/>
        <w:keepLines w:val="0"/>
        <w:pageBreakBefore w:val="0"/>
        <w:tabs>
          <w:tab w:val="left" w:pos="7018"/>
        </w:tabs>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18.2.</w:t>
      </w:r>
      <w:r>
        <w:rPr>
          <w:rFonts w:hint="default" w:ascii="Times New Roman" w:hAnsi="Times New Roman" w:eastAsia="宋体" w:cs="Times New Roman"/>
          <w:color w:val="000000" w:themeColor="text1"/>
          <w:sz w:val="21"/>
          <w:szCs w:val="21"/>
          <w:highlight w:val="none"/>
          <w14:textFill>
            <w14:solidFill>
              <w14:schemeClr w14:val="tx1"/>
            </w14:solidFill>
          </w14:textFill>
        </w:rPr>
        <w:t>2本工程由发包人主持的分部工程验收为：</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其余由监理主持。</w:t>
      </w:r>
    </w:p>
    <w:p w14:paraId="5942A4DB">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66" w:name="bookmark1818"/>
      <w:bookmarkStart w:id="567" w:name="bookmark1816"/>
      <w:bookmarkStart w:id="568" w:name="bookmark1817"/>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18.3单位工程验收</w:t>
      </w:r>
      <w:bookmarkEnd w:id="566"/>
      <w:bookmarkEnd w:id="567"/>
      <w:bookmarkEnd w:id="568"/>
    </w:p>
    <w:p w14:paraId="71793402">
      <w:pPr>
        <w:pStyle w:val="105"/>
        <w:keepNext w:val="0"/>
        <w:keepLines w:val="0"/>
        <w:pageBreakBefore w:val="0"/>
        <w:tabs>
          <w:tab w:val="left" w:pos="6036"/>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18.3.4</w:t>
      </w:r>
      <w:r>
        <w:rPr>
          <w:rFonts w:hint="default" w:ascii="Times New Roman" w:hAnsi="Times New Roman" w:eastAsia="宋体" w:cs="Times New Roman"/>
          <w:color w:val="000000" w:themeColor="text1"/>
          <w:sz w:val="21"/>
          <w:szCs w:val="21"/>
          <w:highlight w:val="none"/>
          <w14:textFill>
            <w14:solidFill>
              <w14:schemeClr w14:val="tx1"/>
            </w14:solidFill>
          </w14:textFill>
        </w:rPr>
        <w:t>提前投入使用的单位工程包括：</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在签订施工承包合同时明确</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692940EC">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69" w:name="bookmark1821"/>
      <w:bookmarkStart w:id="570" w:name="bookmark1819"/>
      <w:bookmarkStart w:id="571" w:name="bookmark1820"/>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18.5阶段验收</w:t>
      </w:r>
      <w:bookmarkEnd w:id="569"/>
      <w:bookmarkEnd w:id="570"/>
      <w:bookmarkEnd w:id="571"/>
    </w:p>
    <w:p w14:paraId="2B75BA17">
      <w:pPr>
        <w:pStyle w:val="105"/>
        <w:keepNext w:val="0"/>
        <w:keepLines w:val="0"/>
        <w:pageBreakBefore w:val="0"/>
        <w:tabs>
          <w:tab w:val="left" w:pos="6036"/>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18.5.1</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本合同工程阶段验收类别包括：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在签订施工承包合同时明确</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5FFCF711">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72" w:name="bookmark1823"/>
      <w:bookmarkStart w:id="573" w:name="bookmark1822"/>
      <w:bookmarkStart w:id="574" w:name="bookmark1824"/>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18.6专项验收</w:t>
      </w:r>
      <w:bookmarkEnd w:id="572"/>
      <w:bookmarkEnd w:id="573"/>
      <w:bookmarkEnd w:id="574"/>
    </w:p>
    <w:p w14:paraId="218FA4DC">
      <w:pPr>
        <w:pStyle w:val="105"/>
        <w:keepNext w:val="0"/>
        <w:keepLines w:val="0"/>
        <w:pageBreakBefore w:val="0"/>
        <w:tabs>
          <w:tab w:val="left" w:pos="6036"/>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18.6.2</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本合同工程专项验收类别包括：</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在签订施工承包合同时明确</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55993209">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75" w:name="bookmark1827"/>
      <w:bookmarkStart w:id="576" w:name="bookmark1825"/>
      <w:bookmarkStart w:id="577" w:name="bookmark182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18.8施工期运行</w:t>
      </w:r>
      <w:bookmarkEnd w:id="575"/>
      <w:bookmarkEnd w:id="576"/>
      <w:bookmarkEnd w:id="577"/>
    </w:p>
    <w:p w14:paraId="342CC5C1">
      <w:pPr>
        <w:pStyle w:val="105"/>
        <w:keepNext w:val="0"/>
        <w:keepLines w:val="0"/>
        <w:pageBreakBefore w:val="0"/>
        <w:tabs>
          <w:tab w:val="left" w:pos="7296"/>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18.8.1</w:t>
      </w:r>
      <w:r>
        <w:rPr>
          <w:rFonts w:hint="default" w:ascii="Times New Roman" w:hAnsi="Times New Roman" w:eastAsia="宋体" w:cs="Times New Roman"/>
          <w:color w:val="000000" w:themeColor="text1"/>
          <w:sz w:val="21"/>
          <w:szCs w:val="21"/>
          <w:highlight w:val="none"/>
          <w14:textFill>
            <w14:solidFill>
              <w14:schemeClr w14:val="tx1"/>
            </w14:solidFill>
          </w14:textFill>
        </w:rPr>
        <w:t>需要在施工期运行的单位工程或工程设备为：</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在签订施工承包合同时明确</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3F0CD9E1">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78" w:name="bookmark1828"/>
      <w:bookmarkStart w:id="579" w:name="bookmark1829"/>
      <w:bookmarkStart w:id="580" w:name="bookmark1830"/>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18.9试运行</w:t>
      </w:r>
      <w:bookmarkEnd w:id="578"/>
      <w:bookmarkEnd w:id="579"/>
      <w:bookmarkEnd w:id="580"/>
    </w:p>
    <w:p w14:paraId="008DF145">
      <w:pPr>
        <w:pStyle w:val="105"/>
        <w:keepNext w:val="0"/>
        <w:keepLines w:val="0"/>
        <w:pageBreakBefore w:val="0"/>
        <w:tabs>
          <w:tab w:val="left" w:pos="4570"/>
          <w:tab w:val="left" w:pos="7697"/>
        </w:tabs>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18.9.1</w:t>
      </w:r>
      <w:r>
        <w:rPr>
          <w:rFonts w:hint="default" w:ascii="Times New Roman" w:hAnsi="Times New Roman" w:eastAsia="宋体" w:cs="Times New Roman"/>
          <w:color w:val="000000" w:themeColor="text1"/>
          <w:sz w:val="21"/>
          <w:szCs w:val="21"/>
          <w:highlight w:val="none"/>
          <w14:textFill>
            <w14:solidFill>
              <w14:schemeClr w14:val="tx1"/>
            </w14:solidFill>
          </w14:textFill>
        </w:rPr>
        <w:t>试运行的组织：</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14:textFill>
            <w14:solidFill>
              <w14:schemeClr w14:val="tx1"/>
            </w14:solidFill>
          </w14:textFill>
        </w:rPr>
        <w:t>；费用承担：</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bookmarkStart w:id="581" w:name="bookmark1833"/>
      <w:bookmarkEnd w:id="581"/>
      <w:bookmarkStart w:id="582" w:name="bookmark1834"/>
      <w:bookmarkStart w:id="583" w:name="_Toc21054"/>
      <w:bookmarkStart w:id="584" w:name="bookmark1831"/>
      <w:bookmarkStart w:id="585" w:name="_Toc24047"/>
      <w:bookmarkStart w:id="586" w:name="bookmark1832"/>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5B765E2">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587" w:name="_Toc27547"/>
      <w:bookmarkStart w:id="588" w:name="_Toc16449"/>
      <w:bookmarkStart w:id="589" w:name="_Toc12396053"/>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19. 缺陷责任与保修责任</w:t>
      </w:r>
      <w:bookmarkEnd w:id="582"/>
      <w:bookmarkEnd w:id="583"/>
      <w:bookmarkEnd w:id="584"/>
      <w:bookmarkEnd w:id="585"/>
      <w:bookmarkEnd w:id="586"/>
      <w:bookmarkEnd w:id="587"/>
      <w:bookmarkEnd w:id="588"/>
      <w:bookmarkEnd w:id="589"/>
    </w:p>
    <w:p w14:paraId="52F0A609">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590" w:name="bookmark1836"/>
      <w:bookmarkStart w:id="591" w:name="bookmark1837"/>
      <w:bookmarkStart w:id="592" w:name="bookmark1835"/>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19.1缺陷责任期（工程质量保修期）的起算时间</w:t>
      </w:r>
      <w:bookmarkEnd w:id="590"/>
      <w:bookmarkEnd w:id="591"/>
      <w:bookmarkEnd w:id="592"/>
    </w:p>
    <w:p w14:paraId="79F0756F">
      <w:pPr>
        <w:pStyle w:val="105"/>
        <w:keepNext w:val="0"/>
        <w:keepLines w:val="0"/>
        <w:pageBreakBefore w:val="0"/>
        <w:kinsoku/>
        <w:wordWrap/>
        <w:overflowPunct/>
        <w:topLinePunct w:val="0"/>
        <w:autoSpaceDE/>
        <w:autoSpaceDN/>
        <w:bidi w:val="0"/>
        <w:adjustRightInd/>
        <w:snapToGrid/>
        <w:spacing w:line="470" w:lineRule="exact"/>
        <w:ind w:firstLine="44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本工程缺陷责任期（工程质量保修）计算如下：起算日按</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通用合同条款</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19.1</w:t>
      </w:r>
      <w:r>
        <w:rPr>
          <w:rFonts w:hint="default" w:ascii="Times New Roman" w:hAnsi="Times New Roman" w:eastAsia="宋体" w:cs="Times New Roman"/>
          <w:color w:val="000000" w:themeColor="text1"/>
          <w:sz w:val="21"/>
          <w:szCs w:val="21"/>
          <w:highlight w:val="none"/>
          <w14:textFill>
            <w14:solidFill>
              <w14:schemeClr w14:val="tx1"/>
            </w14:solidFill>
          </w14:textFill>
        </w:rPr>
        <w:t>和</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19.</w:t>
      </w:r>
      <w:r>
        <w:rPr>
          <w:rFonts w:hint="default" w:ascii="Times New Roman" w:hAnsi="Times New Roman" w:eastAsia="宋体" w:cs="Times New Roman"/>
          <w:color w:val="000000" w:themeColor="text1"/>
          <w:sz w:val="21"/>
          <w:szCs w:val="21"/>
          <w:highlight w:val="none"/>
          <w14:textFill>
            <w14:solidFill>
              <w14:schemeClr w14:val="tx1"/>
            </w14:solidFill>
          </w14:textFill>
        </w:rPr>
        <w:t>7的约定，终止日按专用条款</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1.1.4.5</w:t>
      </w:r>
      <w:r>
        <w:rPr>
          <w:rFonts w:hint="default" w:ascii="Times New Roman" w:hAnsi="Times New Roman" w:eastAsia="宋体" w:cs="Times New Roman"/>
          <w:color w:val="000000" w:themeColor="text1"/>
          <w:sz w:val="21"/>
          <w:szCs w:val="21"/>
          <w:highlight w:val="none"/>
          <w14:textFill>
            <w14:solidFill>
              <w14:schemeClr w14:val="tx1"/>
            </w14:solidFill>
          </w14:textFill>
        </w:rPr>
        <w:t>约定。</w:t>
      </w:r>
    </w:p>
    <w:p w14:paraId="724D64A6">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19.7保修责任</w:t>
      </w:r>
    </w:p>
    <w:p w14:paraId="6356460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保修期自实际竣工日期起计算，期限为两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费进行修复。 </w:t>
      </w:r>
    </w:p>
    <w:p w14:paraId="43BA271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（2）在全部工程竣工验收前，已经发包人提前验收的单位工程</w:t>
      </w:r>
      <w:r>
        <w:rPr>
          <w:rFonts w:hint="eastAsia" w:ascii="Times New Roman" w:hAnsi="Times New Roman"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其保修期的起算日期相应提 </w:t>
      </w:r>
    </w:p>
    <w:p w14:paraId="11340437">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前。</w:t>
      </w:r>
    </w:p>
    <w:p w14:paraId="3D944E33">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（3）工程保修期终止后 28 天内</w:t>
      </w:r>
      <w:r>
        <w:rPr>
          <w:rFonts w:hint="eastAsia" w:ascii="Times New Roman" w:hAnsi="Times New Roman" w:cs="Times New Roman"/>
          <w:color w:val="000000" w:themeColor="text1"/>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监理人签发保修期终止证书。 </w:t>
      </w:r>
    </w:p>
    <w:p w14:paraId="5E64532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（4）验收后，重新修复部分得工程质保期按重新修复完工起算，质保期相应延长。 </w:t>
      </w:r>
    </w:p>
    <w:p w14:paraId="59B62E70">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（5）如签有质量保修书签订的工程保修期低于本款的，则以本款为准，如签订的工程保修 </w:t>
      </w:r>
    </w:p>
    <w:p w14:paraId="6A939ABB">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期长于本款的，以签订期为准。 </w:t>
      </w:r>
    </w:p>
    <w:p w14:paraId="13C5ADB3">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593" w:name="bookmark1840"/>
      <w:bookmarkEnd w:id="593"/>
      <w:bookmarkStart w:id="594" w:name="bookmark1841"/>
      <w:bookmarkStart w:id="595" w:name="_Toc70"/>
      <w:bookmarkStart w:id="596" w:name="_Toc3197"/>
      <w:bookmarkStart w:id="597" w:name="_Toc1232196276"/>
      <w:bookmarkStart w:id="598" w:name="_Toc1949"/>
      <w:bookmarkStart w:id="599" w:name="_Toc5968"/>
      <w:bookmarkStart w:id="600" w:name="bookmark1838"/>
      <w:bookmarkStart w:id="601" w:name="bookmark1839"/>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20. 保险</w:t>
      </w:r>
      <w:bookmarkEnd w:id="594"/>
      <w:bookmarkEnd w:id="595"/>
      <w:bookmarkEnd w:id="596"/>
      <w:bookmarkEnd w:id="597"/>
      <w:bookmarkEnd w:id="598"/>
      <w:bookmarkEnd w:id="599"/>
    </w:p>
    <w:p w14:paraId="56BA6F98">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602" w:name="bookmark1842"/>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20.1工程保险</w:t>
      </w:r>
      <w:bookmarkEnd w:id="600"/>
      <w:bookmarkEnd w:id="601"/>
      <w:bookmarkEnd w:id="602"/>
    </w:p>
    <w:p w14:paraId="702060C5">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建筑工程一切险和（或）安装工程一切险投保人：</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以承包人名义投保</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投保内容：</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建筑工程人身意外保险和工伤保险</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；保险金额、保险费率和保险期限：</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建筑工程人身意外伤害保险为中标金额*保险费率‰，保险期限为自开工之日起至工程完工</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w:t>
      </w:r>
    </w:p>
    <w:p w14:paraId="520885FA">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03" w:name="bookmark1845"/>
      <w:bookmarkStart w:id="604" w:name="bookmark1843"/>
      <w:bookmarkStart w:id="605" w:name="bookmark1844"/>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20.4第三者责任险</w:t>
      </w:r>
      <w:bookmarkEnd w:id="603"/>
      <w:bookmarkEnd w:id="604"/>
      <w:bookmarkEnd w:id="605"/>
    </w:p>
    <w:p w14:paraId="4B266DCF">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bookmarkStart w:id="606" w:name="bookmark1847"/>
      <w:bookmarkStart w:id="607" w:name="bookmark1846"/>
      <w:bookmarkStart w:id="608" w:name="bookmark1848"/>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20.4.2 第三者责任险保险费率：</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由承包人负责投保，费用由承包人负责，发包人不另行支付</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第三者责任险保险金额：</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w:t>
      </w:r>
    </w:p>
    <w:p w14:paraId="3C977D60">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20.5其他保险</w:t>
      </w:r>
      <w:bookmarkEnd w:id="606"/>
      <w:bookmarkEnd w:id="607"/>
      <w:bookmarkEnd w:id="608"/>
    </w:p>
    <w:p w14:paraId="6D319119">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需要投保的其他内容：</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 xml:space="preserve"> 施工设备险由承包人负责投保，保险费用包括在施工设备运行费内 </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；保险金额、保险费率和保险期限：</w:t>
      </w:r>
      <w:r>
        <w:rPr>
          <w:rFonts w:hint="default" w:ascii="Times New Roman" w:hAnsi="Times New Roman" w:eastAsia="宋体" w:cs="Times New Roman"/>
          <w:color w:val="000000" w:themeColor="text1"/>
          <w:sz w:val="21"/>
          <w:szCs w:val="21"/>
          <w:highlight w:val="none"/>
          <w:u w:val="single"/>
          <w:lang w:eastAsia="zh-CN" w:bidi="ar"/>
          <w14:textFill>
            <w14:solidFill>
              <w14:schemeClr w14:val="tx1"/>
            </w14:solidFill>
          </w14:textFill>
        </w:rPr>
        <w:t xml:space="preserve">  / </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 </w:t>
      </w:r>
    </w:p>
    <w:p w14:paraId="0E6FAB99">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09" w:name="bookmark1849"/>
      <w:bookmarkStart w:id="610" w:name="bookmark1851"/>
      <w:bookmarkStart w:id="611" w:name="bookmark1850"/>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20.6对各项保险的一般要求</w:t>
      </w:r>
      <w:bookmarkEnd w:id="609"/>
      <w:bookmarkEnd w:id="610"/>
      <w:bookmarkEnd w:id="611"/>
    </w:p>
    <w:p w14:paraId="11B0FB27">
      <w:pPr>
        <w:pStyle w:val="105"/>
        <w:keepNext w:val="0"/>
        <w:keepLines w:val="0"/>
        <w:pageBreakBefore w:val="0"/>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20.6.1保险凭证</w:t>
      </w:r>
    </w:p>
    <w:p w14:paraId="6BB6D74A">
      <w:pPr>
        <w:pStyle w:val="105"/>
        <w:keepNext w:val="0"/>
        <w:keepLines w:val="0"/>
        <w:pageBreakBefore w:val="0"/>
        <w:tabs>
          <w:tab w:val="left" w:pos="8220"/>
        </w:tabs>
        <w:kinsoku/>
        <w:wordWrap/>
        <w:overflowPunct/>
        <w:topLinePunct w:val="0"/>
        <w:autoSpaceDE/>
        <w:autoSpaceDN/>
        <w:bidi w:val="0"/>
        <w:adjustRightInd/>
        <w:snapToGrid/>
        <w:spacing w:line="470" w:lineRule="exact"/>
        <w:ind w:left="420" w:firstLine="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承包人提交保险凭证的期限：</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项目开工前 </w:t>
      </w:r>
      <w:r>
        <w:rPr>
          <w:rFonts w:hint="default" w:ascii="Times New Roman" w:hAnsi="Times New Roman" w:eastAsia="宋体" w:cs="Times New Roman"/>
          <w:color w:val="000000" w:themeColor="text1"/>
          <w:sz w:val="21"/>
          <w:szCs w:val="21"/>
          <w:highlight w:val="none"/>
          <w14:textFill>
            <w14:solidFill>
              <w14:schemeClr w14:val="tx1"/>
            </w14:solidFill>
          </w14:textFill>
        </w:rPr>
        <w:t>； 保险条件：</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15822B50">
      <w:pPr>
        <w:pStyle w:val="105"/>
        <w:keepNext w:val="0"/>
        <w:keepLines w:val="0"/>
        <w:pageBreakBefore w:val="0"/>
        <w:kinsoku/>
        <w:wordWrap/>
        <w:overflowPunct/>
        <w:topLinePunct w:val="0"/>
        <w:autoSpaceDE/>
        <w:autoSpaceDN/>
        <w:bidi w:val="0"/>
        <w:adjustRightInd/>
        <w:snapToGrid/>
        <w:spacing w:line="470" w:lineRule="exact"/>
        <w:ind w:firstLine="4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20.6.</w:t>
      </w:r>
      <w:r>
        <w:rPr>
          <w:rFonts w:hint="default" w:ascii="Times New Roman" w:hAnsi="Times New Roman" w:eastAsia="宋体" w:cs="Times New Roman"/>
          <w:color w:val="000000" w:themeColor="text1"/>
          <w:sz w:val="21"/>
          <w:szCs w:val="21"/>
          <w:highlight w:val="none"/>
          <w14:textFill>
            <w14:solidFill>
              <w14:schemeClr w14:val="tx1"/>
            </w14:solidFill>
          </w14:textFill>
        </w:rPr>
        <w:t>4保险金不足的补偿</w:t>
      </w:r>
    </w:p>
    <w:p w14:paraId="026FF195">
      <w:pPr>
        <w:pStyle w:val="105"/>
        <w:keepNext w:val="0"/>
        <w:keepLines w:val="0"/>
        <w:pageBreakBefore w:val="0"/>
        <w:tabs>
          <w:tab w:val="left" w:pos="8215"/>
          <w:tab w:val="left" w:pos="8218"/>
        </w:tabs>
        <w:kinsoku/>
        <w:wordWrap/>
        <w:overflowPunct/>
        <w:topLinePunct w:val="0"/>
        <w:autoSpaceDE/>
        <w:autoSpaceDN/>
        <w:bidi w:val="0"/>
        <w:adjustRightInd/>
        <w:snapToGrid/>
        <w:spacing w:line="470" w:lineRule="exact"/>
        <w:ind w:left="420" w:firstLine="2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承包人负责补偿的范围与金额：</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发包人负责补偿的范围与金额：</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val="en-US"/>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p>
    <w:p w14:paraId="78C519F6">
      <w:pPr>
        <w:pStyle w:val="4"/>
        <w:keepNext w:val="0"/>
        <w:keepLines w:val="0"/>
        <w:pageBreakBefore w:val="0"/>
        <w:kinsoku/>
        <w:wordWrap/>
        <w:overflowPunct/>
        <w:topLinePunct w:val="0"/>
        <w:autoSpaceDE/>
        <w:autoSpaceDN/>
        <w:bidi w:val="0"/>
        <w:adjustRightInd/>
        <w:snapToGrid/>
        <w:spacing w:before="0" w:line="47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612" w:name="bookmark1854"/>
      <w:bookmarkEnd w:id="612"/>
      <w:bookmarkStart w:id="613" w:name="_Toc524831815"/>
      <w:bookmarkStart w:id="614" w:name="_Toc13643"/>
      <w:bookmarkStart w:id="615" w:name="bookmark1855"/>
      <w:bookmarkStart w:id="616" w:name="_Toc25418"/>
      <w:bookmarkStart w:id="617" w:name="_Toc22708"/>
      <w:bookmarkStart w:id="618" w:name="_Toc31045"/>
      <w:bookmarkStart w:id="619" w:name="bookmark1853"/>
      <w:bookmarkStart w:id="620" w:name="bookmark1852"/>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21. 不可抗力</w:t>
      </w:r>
      <w:bookmarkEnd w:id="613"/>
      <w:bookmarkEnd w:id="614"/>
      <w:bookmarkEnd w:id="615"/>
      <w:bookmarkEnd w:id="616"/>
      <w:bookmarkEnd w:id="617"/>
      <w:bookmarkEnd w:id="618"/>
    </w:p>
    <w:p w14:paraId="48CF2DA0">
      <w:pPr>
        <w:pStyle w:val="5"/>
        <w:keepNext w:val="0"/>
        <w:keepLines w:val="0"/>
        <w:pageBreakBefore w:val="0"/>
        <w:kinsoku/>
        <w:wordWrap/>
        <w:overflowPunct/>
        <w:topLinePunct w:val="0"/>
        <w:autoSpaceDE/>
        <w:autoSpaceDN/>
        <w:bidi w:val="0"/>
        <w:adjustRightInd/>
        <w:snapToGrid/>
        <w:spacing w:line="47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21" w:name="bookmark1856"/>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21.1不可抗力的确认</w:t>
      </w:r>
      <w:bookmarkEnd w:id="619"/>
      <w:bookmarkEnd w:id="620"/>
      <w:bookmarkEnd w:id="621"/>
    </w:p>
    <w:p w14:paraId="0EC4A5A4">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21.1.1 不可抗力是指承包人和发包人在订立合同时不可预见，在工程施工过程中不可避免发 </w:t>
      </w:r>
    </w:p>
    <w:p w14:paraId="3818A32B">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生并不能克服的自然灾害详 11.4.3 的（1）～（7）项和社会性突发事件，如地震、海啸、瘟疫、 </w:t>
      </w:r>
    </w:p>
    <w:p w14:paraId="519F85D7">
      <w:pPr>
        <w:keepNext w:val="0"/>
        <w:keepLines w:val="0"/>
        <w:pageBreakBefore w:val="0"/>
        <w:widowControl/>
        <w:kinsoku/>
        <w:wordWrap/>
        <w:overflowPunct/>
        <w:topLinePunct w:val="0"/>
        <w:autoSpaceDE/>
        <w:autoSpaceDN/>
        <w:bidi w:val="0"/>
        <w:adjustRightInd/>
        <w:snapToGrid/>
        <w:spacing w:line="47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水灾、骚乱、 暴动、战争和本合同专用合同条款第 11. 4 款的约定。 </w:t>
      </w:r>
    </w:p>
    <w:p w14:paraId="3259B779">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21.3 不可抗力后果及其处理 </w:t>
      </w:r>
      <w:r>
        <w:rPr>
          <w:rFonts w:hint="default" w:ascii="Times New Roman" w:hAnsi="Times New Roman" w:eastAsia="宋体" w:cs="Times New Roman"/>
          <w:color w:val="000000" w:themeColor="text1"/>
          <w:sz w:val="24"/>
          <w:szCs w:val="24"/>
          <w:highlight w:val="none"/>
          <w:lang w:eastAsia="zh-CN" w:bidi="ar"/>
          <w14:textFill>
            <w14:solidFill>
              <w14:schemeClr w14:val="tx1"/>
            </w14:solidFill>
          </w14:textFill>
        </w:rPr>
        <w:t xml:space="preserve"> </w:t>
      </w:r>
    </w:p>
    <w:p w14:paraId="316A998C">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21.3.1 不可抗力造成损害的责任</w:t>
      </w:r>
    </w:p>
    <w:p w14:paraId="2B8C9AD7">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不可抗力发生后，承包人应迅速采取措施，尽力减少损失，并在 24 小时内向发包人通报受害情况，及时会同发包人研究抢险、修复方案，测算损失、清理和修复的费用。灾害继续发生， 承包人应每隔 2 天向发包人报告一次受害情况，直到灾害结束。发包方应对受害处理提供必要的条件。永久工程的损害扣除工程保险赔偿以外由发包人承担。其他按</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通用合同条款</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执行。 </w:t>
      </w:r>
    </w:p>
    <w:p w14:paraId="16D9092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21.3.4 因不可抗力解除合同 </w:t>
      </w:r>
    </w:p>
    <w:p w14:paraId="4BFB0611">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合同一方当事人因不可抗力不能履行合同的，应当及时通知对方解除合同。合同解除后，承包人应按照第 22.2.5 项约定撤离施工场地.已经运到现场的过程实体设备材料经质量双控验收评定合格的材料和设备货款,由发包人承担，因未及时退货造成的损失由责任方承担。 合同解除后的付款，参照第 22.2.4 项约定，由监理人按第 3.5 款商定或确定，但由于解除合同应赔偿的承包人损失不予考虑。不能退货的应经监理人进行验收（除鉴定因不可抗力导致的损坏），如材料、设备验收不符合要求的，产生的损失由承包人承担。 </w:t>
      </w:r>
    </w:p>
    <w:p w14:paraId="58FEEC3B">
      <w:pPr>
        <w:keepNext w:val="0"/>
        <w:keepLines w:val="0"/>
        <w:pageBreakBefore w:val="0"/>
        <w:widowControl/>
        <w:kinsoku/>
        <w:wordWrap/>
        <w:overflowPunct/>
        <w:topLinePunct w:val="0"/>
        <w:autoSpaceDE/>
        <w:autoSpaceDN/>
        <w:bidi w:val="0"/>
        <w:adjustRightInd/>
        <w:snapToGrid/>
        <w:spacing w:line="470" w:lineRule="exact"/>
        <w:jc w:val="both"/>
        <w:textAlignment w:val="auto"/>
        <w:outlineLvl w:val="2"/>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22" w:name="_Toc23155"/>
      <w:bookmarkStart w:id="623" w:name="_Toc24837"/>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22.违约</w:t>
      </w:r>
      <w:bookmarkEnd w:id="622"/>
      <w:bookmarkEnd w:id="623"/>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 </w:t>
      </w:r>
    </w:p>
    <w:p w14:paraId="7ECE6B3C">
      <w:pPr>
        <w:keepNext w:val="0"/>
        <w:keepLines w:val="0"/>
        <w:pageBreakBefore w:val="0"/>
        <w:widowControl/>
        <w:kinsoku/>
        <w:wordWrap/>
        <w:overflowPunct/>
        <w:topLinePunct w:val="0"/>
        <w:autoSpaceDE/>
        <w:autoSpaceDN/>
        <w:bidi w:val="0"/>
        <w:adjustRightInd/>
        <w:snapToGrid/>
        <w:spacing w:line="47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22.1 承包人违约 </w:t>
      </w:r>
    </w:p>
    <w:p w14:paraId="59C64D08">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22.1.1 承包人违约的情形 </w:t>
      </w:r>
    </w:p>
    <w:p w14:paraId="684B316D">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（7）承包人未经发包人同意随意更换项目经理、技术负责人和其他技术骨干。 </w:t>
      </w:r>
    </w:p>
    <w:p w14:paraId="4F2B2E62">
      <w:pPr>
        <w:keepNext w:val="0"/>
        <w:keepLines w:val="0"/>
        <w:pageBreakBefore w:val="0"/>
        <w:widowControl/>
        <w:kinsoku/>
        <w:wordWrap/>
        <w:overflowPunct/>
        <w:topLinePunct w:val="0"/>
        <w:autoSpaceDE/>
        <w:autoSpaceDN/>
        <w:bidi w:val="0"/>
        <w:adjustRightInd/>
        <w:snapToGrid/>
        <w:spacing w:line="47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22.1.2 对承包人违约的处理 </w:t>
      </w:r>
    </w:p>
    <w:p w14:paraId="3EEE5995">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（4）无论发包人是否解除合同，发包人均有权按本合同相关规定向承包人扣除违约金，并由发包人将其违约行为上报省级水利行政主管部门，作为不良记录纳入工程建设市场信用信息管理系统。 </w:t>
      </w:r>
    </w:p>
    <w:p w14:paraId="28628C56">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发包人按合同规定向承包人开出的任何违约金，发包人均有权从向承包人支付的工程款中直接扣除。发包人向承包人直接扣除的违约金将导致承包人最终的应得结算价款相应地减少。承包人必须完全接受上述条款。 </w:t>
      </w:r>
    </w:p>
    <w:p w14:paraId="10F9FE2C">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（6）发包人按合同规定向承包人开出的任何违约金，发包人扣除违约金时间的延迟或滞后并不代表对承包人当时各种行为的认可或默认。 </w:t>
      </w:r>
    </w:p>
    <w:p w14:paraId="221B3214">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（7）承包人发生第 22.1.1（4）目约定的违约情况时，按合同额计，每拖延一天不应低于同期贷款利率计利息，累计上限不少于履约保证金比例额度。 </w:t>
      </w:r>
    </w:p>
    <w:p w14:paraId="1CF1E09B">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22.1.7 承包人发生上述违约行为，又拒不采取有效措施纠正违约行为，或者因承包人原因导致的工期严重滞后，发包人有权对承包人未完成的工程内容进行切割，安排其他承包人完成相应的施工内容。 </w:t>
      </w:r>
    </w:p>
    <w:p w14:paraId="6B0613FB">
      <w:pPr>
        <w:keepNext w:val="0"/>
        <w:keepLines w:val="0"/>
        <w:pageBreakBefore w:val="0"/>
        <w:widowControl/>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22.2 发包人违约</w:t>
      </w:r>
      <w:r>
        <w:rPr>
          <w:rFonts w:hint="default" w:ascii="Times New Roman" w:hAnsi="Times New Roman" w:eastAsia="宋体" w:cs="Times New Roman"/>
          <w:b/>
          <w:bCs/>
          <w:color w:val="000000" w:themeColor="text1"/>
          <w:sz w:val="21"/>
          <w:szCs w:val="21"/>
          <w:highlight w:val="none"/>
          <w:lang w:eastAsia="zh-CN" w:bidi="ar"/>
          <w14:textFill>
            <w14:solidFill>
              <w14:schemeClr w14:val="tx1"/>
            </w14:solidFill>
          </w14:textFill>
        </w:rPr>
        <w:t xml:space="preserve"> </w:t>
      </w:r>
    </w:p>
    <w:p w14:paraId="11AB385B">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22.2.4 解除合同后的付款 </w:t>
      </w:r>
    </w:p>
    <w:p w14:paraId="78638390">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承包人为该工程施工订购并已付款的材料、工程设备和其他物品的金额，发包人付款后，该材料、工程设备和其他物品归发包人所有。</w:t>
      </w:r>
    </w:p>
    <w:p w14:paraId="513AE635">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23.索赔 </w:t>
      </w:r>
    </w:p>
    <w:p w14:paraId="52E81F5E">
      <w:pPr>
        <w:keepNext w:val="0"/>
        <w:keepLines w:val="0"/>
        <w:pageBreakBefore w:val="0"/>
        <w:widowControl/>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23.1 承包人索赔的提出 </w:t>
      </w:r>
    </w:p>
    <w:p w14:paraId="1B82AB57">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 在索赔事件影响结束后的 28 天内，,承包人应向监理人递交最终索赔通知书，说明最终要求索赔的追加付款金额和（或）延长的工期，,并附必要的记录和证明材料。</w:t>
      </w:r>
    </w:p>
    <w:p w14:paraId="5B82669E">
      <w:pPr>
        <w:keepNext w:val="0"/>
        <w:keepLines w:val="0"/>
        <w:pageBreakBefore w:val="0"/>
        <w:widowControl/>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23.2 承包人索赔处理程序 </w:t>
      </w:r>
    </w:p>
    <w:p w14:paraId="5102D7F2">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 监理人应按第 3.5 款商定或确定追加的付款和(或)延长的工期,并在收到上述索赔通知书或有关索赔的进一步证明材料后的 42 天内，将索赔处理结果报发包人批准后答复承包人。如果承包人提出的索赔要求未能遵守第 23.1规定，则承包人只限于索赔由监理人按当时记录予以核实的那部分款额外负担和（或）工期延长天数。 </w:t>
      </w:r>
    </w:p>
    <w:p w14:paraId="4F8909D3">
      <w:pPr>
        <w:pStyle w:val="4"/>
        <w:keepNext w:val="0"/>
        <w:keepLines w:val="0"/>
        <w:pageBreakBefore w:val="0"/>
        <w:kinsoku/>
        <w:wordWrap/>
        <w:overflowPunct/>
        <w:topLinePunct w:val="0"/>
        <w:autoSpaceDE/>
        <w:autoSpaceDN/>
        <w:bidi w:val="0"/>
        <w:adjustRightInd/>
        <w:snapToGrid/>
        <w:spacing w:before="0" w:line="49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624" w:name="bookmark1859"/>
      <w:bookmarkStart w:id="625" w:name="_Toc17737"/>
      <w:bookmarkStart w:id="626" w:name="_Toc1462298219"/>
      <w:bookmarkStart w:id="627" w:name="bookmark1857"/>
      <w:bookmarkStart w:id="628" w:name="_Toc21632"/>
      <w:bookmarkStart w:id="629" w:name="_Toc2281"/>
      <w:bookmarkStart w:id="630" w:name="bookmark1858"/>
      <w:bookmarkStart w:id="631" w:name="_Toc14346"/>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24. 争议的解决</w:t>
      </w:r>
      <w:bookmarkEnd w:id="624"/>
      <w:bookmarkEnd w:id="625"/>
      <w:bookmarkEnd w:id="626"/>
      <w:bookmarkEnd w:id="627"/>
      <w:bookmarkEnd w:id="628"/>
      <w:bookmarkEnd w:id="629"/>
      <w:bookmarkEnd w:id="630"/>
      <w:bookmarkEnd w:id="631"/>
    </w:p>
    <w:p w14:paraId="68BA2F09">
      <w:pPr>
        <w:pStyle w:val="5"/>
        <w:keepNext w:val="0"/>
        <w:keepLines w:val="0"/>
        <w:pageBreakBefore w:val="0"/>
        <w:kinsoku/>
        <w:wordWrap/>
        <w:overflowPunct/>
        <w:topLinePunct w:val="0"/>
        <w:autoSpaceDE/>
        <w:autoSpaceDN/>
        <w:bidi w:val="0"/>
        <w:adjustRightInd/>
        <w:snapToGrid/>
        <w:spacing w:line="490" w:lineRule="exact"/>
        <w:ind w:left="0" w:leftChars="0"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632" w:name="bookmark1861"/>
      <w:bookmarkStart w:id="633" w:name="bookmark1860"/>
      <w:bookmarkStart w:id="634" w:name="bookmark1862"/>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24.1争议的解决方式</w:t>
      </w:r>
      <w:bookmarkEnd w:id="632"/>
      <w:bookmarkEnd w:id="633"/>
      <w:bookmarkEnd w:id="634"/>
    </w:p>
    <w:p w14:paraId="341517D3">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合同当事人友好协商解决不成、不愿提请争议评审或不接受争议评审组意见的，约定的合同争议解决方式为以下第（2）项： </w:t>
      </w:r>
    </w:p>
    <w:p w14:paraId="1A08C72C">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（1）向约定的仲裁委员会申请仲裁； </w:t>
      </w:r>
    </w:p>
    <w:p w14:paraId="4F7FA484">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（2）向有管辖权的人民法院提起诉讼。 </w:t>
      </w:r>
    </w:p>
    <w:p w14:paraId="301C77D2">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24.3.1 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 </w:t>
      </w:r>
    </w:p>
    <w:p w14:paraId="56E0720D">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本条补充第 24.4、第 24.5 款（适用于采用仲裁方式最终解决争议的项目）： </w:t>
      </w:r>
    </w:p>
    <w:p w14:paraId="66A0BB53">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24.4 仲裁 </w:t>
      </w:r>
    </w:p>
    <w:p w14:paraId="788BF9EA">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（1）对于未能友好解决或通过争议评审解决的争议，发包人或承包人任一方均有权提交给 </w:t>
      </w:r>
    </w:p>
    <w:p w14:paraId="7FCEE15A">
      <w:pPr>
        <w:keepNext w:val="0"/>
        <w:keepLines w:val="0"/>
        <w:pageBreakBefore w:val="0"/>
        <w:widowControl/>
        <w:kinsoku/>
        <w:wordWrap/>
        <w:overflowPunct/>
        <w:topLinePunct w:val="0"/>
        <w:autoSpaceDE/>
        <w:autoSpaceDN/>
        <w:bidi w:val="0"/>
        <w:adjustRightInd/>
        <w:snapToGrid/>
        <w:spacing w:line="53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第 24.1 款约定的仲裁委员会仲裁。 </w:t>
      </w:r>
    </w:p>
    <w:p w14:paraId="1575DFFF">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仲裁可在交工之前或之后进行，但发包人、监理人和承包人各自的义务不得因在工程实施期间进行仲裁而有所改变。如果仲裁是在终止合同的情况下进行，则对合同工程应采取保护措施，措施费由败诉方承担。 </w:t>
      </w:r>
    </w:p>
    <w:p w14:paraId="2E202E1F">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（3）仲裁裁决是终局性的并对发包人和承包人双方具有约束力。 </w:t>
      </w:r>
    </w:p>
    <w:p w14:paraId="1DE2C25A">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（4）全部仲裁费用应由败诉方承担；或按仲裁员会裁决的比例分担。</w:t>
      </w:r>
    </w:p>
    <w:p w14:paraId="50A90246">
      <w:pPr>
        <w:keepNext w:val="0"/>
        <w:keepLines w:val="0"/>
        <w:pageBreakBefore w:val="0"/>
        <w:widowControl/>
        <w:kinsoku/>
        <w:wordWrap/>
        <w:overflowPunct/>
        <w:topLinePunct w:val="0"/>
        <w:autoSpaceDE/>
        <w:autoSpaceDN/>
        <w:bidi w:val="0"/>
        <w:adjustRightInd/>
        <w:snapToGrid/>
        <w:spacing w:line="53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 xml:space="preserve">24.5 仲裁的执行 </w:t>
      </w:r>
    </w:p>
    <w:p w14:paraId="7CEA8EA0">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（1）任何一方不履行仲裁机构的裁决的，对方可以向有管辖权的人民法院申请执行。 </w:t>
      </w:r>
    </w:p>
    <w:p w14:paraId="4D8B7835">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（2）任何一方提出证据证明裁决有《中华人民共和国仲裁法》第五十八条规定情形之一的，</w:t>
      </w:r>
    </w:p>
    <w:p w14:paraId="25F6682E">
      <w:pPr>
        <w:pStyle w:val="4"/>
        <w:keepNext w:val="0"/>
        <w:keepLines w:val="0"/>
        <w:pageBreakBefore w:val="0"/>
        <w:kinsoku/>
        <w:wordWrap/>
        <w:overflowPunct/>
        <w:topLinePunct w:val="0"/>
        <w:autoSpaceDE/>
        <w:autoSpaceDN/>
        <w:bidi w:val="0"/>
        <w:adjustRightInd/>
        <w:snapToGrid/>
        <w:spacing w:before="0" w:line="530" w:lineRule="exact"/>
        <w:ind w:left="0" w:leftChars="0" w:firstLine="0" w:firstLineChars="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635" w:name="_Toc5943"/>
      <w:bookmarkStart w:id="636" w:name="bookmark1864"/>
      <w:bookmarkStart w:id="637" w:name="bookmark1863"/>
      <w:bookmarkStart w:id="638" w:name="_Toc11009"/>
      <w:bookmarkStart w:id="639" w:name="_Toc30466"/>
      <w:bookmarkStart w:id="640" w:name="bookmark1865"/>
      <w:bookmarkStart w:id="641" w:name="_Toc26089"/>
      <w:bookmarkStart w:id="642" w:name="_Toc1422214741"/>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25. 附加条款</w:t>
      </w:r>
      <w:bookmarkEnd w:id="635"/>
      <w:bookmarkEnd w:id="636"/>
      <w:bookmarkEnd w:id="637"/>
      <w:bookmarkEnd w:id="638"/>
      <w:bookmarkEnd w:id="639"/>
      <w:bookmarkEnd w:id="640"/>
      <w:bookmarkEnd w:id="641"/>
      <w:bookmarkEnd w:id="642"/>
    </w:p>
    <w:p w14:paraId="713067C9">
      <w:pPr>
        <w:pStyle w:val="5"/>
        <w:keepNext w:val="0"/>
        <w:keepLines w:val="0"/>
        <w:pageBreakBefore w:val="0"/>
        <w:kinsoku/>
        <w:wordWrap/>
        <w:overflowPunct/>
        <w:topLinePunct w:val="0"/>
        <w:autoSpaceDE/>
        <w:autoSpaceDN/>
        <w:bidi w:val="0"/>
        <w:adjustRightInd/>
        <w:snapToGrid/>
        <w:spacing w:line="530" w:lineRule="exact"/>
        <w:ind w:left="0" w:leftChars="0" w:firstLine="482" w:firstLineChars="200"/>
        <w:jc w:val="both"/>
        <w:textAlignment w:val="auto"/>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pPr>
      <w:bookmarkStart w:id="643" w:name="bookmark1867"/>
      <w:bookmarkStart w:id="644" w:name="bookmark1868"/>
      <w:bookmarkStart w:id="645" w:name="bookmark1866"/>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25.1对承包人的要求</w:t>
      </w:r>
      <w:bookmarkEnd w:id="643"/>
      <w:bookmarkEnd w:id="644"/>
      <w:bookmarkEnd w:id="645"/>
      <w:bookmarkStart w:id="646" w:name="bookmark1869"/>
      <w:bookmarkEnd w:id="646"/>
    </w:p>
    <w:p w14:paraId="3D26E86E">
      <w:pPr>
        <w:keepNext w:val="0"/>
        <w:keepLines w:val="0"/>
        <w:pageBreakBefore w:val="0"/>
        <w:widowControl/>
        <w:kinsoku/>
        <w:wordWrap/>
        <w:overflowPunct/>
        <w:topLinePunct w:val="0"/>
        <w:autoSpaceDE/>
        <w:autoSpaceDN/>
        <w:bidi w:val="0"/>
        <w:adjustRightInd/>
        <w:snapToGrid/>
        <w:spacing w:line="53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 5 天后派员进驻工地直接监管工程, 使用承包人设备、临时工程和材料，另行组织人员或委托其他承包人施工，但发包人的这一行为不免除承包人按合同规定应负的责任。 </w:t>
      </w:r>
    </w:p>
    <w:p w14:paraId="20395CFA">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2.遵守国务院《建设工程质量管理条例》，根据水利部、自治区和水利厅的有关质量管理规定，建立健全质量管理机构，结合工程实际制定完善的可操作性强的质量管理制度，施工质量等级达到合同约定等级。 </w:t>
      </w:r>
    </w:p>
    <w:p w14:paraId="411C0A93">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按国家《中华人民共和国生产安全法》、《建设工程安全生产管理条例》、自治区安全生产法规和水利水电工程施工安全操作规程的规定建立健全安全管理机构和安全管理制度，采取安全施工保障措施保障工程施工安全。 </w:t>
      </w:r>
    </w:p>
    <w:p w14:paraId="5EA2E29F">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4.按有关施工规程规范及本</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技术条款进行组织施工并实施施工过程和移交前工程保护措施。 </w:t>
      </w:r>
    </w:p>
    <w:p w14:paraId="2CBFD0AC">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5.承包人违约有以下情况之一者，发包人有权采取合同规定的以下措施处理，并视情节轻重处予违约金。 </w:t>
      </w:r>
    </w:p>
    <w:p w14:paraId="4E05CCA6">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（1）未经发包人批准，施工期内承包人调走主要施工技术人员（包括建造师、专业工程师）， 经发现不及时调回的，违约金额为履约保证金金额的 5% ~20% （视情节严重而 定）。 </w:t>
      </w:r>
    </w:p>
    <w:p w14:paraId="71C73C93">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（2）未经发包人批准，施工期内自行调走主要施工机械，经发现不及时调回的，违约金额 为履约保证金金额的 5% ~ 20% （视情节严重而定）。 </w:t>
      </w:r>
    </w:p>
    <w:p w14:paraId="4F9FAC3C">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（3）所有以上违约金额均在承包人的履约保证金(包括银行利息)及计量支付款内扣 除，承包人履约保证金被扣除后，由发包人从最后一次计量支付时扣相应金额补足履约保证金。 </w:t>
      </w:r>
    </w:p>
    <w:p w14:paraId="573A747C">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（4）承包人的人员机械进场必须按照合同书或根据工程实际调整经监理人和发包人确认的人员和机械进场时间表进场，承包人不得拖延、调换或减少。主要机械的数量、型号和劳动力、 </w:t>
      </w:r>
    </w:p>
    <w:p w14:paraId="578F8BF0">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材料的投入，应与合同相符，若发包人或建设主管部门认为合同规定的进场机 械、材料和劳动力不能满足施工进度要求，有权指令承包人增加机械、材料和劳动力投入, 承包人不得拒绝。 </w:t>
      </w:r>
    </w:p>
    <w:p w14:paraId="6599C0B7">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（5）合同签订之日起 15 日内，承包人无法按合同规定进场全部人员和机械时，作为承包人 违约，发包人可解除合同，没收其全部履约保证金，另行发包工程。 </w:t>
      </w:r>
    </w:p>
    <w:p w14:paraId="52504EDB">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（6）合同履行过程中，承包人未按规定要求落实安全生产措施费用专款专用，挪用、 扣减安全生产措施费用，且不服从发包人或监理人的安全生产管理，发包人有权对违反安 全生产相关规定的行为处以罚款直至终止合同。 </w:t>
      </w:r>
    </w:p>
    <w:p w14:paraId="5B65B47E">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6.承包人生活设施及施工场地，应自费配备消防设备，防止火灾发生。 </w:t>
      </w:r>
    </w:p>
    <w:p w14:paraId="374BB577">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7.承包人使用的劳动力均应进行保险，否则不准安排工作，禁止使用童工。</w:t>
      </w:r>
    </w:p>
    <w:p w14:paraId="330CB9B2">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8.凡</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竞争性磋商文件</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 </w:t>
      </w:r>
    </w:p>
    <w:p w14:paraId="513633CB">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9.承包人未能按时完成当月合同进度计划 70% 工程量的，发包人有权自行组织施工， 以不超过</w:t>
      </w:r>
      <w:r>
        <w:rPr>
          <w:rFonts w:hint="eastAsia" w:ascii="Times New Roman" w:hAnsi="Times New Roman" w:eastAsia="宋体" w:cs="Times New Roman"/>
          <w:color w:val="000000" w:themeColor="text1"/>
          <w:sz w:val="21"/>
          <w:szCs w:val="21"/>
          <w:highlight w:val="none"/>
          <w:lang w:eastAsia="zh-CN" w:bidi="ar"/>
          <w14:textFill>
            <w14:solidFill>
              <w14:schemeClr w14:val="tx1"/>
            </w14:solidFill>
          </w14:textFill>
        </w:rPr>
        <w:t>响应</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报价的 2 倍单价扣减承包人的进度款，支付自行组织施工完成的工程款。也 有权终止本合同并清退承包人，承包人须在 10 天内离场，否则发包人将强行撤出所有施工 设备，所造成的全部损失由承包人承担。 </w:t>
      </w:r>
    </w:p>
    <w:p w14:paraId="688D7361">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 xml:space="preserve">10.有关主管部门及发包人检查发现问题时，承包人应按要求整改。在规定时间内不进 行整改或整改无效的，发包人有权终止本施工合同并清退承包人。承包人须在 10 天内离 场，否则发包人将强行撤出所有施工设备，所造成的全部损失由承包人承担。 </w:t>
      </w:r>
    </w:p>
    <w:p w14:paraId="36A36768">
      <w:pPr>
        <w:keepNext w:val="0"/>
        <w:keepLines w:val="0"/>
        <w:pageBreakBefore w:val="0"/>
        <w:widowControl/>
        <w:kinsoku/>
        <w:wordWrap/>
        <w:overflowPunct/>
        <w:topLinePunct w:val="0"/>
        <w:autoSpaceDE/>
        <w:autoSpaceDN/>
        <w:bidi w:val="0"/>
        <w:adjustRightInd/>
        <w:snapToGrid/>
        <w:spacing w:line="490" w:lineRule="exact"/>
        <w:ind w:firstLine="420" w:firstLineChars="200"/>
        <w:jc w:val="both"/>
        <w:textAlignment w:val="auto"/>
        <w:rPr>
          <w:rStyle w:val="45"/>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bookmarkStart w:id="647" w:name="bookmark1887"/>
      <w:bookmarkStart w:id="648" w:name="bookmark1886"/>
      <w:bookmarkStart w:id="649" w:name="bookmark1885"/>
      <w:r>
        <w:rPr>
          <w:rStyle w:val="45"/>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25.2发包人所有付款（含预付款）均转入承包人在发包人指定的银行开的账户中，承包人必须在发包人指定的银行开户，并与发包人、银行共同签订《工程资金监管协议》，接受发包人和银行对资金的监管。承包人此收款账户因公司名称变更等原因必须发生改变时，承包人应提前书面通知 （法定代表人签字并加盖单位电子公章）发包人，经发包人同意后方可变更。</w:t>
      </w:r>
      <w:bookmarkEnd w:id="647"/>
      <w:bookmarkEnd w:id="648"/>
      <w:bookmarkEnd w:id="649"/>
    </w:p>
    <w:p w14:paraId="4C0874AD">
      <w:pPr>
        <w:keepNext w:val="0"/>
        <w:keepLines w:val="0"/>
        <w:pageBreakBefore w:val="0"/>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bookmarkStart w:id="650" w:name="OLE_LINK31"/>
      <w:bookmarkStart w:id="651" w:name="bookmark1889"/>
      <w:bookmarkStart w:id="652" w:name="bookmark1890"/>
      <w:bookmarkStart w:id="653" w:name="bookmark1888"/>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25.3</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现场施工质量、安全、文明管理处罚规定</w:t>
      </w:r>
    </w:p>
    <w:p w14:paraId="0F07DBE3">
      <w:pPr>
        <w:keepNext w:val="0"/>
        <w:keepLines w:val="0"/>
        <w:pageBreakBefore w:val="0"/>
        <w:kinsoku/>
        <w:wordWrap/>
        <w:overflowPunct/>
        <w:topLinePunct w:val="0"/>
        <w:autoSpaceDE/>
        <w:autoSpaceDN/>
        <w:bidi w:val="0"/>
        <w:adjustRightInd/>
        <w:snapToGrid/>
        <w:spacing w:line="490" w:lineRule="exact"/>
        <w:jc w:val="both"/>
        <w:textAlignment w:val="auto"/>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 xml:space="preserve"> 详见附件四：《</w:t>
      </w:r>
      <w:r>
        <w:rPr>
          <w:rFonts w:hint="default" w:ascii="Times New Roman" w:hAnsi="Times New Roman" w:eastAsia="宋体" w:cs="Times New Roman"/>
          <w:color w:val="000000" w:themeColor="text1"/>
          <w:sz w:val="21"/>
          <w:szCs w:val="21"/>
          <w:highlight w:val="none"/>
          <w:lang w:eastAsia="zh-CN" w:bidi="ar"/>
          <w14:textFill>
            <w14:solidFill>
              <w14:schemeClr w14:val="tx1"/>
            </w14:solidFill>
          </w14:textFill>
        </w:rPr>
        <w:t>现场施工质量、安全、文明管理处罚规定》</w:t>
      </w:r>
    </w:p>
    <w:bookmarkEnd w:id="650"/>
    <w:p w14:paraId="0830E83D">
      <w:pPr>
        <w:keepNext w:val="0"/>
        <w:keepLines w:val="0"/>
        <w:pageBreakBefore w:val="0"/>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pPr>
      <w:bookmarkStart w:id="654" w:name="OLE_LINK39"/>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25.</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履约</w:t>
      </w:r>
      <w:bookmarkStart w:id="655" w:name="OLE_LINK38"/>
      <w:r>
        <w:rPr>
          <w:rFonts w:hint="eastAsia" w:ascii="Times New Roman" w:hAnsi="Times New Roman" w:cs="Times New Roman"/>
          <w:b/>
          <w:color w:val="000000" w:themeColor="text1"/>
          <w:sz w:val="24"/>
          <w:szCs w:val="24"/>
          <w:highlight w:val="none"/>
          <w:lang w:eastAsia="zh-CN"/>
          <w14:textFill>
            <w14:solidFill>
              <w14:schemeClr w14:val="tx1"/>
            </w14:solidFill>
          </w14:textFill>
        </w:rPr>
        <w:t>保证金</w:t>
      </w:r>
      <w:bookmarkEnd w:id="655"/>
    </w:p>
    <w:p w14:paraId="6744EE40">
      <w:pPr>
        <w:pStyle w:val="124"/>
        <w:keepNext w:val="0"/>
        <w:keepLines w:val="0"/>
        <w:pageBreakBefore w:val="0"/>
        <w:kinsoku/>
        <w:wordWrap/>
        <w:overflowPunct/>
        <w:topLinePunct w:val="0"/>
        <w:autoSpaceDE/>
        <w:autoSpaceDN/>
        <w:bidi w:val="0"/>
        <w:adjustRightInd/>
        <w:snapToGrid/>
        <w:spacing w:line="490" w:lineRule="exact"/>
        <w:ind w:left="66" w:leftChars="30" w:right="66" w:rightChars="30"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履约</w:t>
      </w:r>
      <w:r>
        <w:rPr>
          <w:rFonts w:hint="eastAsia" w:ascii="Times New Roman" w:hAnsi="Times New Roman" w:cs="Times New Roman"/>
          <w:color w:val="000000" w:themeColor="text1"/>
          <w:sz w:val="21"/>
          <w:szCs w:val="21"/>
          <w:highlight w:val="none"/>
          <w:lang w:eastAsia="zh-CN"/>
          <w14:textFill>
            <w14:solidFill>
              <w14:schemeClr w14:val="tx1"/>
            </w14:solidFill>
          </w14:textFill>
        </w:rPr>
        <w:t>保证金</w:t>
      </w:r>
      <w:r>
        <w:rPr>
          <w:rFonts w:hint="default" w:ascii="Times New Roman" w:hAnsi="Times New Roman" w:eastAsia="宋体" w:cs="Times New Roman"/>
          <w:color w:val="000000" w:themeColor="text1"/>
          <w:sz w:val="21"/>
          <w:szCs w:val="21"/>
          <w:highlight w:val="none"/>
          <w14:textFill>
            <w14:solidFill>
              <w14:schemeClr w14:val="tx1"/>
            </w14:solidFill>
          </w14:textFill>
        </w:rPr>
        <w:t>的形式：</w:t>
      </w:r>
      <w:bookmarkStart w:id="656" w:name="OLE_LINK37"/>
      <w:r>
        <w:rPr>
          <w:rFonts w:hint="eastAsia" w:ascii="Times New Roman" w:hAnsi="Times New Roman" w:cs="Times New Roman"/>
          <w:color w:val="000000" w:themeColor="text1"/>
          <w:sz w:val="21"/>
          <w:szCs w:val="21"/>
          <w:highlight w:val="none"/>
          <w:lang w:eastAsia="zh-CN"/>
          <w14:textFill>
            <w14:solidFill>
              <w14:schemeClr w14:val="tx1"/>
            </w14:solidFill>
          </w14:textFill>
        </w:rPr>
        <w:t>银行转账</w:t>
      </w:r>
      <w:bookmarkEnd w:id="656"/>
      <w:r>
        <w:rPr>
          <w:rFonts w:hint="eastAsia" w:ascii="Times New Roman" w:hAnsi="Times New Roman" w:cs="Times New Roman"/>
          <w:color w:val="000000" w:themeColor="text1"/>
          <w:sz w:val="21"/>
          <w:szCs w:val="21"/>
          <w:highlight w:val="none"/>
          <w:lang w:eastAsia="zh-CN"/>
          <w14:textFill>
            <w14:solidFill>
              <w14:schemeClr w14:val="tx1"/>
            </w14:solidFill>
          </w14:textFill>
        </w:rPr>
        <w:t>（电汇）</w:t>
      </w:r>
      <w:r>
        <w:rPr>
          <w:rFonts w:hint="default" w:ascii="Times New Roman" w:hAnsi="Times New Roman" w:eastAsia="宋体" w:cs="Times New Roman"/>
          <w:color w:val="000000" w:themeColor="text1"/>
          <w:sz w:val="21"/>
          <w:szCs w:val="21"/>
          <w:highlight w:val="none"/>
          <w14:textFill>
            <w14:solidFill>
              <w14:schemeClr w14:val="tx1"/>
            </w14:solidFill>
          </w14:textFill>
        </w:rPr>
        <w:t>或履约保函。</w:t>
      </w:r>
    </w:p>
    <w:p w14:paraId="089FC1E9">
      <w:pPr>
        <w:pStyle w:val="124"/>
        <w:keepNext w:val="0"/>
        <w:keepLines w:val="0"/>
        <w:pageBreakBefore w:val="0"/>
        <w:tabs>
          <w:tab w:val="left" w:leader="underscore" w:pos="2559"/>
        </w:tabs>
        <w:kinsoku/>
        <w:wordWrap/>
        <w:overflowPunct/>
        <w:topLinePunct w:val="0"/>
        <w:autoSpaceDE/>
        <w:autoSpaceDN/>
        <w:bidi w:val="0"/>
        <w:adjustRightInd/>
        <w:snapToGrid/>
        <w:spacing w:line="490" w:lineRule="exact"/>
        <w:ind w:left="44" w:leftChars="20" w:right="44" w:rightChars="20" w:firstLine="420" w:firstLineChars="2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本项目的履约</w:t>
      </w:r>
      <w:r>
        <w:rPr>
          <w:rFonts w:hint="eastAsia" w:ascii="Times New Roman" w:hAnsi="Times New Roman" w:cs="Times New Roman"/>
          <w:color w:val="000000" w:themeColor="text1"/>
          <w:sz w:val="21"/>
          <w:szCs w:val="21"/>
          <w:highlight w:val="none"/>
          <w:lang w:eastAsia="zh-CN"/>
          <w14:textFill>
            <w14:solidFill>
              <w14:schemeClr w14:val="tx1"/>
            </w14:solidFill>
          </w14:textFill>
        </w:rPr>
        <w:t>保证金金额</w:t>
      </w:r>
      <w:r>
        <w:rPr>
          <w:rFonts w:hint="default" w:ascii="Times New Roman" w:hAnsi="Times New Roman" w:eastAsia="宋体" w:cs="Times New Roman"/>
          <w:color w:val="000000" w:themeColor="text1"/>
          <w:sz w:val="21"/>
          <w:szCs w:val="21"/>
          <w:highlight w:val="none"/>
          <w14:textFill>
            <w14:solidFill>
              <w14:schemeClr w14:val="tx1"/>
            </w14:solidFill>
          </w14:textFill>
        </w:rPr>
        <w:t>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1"/>
          <w:szCs w:val="21"/>
          <w:highlight w:val="none"/>
          <w14:textFill>
            <w14:solidFill>
              <w14:schemeClr w14:val="tx1"/>
            </w14:solidFill>
          </w14:textFill>
        </w:rPr>
        <w:t>合同金额的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bookmarkStart w:id="657" w:name="OLE_LINK36"/>
      <w:bookmarkStart w:id="658" w:name="OLE_LINK33"/>
      <w:r>
        <w:rPr>
          <w:rFonts w:hint="default" w:ascii="Times New Roman" w:hAnsi="Times New Roman" w:eastAsia="宋体" w:cs="Times New Roman"/>
          <w:color w:val="000000" w:themeColor="text1"/>
          <w:sz w:val="21"/>
          <w:szCs w:val="21"/>
          <w:highlight w:val="none"/>
          <w14:textFill>
            <w14:solidFill>
              <w14:schemeClr w14:val="tx1"/>
            </w14:solidFill>
          </w14:textFill>
        </w:rPr>
        <w:t>履约保证金应从</w:t>
      </w:r>
      <w:bookmarkStart w:id="659" w:name="OLE_LINK34"/>
      <w:r>
        <w:rPr>
          <w:rFonts w:hint="eastAsia" w:ascii="Times New Roman" w:hAnsi="Times New Roman" w:cs="Times New Roman"/>
          <w:color w:val="000000" w:themeColor="text1"/>
          <w:sz w:val="21"/>
          <w:szCs w:val="21"/>
          <w:highlight w:val="none"/>
          <w:lang w:eastAsia="zh-CN"/>
          <w14:textFill>
            <w14:solidFill>
              <w14:schemeClr w14:val="tx1"/>
            </w14:solidFill>
          </w14:textFill>
        </w:rPr>
        <w:t>承包人</w:t>
      </w:r>
      <w:bookmarkEnd w:id="659"/>
      <w:r>
        <w:rPr>
          <w:rFonts w:hint="default" w:ascii="Times New Roman" w:hAnsi="Times New Roman" w:eastAsia="宋体" w:cs="Times New Roman"/>
          <w:color w:val="000000" w:themeColor="text1"/>
          <w:sz w:val="21"/>
          <w:szCs w:val="21"/>
          <w:highlight w:val="none"/>
          <w14:textFill>
            <w14:solidFill>
              <w14:schemeClr w14:val="tx1"/>
            </w14:solidFill>
          </w14:textFill>
        </w:rPr>
        <w:t>银行基本账户转出，履约保函应由</w:t>
      </w:r>
      <w:bookmarkStart w:id="660" w:name="OLE_LINK35"/>
      <w:r>
        <w:rPr>
          <w:rFonts w:hint="eastAsia" w:ascii="Times New Roman" w:hAnsi="Times New Roman" w:cs="Times New Roman"/>
          <w:color w:val="000000" w:themeColor="text1"/>
          <w:sz w:val="21"/>
          <w:szCs w:val="21"/>
          <w:highlight w:val="none"/>
          <w:lang w:eastAsia="zh-CN"/>
          <w14:textFill>
            <w14:solidFill>
              <w14:schemeClr w14:val="tx1"/>
            </w14:solidFill>
          </w14:textFill>
        </w:rPr>
        <w:t>承包人</w:t>
      </w:r>
      <w:bookmarkEnd w:id="660"/>
      <w:r>
        <w:rPr>
          <w:rFonts w:hint="default" w:ascii="Times New Roman" w:hAnsi="Times New Roman" w:eastAsia="宋体" w:cs="Times New Roman"/>
          <w:color w:val="000000" w:themeColor="text1"/>
          <w:sz w:val="21"/>
          <w:szCs w:val="21"/>
          <w:highlight w:val="none"/>
          <w14:textFill>
            <w14:solidFill>
              <w14:schemeClr w14:val="tx1"/>
            </w14:solidFill>
          </w14:textFill>
        </w:rPr>
        <w:t>基本账户所在银行开具</w:t>
      </w:r>
      <w:bookmarkEnd w:id="657"/>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履约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保证金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在</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签订合同后</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无息退还给</w:t>
      </w:r>
      <w:r>
        <w:rPr>
          <w:rFonts w:hint="eastAsia" w:ascii="Times New Roman" w:hAnsi="Times New Roman" w:cs="Times New Roman"/>
          <w:color w:val="000000" w:themeColor="text1"/>
          <w:sz w:val="21"/>
          <w:szCs w:val="21"/>
          <w:highlight w:val="none"/>
          <w:lang w:eastAsia="zh-CN"/>
          <w14:textFill>
            <w14:solidFill>
              <w14:schemeClr w14:val="tx1"/>
            </w14:solidFill>
          </w14:textFill>
        </w:rPr>
        <w:t>承包人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bookmarkEnd w:id="654"/>
    <w:bookmarkEnd w:id="658"/>
    <w:p w14:paraId="680234B5">
      <w:pPr>
        <w:keepNext w:val="0"/>
        <w:keepLines w:val="0"/>
        <w:pageBreakBefore w:val="0"/>
        <w:widowControl/>
        <w:kinsoku/>
        <w:wordWrap/>
        <w:overflowPunct/>
        <w:topLinePunct w:val="0"/>
        <w:autoSpaceDE/>
        <w:autoSpaceDN/>
        <w:bidi w:val="0"/>
        <w:adjustRightInd/>
        <w:snapToGrid/>
        <w:spacing w:line="490" w:lineRule="exact"/>
        <w:ind w:firstLine="482" w:firstLineChars="200"/>
        <w:jc w:val="both"/>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25.</w:t>
      </w:r>
      <w:r>
        <w:rPr>
          <w:rFonts w:hint="default" w:ascii="Times New Roman" w:hAnsi="Times New Roman" w:eastAsia="宋体" w:cs="Times New Roman"/>
          <w:b/>
          <w:bCs/>
          <w:color w:val="000000" w:themeColor="text1"/>
          <w:sz w:val="24"/>
          <w:szCs w:val="24"/>
          <w:highlight w:val="none"/>
          <w:lang w:val="en-US" w:eastAsia="zh-CN" w:bidi="ar"/>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lang w:eastAsia="zh-CN" w:bidi="ar"/>
          <w14:textFill>
            <w14:solidFill>
              <w14:schemeClr w14:val="tx1"/>
            </w14:solidFill>
          </w14:textFill>
        </w:rPr>
        <w:t>专用合同条款中未尽事宜，在签订施工合同时双方再商定。</w:t>
      </w:r>
    </w:p>
    <w:bookmarkEnd w:id="651"/>
    <w:bookmarkEnd w:id="652"/>
    <w:bookmarkEnd w:id="653"/>
    <w:p w14:paraId="54DFFDDB">
      <w:pPr>
        <w:pStyle w:val="10"/>
        <w:spacing w:after="600" w:afterLines="250" w:line="410" w:lineRule="exact"/>
        <w:ind w:left="0" w:right="0"/>
        <w:jc w:val="left"/>
        <w:rPr>
          <w:rFonts w:ascii="Times New Roman" w:hAnsi="宋体" w:eastAsia="宋体" w:cs="Times New Roman"/>
          <w:color w:val="000000" w:themeColor="text1"/>
          <w:sz w:val="32"/>
          <w:szCs w:val="32"/>
          <w:highlight w:val="none"/>
          <w14:textFill>
            <w14:solidFill>
              <w14:schemeClr w14:val="tx1"/>
            </w14:solidFill>
          </w14:textFill>
        </w:rPr>
      </w:pPr>
    </w:p>
    <w:p w14:paraId="2CB48348">
      <w:pPr>
        <w:pStyle w:val="10"/>
        <w:spacing w:after="600" w:afterLines="250" w:line="410" w:lineRule="exact"/>
        <w:ind w:left="0" w:right="0"/>
        <w:rPr>
          <w:rFonts w:ascii="Times New Roman" w:hAnsi="宋体" w:eastAsia="宋体" w:cs="Times New Roman"/>
          <w:color w:val="000000" w:themeColor="text1"/>
          <w:sz w:val="32"/>
          <w:szCs w:val="32"/>
          <w:highlight w:val="none"/>
          <w14:textFill>
            <w14:solidFill>
              <w14:schemeClr w14:val="tx1"/>
            </w14:solidFill>
          </w14:textFill>
        </w:rPr>
      </w:pPr>
    </w:p>
    <w:p w14:paraId="27CB1ED5">
      <w:pPr>
        <w:rPr>
          <w:rFonts w:ascii="Times New Roman" w:hAnsi="宋体" w:eastAsia="宋体" w:cs="Times New Roman"/>
          <w:color w:val="000000" w:themeColor="text1"/>
          <w:sz w:val="32"/>
          <w:szCs w:val="32"/>
          <w:highlight w:val="none"/>
          <w14:textFill>
            <w14:solidFill>
              <w14:schemeClr w14:val="tx1"/>
            </w14:solidFill>
          </w14:textFill>
        </w:rPr>
      </w:pPr>
      <w:r>
        <w:rPr>
          <w:rFonts w:ascii="Times New Roman" w:hAnsi="宋体" w:eastAsia="宋体" w:cs="Times New Roman"/>
          <w:color w:val="000000" w:themeColor="text1"/>
          <w:sz w:val="32"/>
          <w:szCs w:val="32"/>
          <w:highlight w:val="none"/>
          <w14:textFill>
            <w14:solidFill>
              <w14:schemeClr w14:val="tx1"/>
            </w14:solidFill>
          </w14:textFill>
        </w:rPr>
        <w:br w:type="page"/>
      </w:r>
    </w:p>
    <w:p w14:paraId="7FEF06E7">
      <w:pPr>
        <w:pStyle w:val="10"/>
        <w:keepNext w:val="0"/>
        <w:keepLines w:val="0"/>
        <w:pageBreakBefore w:val="0"/>
        <w:widowControl w:val="0"/>
        <w:kinsoku/>
        <w:wordWrap/>
        <w:overflowPunct/>
        <w:topLinePunct w:val="0"/>
        <w:autoSpaceDE w:val="0"/>
        <w:autoSpaceDN w:val="0"/>
        <w:bidi w:val="0"/>
        <w:adjustRightInd/>
        <w:snapToGrid/>
        <w:spacing w:after="0" w:afterLines="150" w:line="740" w:lineRule="exact"/>
        <w:ind w:left="0" w:right="0"/>
        <w:jc w:val="both"/>
        <w:textAlignment w:val="auto"/>
        <w:rPr>
          <w:rFonts w:hint="eastAsia" w:ascii="Times New Roman" w:hAnsi="宋体" w:eastAsia="宋体" w:cs="Times New Roman"/>
          <w:color w:val="000000" w:themeColor="text1"/>
          <w:sz w:val="32"/>
          <w:szCs w:val="32"/>
          <w:highlight w:val="none"/>
          <w:lang w:eastAsia="zh-CN"/>
          <w14:textFill>
            <w14:solidFill>
              <w14:schemeClr w14:val="tx1"/>
            </w14:solidFill>
          </w14:textFill>
        </w:rPr>
      </w:pPr>
      <w:r>
        <w:rPr>
          <w:rFonts w:ascii="Times New Roman" w:hAnsi="宋体" w:eastAsia="宋体" w:cs="Times New Roman"/>
          <w:color w:val="000000" w:themeColor="text1"/>
          <w:sz w:val="32"/>
          <w:szCs w:val="32"/>
          <w:highlight w:val="none"/>
          <w14:textFill>
            <w14:solidFill>
              <w14:schemeClr w14:val="tx1"/>
            </w14:solidFill>
          </w14:textFill>
        </w:rPr>
        <w:t>附件</w:t>
      </w:r>
      <w:r>
        <w:rPr>
          <w:rFonts w:hint="eastAsia" w:ascii="Times New Roman" w:hAnsi="Times New Roman" w:eastAsia="宋体" w:cs="Times New Roman"/>
          <w:color w:val="000000" w:themeColor="text1"/>
          <w:sz w:val="32"/>
          <w:szCs w:val="32"/>
          <w:highlight w:val="none"/>
          <w:lang w:eastAsia="zh-CN"/>
          <w14:textFill>
            <w14:solidFill>
              <w14:schemeClr w14:val="tx1"/>
            </w14:solidFill>
          </w14:textFill>
        </w:rPr>
        <w:t>一</w:t>
      </w:r>
      <w:r>
        <w:rPr>
          <w:rFonts w:ascii="Times New Roman" w:hAnsi="宋体" w:eastAsia="宋体" w:cs="Times New Roman"/>
          <w:color w:val="000000" w:themeColor="text1"/>
          <w:sz w:val="32"/>
          <w:szCs w:val="32"/>
          <w:highlight w:val="none"/>
          <w14:textFill>
            <w14:solidFill>
              <w14:schemeClr w14:val="tx1"/>
            </w14:solidFill>
          </w14:textFill>
        </w:rPr>
        <w:t>：</w:t>
      </w:r>
      <w:r>
        <w:rPr>
          <w:rFonts w:hint="eastAsia" w:ascii="Times New Roman" w:hAnsi="宋体" w:eastAsia="宋体" w:cs="Times New Roman"/>
          <w:color w:val="000000" w:themeColor="text1"/>
          <w:sz w:val="32"/>
          <w:szCs w:val="32"/>
          <w:highlight w:val="none"/>
          <w:lang w:eastAsia="zh-CN"/>
          <w14:textFill>
            <w14:solidFill>
              <w14:schemeClr w14:val="tx1"/>
            </w14:solidFill>
          </w14:textFill>
        </w:rPr>
        <w:t>工程质量保修书</w:t>
      </w:r>
    </w:p>
    <w:p w14:paraId="477B2D19">
      <w:pPr>
        <w:pStyle w:val="10"/>
        <w:keepNext w:val="0"/>
        <w:keepLines w:val="0"/>
        <w:pageBreakBefore w:val="0"/>
        <w:widowControl w:val="0"/>
        <w:kinsoku/>
        <w:wordWrap/>
        <w:overflowPunct/>
        <w:topLinePunct w:val="0"/>
        <w:autoSpaceDE w:val="0"/>
        <w:autoSpaceDN w:val="0"/>
        <w:bidi w:val="0"/>
        <w:adjustRightInd/>
        <w:snapToGrid/>
        <w:spacing w:after="600" w:afterLines="250" w:line="740" w:lineRule="exact"/>
        <w:ind w:left="0" w:right="0"/>
        <w:jc w:val="center"/>
        <w:textAlignment w:val="auto"/>
        <w:rPr>
          <w:rFonts w:ascii="Times New Roman" w:hAnsi="Times New Roman" w:eastAsia="宋体" w:cs="Times New Roman"/>
          <w:color w:val="000000" w:themeColor="text1"/>
          <w:sz w:val="32"/>
          <w:szCs w:val="32"/>
          <w:highlight w:val="none"/>
          <w14:textFill>
            <w14:solidFill>
              <w14:schemeClr w14:val="tx1"/>
            </w14:solidFill>
          </w14:textFill>
        </w:rPr>
      </w:pPr>
      <w:bookmarkStart w:id="661" w:name="OLE_LINK43"/>
      <w:r>
        <w:rPr>
          <w:rFonts w:ascii="Times New Roman" w:hAnsi="宋体" w:eastAsia="宋体" w:cs="Times New Roman"/>
          <w:color w:val="000000" w:themeColor="text1"/>
          <w:sz w:val="32"/>
          <w:szCs w:val="32"/>
          <w:highlight w:val="none"/>
          <w14:textFill>
            <w14:solidFill>
              <w14:schemeClr w14:val="tx1"/>
            </w14:solidFill>
          </w14:textFill>
        </w:rPr>
        <w:t>工程质量保修书</w:t>
      </w:r>
      <w:bookmarkEnd w:id="300"/>
    </w:p>
    <w:bookmarkEnd w:id="661"/>
    <w:p w14:paraId="5A44FFFC">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cs="Times New Roman"/>
          <w:color w:val="000000" w:themeColor="text1"/>
          <w:sz w:val="21"/>
          <w:szCs w:val="21"/>
          <w:highlight w:val="none"/>
          <w14:textFill>
            <w14:solidFill>
              <w14:schemeClr w14:val="tx1"/>
            </w14:solidFill>
          </w14:textFill>
        </w:rPr>
        <w:t>发包人（全称）：</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p>
    <w:p w14:paraId="7115750B">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cs="Times New Roman"/>
          <w:color w:val="000000" w:themeColor="text1"/>
          <w:sz w:val="21"/>
          <w:szCs w:val="21"/>
          <w:highlight w:val="none"/>
          <w14:textFill>
            <w14:solidFill>
              <w14:schemeClr w14:val="tx1"/>
            </w14:solidFill>
          </w14:textFill>
        </w:rPr>
        <w:t>承包人（全称）：</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p>
    <w:p w14:paraId="3D3E3446">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p>
    <w:p w14:paraId="0E32DB95">
      <w:pPr>
        <w:keepNext w:val="0"/>
        <w:keepLines w:val="0"/>
        <w:pageBreakBefore w:val="0"/>
        <w:widowControl w:val="0"/>
        <w:kinsoku/>
        <w:wordWrap/>
        <w:overflowPunct/>
        <w:topLinePunct w:val="0"/>
        <w:autoSpaceDE w:val="0"/>
        <w:autoSpaceDN w:val="0"/>
        <w:bidi w:val="0"/>
        <w:adjustRightInd/>
        <w:snapToGrid/>
        <w:spacing w:line="51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发包人和承包人根据《中华人民共和国建筑法》和《建设工程质量管理条例》，经协商一致就</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（工程全称）签订工程质量保修书。</w:t>
      </w:r>
    </w:p>
    <w:p w14:paraId="0315EAE3">
      <w:pPr>
        <w:keepNext w:val="0"/>
        <w:keepLines w:val="0"/>
        <w:pageBreakBefore w:val="0"/>
        <w:widowControl w:val="0"/>
        <w:kinsoku/>
        <w:wordWrap/>
        <w:overflowPunct w:val="0"/>
        <w:topLinePunct w:val="0"/>
        <w:autoSpaceDE w:val="0"/>
        <w:autoSpaceDN w:val="0"/>
        <w:bidi w:val="0"/>
        <w:adjustRightInd/>
        <w:snapToGrid w:val="0"/>
        <w:spacing w:line="510" w:lineRule="exact"/>
        <w:ind w:left="100" w:firstLine="526"/>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bookmarkStart w:id="662" w:name="_Toc500469766"/>
      <w:bookmarkStart w:id="663" w:name="_Toc40365227"/>
      <w:bookmarkStart w:id="664" w:name="_Toc500469625"/>
      <w:bookmarkStart w:id="665" w:name="_Toc10548"/>
      <w:bookmarkStart w:id="666" w:name="_Toc2899"/>
      <w:bookmarkStart w:id="667" w:name="_Toc31218"/>
    </w:p>
    <w:p w14:paraId="40807DF4">
      <w:pPr>
        <w:keepNext w:val="0"/>
        <w:keepLines w:val="0"/>
        <w:pageBreakBefore w:val="0"/>
        <w:widowControl w:val="0"/>
        <w:kinsoku/>
        <w:wordWrap/>
        <w:overflowPunct w:val="0"/>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为保证__________________________________（工程名称）在合理使用期限内正常使用，发包人承包人协商一致签订工程质量保修书。承包人在质量保修期内按照有关管理规定及双方约定承担工程质量保修责任。</w:t>
      </w:r>
    </w:p>
    <w:p w14:paraId="7680D0CE">
      <w:pPr>
        <w:keepNext w:val="0"/>
        <w:keepLines w:val="0"/>
        <w:pageBreakBefore w:val="0"/>
        <w:widowControl w:val="0"/>
        <w:kinsoku/>
        <w:wordWrap/>
        <w:topLinePunct w:val="0"/>
        <w:autoSpaceDE w:val="0"/>
        <w:autoSpaceDN w:val="0"/>
        <w:bidi w:val="0"/>
        <w:adjustRightInd/>
        <w:snapToGrid w:val="0"/>
        <w:spacing w:line="510" w:lineRule="exact"/>
        <w:ind w:firstLine="422"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一、工程质量保修范围和内容</w:t>
      </w:r>
    </w:p>
    <w:p w14:paraId="7C38CDDF">
      <w:pPr>
        <w:keepNext w:val="0"/>
        <w:keepLines w:val="0"/>
        <w:pageBreakBefore w:val="0"/>
        <w:widowControl w:val="0"/>
        <w:tabs>
          <w:tab w:val="left" w:pos="6440"/>
        </w:tabs>
        <w:kinsoku/>
        <w:wordWrap/>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质量保修范围包括</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p w14:paraId="459F2C5C">
      <w:pPr>
        <w:keepNext w:val="0"/>
        <w:keepLines w:val="0"/>
        <w:pageBreakBefore w:val="0"/>
        <w:widowControl w:val="0"/>
        <w:kinsoku/>
        <w:wordWrap/>
        <w:topLinePunct w:val="0"/>
        <w:autoSpaceDE w:val="0"/>
        <w:autoSpaceDN w:val="0"/>
        <w:bidi w:val="0"/>
        <w:adjustRightInd/>
        <w:snapToGrid w:val="0"/>
        <w:spacing w:line="510" w:lineRule="exact"/>
        <w:ind w:firstLine="422"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二、质量保修期</w:t>
      </w:r>
    </w:p>
    <w:p w14:paraId="56AA4A7E">
      <w:pPr>
        <w:keepNext w:val="0"/>
        <w:keepLines w:val="0"/>
        <w:pageBreakBefore w:val="0"/>
        <w:widowControl w:val="0"/>
        <w:kinsoku/>
        <w:wordWrap/>
        <w:overflowPunct w:val="0"/>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质量保修期从工程实际竣工之日算起。双方根据国家有关规定，结合具体工程约定质量保修期为两年。</w:t>
      </w:r>
    </w:p>
    <w:p w14:paraId="153A93FF">
      <w:pPr>
        <w:keepNext w:val="0"/>
        <w:keepLines w:val="0"/>
        <w:pageBreakBefore w:val="0"/>
        <w:widowControl w:val="0"/>
        <w:kinsoku/>
        <w:wordWrap/>
        <w:topLinePunct w:val="0"/>
        <w:autoSpaceDE w:val="0"/>
        <w:autoSpaceDN w:val="0"/>
        <w:bidi w:val="0"/>
        <w:adjustRightInd/>
        <w:snapToGrid w:val="0"/>
        <w:spacing w:line="510" w:lineRule="exact"/>
        <w:ind w:firstLine="422"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三、质量保修责任</w:t>
      </w:r>
    </w:p>
    <w:p w14:paraId="48555D24">
      <w:pPr>
        <w:keepNext w:val="0"/>
        <w:keepLines w:val="0"/>
        <w:pageBreakBefore w:val="0"/>
        <w:widowControl w:val="0"/>
        <w:kinsoku/>
        <w:wordWrap/>
        <w:overflowPunct w:val="0"/>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 xml:space="preserve">属于保修范围和内容的项目，承包人应在接到修理通知之日后 </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7</w:t>
      </w:r>
      <w:r>
        <w:rPr>
          <w:rFonts w:hint="default" w:ascii="Times New Roman" w:hAnsi="Times New Roman" w:eastAsia="宋体" w:cs="Times New Roman"/>
          <w:color w:val="000000" w:themeColor="text1"/>
          <w:sz w:val="21"/>
          <w:szCs w:val="21"/>
          <w:lang w:eastAsia="zh-CN"/>
          <w14:textFill>
            <w14:solidFill>
              <w14:schemeClr w14:val="tx1"/>
            </w14:solidFill>
          </w14:textFill>
        </w:rPr>
        <w:t xml:space="preserve"> 天内派人处理。承包人不在约定期限内派人修理，发包人可委托其他人员修理，保修费用从质量</w:t>
      </w:r>
      <w:r>
        <w:rPr>
          <w:rFonts w:hint="eastAsia" w:ascii="Times New Roman" w:hAnsi="Times New Roman" w:cs="Times New Roman"/>
          <w:color w:val="000000" w:themeColor="text1"/>
          <w:sz w:val="21"/>
          <w:szCs w:val="21"/>
          <w:lang w:eastAsia="zh-CN"/>
          <w14:textFill>
            <w14:solidFill>
              <w14:schemeClr w14:val="tx1"/>
            </w14:solidFill>
          </w14:textFill>
        </w:rPr>
        <w:t>保证金中</w:t>
      </w:r>
      <w:r>
        <w:rPr>
          <w:rFonts w:hint="default" w:ascii="Times New Roman" w:hAnsi="Times New Roman" w:eastAsia="宋体" w:cs="Times New Roman"/>
          <w:color w:val="000000" w:themeColor="text1"/>
          <w:sz w:val="21"/>
          <w:szCs w:val="21"/>
          <w:lang w:eastAsia="zh-CN"/>
          <w14:textFill>
            <w14:solidFill>
              <w14:schemeClr w14:val="tx1"/>
            </w14:solidFill>
          </w14:textFill>
        </w:rPr>
        <w:t>扣除。</w:t>
      </w:r>
    </w:p>
    <w:p w14:paraId="71F6878F">
      <w:pPr>
        <w:keepNext w:val="0"/>
        <w:keepLines w:val="0"/>
        <w:pageBreakBefore w:val="0"/>
        <w:widowControl w:val="0"/>
        <w:kinsoku/>
        <w:wordWrap/>
        <w:overflowPunct w:val="0"/>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发生须紧急抢修事故（如跑水等），承包人接到事故通知后，应立即到在事故现场抢修。非承包人施工质量引起事故，抢修费用由发包人承担。</w:t>
      </w:r>
    </w:p>
    <w:p w14:paraId="22C2D1F8">
      <w:pPr>
        <w:keepNext w:val="0"/>
        <w:keepLines w:val="0"/>
        <w:pageBreakBefore w:val="0"/>
        <w:widowControl w:val="0"/>
        <w:kinsoku/>
        <w:wordWrap/>
        <w:overflowPunct w:val="0"/>
        <w:topLinePunct w:val="0"/>
        <w:autoSpaceDE w:val="0"/>
        <w:autoSpaceDN w:val="0"/>
        <w:bidi w:val="0"/>
        <w:adjustRightInd/>
        <w:snapToGrid w:val="0"/>
        <w:spacing w:line="510" w:lineRule="exact"/>
        <w:ind w:firstLine="420" w:firstLineChars="2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eastAsia="zh-CN"/>
          <w14:textFill>
            <w14:solidFill>
              <w14:schemeClr w14:val="tx1"/>
            </w14:solidFill>
          </w14:textFill>
        </w:rPr>
        <w:t>在国家规定的工程合理使用期限内，承包人确保基础工程和主体结构的质量。因承包人原因致使工程在合理使用期限内造成人身和财产损害的，承包人应承担损害赔偿责任。</w:t>
      </w:r>
    </w:p>
    <w:p w14:paraId="2FEF5CF9">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四、质量保证金的支付</w:t>
      </w:r>
    </w:p>
    <w:p w14:paraId="5FA80F0B">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本工程约定的工程质量保证金为工程结算价款的 3%。</w:t>
      </w:r>
    </w:p>
    <w:p w14:paraId="134B2D73">
      <w:pPr>
        <w:keepNext w:val="0"/>
        <w:keepLines w:val="0"/>
        <w:pageBreakBefore w:val="0"/>
        <w:widowControl w:val="0"/>
        <w:kinsoku/>
        <w:wordWrap/>
        <w:overflowPunct w:val="0"/>
        <w:topLinePunct w:val="0"/>
        <w:autoSpaceDE w:val="0"/>
        <w:autoSpaceDN w:val="0"/>
        <w:bidi w:val="0"/>
        <w:adjustRightInd/>
        <w:snapToGrid w:val="0"/>
        <w:spacing w:line="510" w:lineRule="exact"/>
        <w:ind w:left="100" w:firstLine="516"/>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本工程双方约定承包向发包人支付工程质量</w:t>
      </w:r>
      <w:r>
        <w:rPr>
          <w:rFonts w:hint="eastAsia" w:ascii="Times New Roman" w:hAnsi="Times New Roman" w:cs="Times New Roman"/>
          <w:color w:val="000000" w:themeColor="text1"/>
          <w:sz w:val="21"/>
          <w:szCs w:val="21"/>
          <w:lang w:eastAsia="zh-CN"/>
          <w14:textFill>
            <w14:solidFill>
              <w14:schemeClr w14:val="tx1"/>
            </w14:solidFill>
          </w14:textFill>
        </w:rPr>
        <w:t>保证金</w:t>
      </w:r>
      <w:r>
        <w:rPr>
          <w:rFonts w:hint="default" w:ascii="Times New Roman" w:hAnsi="Times New Roman" w:eastAsia="宋体" w:cs="Times New Roman"/>
          <w:color w:val="000000" w:themeColor="text1"/>
          <w:sz w:val="21"/>
          <w:szCs w:val="21"/>
          <w:lang w:eastAsia="zh-CN"/>
          <w14:textFill>
            <w14:solidFill>
              <w14:schemeClr w14:val="tx1"/>
            </w14:solidFill>
          </w14:textFill>
        </w:rPr>
        <w:t>金额为_______（大写</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 xml:space="preserve">   </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）。质量</w:t>
      </w:r>
      <w:r>
        <w:rPr>
          <w:rFonts w:hint="eastAsia" w:ascii="Times New Roman" w:hAnsi="Times New Roman" w:cs="Times New Roman"/>
          <w:color w:val="000000" w:themeColor="text1"/>
          <w:sz w:val="21"/>
          <w:szCs w:val="21"/>
          <w:lang w:eastAsia="zh-CN"/>
          <w14:textFill>
            <w14:solidFill>
              <w14:schemeClr w14:val="tx1"/>
            </w14:solidFill>
          </w14:textFill>
        </w:rPr>
        <w:t>保证</w:t>
      </w:r>
      <w:r>
        <w:rPr>
          <w:rFonts w:hint="default" w:ascii="Times New Roman" w:hAnsi="Times New Roman" w:eastAsia="宋体" w:cs="Times New Roman"/>
          <w:color w:val="000000" w:themeColor="text1"/>
          <w:sz w:val="21"/>
          <w:szCs w:val="21"/>
          <w:lang w:eastAsia="zh-CN"/>
          <w14:textFill>
            <w14:solidFill>
              <w14:schemeClr w14:val="tx1"/>
            </w14:solidFill>
          </w14:textFill>
        </w:rPr>
        <w:t>金银行利率为__________________。</w:t>
      </w:r>
    </w:p>
    <w:p w14:paraId="3FF1C3AB">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五、质量保证金的返还</w:t>
      </w:r>
    </w:p>
    <w:p w14:paraId="47FA7535">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发包人在质量保修期满后 30天内，将剩余保证金和利息返还承包人。</w:t>
      </w:r>
    </w:p>
    <w:p w14:paraId="2F2D8FE2">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lang w:eastAsia="zh-CN"/>
          <w14:textFill>
            <w14:solidFill>
              <w14:schemeClr w14:val="tx1"/>
            </w14:solidFill>
          </w14:textFill>
        </w:rPr>
        <w:t>六、其它</w:t>
      </w:r>
    </w:p>
    <w:p w14:paraId="520C5BF8">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双方约定的其他工程质量保修事项：</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eastAsia="zh-CN"/>
          <w14:textFill>
            <w14:solidFill>
              <w14:schemeClr w14:val="tx1"/>
            </w14:solidFill>
          </w14:textFill>
        </w:rPr>
        <w:t xml:space="preserve">  。</w:t>
      </w:r>
    </w:p>
    <w:p w14:paraId="7B1E30F6">
      <w:pPr>
        <w:keepNext w:val="0"/>
        <w:keepLines w:val="0"/>
        <w:pageBreakBefore w:val="0"/>
        <w:widowControl w:val="0"/>
        <w:kinsoku/>
        <w:wordWrap/>
        <w:topLinePunct w:val="0"/>
        <w:autoSpaceDE w:val="0"/>
        <w:autoSpaceDN w:val="0"/>
        <w:bidi w:val="0"/>
        <w:adjustRightInd/>
        <w:snapToGrid w:val="0"/>
        <w:spacing w:line="510" w:lineRule="exact"/>
        <w:ind w:left="600"/>
        <w:textAlignment w:val="auto"/>
        <w:rPr>
          <w:rFonts w:hint="eastAsia"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本工程质量保修书作为施工合同附件，由施工合同发包人承包人双方共同签署。</w:t>
      </w:r>
      <w:bookmarkEnd w:id="662"/>
      <w:bookmarkEnd w:id="663"/>
      <w:bookmarkEnd w:id="664"/>
      <w:bookmarkEnd w:id="665"/>
      <w:bookmarkEnd w:id="666"/>
      <w:bookmarkEnd w:id="667"/>
    </w:p>
    <w:p w14:paraId="645B3136">
      <w:pPr>
        <w:keepNext w:val="0"/>
        <w:keepLines w:val="0"/>
        <w:pageBreakBefore w:val="0"/>
        <w:widowControl w:val="0"/>
        <w:kinsoku/>
        <w:wordWrap/>
        <w:topLinePunct w:val="0"/>
        <w:autoSpaceDE w:val="0"/>
        <w:autoSpaceDN w:val="0"/>
        <w:bidi w:val="0"/>
        <w:adjustRightInd/>
        <w:spacing w:line="510" w:lineRule="exact"/>
        <w:textAlignment w:val="auto"/>
        <w:rPr>
          <w:rFonts w:hint="eastAsia" w:ascii="Times New Roman" w:hAnsi="Times New Roman" w:cs="Times New Roman"/>
          <w:color w:val="000000" w:themeColor="text1"/>
          <w:sz w:val="21"/>
          <w:szCs w:val="21"/>
          <w:highlight w:val="none"/>
          <w14:textFill>
            <w14:solidFill>
              <w14:schemeClr w14:val="tx1"/>
            </w14:solidFill>
          </w14:textFill>
        </w:rPr>
      </w:pPr>
    </w:p>
    <w:p w14:paraId="1CFB6E6F">
      <w:pPr>
        <w:keepNext w:val="0"/>
        <w:keepLines w:val="0"/>
        <w:pageBreakBefore w:val="0"/>
        <w:widowControl w:val="0"/>
        <w:kinsoku/>
        <w:wordWrap/>
        <w:topLinePunct w:val="0"/>
        <w:autoSpaceDE w:val="0"/>
        <w:autoSpaceDN w:val="0"/>
        <w:bidi w:val="0"/>
        <w:adjustRightInd/>
        <w:spacing w:line="510" w:lineRule="exact"/>
        <w:textAlignment w:val="auto"/>
        <w:rPr>
          <w:rFonts w:hint="eastAsia" w:ascii="Times New Roman" w:hAnsi="Times New Roman" w:cs="Times New Roman"/>
          <w:color w:val="000000" w:themeColor="text1"/>
          <w:sz w:val="21"/>
          <w:szCs w:val="21"/>
          <w:highlight w:val="none"/>
          <w14:textFill>
            <w14:solidFill>
              <w14:schemeClr w14:val="tx1"/>
            </w14:solidFill>
          </w14:textFill>
        </w:rPr>
      </w:pPr>
    </w:p>
    <w:p w14:paraId="492D6B0A">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发包人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公章</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承包人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公章</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39D85D0B">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地  址：</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地  址：</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33FCA726">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法定代表人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法定代表人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0DE42176">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委托代理人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委托代理人</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签字</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1D9C71DE">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电  话：</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电  话：</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70E52656">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传  真：</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传  真：</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2C5B73D4">
      <w:pPr>
        <w:keepNext w:val="0"/>
        <w:keepLines w:val="0"/>
        <w:pageBreakBefore w:val="0"/>
        <w:widowControl w:val="0"/>
        <w:kinsoku/>
        <w:wordWrap/>
        <w:topLinePunct w:val="0"/>
        <w:autoSpaceDE w:val="0"/>
        <w:autoSpaceDN w:val="0"/>
        <w:bidi w:val="0"/>
        <w:adjustRightInd/>
        <w:spacing w:line="510" w:lineRule="exact"/>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开户银行：</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开户银行：</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lang w:val="en-US"/>
          <w14:textFill>
            <w14:solidFill>
              <w14:schemeClr w14:val="tx1"/>
            </w14:solidFill>
          </w14:textFill>
        </w:rPr>
        <w:t xml:space="preserve"> </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25C2C59C">
      <w:pPr>
        <w:keepNext w:val="0"/>
        <w:keepLines w:val="0"/>
        <w:pageBreakBefore w:val="0"/>
        <w:widowControl w:val="0"/>
        <w:kinsoku/>
        <w:wordWrap/>
        <w:topLinePunct w:val="0"/>
        <w:autoSpaceDE w:val="0"/>
        <w:autoSpaceDN w:val="0"/>
        <w:bidi w:val="0"/>
        <w:adjustRightInd/>
        <w:spacing w:line="510" w:lineRule="exact"/>
        <w:textAlignment w:val="auto"/>
        <w:rPr>
          <w:rFonts w:hint="eastAsia"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账  号：</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账  号：</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p>
    <w:p w14:paraId="18E429A7">
      <w:pPr>
        <w:keepNext w:val="0"/>
        <w:keepLines w:val="0"/>
        <w:pageBreakBefore w:val="0"/>
        <w:widowControl w:val="0"/>
        <w:kinsoku/>
        <w:wordWrap/>
        <w:topLinePunct w:val="0"/>
        <w:autoSpaceDE w:val="0"/>
        <w:autoSpaceDN w:val="0"/>
        <w:bidi w:val="0"/>
        <w:adjustRightInd/>
        <w:spacing w:line="510" w:lineRule="exac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邮政编码：</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hint="eastAsia"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邮政编码：</w:t>
      </w:r>
      <w:r>
        <w:rPr>
          <w:rFonts w:cs="Times New Roman"/>
          <w:color w:val="000000" w:themeColor="text1"/>
          <w:sz w:val="21"/>
          <w:szCs w:val="21"/>
          <w:highlight w:val="none"/>
          <w:u w:val="single"/>
          <w14:textFill>
            <w14:solidFill>
              <w14:schemeClr w14:val="tx1"/>
            </w14:solidFill>
          </w14:textFill>
        </w:rPr>
        <w:t></w:t>
      </w:r>
      <w:r>
        <w:rPr>
          <w:rFonts w:hint="eastAsia" w:cs="Times New Roman"/>
          <w:color w:val="000000" w:themeColor="text1"/>
          <w:sz w:val="21"/>
          <w:szCs w:val="21"/>
          <w:highlight w:val="none"/>
          <w:u w:val="single"/>
          <w:lang w:val="en-US" w:eastAsia="zh-CN"/>
          <w14:textFill>
            <w14:solidFill>
              <w14:schemeClr w14:val="tx1"/>
            </w14:solidFill>
          </w14:textFill>
        </w:rPr>
        <w:t xml:space="preserve">   </w:t>
      </w:r>
      <w:r>
        <w:rPr>
          <w:rFonts w:hint="eastAsia"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bookmarkEnd w:id="265"/>
      <w:bookmarkEnd w:id="266"/>
      <w:bookmarkEnd w:id="267"/>
      <w:bookmarkEnd w:id="268"/>
      <w:bookmarkEnd w:id="269"/>
    </w:p>
    <w:p w14:paraId="398C474F">
      <w:pPr>
        <w:keepNext w:val="0"/>
        <w:keepLines w:val="0"/>
        <w:pageBreakBefore w:val="0"/>
        <w:widowControl w:val="0"/>
        <w:kinsoku w:val="0"/>
        <w:wordWrap/>
        <w:overflowPunct w:val="0"/>
        <w:topLinePunct w:val="0"/>
        <w:autoSpaceDE w:val="0"/>
        <w:autoSpaceDN w:val="0"/>
        <w:bidi w:val="0"/>
        <w:adjustRightInd/>
        <w:snapToGrid/>
        <w:spacing w:beforeAutospacing="0" w:afterAutospacing="0" w:line="600" w:lineRule="exact"/>
        <w:ind w:firstLine="403" w:firstLineChars="19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79014D9F">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2784583F">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DD53169">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5D919D6">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5C571936">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0FD4695F">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376BA67F">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3FCD0FD">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1D6222C">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21CD5B2A">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2FDD94C0">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46041EB">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0A978A66">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603AC0BB">
      <w:pPr>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5925C95D">
      <w:pPr>
        <w:pStyle w:val="19"/>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28458FB4">
      <w:pPr>
        <w:pStyle w:val="5"/>
        <w:keepNext/>
        <w:keepLines/>
        <w:pageBreakBefore w:val="0"/>
        <w:widowControl w:val="0"/>
        <w:kinsoku/>
        <w:wordWrap/>
        <w:overflowPunct/>
        <w:topLinePunct w:val="0"/>
        <w:autoSpaceDE/>
        <w:autoSpaceDN/>
        <w:bidi w:val="0"/>
        <w:adjustRightInd/>
        <w:snapToGrid/>
        <w:spacing w:before="0" w:after="0" w:afterLines="50" w:line="740" w:lineRule="exact"/>
        <w:ind w:left="0"/>
        <w:textAlignment w:val="auto"/>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pPr>
      <w:bookmarkStart w:id="668" w:name="bookmark1917"/>
      <w:bookmarkStart w:id="669" w:name="bookmark1915"/>
      <w:bookmarkStart w:id="670" w:name="_Toc21416"/>
      <w:bookmarkStart w:id="671" w:name="bookmark1916"/>
      <w:bookmarkStart w:id="672" w:name="_Toc7161"/>
      <w:r>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t>附</w:t>
      </w:r>
      <w:bookmarkStart w:id="673" w:name="OLE_LINK44"/>
      <w:r>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t>件</w:t>
      </w:r>
      <w:bookmarkEnd w:id="673"/>
      <w:r>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t>二：履约保</w:t>
      </w:r>
      <w:bookmarkStart w:id="674" w:name="OLE_LINK42"/>
      <w:r>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t>函</w:t>
      </w:r>
      <w:bookmarkEnd w:id="668"/>
      <w:bookmarkEnd w:id="669"/>
      <w:bookmarkEnd w:id="670"/>
      <w:bookmarkEnd w:id="671"/>
      <w:bookmarkEnd w:id="672"/>
      <w:bookmarkEnd w:id="674"/>
    </w:p>
    <w:p w14:paraId="3568F7E8">
      <w:pPr>
        <w:pStyle w:val="19"/>
        <w:spacing w:before="240" w:after="240"/>
        <w:ind w:right="-17" w:firstLine="420" w:firstLineChars="200"/>
        <w:rPr>
          <w:rFonts w:hint="eastAsia" w:ascii="宋体" w:hAnsi="宋体" w:cs="宋体"/>
          <w:b/>
          <w:color w:val="000000" w:themeColor="text1"/>
          <w:highlight w:val="none"/>
          <w:lang w:eastAsia="zh-CN"/>
          <w14:textFill>
            <w14:solidFill>
              <w14:schemeClr w14:val="tx1"/>
            </w14:solidFill>
          </w14:textFill>
        </w:rPr>
      </w:pPr>
      <w:bookmarkStart w:id="675" w:name="bookmark1918"/>
      <w:bookmarkStart w:id="676" w:name="bookmark1920"/>
      <w:bookmarkStart w:id="677" w:name="bookmark1919"/>
      <w:r>
        <w:rPr>
          <w:color w:val="000000" w:themeColor="text1"/>
          <w:highlight w:val="none"/>
          <w:lang w:eastAsia="zh-CN"/>
          <w14:textFill>
            <w14:solidFill>
              <w14:schemeClr w14:val="tx1"/>
            </w14:solidFill>
          </w14:textFill>
        </w:rPr>
        <w:t>如采用银行保函，</w:t>
      </w:r>
      <w:r>
        <w:rPr>
          <w:rFonts w:hint="eastAsia"/>
          <w:color w:val="000000" w:themeColor="text1"/>
          <w:highlight w:val="none"/>
          <w:lang w:eastAsia="zh-CN"/>
          <w14:textFill>
            <w14:solidFill>
              <w14:schemeClr w14:val="tx1"/>
            </w14:solidFill>
          </w14:textFill>
        </w:rPr>
        <w:t>可采用</w:t>
      </w:r>
      <w:r>
        <w:rPr>
          <w:color w:val="000000" w:themeColor="text1"/>
          <w:highlight w:val="none"/>
          <w:lang w:eastAsia="zh-CN"/>
          <w14:textFill>
            <w14:solidFill>
              <w14:schemeClr w14:val="tx1"/>
            </w14:solidFill>
          </w14:textFill>
        </w:rPr>
        <w:t>如下格式</w:t>
      </w:r>
      <w:r>
        <w:rPr>
          <w:rFonts w:hint="eastAsia"/>
          <w:color w:val="000000" w:themeColor="text1"/>
          <w:highlight w:val="none"/>
          <w:lang w:eastAsia="zh-CN"/>
          <w14:textFill>
            <w14:solidFill>
              <w14:schemeClr w14:val="tx1"/>
            </w14:solidFill>
          </w14:textFill>
        </w:rPr>
        <w:t>或银行提供的格式</w:t>
      </w:r>
      <w:r>
        <w:rPr>
          <w:color w:val="000000" w:themeColor="text1"/>
          <w:highlight w:val="none"/>
          <w:lang w:eastAsia="zh-CN"/>
          <w14:textFill>
            <w14:solidFill>
              <w14:schemeClr w14:val="tx1"/>
            </w14:solidFill>
          </w14:textFill>
        </w:rPr>
        <w:t>。</w:t>
      </w:r>
    </w:p>
    <w:p w14:paraId="4D9FB412">
      <w:pPr>
        <w:keepNext w:val="0"/>
        <w:keepLines w:val="0"/>
        <w:pageBreakBefore w:val="0"/>
        <w:widowControl w:val="0"/>
        <w:kinsoku/>
        <w:wordWrap/>
        <w:overflowPunct/>
        <w:topLinePunct w:val="0"/>
        <w:autoSpaceDE w:val="0"/>
        <w:autoSpaceDN w:val="0"/>
        <w:bidi w:val="0"/>
        <w:adjustRightInd/>
        <w:snapToGrid/>
        <w:spacing w:after="360" w:afterLines="150" w:line="740" w:lineRule="exact"/>
        <w:jc w:val="center"/>
        <w:textAlignment w:val="auto"/>
        <w:rPr>
          <w:b/>
          <w:color w:val="000000" w:themeColor="text1"/>
          <w:highlight w:val="none"/>
          <w:lang w:eastAsia="zh-CN"/>
          <w14:textFill>
            <w14:solidFill>
              <w14:schemeClr w14:val="tx1"/>
            </w14:solidFill>
          </w14:textFill>
        </w:rPr>
      </w:pPr>
      <w:r>
        <w:rPr>
          <w:rFonts w:hint="eastAsia" w:ascii="Cambria" w:hAnsi="Cambria" w:eastAsia="宋体"/>
          <w:b/>
          <w:bCs/>
          <w:color w:val="000000" w:themeColor="text1"/>
          <w:sz w:val="28"/>
          <w:szCs w:val="32"/>
          <w:highlight w:val="none"/>
          <w:lang w:eastAsia="zh-CN"/>
          <w14:textFill>
            <w14:solidFill>
              <w14:schemeClr w14:val="tx1"/>
            </w14:solidFill>
          </w14:textFill>
        </w:rPr>
        <w:t>履约保函</w:t>
      </w:r>
      <w:bookmarkEnd w:id="675"/>
      <w:bookmarkEnd w:id="676"/>
      <w:bookmarkEnd w:id="677"/>
    </w:p>
    <w:p w14:paraId="35176A07">
      <w:pPr>
        <w:pStyle w:val="105"/>
        <w:tabs>
          <w:tab w:val="left" w:pos="1870"/>
        </w:tabs>
        <w:spacing w:line="470" w:lineRule="exact"/>
        <w:ind w:firstLine="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（发包人名称）：</w:t>
      </w:r>
    </w:p>
    <w:p w14:paraId="78FF77B5">
      <w:pPr>
        <w:pStyle w:val="105"/>
        <w:tabs>
          <w:tab w:val="left" w:pos="847"/>
          <w:tab w:val="left" w:pos="1870"/>
          <w:tab w:val="left" w:pos="3485"/>
          <w:tab w:val="left" w:pos="3554"/>
          <w:tab w:val="left" w:pos="6878"/>
          <w:tab w:val="left" w:pos="8059"/>
        </w:tabs>
        <w:spacing w:line="470" w:lineRule="exact"/>
        <w:ind w:firstLine="42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鉴于</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（发包人名称，以下简称“发包人”）接受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（承包人名称，以下称“承包人”）于</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年</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月 </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日递交的（项目名称）</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（标段名称）的投标文件。我方愿意无条件地、不可撤销地就承包人履行与你方订立的合同，向你方提供担保。</w:t>
      </w:r>
    </w:p>
    <w:p w14:paraId="500123C1">
      <w:pPr>
        <w:pStyle w:val="105"/>
        <w:tabs>
          <w:tab w:val="left" w:pos="733"/>
          <w:tab w:val="left" w:pos="4879"/>
          <w:tab w:val="left" w:pos="7402"/>
        </w:tabs>
        <w:spacing w:line="47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78" w:name="bookmark1921"/>
      <w:bookmarkEnd w:id="678"/>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担保金额人民币（大写）</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14:textFill>
            <w14:solidFill>
              <w14:schemeClr w14:val="tx1"/>
            </w14:solidFill>
          </w14:textFill>
        </w:rPr>
        <w:t>元（¥</w:t>
      </w:r>
      <w:r>
        <w:rPr>
          <w:rFonts w:hint="default" w:ascii="Times New Roman" w:hAnsi="Times New Roman" w:eastAsia="宋体" w:cs="Times New Roman"/>
          <w:color w:val="000000" w:themeColor="text1"/>
          <w:sz w:val="21"/>
          <w:szCs w:val="21"/>
          <w:highlight w:val="none"/>
          <w:u w:val="single"/>
          <w14:textFill>
            <w14:solidFill>
              <w14:schemeClr w14:val="tx1"/>
            </w14:solidFill>
          </w14:textFill>
        </w:rPr>
        <w:tab/>
      </w:r>
      <w:r>
        <w:rPr>
          <w:rFonts w:hint="default" w:ascii="Times New Roman" w:hAnsi="Times New Roman" w:eastAsia="宋体" w:cs="Times New Roman"/>
          <w:color w:val="000000" w:themeColor="text1"/>
          <w:sz w:val="21"/>
          <w:szCs w:val="21"/>
          <w:highlight w:val="none"/>
          <w:lang w:val="en-US" w:bidi="en-US"/>
          <w14:textFill>
            <w14:solidFill>
              <w14:schemeClr w14:val="tx1"/>
            </w14:solidFill>
          </w14:textFill>
        </w:rPr>
        <w:t>）</w:t>
      </w:r>
      <w:r>
        <w:rPr>
          <w:rFonts w:hint="default" w:ascii="Times New Roman" w:hAnsi="Times New Roman" w:eastAsia="宋体" w:cs="Times New Roman"/>
          <w:color w:val="000000" w:themeColor="text1"/>
          <w:sz w:val="21"/>
          <w:szCs w:val="21"/>
          <w:highlight w:val="none"/>
          <w:vertAlign w:val="subscript"/>
          <w:lang w:val="en-US" w:bidi="en-US"/>
          <w14:textFill>
            <w14:solidFill>
              <w14:schemeClr w14:val="tx1"/>
            </w14:solidFill>
          </w14:textFill>
        </w:rPr>
        <w:t>o</w:t>
      </w:r>
    </w:p>
    <w:p w14:paraId="51AC93DF">
      <w:pPr>
        <w:pStyle w:val="105"/>
        <w:tabs>
          <w:tab w:val="left" w:pos="697"/>
        </w:tabs>
        <w:spacing w:line="47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79" w:name="bookmark1922"/>
      <w:bookmarkEnd w:id="679"/>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担保有效期自发包人与承包人签订的合同生效之日起至发包人签发工程完工证书之日止。</w:t>
      </w:r>
    </w:p>
    <w:p w14:paraId="39984A69">
      <w:pPr>
        <w:pStyle w:val="105"/>
        <w:tabs>
          <w:tab w:val="left" w:pos="736"/>
        </w:tabs>
        <w:spacing w:line="47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80" w:name="bookmark1923"/>
      <w:bookmarkEnd w:id="680"/>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在本担保有效期内，因承包人违反合同约定的义务给你方造成经济损失时，我方在收到你方以书面形式提出的在担保金额内的赔偿要求后，无条件地在7天内予以支付。</w:t>
      </w:r>
    </w:p>
    <w:p w14:paraId="5DAF6B8C">
      <w:pPr>
        <w:pStyle w:val="105"/>
        <w:tabs>
          <w:tab w:val="left" w:pos="740"/>
        </w:tabs>
        <w:spacing w:line="47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81" w:name="bookmark1924"/>
      <w:bookmarkEnd w:id="681"/>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发包人和承包人按《通用合同条款》第15条变更合同时，我方承担本担保规定的义务不变。</w:t>
      </w:r>
    </w:p>
    <w:p w14:paraId="18668A9E">
      <w:pPr>
        <w:pStyle w:val="105"/>
        <w:tabs>
          <w:tab w:val="left" w:pos="740"/>
        </w:tabs>
        <w:spacing w:line="470" w:lineRule="exact"/>
        <w:ind w:firstLine="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4CF29203">
      <w:pPr>
        <w:spacing w:line="470" w:lineRule="exac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担  保 人：</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（盖单位章） </w:t>
      </w:r>
    </w:p>
    <w:p w14:paraId="6A9FAD61">
      <w:pPr>
        <w:spacing w:line="470" w:lineRule="exact"/>
        <w:ind w:firstLine="3570" w:firstLineChars="170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法定代表人（或委托代理人）：</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（签字）</w:t>
      </w:r>
    </w:p>
    <w:p w14:paraId="721B95B0">
      <w:pPr>
        <w:spacing w:line="470" w:lineRule="exact"/>
        <w:ind w:firstLine="3570" w:firstLineChars="170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地       址：</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p>
    <w:p w14:paraId="4BEAF356">
      <w:pPr>
        <w:spacing w:line="470" w:lineRule="exac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邮政编码：</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w:t>
      </w:r>
    </w:p>
    <w:p w14:paraId="3968158E">
      <w:pPr>
        <w:spacing w:line="470" w:lineRule="exact"/>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电        话：</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p>
    <w:p w14:paraId="5D8F0A50">
      <w:pPr>
        <w:spacing w:line="470" w:lineRule="exac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                                                                    传        真：</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p>
    <w:p w14:paraId="0E876450">
      <w:pPr>
        <w:spacing w:line="470" w:lineRule="exact"/>
        <w:ind w:firstLine="5040" w:firstLineChars="2400"/>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年</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ab/>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月</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 xml:space="preserve">日     </w:t>
      </w:r>
    </w:p>
    <w:p w14:paraId="25CD8B80">
      <w:pPr>
        <w:rPr>
          <w:rFonts w:ascii="Times New Roman" w:hAnsi="Times New Roman" w:eastAsia="宋体"/>
          <w:color w:val="000000" w:themeColor="text1"/>
          <w:szCs w:val="21"/>
          <w:highlight w:val="none"/>
          <w:lang w:val="zh-CN" w:eastAsia="zh-CN" w:bidi="zh-CN"/>
          <w14:textFill>
            <w14:solidFill>
              <w14:schemeClr w14:val="tx1"/>
            </w14:solidFill>
          </w14:textFill>
        </w:rPr>
      </w:pPr>
    </w:p>
    <w:p w14:paraId="63BBC2CE">
      <w:pPr>
        <w:rPr>
          <w:rFonts w:ascii="Times New Roman" w:hAnsi="Times New Roman" w:eastAsia="宋体"/>
          <w:color w:val="000000" w:themeColor="text1"/>
          <w:szCs w:val="21"/>
          <w:highlight w:val="none"/>
          <w:lang w:val="zh-CN" w:eastAsia="zh-CN" w:bidi="zh-CN"/>
          <w14:textFill>
            <w14:solidFill>
              <w14:schemeClr w14:val="tx1"/>
            </w14:solidFill>
          </w14:textFill>
        </w:rPr>
      </w:pPr>
    </w:p>
    <w:p w14:paraId="610EBC54">
      <w:pPr>
        <w:rPr>
          <w:rFonts w:hint="eastAsia" w:ascii="宋体" w:hAnsi="宋体" w:eastAsia="宋体" w:cs="宋体"/>
          <w:color w:val="000000" w:themeColor="text1"/>
          <w:sz w:val="20"/>
          <w:szCs w:val="20"/>
          <w:highlight w:val="none"/>
          <w:lang w:val="zh-CN" w:eastAsia="zh-CN" w:bidi="zh-CN"/>
          <w14:textFill>
            <w14:solidFill>
              <w14:schemeClr w14:val="tx1"/>
            </w14:solidFill>
          </w14:textFill>
        </w:rPr>
      </w:pPr>
    </w:p>
    <w:p w14:paraId="0EEA7696">
      <w:pPr>
        <w:spacing w:line="420" w:lineRule="exact"/>
        <w:rPr>
          <w:rFonts w:hint="eastAsia" w:ascii="宋体" w:hAnsi="宋体" w:eastAsia="宋体" w:cs="宋体"/>
          <w:color w:val="000000" w:themeColor="text1"/>
          <w:sz w:val="20"/>
          <w:szCs w:val="20"/>
          <w:highlight w:val="none"/>
          <w:lang w:val="zh-CN" w:eastAsia="zh-CN" w:bidi="zh-CN"/>
          <w14:textFill>
            <w14:solidFill>
              <w14:schemeClr w14:val="tx1"/>
            </w14:solidFill>
          </w14:textFill>
        </w:rPr>
      </w:pPr>
    </w:p>
    <w:p w14:paraId="17402A06">
      <w:pPr>
        <w:spacing w:line="420" w:lineRule="exact"/>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eastAsia="zh-CN" w:bidi="zh-CN"/>
          <w14:textFill>
            <w14:solidFill>
              <w14:schemeClr w14:val="tx1"/>
            </w14:solidFill>
          </w14:textFill>
        </w:rPr>
        <w:t>注：</w:t>
      </w:r>
    </w:p>
    <w:p w14:paraId="1BFCCE0C">
      <w:pPr>
        <w:pStyle w:val="105"/>
        <w:tabs>
          <w:tab w:val="left" w:pos="733"/>
        </w:tabs>
        <w:spacing w:line="42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82" w:name="bookmark1925"/>
      <w:bookmarkEnd w:id="682"/>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担保人必须是</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1"/>
          <w:szCs w:val="21"/>
          <w:highlight w:val="none"/>
          <w14:textFill>
            <w14:solidFill>
              <w14:schemeClr w14:val="tx1"/>
            </w14:solidFill>
          </w14:textFill>
        </w:rPr>
        <w:t>基本账户的开户银行。</w:t>
      </w:r>
    </w:p>
    <w:p w14:paraId="778DD565">
      <w:pPr>
        <w:pStyle w:val="105"/>
        <w:tabs>
          <w:tab w:val="left" w:pos="750"/>
        </w:tabs>
        <w:spacing w:line="420" w:lineRule="exact"/>
        <w:ind w:firstLine="420" w:firstLineChars="20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bookmarkStart w:id="683" w:name="bookmark1926"/>
      <w:bookmarkEnd w:id="683"/>
      <w:r>
        <w:rPr>
          <w:rFonts w:hint="default" w:ascii="Times New Roman" w:hAnsi="Times New Roman" w:eastAsia="宋体" w:cs="Times New Roman"/>
          <w:color w:val="000000" w:themeColor="text1"/>
          <w:sz w:val="21"/>
          <w:szCs w:val="21"/>
          <w:highlight w:val="none"/>
          <w:lang w:val="en-US"/>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委托代理人应附授权委托书。</w:t>
      </w:r>
      <w:bookmarkStart w:id="684" w:name="_Toc4188"/>
      <w:bookmarkStart w:id="685" w:name="bookmark1929"/>
      <w:bookmarkStart w:id="686" w:name="bookmark1927"/>
      <w:bookmarkStart w:id="687" w:name="bookmark1928"/>
      <w:bookmarkStart w:id="688" w:name="_Toc21423"/>
    </w:p>
    <w:p w14:paraId="77D20E51">
      <w:pP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br w:type="page"/>
      </w:r>
    </w:p>
    <w:p w14:paraId="6A2D4151">
      <w:pPr>
        <w:pStyle w:val="5"/>
        <w:keepNext w:val="0"/>
        <w:keepLines w:val="0"/>
        <w:pageBreakBefore w:val="0"/>
        <w:widowControl w:val="0"/>
        <w:tabs>
          <w:tab w:val="center" w:pos="4147"/>
        </w:tabs>
        <w:kinsoku/>
        <w:wordWrap/>
        <w:overflowPunct/>
        <w:topLinePunct w:val="0"/>
        <w:autoSpaceDE w:val="0"/>
        <w:autoSpaceDN w:val="0"/>
        <w:bidi w:val="0"/>
        <w:adjustRightInd/>
        <w:snapToGrid/>
        <w:spacing w:line="740" w:lineRule="exact"/>
        <w:ind w:left="0" w:leftChars="0" w:firstLine="0" w:firstLineChars="0"/>
        <w:textAlignment w:val="auto"/>
        <w:rPr>
          <w:rFonts w:hint="eastAsia" w:ascii="宋体" w:hAnsi="宋体" w:cs="宋体"/>
          <w:b w:val="0"/>
          <w:bCs w:val="0"/>
          <w:color w:val="000000" w:themeColor="text1"/>
          <w:sz w:val="28"/>
          <w:highlight w:val="none"/>
          <w:lang w:eastAsia="zh-CN"/>
          <w14:textFill>
            <w14:solidFill>
              <w14:schemeClr w14:val="tx1"/>
            </w14:solidFill>
          </w14:textFill>
        </w:rPr>
      </w:pPr>
      <w:r>
        <w:rPr>
          <w:rFonts w:hint="eastAsia" w:ascii="Cambria" w:hAnsi="Cambria" w:eastAsia="宋体" w:cs="Times New Roman"/>
          <w:color w:val="000000" w:themeColor="text1"/>
          <w:sz w:val="28"/>
          <w:szCs w:val="32"/>
          <w:highlight w:val="none"/>
          <w:lang w:val="en-US" w:eastAsia="zh-CN" w:bidi="en-US"/>
          <w14:textFill>
            <w14:solidFill>
              <w14:schemeClr w14:val="tx1"/>
            </w14:solidFill>
          </w14:textFill>
        </w:rPr>
        <w:t>附件三：预付款担保函</w:t>
      </w:r>
      <w:bookmarkEnd w:id="684"/>
      <w:bookmarkEnd w:id="685"/>
      <w:bookmarkEnd w:id="686"/>
      <w:bookmarkEnd w:id="687"/>
      <w:bookmarkEnd w:id="688"/>
      <w:r>
        <w:rPr>
          <w:rStyle w:val="128"/>
          <w:rFonts w:hint="eastAsia"/>
          <w:b w:val="0"/>
          <w:bCs w:val="0"/>
          <w:color w:val="000000" w:themeColor="text1"/>
          <w:highlight w:val="none"/>
          <w:lang w:eastAsia="zh-CN"/>
          <w14:textFill>
            <w14:solidFill>
              <w14:schemeClr w14:val="tx1"/>
            </w14:solidFill>
          </w14:textFill>
        </w:rPr>
        <w:tab/>
      </w:r>
    </w:p>
    <w:p w14:paraId="35511BF9">
      <w:pPr>
        <w:keepNext w:val="0"/>
        <w:keepLines w:val="0"/>
        <w:pageBreakBefore w:val="0"/>
        <w:widowControl w:val="0"/>
        <w:kinsoku/>
        <w:wordWrap/>
        <w:overflowPunct/>
        <w:topLinePunct w:val="0"/>
        <w:autoSpaceDE w:val="0"/>
        <w:autoSpaceDN w:val="0"/>
        <w:bidi w:val="0"/>
        <w:adjustRightInd/>
        <w:snapToGrid/>
        <w:spacing w:after="0" w:afterLines="300" w:line="740" w:lineRule="exact"/>
        <w:jc w:val="center"/>
        <w:textAlignment w:val="auto"/>
        <w:rPr>
          <w:b/>
          <w:color w:val="000000" w:themeColor="text1"/>
          <w:highlight w:val="none"/>
          <w:lang w:eastAsia="zh-CN"/>
          <w14:textFill>
            <w14:solidFill>
              <w14:schemeClr w14:val="tx1"/>
            </w14:solidFill>
          </w14:textFill>
        </w:rPr>
      </w:pPr>
      <w:bookmarkStart w:id="689" w:name="bookmark1931"/>
      <w:bookmarkStart w:id="690" w:name="bookmark1932"/>
      <w:bookmarkStart w:id="691" w:name="bookmark1930"/>
      <w:r>
        <w:rPr>
          <w:rFonts w:hint="eastAsia" w:ascii="Cambria" w:hAnsi="Cambria" w:eastAsia="宋体"/>
          <w:b/>
          <w:bCs/>
          <w:color w:val="000000" w:themeColor="text1"/>
          <w:sz w:val="28"/>
          <w:szCs w:val="32"/>
          <w:highlight w:val="none"/>
          <w:lang w:eastAsia="zh-CN"/>
          <w14:textFill>
            <w14:solidFill>
              <w14:schemeClr w14:val="tx1"/>
            </w14:solidFill>
          </w14:textFill>
        </w:rPr>
        <w:t>预付款担保函</w:t>
      </w:r>
      <w:bookmarkEnd w:id="689"/>
      <w:bookmarkEnd w:id="690"/>
      <w:bookmarkEnd w:id="691"/>
    </w:p>
    <w:p w14:paraId="1E049956">
      <w:pPr>
        <w:pStyle w:val="105"/>
        <w:tabs>
          <w:tab w:val="left" w:pos="1870"/>
        </w:tabs>
        <w:spacing w:line="470" w:lineRule="exact"/>
        <w:ind w:firstLine="0"/>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（发包人名称）</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p w14:paraId="167EBC38">
      <w:pPr>
        <w:pStyle w:val="105"/>
        <w:tabs>
          <w:tab w:val="left" w:pos="1870"/>
          <w:tab w:val="left" w:pos="2707"/>
          <w:tab w:val="left" w:pos="5004"/>
          <w:tab w:val="left" w:pos="5033"/>
          <w:tab w:val="left" w:pos="6163"/>
          <w:tab w:val="left" w:pos="7322"/>
          <w:tab w:val="left" w:pos="8333"/>
        </w:tabs>
        <w:spacing w:line="470" w:lineRule="exact"/>
        <w:ind w:firstLine="420"/>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根据</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（承包人名称，以下称“承包人”）与</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 xml:space="preserve"> （发包人名称，以下简称“发包人”）于</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年</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月</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 xml:space="preserve">日签订的 </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（项目名称）</w:t>
      </w:r>
      <w:r>
        <w:rPr>
          <w:rFonts w:ascii="Times New Roman" w:hAnsi="Times New Roman" w:cs="Times New Roman"/>
          <w:color w:val="000000" w:themeColor="text1"/>
          <w:sz w:val="21"/>
          <w:szCs w:val="21"/>
          <w:highlight w:val="none"/>
          <w:u w:val="single"/>
          <w:lang w:val="en-US"/>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（标段名称）合同协议书，承包人 按约定的金额向发包人提交一份预付款担保，即有权得到发包人支付相等金额的预付款。 我方愿意就你方提供给承包人的预付款提供担保。</w:t>
      </w:r>
    </w:p>
    <w:p w14:paraId="3FB51F69">
      <w:pPr>
        <w:pStyle w:val="105"/>
        <w:tabs>
          <w:tab w:val="left" w:pos="719"/>
          <w:tab w:val="left" w:pos="4879"/>
          <w:tab w:val="left" w:pos="7402"/>
        </w:tabs>
        <w:spacing w:line="470" w:lineRule="exact"/>
        <w:ind w:firstLine="420" w:firstLineChars="200"/>
        <w:jc w:val="both"/>
        <w:rPr>
          <w:rFonts w:ascii="Times New Roman" w:hAnsi="Times New Roman" w:cs="Times New Roman"/>
          <w:color w:val="000000" w:themeColor="text1"/>
          <w:sz w:val="21"/>
          <w:szCs w:val="21"/>
          <w:highlight w:val="none"/>
          <w14:textFill>
            <w14:solidFill>
              <w14:schemeClr w14:val="tx1"/>
            </w14:solidFill>
          </w14:textFill>
        </w:rPr>
      </w:pPr>
      <w:bookmarkStart w:id="692" w:name="bookmark1933"/>
      <w:bookmarkEnd w:id="692"/>
      <w:r>
        <w:rPr>
          <w:rFonts w:ascii="Times New Roman" w:hAnsi="Times New Roman" w:cs="Times New Roman"/>
          <w:color w:val="000000" w:themeColor="text1"/>
          <w:sz w:val="21"/>
          <w:szCs w:val="21"/>
          <w:highlight w:val="none"/>
          <w:lang w:val="en-US"/>
          <w14:textFill>
            <w14:solidFill>
              <w14:schemeClr w14:val="tx1"/>
            </w14:solidFill>
          </w14:textFill>
        </w:rPr>
        <w:t>1.</w:t>
      </w:r>
      <w:r>
        <w:rPr>
          <w:rFonts w:ascii="Times New Roman" w:hAnsi="Times New Roman" w:cs="Times New Roman"/>
          <w:color w:val="000000" w:themeColor="text1"/>
          <w:sz w:val="21"/>
          <w:szCs w:val="21"/>
          <w:highlight w:val="none"/>
          <w14:textFill>
            <w14:solidFill>
              <w14:schemeClr w14:val="tx1"/>
            </w14:solidFill>
          </w14:textFill>
        </w:rPr>
        <w:t>担保金额人民币（大写）</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14:textFill>
            <w14:solidFill>
              <w14:schemeClr w14:val="tx1"/>
            </w14:solidFill>
          </w14:textFill>
        </w:rPr>
        <w:t>元（¥</w:t>
      </w:r>
      <w:r>
        <w:rPr>
          <w:rFonts w:ascii="Times New Roman" w:hAnsi="Times New Roman" w:cs="Times New Roman"/>
          <w:color w:val="000000" w:themeColor="text1"/>
          <w:sz w:val="21"/>
          <w:szCs w:val="21"/>
          <w:highlight w:val="none"/>
          <w:u w:val="single"/>
          <w14:textFill>
            <w14:solidFill>
              <w14:schemeClr w14:val="tx1"/>
            </w14:solidFill>
          </w14:textFill>
        </w:rPr>
        <w:tab/>
      </w:r>
      <w:r>
        <w:rPr>
          <w:rFonts w:ascii="Times New Roman" w:hAnsi="Times New Roman" w:cs="Times New Roman"/>
          <w:color w:val="000000" w:themeColor="text1"/>
          <w:sz w:val="21"/>
          <w:szCs w:val="21"/>
          <w:highlight w:val="none"/>
          <w:lang w:val="en-US" w:bidi="en-US"/>
          <w14:textFill>
            <w14:solidFill>
              <w14:schemeClr w14:val="tx1"/>
            </w14:solidFill>
          </w14:textFill>
        </w:rPr>
        <w:t>）</w:t>
      </w:r>
      <w:r>
        <w:rPr>
          <w:rFonts w:ascii="Times New Roman" w:hAnsi="Times New Roman" w:cs="Times New Roman"/>
          <w:color w:val="000000" w:themeColor="text1"/>
          <w:sz w:val="21"/>
          <w:szCs w:val="21"/>
          <w:highlight w:val="none"/>
          <w:vertAlign w:val="subscript"/>
          <w:lang w:val="en-US" w:bidi="en-US"/>
          <w14:textFill>
            <w14:solidFill>
              <w14:schemeClr w14:val="tx1"/>
            </w14:solidFill>
          </w14:textFill>
        </w:rPr>
        <w:t>o</w:t>
      </w:r>
    </w:p>
    <w:p w14:paraId="7987CBFA">
      <w:pPr>
        <w:pStyle w:val="105"/>
        <w:tabs>
          <w:tab w:val="left" w:pos="726"/>
        </w:tabs>
        <w:spacing w:line="470" w:lineRule="exact"/>
        <w:ind w:firstLine="420" w:firstLineChars="200"/>
        <w:jc w:val="both"/>
        <w:rPr>
          <w:rFonts w:ascii="Times New Roman" w:hAnsi="Times New Roman" w:cs="Times New Roman"/>
          <w:color w:val="000000" w:themeColor="text1"/>
          <w:sz w:val="21"/>
          <w:szCs w:val="21"/>
          <w:highlight w:val="none"/>
          <w14:textFill>
            <w14:solidFill>
              <w14:schemeClr w14:val="tx1"/>
            </w14:solidFill>
          </w14:textFill>
        </w:rPr>
      </w:pPr>
      <w:bookmarkStart w:id="693" w:name="bookmark1934"/>
      <w:bookmarkEnd w:id="693"/>
      <w:r>
        <w:rPr>
          <w:rFonts w:ascii="Times New Roman" w:hAnsi="Times New Roman" w:cs="Times New Roman"/>
          <w:color w:val="000000" w:themeColor="text1"/>
          <w:sz w:val="21"/>
          <w:szCs w:val="21"/>
          <w:highlight w:val="none"/>
          <w:lang w:val="en-US"/>
          <w14:textFill>
            <w14:solidFill>
              <w14:schemeClr w14:val="tx1"/>
            </w14:solidFill>
          </w14:textFill>
        </w:rPr>
        <w:t>2.</w:t>
      </w:r>
      <w:r>
        <w:rPr>
          <w:rFonts w:ascii="Times New Roman" w:hAnsi="Times New Roman" w:cs="Times New Roman"/>
          <w:color w:val="000000" w:themeColor="text1"/>
          <w:sz w:val="21"/>
          <w:szCs w:val="21"/>
          <w:highlight w:val="none"/>
          <w14:textFill>
            <w14:solidFill>
              <w14:schemeClr w14:val="tx1"/>
            </w14:solidFill>
          </w14:textFill>
        </w:rPr>
        <w:t>担保有效期自预付款支付给承包人起生效，至发包人签发的进度付款证书说明已完全扣清止。</w:t>
      </w:r>
    </w:p>
    <w:p w14:paraId="3350526B">
      <w:pPr>
        <w:pStyle w:val="105"/>
        <w:tabs>
          <w:tab w:val="left" w:pos="731"/>
        </w:tabs>
        <w:spacing w:line="470" w:lineRule="exact"/>
        <w:ind w:firstLine="420" w:firstLineChars="200"/>
        <w:jc w:val="both"/>
        <w:rPr>
          <w:rFonts w:ascii="Times New Roman" w:hAnsi="Times New Roman" w:cs="Times New Roman"/>
          <w:color w:val="000000" w:themeColor="text1"/>
          <w:sz w:val="21"/>
          <w:szCs w:val="21"/>
          <w:highlight w:val="none"/>
          <w14:textFill>
            <w14:solidFill>
              <w14:schemeClr w14:val="tx1"/>
            </w14:solidFill>
          </w14:textFill>
        </w:rPr>
      </w:pPr>
      <w:bookmarkStart w:id="694" w:name="bookmark1935"/>
      <w:bookmarkEnd w:id="694"/>
      <w:r>
        <w:rPr>
          <w:rFonts w:ascii="Times New Roman" w:hAnsi="Times New Roman" w:cs="Times New Roman"/>
          <w:color w:val="000000" w:themeColor="text1"/>
          <w:sz w:val="21"/>
          <w:szCs w:val="21"/>
          <w:highlight w:val="none"/>
          <w:lang w:val="en-US"/>
          <w14:textFill>
            <w14:solidFill>
              <w14:schemeClr w14:val="tx1"/>
            </w14:solidFill>
          </w14:textFill>
        </w:rPr>
        <w:t>3.</w:t>
      </w:r>
      <w:r>
        <w:rPr>
          <w:rFonts w:ascii="Times New Roman" w:hAnsi="Times New Roman" w:cs="Times New Roman"/>
          <w:color w:val="000000" w:themeColor="text1"/>
          <w:sz w:val="21"/>
          <w:szCs w:val="21"/>
          <w:highlight w:val="none"/>
          <w14:textFill>
            <w14:solidFill>
              <w14:schemeClr w14:val="tx1"/>
            </w14:solidFill>
          </w14:textFill>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695" w:name="bookmark1936"/>
      <w:bookmarkEnd w:id="695"/>
    </w:p>
    <w:p w14:paraId="7386B53D">
      <w:pPr>
        <w:pStyle w:val="105"/>
        <w:tabs>
          <w:tab w:val="left" w:pos="731"/>
        </w:tabs>
        <w:spacing w:line="470" w:lineRule="exact"/>
        <w:ind w:firstLine="420" w:firstLineChars="200"/>
        <w:jc w:val="both"/>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val="en-US"/>
          <w14:textFill>
            <w14:solidFill>
              <w14:schemeClr w14:val="tx1"/>
            </w14:solidFill>
          </w14:textFill>
        </w:rPr>
        <w:t>4.</w:t>
      </w:r>
      <w:r>
        <w:rPr>
          <w:rFonts w:ascii="Times New Roman" w:hAnsi="Times New Roman" w:cs="Times New Roman"/>
          <w:color w:val="000000" w:themeColor="text1"/>
          <w:sz w:val="21"/>
          <w:szCs w:val="21"/>
          <w:highlight w:val="none"/>
          <w14:textFill>
            <w14:solidFill>
              <w14:schemeClr w14:val="tx1"/>
            </w14:solidFill>
          </w14:textFill>
        </w:rPr>
        <w:t>发包人和承包人按《通用合同条款》第15条变更合同时，我方承担本担保规定的义务不变。</w:t>
      </w:r>
    </w:p>
    <w:p w14:paraId="5FBEE8CB">
      <w:pPr>
        <w:pStyle w:val="105"/>
        <w:tabs>
          <w:tab w:val="left" w:pos="731"/>
        </w:tabs>
        <w:spacing w:line="470" w:lineRule="exact"/>
        <w:ind w:firstLine="0"/>
        <w:jc w:val="both"/>
        <w:rPr>
          <w:color w:val="000000" w:themeColor="text1"/>
          <w:sz w:val="21"/>
          <w:szCs w:val="21"/>
          <w:highlight w:val="none"/>
          <w14:textFill>
            <w14:solidFill>
              <w14:schemeClr w14:val="tx1"/>
            </w14:solidFill>
          </w14:textFill>
        </w:rPr>
      </w:pPr>
    </w:p>
    <w:p w14:paraId="36B6FF33">
      <w:pPr>
        <w:spacing w:line="470" w:lineRule="exact"/>
        <w:ind w:firstLine="1890" w:firstLineChars="900"/>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担  保 人：</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（盖单位公章）</w:t>
      </w:r>
      <w:r>
        <w:rPr>
          <w:color w:val="000000" w:themeColor="text1"/>
          <w:sz w:val="21"/>
          <w:szCs w:val="21"/>
          <w:highlight w:val="none"/>
          <w:lang w:eastAsia="zh-CN"/>
          <w14:textFill>
            <w14:solidFill>
              <w14:schemeClr w14:val="tx1"/>
            </w14:solidFill>
          </w14:textFill>
        </w:rPr>
        <w:t xml:space="preserve"> </w:t>
      </w:r>
    </w:p>
    <w:p w14:paraId="55AF4D04">
      <w:pPr>
        <w:spacing w:line="470" w:lineRule="exact"/>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 xml:space="preserve">                  法定代表人（或委托代理人）：</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（签字）</w:t>
      </w:r>
    </w:p>
    <w:p w14:paraId="338AFD40">
      <w:pPr>
        <w:spacing w:line="470" w:lineRule="exact"/>
        <w:ind w:firstLine="1890" w:firstLineChars="900"/>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地       址：</w:t>
      </w:r>
      <w:r>
        <w:rPr>
          <w:rFonts w:hint="eastAsia" w:eastAsia="宋体"/>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 xml:space="preserve"> </w:t>
      </w:r>
    </w:p>
    <w:p w14:paraId="7681C2A7">
      <w:pPr>
        <w:spacing w:line="470" w:lineRule="exact"/>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 xml:space="preserve">                  邮政编码：</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 xml:space="preserve"> </w:t>
      </w:r>
    </w:p>
    <w:p w14:paraId="59F9AD7A">
      <w:pPr>
        <w:spacing w:line="470" w:lineRule="exact"/>
        <w:rPr>
          <w:rFonts w:eastAsia="宋体"/>
          <w:color w:val="000000" w:themeColor="text1"/>
          <w:sz w:val="21"/>
          <w:szCs w:val="21"/>
          <w:highlight w:val="none"/>
          <w:u w:val="singl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 xml:space="preserve">                  电        话：</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p>
    <w:p w14:paraId="6B5EC328">
      <w:pPr>
        <w:spacing w:line="470" w:lineRule="exact"/>
        <w:rPr>
          <w:rFonts w:eastAsia="宋体"/>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eastAsia="zh-CN"/>
          <w14:textFill>
            <w14:solidFill>
              <w14:schemeClr w14:val="tx1"/>
            </w14:solidFill>
          </w14:textFill>
        </w:rPr>
        <w:t xml:space="preserve">                  传        真：</w:t>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color w:val="000000" w:themeColor="text1"/>
          <w:sz w:val="21"/>
          <w:szCs w:val="21"/>
          <w:highlight w:val="none"/>
          <w:u w:val="single"/>
          <w:lang w:eastAsia="zh-CN"/>
          <w14:textFill>
            <w14:solidFill>
              <w14:schemeClr w14:val="tx1"/>
            </w14:solidFill>
          </w14:textFill>
        </w:rPr>
        <w:tab/>
      </w:r>
      <w:r>
        <w:rPr>
          <w:rFonts w:hint="eastAsia"/>
          <w:color w:val="000000" w:themeColor="text1"/>
          <w:sz w:val="21"/>
          <w:szCs w:val="21"/>
          <w:highlight w:val="none"/>
          <w:u w:val="single"/>
          <w:lang w:eastAsia="zh-CN"/>
          <w14:textFill>
            <w14:solidFill>
              <w14:schemeClr w14:val="tx1"/>
            </w14:solidFill>
          </w14:textFill>
        </w:rPr>
        <w:t xml:space="preserve">                  </w:t>
      </w:r>
    </w:p>
    <w:p w14:paraId="33AC7721">
      <w:pPr>
        <w:spacing w:line="470" w:lineRule="exact"/>
        <w:ind w:firstLine="3990" w:firstLineChars="1900"/>
        <w:rPr>
          <w:color w:val="000000" w:themeColor="text1"/>
          <w:sz w:val="21"/>
          <w:szCs w:val="21"/>
          <w:highlight w:val="none"/>
          <w:lang w:eastAsia="zh-CN"/>
          <w14:textFill>
            <w14:solidFill>
              <w14:schemeClr w14:val="tx1"/>
            </w14:solidFill>
          </w14:textFill>
        </w:rPr>
      </w:pPr>
      <w:r>
        <w:rPr>
          <w:color w:val="000000" w:themeColor="text1"/>
          <w:sz w:val="21"/>
          <w:szCs w:val="21"/>
          <w:highlight w:val="none"/>
          <w:u w:val="single"/>
          <w:lang w:eastAsia="zh-CN"/>
          <w14:textFill>
            <w14:solidFill>
              <w14:schemeClr w14:val="tx1"/>
            </w14:solidFill>
          </w14:textFill>
        </w:rPr>
        <w:tab/>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年</w:t>
      </w:r>
      <w:r>
        <w:rPr>
          <w:color w:val="000000" w:themeColor="text1"/>
          <w:sz w:val="21"/>
          <w:szCs w:val="21"/>
          <w:highlight w:val="none"/>
          <w:u w:val="single"/>
          <w:lang w:eastAsia="zh-CN"/>
          <w14:textFill>
            <w14:solidFill>
              <w14:schemeClr w14:val="tx1"/>
            </w14:solidFill>
          </w14:textFill>
        </w:rPr>
        <w:tab/>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月</w:t>
      </w:r>
      <w:r>
        <w:rPr>
          <w:rFonts w:hint="eastAsia" w:eastAsia="宋体"/>
          <w:color w:val="000000" w:themeColor="text1"/>
          <w:sz w:val="21"/>
          <w:szCs w:val="21"/>
          <w:highlight w:val="none"/>
          <w:u w:val="single"/>
          <w:lang w:eastAsia="zh-CN"/>
          <w14:textFill>
            <w14:solidFill>
              <w14:schemeClr w14:val="tx1"/>
            </w14:solidFill>
          </w14:textFill>
        </w:rPr>
        <w:t xml:space="preserve">              </w:t>
      </w:r>
      <w:r>
        <w:rPr>
          <w:rFonts w:hint="eastAsia" w:eastAsia="宋体"/>
          <w:color w:val="000000" w:themeColor="text1"/>
          <w:sz w:val="21"/>
          <w:szCs w:val="21"/>
          <w:highlight w:val="none"/>
          <w:lang w:eastAsia="zh-CN"/>
          <w14:textFill>
            <w14:solidFill>
              <w14:schemeClr w14:val="tx1"/>
            </w14:solidFill>
          </w14:textFill>
        </w:rPr>
        <w:t xml:space="preserve">日     </w:t>
      </w:r>
    </w:p>
    <w:p w14:paraId="1EF9F0BD">
      <w:pPr>
        <w:pStyle w:val="105"/>
        <w:tabs>
          <w:tab w:val="left" w:pos="726"/>
        </w:tabs>
        <w:spacing w:line="430" w:lineRule="exact"/>
        <w:ind w:firstLine="0"/>
        <w:jc w:val="both"/>
        <w:rPr>
          <w:rFonts w:ascii="Times New Roman" w:hAnsi="Times New Roman" w:cs="Times New Roman"/>
          <w:color w:val="000000" w:themeColor="text1"/>
          <w:highlight w:val="none"/>
          <w14:textFill>
            <w14:solidFill>
              <w14:schemeClr w14:val="tx1"/>
            </w14:solidFill>
          </w14:textFill>
        </w:rPr>
      </w:pPr>
    </w:p>
    <w:p w14:paraId="54ADE039">
      <w:pPr>
        <w:pStyle w:val="105"/>
        <w:tabs>
          <w:tab w:val="left" w:pos="726"/>
        </w:tabs>
        <w:spacing w:line="430" w:lineRule="exact"/>
        <w:ind w:firstLine="0"/>
        <w:jc w:val="both"/>
        <w:rPr>
          <w:rFonts w:ascii="Times New Roman" w:hAnsi="Times New Roman" w:cs="Times New Roman"/>
          <w:color w:val="000000" w:themeColor="text1"/>
          <w:highlight w:val="none"/>
          <w14:textFill>
            <w14:solidFill>
              <w14:schemeClr w14:val="tx1"/>
            </w14:solidFill>
          </w14:textFill>
        </w:rPr>
      </w:pPr>
    </w:p>
    <w:p w14:paraId="7F9A7543">
      <w:pPr>
        <w:pStyle w:val="105"/>
        <w:tabs>
          <w:tab w:val="left" w:pos="726"/>
        </w:tabs>
        <w:spacing w:line="430" w:lineRule="exact"/>
        <w:ind w:firstLine="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w:t>
      </w:r>
    </w:p>
    <w:p w14:paraId="4A3AC920">
      <w:pPr>
        <w:pStyle w:val="105"/>
        <w:tabs>
          <w:tab w:val="left" w:pos="699"/>
        </w:tabs>
        <w:spacing w:line="430" w:lineRule="exact"/>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bookmarkStart w:id="696" w:name="bookmark1937"/>
      <w:bookmarkEnd w:id="696"/>
      <w:r>
        <w:rPr>
          <w:rFonts w:hint="default" w:ascii="Times New Roman" w:hAnsi="Times New Roman" w:cs="Times New Roman"/>
          <w:color w:val="000000" w:themeColor="text1"/>
          <w:sz w:val="21"/>
          <w:szCs w:val="21"/>
          <w:highlight w:val="none"/>
          <w:lang w:val="en-US"/>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担保人必须是</w:t>
      </w: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color w:val="000000" w:themeColor="text1"/>
          <w:sz w:val="21"/>
          <w:szCs w:val="21"/>
          <w:highlight w:val="none"/>
          <w14:textFill>
            <w14:solidFill>
              <w14:schemeClr w14:val="tx1"/>
            </w14:solidFill>
          </w14:textFill>
        </w:rPr>
        <w:t>基本账户的开户银行。</w:t>
      </w:r>
    </w:p>
    <w:p w14:paraId="1E7CB211">
      <w:pPr>
        <w:pStyle w:val="105"/>
        <w:tabs>
          <w:tab w:val="left" w:pos="716"/>
        </w:tabs>
        <w:spacing w:line="430" w:lineRule="exact"/>
        <w:ind w:firstLine="420" w:firstLineChars="200"/>
        <w:jc w:val="both"/>
        <w:rPr>
          <w:rFonts w:hint="default" w:ascii="Times New Roman" w:hAnsi="Times New Roman" w:cs="Times New Roman"/>
          <w:color w:val="000000" w:themeColor="text1"/>
          <w:sz w:val="21"/>
          <w:szCs w:val="21"/>
          <w:highlight w:val="none"/>
          <w14:textFill>
            <w14:solidFill>
              <w14:schemeClr w14:val="tx1"/>
            </w14:solidFill>
          </w14:textFill>
        </w:rPr>
      </w:pPr>
      <w:bookmarkStart w:id="697" w:name="bookmark1938"/>
      <w:bookmarkEnd w:id="697"/>
      <w:r>
        <w:rPr>
          <w:rFonts w:hint="default" w:ascii="Times New Roman" w:hAnsi="Times New Roman" w:cs="Times New Roman"/>
          <w:color w:val="000000" w:themeColor="text1"/>
          <w:sz w:val="21"/>
          <w:szCs w:val="21"/>
          <w:highlight w:val="none"/>
          <w:lang w:val="en-US"/>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委托代理人应附授权委托书</w:t>
      </w:r>
    </w:p>
    <w:p w14:paraId="2DCAA1E2">
      <w:pPr>
        <w:rPr>
          <w:rFonts w:hint="eastAsia" w:ascii="Cambria" w:hAnsi="Cambria" w:eastAsia="宋体" w:cs="Times New Roman"/>
          <w:b/>
          <w:bCs/>
          <w:color w:val="000000" w:themeColor="text1"/>
          <w:sz w:val="28"/>
          <w:szCs w:val="32"/>
          <w:highlight w:val="none"/>
          <w:lang w:val="en-US" w:eastAsia="zh-CN" w:bidi="en-US"/>
          <w14:textFill>
            <w14:solidFill>
              <w14:schemeClr w14:val="tx1"/>
            </w14:solidFill>
          </w14:textFill>
        </w:rPr>
      </w:pPr>
      <w:bookmarkStart w:id="698" w:name="bookmark2192"/>
      <w:bookmarkEnd w:id="698"/>
      <w:r>
        <w:rPr>
          <w:rFonts w:hint="eastAsia" w:ascii="Cambria" w:hAnsi="Cambria" w:eastAsia="宋体" w:cs="Times New Roman"/>
          <w:b/>
          <w:bCs/>
          <w:color w:val="000000" w:themeColor="text1"/>
          <w:sz w:val="28"/>
          <w:szCs w:val="32"/>
          <w:highlight w:val="none"/>
          <w:lang w:val="en-US" w:eastAsia="zh-CN" w:bidi="en-US"/>
          <w14:textFill>
            <w14:solidFill>
              <w14:schemeClr w14:val="tx1"/>
            </w14:solidFill>
          </w14:textFill>
        </w:rPr>
        <w:br w:type="page"/>
      </w:r>
    </w:p>
    <w:p w14:paraId="08FD2A2F">
      <w:pPr>
        <w:keepNext w:val="0"/>
        <w:keepLines w:val="0"/>
        <w:pageBreakBefore w:val="0"/>
        <w:widowControl w:val="0"/>
        <w:kinsoku/>
        <w:wordWrap/>
        <w:overflowPunct/>
        <w:topLinePunct w:val="0"/>
        <w:autoSpaceDE/>
        <w:autoSpaceDN/>
        <w:bidi w:val="0"/>
        <w:adjustRightInd/>
        <w:snapToGrid/>
        <w:spacing w:after="361" w:afterLines="100" w:line="740" w:lineRule="exact"/>
        <w:textAlignment w:val="auto"/>
        <w:rPr>
          <w:rFonts w:hint="eastAsia" w:ascii="Cambria" w:hAnsi="Cambria" w:eastAsia="宋体" w:cs="Times New Roman"/>
          <w:b/>
          <w:bCs/>
          <w:color w:val="000000" w:themeColor="text1"/>
          <w:sz w:val="28"/>
          <w:szCs w:val="32"/>
          <w:highlight w:val="none"/>
          <w:lang w:val="en-US" w:eastAsia="zh-CN" w:bidi="en-US"/>
          <w14:textFill>
            <w14:solidFill>
              <w14:schemeClr w14:val="tx1"/>
            </w14:solidFill>
          </w14:textFill>
        </w:rPr>
      </w:pPr>
      <w:r>
        <w:rPr>
          <w:rFonts w:hint="eastAsia" w:ascii="Cambria" w:hAnsi="Cambria" w:eastAsia="宋体" w:cs="Times New Roman"/>
          <w:b/>
          <w:bCs/>
          <w:color w:val="000000" w:themeColor="text1"/>
          <w:sz w:val="28"/>
          <w:szCs w:val="32"/>
          <w:highlight w:val="none"/>
          <w:lang w:val="en-US" w:eastAsia="zh-CN" w:bidi="en-US"/>
          <w14:textFill>
            <w14:solidFill>
              <w14:schemeClr w14:val="tx1"/>
            </w14:solidFill>
          </w14:textFill>
        </w:rPr>
        <w:t>附件四：《现场施工质量、安全、文明管理处罚规定》</w:t>
      </w:r>
    </w:p>
    <w:p w14:paraId="496CCFE1">
      <w:pPr>
        <w:keepNext w:val="0"/>
        <w:keepLines w:val="0"/>
        <w:pageBreakBefore w:val="0"/>
        <w:widowControl w:val="0"/>
        <w:kinsoku/>
        <w:wordWrap/>
        <w:overflowPunct/>
        <w:topLinePunct w:val="0"/>
        <w:autoSpaceDE/>
        <w:autoSpaceDN/>
        <w:bidi w:val="0"/>
        <w:adjustRightInd/>
        <w:snapToGrid/>
        <w:spacing w:after="361" w:afterLines="100" w:line="740" w:lineRule="exact"/>
        <w:ind w:left="0" w:leftChars="0" w:firstLine="562" w:firstLineChars="200"/>
        <w:jc w:val="center"/>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eastAsia" w:ascii="Cambria" w:hAnsi="Cambria" w:eastAsia="宋体" w:cs="Times New Roman"/>
          <w:b/>
          <w:bCs/>
          <w:color w:val="000000" w:themeColor="text1"/>
          <w:sz w:val="28"/>
          <w:szCs w:val="32"/>
          <w:highlight w:val="none"/>
          <w:lang w:val="en-US" w:eastAsia="zh-CN" w:bidi="en-US"/>
          <w14:textFill>
            <w14:solidFill>
              <w14:schemeClr w14:val="tx1"/>
            </w14:solidFill>
          </w14:textFill>
        </w:rPr>
        <w:t>《现场施工质量、安全、文明管理处罚规定》</w:t>
      </w:r>
    </w:p>
    <w:p w14:paraId="3C2FBB67">
      <w:pPr>
        <w:keepNext w:val="0"/>
        <w:keepLines w:val="0"/>
        <w:pageBreakBefore w:val="0"/>
        <w:widowControl w:val="0"/>
        <w:kinsoku/>
        <w:wordWrap/>
        <w:overflowPunct/>
        <w:topLinePunct w:val="0"/>
        <w:autoSpaceDE/>
        <w:autoSpaceDN/>
        <w:bidi w:val="0"/>
        <w:adjustRightInd/>
        <w:snapToGrid/>
        <w:spacing w:line="430" w:lineRule="exact"/>
        <w:ind w:left="0" w:leftChars="0" w:firstLine="420" w:firstLineChars="200"/>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为了加强工程现场施工质量、安全管理，杜绝施工中重大质量、安全事故的发生，确保工程施工质量和施工安全生产。根据国家有关法律规</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法规</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及</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质量安全管理有关规定，结合项目实际情况，特制定如下现场施工质量、安全管理处罚</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规定</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，对违反规定，将按此条款规定执行处罚。</w:t>
      </w:r>
    </w:p>
    <w:p w14:paraId="14C37B03">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一、通用条款</w:t>
      </w:r>
    </w:p>
    <w:tbl>
      <w:tblPr>
        <w:tblStyle w:val="44"/>
        <w:tblW w:w="94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32"/>
        <w:gridCol w:w="2809"/>
        <w:gridCol w:w="2386"/>
      </w:tblGrid>
      <w:tr w14:paraId="52C5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6" w:type="dxa"/>
            <w:noWrap w:val="0"/>
            <w:vAlign w:val="center"/>
          </w:tcPr>
          <w:p w14:paraId="13DA64BB">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32" w:type="dxa"/>
            <w:noWrap w:val="0"/>
            <w:vAlign w:val="center"/>
          </w:tcPr>
          <w:p w14:paraId="2639396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09" w:type="dxa"/>
            <w:noWrap w:val="0"/>
            <w:vAlign w:val="center"/>
          </w:tcPr>
          <w:p w14:paraId="3F62CF3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386" w:type="dxa"/>
            <w:noWrap w:val="0"/>
            <w:vAlign w:val="center"/>
          </w:tcPr>
          <w:p w14:paraId="1CAFA140">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037A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6" w:type="dxa"/>
            <w:noWrap w:val="0"/>
            <w:vAlign w:val="center"/>
          </w:tcPr>
          <w:p w14:paraId="35EF1BB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32" w:type="dxa"/>
            <w:noWrap w:val="0"/>
            <w:vAlign w:val="center"/>
          </w:tcPr>
          <w:p w14:paraId="7C04B9DF">
            <w:pPr>
              <w:keepNext w:val="0"/>
              <w:keepLines w:val="0"/>
              <w:pageBreakBefore w:val="0"/>
              <w:widowControl w:val="0"/>
              <w:tabs>
                <w:tab w:val="right" w:pos="9638"/>
              </w:tabs>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在浇筑砼时，施工员不在现场</w:t>
            </w:r>
          </w:p>
        </w:tc>
        <w:tc>
          <w:tcPr>
            <w:tcW w:w="2809" w:type="dxa"/>
            <w:noWrap w:val="0"/>
            <w:vAlign w:val="center"/>
          </w:tcPr>
          <w:p w14:paraId="79C6086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100元/人·次</w:t>
            </w:r>
          </w:p>
        </w:tc>
        <w:tc>
          <w:tcPr>
            <w:tcW w:w="2386" w:type="dxa"/>
            <w:noWrap w:val="0"/>
            <w:vAlign w:val="center"/>
          </w:tcPr>
          <w:p w14:paraId="6840CAD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730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52404130">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32" w:type="dxa"/>
            <w:noWrap w:val="0"/>
            <w:vAlign w:val="center"/>
          </w:tcPr>
          <w:p w14:paraId="1A54AD77">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进入施工现场不戴安全帽</w:t>
            </w:r>
          </w:p>
        </w:tc>
        <w:tc>
          <w:tcPr>
            <w:tcW w:w="2809" w:type="dxa"/>
            <w:noWrap w:val="0"/>
            <w:vAlign w:val="center"/>
          </w:tcPr>
          <w:p w14:paraId="5F91B70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工人：50元/人·次</w:t>
            </w:r>
          </w:p>
          <w:p w14:paraId="0B27CAE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管理人员：100元/人·次</w:t>
            </w:r>
          </w:p>
        </w:tc>
        <w:tc>
          <w:tcPr>
            <w:tcW w:w="2386" w:type="dxa"/>
            <w:noWrap w:val="0"/>
            <w:vAlign w:val="center"/>
          </w:tcPr>
          <w:p w14:paraId="67271DCF">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1E2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6F756508">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32" w:type="dxa"/>
            <w:noWrap w:val="0"/>
            <w:vAlign w:val="center"/>
          </w:tcPr>
          <w:p w14:paraId="7AB3A8E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进入施工现场作业戴安全帽不规范</w:t>
            </w:r>
          </w:p>
        </w:tc>
        <w:tc>
          <w:tcPr>
            <w:tcW w:w="2809" w:type="dxa"/>
            <w:noWrap w:val="0"/>
            <w:vAlign w:val="center"/>
          </w:tcPr>
          <w:p w14:paraId="127F2A12">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工人：10元/人·次</w:t>
            </w:r>
          </w:p>
          <w:p w14:paraId="4CDD282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管理人员：20元/人·次</w:t>
            </w:r>
          </w:p>
        </w:tc>
        <w:tc>
          <w:tcPr>
            <w:tcW w:w="2386" w:type="dxa"/>
            <w:noWrap w:val="0"/>
            <w:vAlign w:val="center"/>
          </w:tcPr>
          <w:p w14:paraId="6ADDCBD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FB9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96" w:type="dxa"/>
            <w:noWrap w:val="0"/>
            <w:vAlign w:val="center"/>
          </w:tcPr>
          <w:p w14:paraId="478A3EB9">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32" w:type="dxa"/>
            <w:noWrap w:val="0"/>
            <w:vAlign w:val="center"/>
          </w:tcPr>
          <w:p w14:paraId="4FCBAF7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高处危险作业不戴安全带，不按规范系好保险钩</w:t>
            </w:r>
          </w:p>
        </w:tc>
        <w:tc>
          <w:tcPr>
            <w:tcW w:w="2809" w:type="dxa"/>
            <w:noWrap w:val="0"/>
            <w:vAlign w:val="center"/>
          </w:tcPr>
          <w:p w14:paraId="59BD173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100元/人·次</w:t>
            </w:r>
          </w:p>
        </w:tc>
        <w:tc>
          <w:tcPr>
            <w:tcW w:w="2386" w:type="dxa"/>
            <w:noWrap w:val="0"/>
            <w:vAlign w:val="center"/>
          </w:tcPr>
          <w:p w14:paraId="6741A562">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37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6" w:type="dxa"/>
            <w:noWrap w:val="0"/>
            <w:vAlign w:val="center"/>
          </w:tcPr>
          <w:p w14:paraId="07B1AC43">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3532" w:type="dxa"/>
            <w:noWrap w:val="0"/>
            <w:vAlign w:val="center"/>
          </w:tcPr>
          <w:p w14:paraId="3CD5DD68">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施工临时用电接装、使用不规范</w:t>
            </w:r>
          </w:p>
        </w:tc>
        <w:tc>
          <w:tcPr>
            <w:tcW w:w="2809" w:type="dxa"/>
            <w:noWrap w:val="0"/>
            <w:vAlign w:val="center"/>
          </w:tcPr>
          <w:p w14:paraId="0AECC7DD">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300元/处·次</w:t>
            </w:r>
          </w:p>
        </w:tc>
        <w:tc>
          <w:tcPr>
            <w:tcW w:w="2386" w:type="dxa"/>
            <w:noWrap w:val="0"/>
            <w:vAlign w:val="center"/>
          </w:tcPr>
          <w:p w14:paraId="6CCA67F9">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92F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3BA7BB03">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3532" w:type="dxa"/>
            <w:noWrap w:val="0"/>
            <w:vAlign w:val="center"/>
          </w:tcPr>
          <w:p w14:paraId="1A7F51A3">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严禁施工现场居住民工，发现住民工和小孩的</w:t>
            </w:r>
          </w:p>
        </w:tc>
        <w:tc>
          <w:tcPr>
            <w:tcW w:w="2809" w:type="dxa"/>
            <w:noWrap w:val="0"/>
            <w:vAlign w:val="center"/>
          </w:tcPr>
          <w:p w14:paraId="3E80BD4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100元/人·次、</w:t>
            </w:r>
          </w:p>
          <w:p w14:paraId="349748F5">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小孩200元/人·次</w:t>
            </w:r>
          </w:p>
        </w:tc>
        <w:tc>
          <w:tcPr>
            <w:tcW w:w="2386" w:type="dxa"/>
            <w:noWrap w:val="0"/>
            <w:vAlign w:val="center"/>
          </w:tcPr>
          <w:p w14:paraId="7A918D45">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小孩在工地玩耍300元/人.次</w:t>
            </w:r>
          </w:p>
        </w:tc>
      </w:tr>
      <w:tr w14:paraId="47CF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49E222FD">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3532" w:type="dxa"/>
            <w:noWrap w:val="0"/>
            <w:vAlign w:val="center"/>
          </w:tcPr>
          <w:p w14:paraId="5B956D9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施工现场、宿舍生活区未经电工私自乱拉乱接电</w:t>
            </w:r>
          </w:p>
        </w:tc>
        <w:tc>
          <w:tcPr>
            <w:tcW w:w="2809" w:type="dxa"/>
            <w:noWrap w:val="0"/>
            <w:vAlign w:val="center"/>
          </w:tcPr>
          <w:p w14:paraId="02E97347">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100元/人·次，并剪断电线；随意乱接的200元/人·次</w:t>
            </w:r>
          </w:p>
        </w:tc>
        <w:tc>
          <w:tcPr>
            <w:tcW w:w="2386" w:type="dxa"/>
            <w:noWrap w:val="0"/>
            <w:vAlign w:val="center"/>
          </w:tcPr>
          <w:p w14:paraId="1149656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E1D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5E64A5FB">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3532" w:type="dxa"/>
            <w:noWrap w:val="0"/>
            <w:vAlign w:val="center"/>
          </w:tcPr>
          <w:p w14:paraId="3B19EDAF">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现场工人宿舍区使用电炉、热得快等大功率电器</w:t>
            </w:r>
          </w:p>
        </w:tc>
        <w:tc>
          <w:tcPr>
            <w:tcW w:w="2809" w:type="dxa"/>
            <w:noWrap w:val="0"/>
            <w:vAlign w:val="center"/>
          </w:tcPr>
          <w:p w14:paraId="57602C2F">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100元/人·次，并没收电器</w:t>
            </w:r>
          </w:p>
        </w:tc>
        <w:tc>
          <w:tcPr>
            <w:tcW w:w="2386" w:type="dxa"/>
            <w:noWrap w:val="0"/>
            <w:vAlign w:val="center"/>
          </w:tcPr>
          <w:p w14:paraId="10449DA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板房内使用明火200元/次，没收器具</w:t>
            </w:r>
          </w:p>
        </w:tc>
      </w:tr>
      <w:tr w14:paraId="24C6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96" w:type="dxa"/>
            <w:noWrap w:val="0"/>
            <w:vAlign w:val="center"/>
          </w:tcPr>
          <w:p w14:paraId="16989339">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3532" w:type="dxa"/>
            <w:noWrap w:val="0"/>
            <w:vAlign w:val="center"/>
          </w:tcPr>
          <w:p w14:paraId="36AA9EF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安全防护设施及安全标志未经管理人员同意擅自拆除</w:t>
            </w:r>
          </w:p>
        </w:tc>
        <w:tc>
          <w:tcPr>
            <w:tcW w:w="2809" w:type="dxa"/>
            <w:noWrap w:val="0"/>
            <w:vAlign w:val="center"/>
          </w:tcPr>
          <w:p w14:paraId="6FB6F51B">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50元/人·处，并责令恢复原位</w:t>
            </w:r>
          </w:p>
        </w:tc>
        <w:tc>
          <w:tcPr>
            <w:tcW w:w="2386" w:type="dxa"/>
            <w:noWrap w:val="0"/>
            <w:vAlign w:val="center"/>
          </w:tcPr>
          <w:p w14:paraId="151F772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造成他人伤害另追究责任</w:t>
            </w:r>
          </w:p>
        </w:tc>
      </w:tr>
      <w:tr w14:paraId="2E0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96" w:type="dxa"/>
            <w:noWrap w:val="0"/>
            <w:vAlign w:val="center"/>
          </w:tcPr>
          <w:p w14:paraId="53A9E6DD">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3532" w:type="dxa"/>
            <w:noWrap w:val="0"/>
            <w:vAlign w:val="center"/>
          </w:tcPr>
          <w:p w14:paraId="547363EB">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施工队组进场未报项目部备案（含各证件复印件及花名册）和未经三级安全教育或培训</w:t>
            </w:r>
          </w:p>
        </w:tc>
        <w:tc>
          <w:tcPr>
            <w:tcW w:w="2809" w:type="dxa"/>
            <w:noWrap w:val="0"/>
            <w:vAlign w:val="center"/>
          </w:tcPr>
          <w:p w14:paraId="3491139A">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500元/班组</w:t>
            </w:r>
          </w:p>
          <w:p w14:paraId="7E09FE6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未经教育100元/人·次</w:t>
            </w:r>
          </w:p>
        </w:tc>
        <w:tc>
          <w:tcPr>
            <w:tcW w:w="2386" w:type="dxa"/>
            <w:noWrap w:val="0"/>
            <w:vAlign w:val="center"/>
          </w:tcPr>
          <w:p w14:paraId="7CC415A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5D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96" w:type="dxa"/>
            <w:noWrap w:val="0"/>
            <w:vAlign w:val="center"/>
          </w:tcPr>
          <w:p w14:paraId="05491ED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3532" w:type="dxa"/>
            <w:noWrap w:val="0"/>
            <w:vAlign w:val="center"/>
          </w:tcPr>
          <w:p w14:paraId="5E74B45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穿脱鞋、高跟鞋、硬底鞋和赤脚光背作业</w:t>
            </w:r>
          </w:p>
        </w:tc>
        <w:tc>
          <w:tcPr>
            <w:tcW w:w="2809" w:type="dxa"/>
            <w:noWrap w:val="0"/>
            <w:vAlign w:val="center"/>
          </w:tcPr>
          <w:p w14:paraId="0EFAEFFD">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20元/人·次</w:t>
            </w:r>
          </w:p>
        </w:tc>
        <w:tc>
          <w:tcPr>
            <w:tcW w:w="2386" w:type="dxa"/>
            <w:noWrap w:val="0"/>
            <w:vAlign w:val="center"/>
          </w:tcPr>
          <w:p w14:paraId="606C04F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AE4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52B352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3532" w:type="dxa"/>
            <w:noWrap w:val="0"/>
            <w:vAlign w:val="center"/>
          </w:tcPr>
          <w:p w14:paraId="6DFCC9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班组或操作人员不按安全技术交底进行作业，违反施工规范和降低质量标准</w:t>
            </w:r>
          </w:p>
        </w:tc>
        <w:tc>
          <w:tcPr>
            <w:tcW w:w="2809" w:type="dxa"/>
            <w:noWrap w:val="0"/>
            <w:vAlign w:val="center"/>
          </w:tcPr>
          <w:p w14:paraId="76802F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500元/组·次 </w:t>
            </w:r>
          </w:p>
          <w:p w14:paraId="6C47BE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个人违反的100元/人·次</w:t>
            </w:r>
          </w:p>
        </w:tc>
        <w:tc>
          <w:tcPr>
            <w:tcW w:w="2386" w:type="dxa"/>
            <w:noWrap w:val="0"/>
            <w:vAlign w:val="center"/>
          </w:tcPr>
          <w:p w14:paraId="3616B22A">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CB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3488FD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3532" w:type="dxa"/>
            <w:noWrap w:val="0"/>
            <w:vAlign w:val="center"/>
          </w:tcPr>
          <w:p w14:paraId="0D15393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酒后上岗</w:t>
            </w:r>
          </w:p>
        </w:tc>
        <w:tc>
          <w:tcPr>
            <w:tcW w:w="2809" w:type="dxa"/>
            <w:noWrap w:val="0"/>
            <w:vAlign w:val="center"/>
          </w:tcPr>
          <w:p w14:paraId="6C1C98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300元/人·次</w:t>
            </w:r>
          </w:p>
        </w:tc>
        <w:tc>
          <w:tcPr>
            <w:tcW w:w="2386" w:type="dxa"/>
            <w:noWrap w:val="0"/>
            <w:vAlign w:val="center"/>
          </w:tcPr>
          <w:p w14:paraId="2523BAD9">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72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287C76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3532" w:type="dxa"/>
            <w:noWrap w:val="0"/>
            <w:vAlign w:val="center"/>
          </w:tcPr>
          <w:p w14:paraId="33F75D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各种设备</w:t>
            </w:r>
            <w:r>
              <w:rPr>
                <w:rFonts w:hint="default" w:ascii="Times New Roman" w:hAnsi="Times New Roman" w:eastAsia="宋体" w:cs="Times New Roman"/>
                <w:color w:val="000000" w:themeColor="text1"/>
                <w:sz w:val="21"/>
                <w:szCs w:val="21"/>
                <w:highlight w:val="none"/>
                <w14:textFill>
                  <w14:solidFill>
                    <w14:schemeClr w14:val="tx1"/>
                  </w14:solidFill>
                </w14:textFill>
              </w:rPr>
              <w:t>未检验和备案合格而使用，</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班组</w:t>
            </w:r>
            <w:r>
              <w:rPr>
                <w:rFonts w:hint="default" w:ascii="Times New Roman" w:hAnsi="Times New Roman" w:eastAsia="宋体" w:cs="Times New Roman"/>
                <w:color w:val="000000" w:themeColor="text1"/>
                <w:sz w:val="21"/>
                <w:szCs w:val="21"/>
                <w:highlight w:val="none"/>
                <w14:textFill>
                  <w14:solidFill>
                    <w14:schemeClr w14:val="tx1"/>
                  </w14:solidFill>
                </w14:textFill>
              </w:rPr>
              <w:t>施工员、安全员、特种作业人员无证上岗</w:t>
            </w:r>
          </w:p>
        </w:tc>
        <w:tc>
          <w:tcPr>
            <w:tcW w:w="2809" w:type="dxa"/>
            <w:noWrap w:val="0"/>
            <w:vAlign w:val="center"/>
          </w:tcPr>
          <w:p w14:paraId="2651E0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1000元/台，200元/次，并停止作业</w:t>
            </w:r>
          </w:p>
        </w:tc>
        <w:tc>
          <w:tcPr>
            <w:tcW w:w="2386" w:type="dxa"/>
            <w:noWrap w:val="0"/>
            <w:vAlign w:val="center"/>
          </w:tcPr>
          <w:p w14:paraId="16D9D2C1">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7EF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6C0ACF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3532" w:type="dxa"/>
            <w:noWrap w:val="0"/>
            <w:vAlign w:val="center"/>
          </w:tcPr>
          <w:p w14:paraId="716FE5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个人在工地打架斗殴</w:t>
            </w:r>
          </w:p>
        </w:tc>
        <w:tc>
          <w:tcPr>
            <w:tcW w:w="2809" w:type="dxa"/>
            <w:noWrap w:val="0"/>
            <w:vAlign w:val="center"/>
          </w:tcPr>
          <w:p w14:paraId="23D70C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500元/人·次</w:t>
            </w:r>
          </w:p>
        </w:tc>
        <w:tc>
          <w:tcPr>
            <w:tcW w:w="2386" w:type="dxa"/>
            <w:noWrap w:val="0"/>
            <w:vAlign w:val="center"/>
          </w:tcPr>
          <w:p w14:paraId="7C7502A5">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F95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349298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16</w:t>
            </w:r>
          </w:p>
        </w:tc>
        <w:tc>
          <w:tcPr>
            <w:tcW w:w="3532" w:type="dxa"/>
            <w:noWrap w:val="0"/>
            <w:vAlign w:val="center"/>
          </w:tcPr>
          <w:p w14:paraId="68748E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在工地上群殴（双方参与2人以上）</w:t>
            </w:r>
          </w:p>
        </w:tc>
        <w:tc>
          <w:tcPr>
            <w:tcW w:w="2809" w:type="dxa"/>
            <w:noWrap w:val="0"/>
            <w:vAlign w:val="center"/>
          </w:tcPr>
          <w:p w14:paraId="307C589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双方各1000元/次，责</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任</w:t>
            </w:r>
            <w:r>
              <w:rPr>
                <w:rFonts w:hint="default" w:ascii="Times New Roman" w:hAnsi="Times New Roman" w:eastAsia="宋体" w:cs="Times New Roman"/>
                <w:color w:val="000000" w:themeColor="text1"/>
                <w:sz w:val="21"/>
                <w:szCs w:val="21"/>
                <w:highlight w:val="none"/>
                <w14:textFill>
                  <w14:solidFill>
                    <w14:schemeClr w14:val="tx1"/>
                  </w14:solidFill>
                </w14:textFill>
              </w:rPr>
              <w:t>方负责医疗费，情节严重者送派出所处理</w:t>
            </w:r>
          </w:p>
        </w:tc>
        <w:tc>
          <w:tcPr>
            <w:tcW w:w="2386" w:type="dxa"/>
            <w:noWrap w:val="0"/>
            <w:vAlign w:val="center"/>
          </w:tcPr>
          <w:p w14:paraId="22DD7264">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DDC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335704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17</w:t>
            </w:r>
          </w:p>
        </w:tc>
        <w:tc>
          <w:tcPr>
            <w:tcW w:w="3532" w:type="dxa"/>
            <w:noWrap w:val="0"/>
            <w:vAlign w:val="center"/>
          </w:tcPr>
          <w:p w14:paraId="073ABB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聚</w:t>
            </w:r>
            <w:r>
              <w:rPr>
                <w:rFonts w:hint="default" w:ascii="Times New Roman" w:hAnsi="Times New Roman" w:eastAsia="宋体" w:cs="Times New Roman"/>
                <w:color w:val="000000" w:themeColor="text1"/>
                <w:sz w:val="21"/>
                <w:szCs w:val="21"/>
                <w:highlight w:val="none"/>
                <w14:textFill>
                  <w14:solidFill>
                    <w14:schemeClr w14:val="tx1"/>
                  </w14:solidFill>
                </w14:textFill>
              </w:rPr>
              <w:t>众赌博</w:t>
            </w:r>
          </w:p>
        </w:tc>
        <w:tc>
          <w:tcPr>
            <w:tcW w:w="2809" w:type="dxa"/>
            <w:noWrap w:val="0"/>
            <w:vAlign w:val="center"/>
          </w:tcPr>
          <w:p w14:paraId="60C7FD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组织者：500元/次</w:t>
            </w:r>
          </w:p>
          <w:p w14:paraId="4C7A37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参与者：100元/次</w:t>
            </w:r>
          </w:p>
        </w:tc>
        <w:tc>
          <w:tcPr>
            <w:tcW w:w="2386" w:type="dxa"/>
            <w:noWrap w:val="0"/>
            <w:vAlign w:val="center"/>
          </w:tcPr>
          <w:p w14:paraId="62A25732">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9AF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13EF2F8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3532" w:type="dxa"/>
            <w:noWrap w:val="0"/>
            <w:vAlign w:val="center"/>
          </w:tcPr>
          <w:p w14:paraId="7631C9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不按施工技术交底施工，违反施工规范和降低质量标准</w:t>
            </w:r>
          </w:p>
        </w:tc>
        <w:tc>
          <w:tcPr>
            <w:tcW w:w="2809" w:type="dxa"/>
            <w:noWrap w:val="0"/>
            <w:vAlign w:val="center"/>
          </w:tcPr>
          <w:p w14:paraId="38EEEE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100元/处，并责令整改</w:t>
            </w:r>
          </w:p>
        </w:tc>
        <w:tc>
          <w:tcPr>
            <w:tcW w:w="2386" w:type="dxa"/>
            <w:noWrap w:val="0"/>
            <w:vAlign w:val="center"/>
          </w:tcPr>
          <w:p w14:paraId="7B1FFC2F">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439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2AED07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19</w:t>
            </w:r>
          </w:p>
        </w:tc>
        <w:tc>
          <w:tcPr>
            <w:tcW w:w="3532" w:type="dxa"/>
            <w:noWrap w:val="0"/>
            <w:vAlign w:val="center"/>
          </w:tcPr>
          <w:p w14:paraId="6FA071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施工不按工序交接程序进行检查验收而擅自进行下道工序施工（关键工序、隐蔽工程）</w:t>
            </w:r>
          </w:p>
        </w:tc>
        <w:tc>
          <w:tcPr>
            <w:tcW w:w="2809" w:type="dxa"/>
            <w:noWrap w:val="0"/>
            <w:vAlign w:val="center"/>
          </w:tcPr>
          <w:p w14:paraId="011325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1000元/次，并责令整改至验收合格</w:t>
            </w:r>
          </w:p>
        </w:tc>
        <w:tc>
          <w:tcPr>
            <w:tcW w:w="2386" w:type="dxa"/>
            <w:noWrap w:val="0"/>
            <w:vAlign w:val="center"/>
          </w:tcPr>
          <w:p w14:paraId="5419E884">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025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743AEE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c>
          <w:tcPr>
            <w:tcW w:w="3532" w:type="dxa"/>
            <w:noWrap w:val="0"/>
            <w:vAlign w:val="center"/>
          </w:tcPr>
          <w:p w14:paraId="7A70CD0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违反安全操作规程、违章指挥及冒险作业</w:t>
            </w:r>
          </w:p>
        </w:tc>
        <w:tc>
          <w:tcPr>
            <w:tcW w:w="2809" w:type="dxa"/>
            <w:noWrap w:val="0"/>
            <w:vAlign w:val="center"/>
          </w:tcPr>
          <w:p w14:paraId="05E6979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300元/次，并勒令停止</w:t>
            </w:r>
          </w:p>
        </w:tc>
        <w:tc>
          <w:tcPr>
            <w:tcW w:w="2386" w:type="dxa"/>
            <w:noWrap w:val="0"/>
            <w:vAlign w:val="center"/>
          </w:tcPr>
          <w:p w14:paraId="7654572C">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B19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54ABBD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21</w:t>
            </w:r>
          </w:p>
        </w:tc>
        <w:tc>
          <w:tcPr>
            <w:tcW w:w="3532" w:type="dxa"/>
            <w:noWrap w:val="0"/>
            <w:vAlign w:val="center"/>
          </w:tcPr>
          <w:p w14:paraId="125CF9E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施工</w:t>
            </w:r>
            <w:r>
              <w:rPr>
                <w:rFonts w:hint="default" w:ascii="Times New Roman" w:hAnsi="Times New Roman" w:eastAsia="宋体" w:cs="Times New Roman"/>
                <w:color w:val="000000" w:themeColor="text1"/>
                <w:sz w:val="21"/>
                <w:szCs w:val="21"/>
                <w:highlight w:val="none"/>
                <w14:textFill>
                  <w14:solidFill>
                    <w14:schemeClr w14:val="tx1"/>
                  </w14:solidFill>
                </w14:textFill>
              </w:rPr>
              <w:t>质量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安全不符合要求，经发</w:t>
            </w:r>
            <w:r>
              <w:rPr>
                <w:rFonts w:hint="default" w:ascii="Times New Roman" w:hAnsi="Times New Roman" w:eastAsia="宋体" w:cs="Times New Roman"/>
                <w:color w:val="000000" w:themeColor="text1"/>
                <w:sz w:val="21"/>
                <w:szCs w:val="21"/>
                <w:highlight w:val="none"/>
                <w14:textFill>
                  <w14:solidFill>
                    <w14:schemeClr w14:val="tx1"/>
                  </w14:solidFill>
                </w14:textFill>
              </w:rPr>
              <w:t>整改通知不按期整改或不整改</w:t>
            </w:r>
          </w:p>
        </w:tc>
        <w:tc>
          <w:tcPr>
            <w:tcW w:w="2809" w:type="dxa"/>
            <w:noWrap w:val="0"/>
            <w:vAlign w:val="center"/>
          </w:tcPr>
          <w:p w14:paraId="275892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天×</w:t>
            </w:r>
            <w:r>
              <w:rPr>
                <w:rFonts w:hint="default" w:ascii="Times New Roman" w:hAnsi="Times New Roman" w:eastAsia="宋体" w:cs="Times New Roman"/>
                <w:color w:val="000000" w:themeColor="text1"/>
                <w:sz w:val="21"/>
                <w:szCs w:val="21"/>
                <w:highlight w:val="none"/>
                <w14:textFill>
                  <w14:solidFill>
                    <w14:schemeClr w14:val="tx1"/>
                  </w14:solidFill>
                </w14:textFill>
              </w:rPr>
              <w:t>处，并责令停工整改至合格</w:t>
            </w:r>
          </w:p>
        </w:tc>
        <w:tc>
          <w:tcPr>
            <w:tcW w:w="2386" w:type="dxa"/>
            <w:noWrap w:val="0"/>
            <w:vAlign w:val="center"/>
          </w:tcPr>
          <w:p w14:paraId="5FD07D98">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C6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78B670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22</w:t>
            </w:r>
          </w:p>
        </w:tc>
        <w:tc>
          <w:tcPr>
            <w:tcW w:w="3532" w:type="dxa"/>
            <w:noWrap w:val="0"/>
            <w:vAlign w:val="center"/>
          </w:tcPr>
          <w:p w14:paraId="5031D7B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每天施工完工现场不及时清理或者施工机械不清理</w:t>
            </w:r>
          </w:p>
        </w:tc>
        <w:tc>
          <w:tcPr>
            <w:tcW w:w="2809" w:type="dxa"/>
            <w:noWrap w:val="0"/>
            <w:vAlign w:val="center"/>
          </w:tcPr>
          <w:p w14:paraId="121C24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100元/次</w:t>
            </w:r>
          </w:p>
        </w:tc>
        <w:tc>
          <w:tcPr>
            <w:tcW w:w="2386" w:type="dxa"/>
            <w:noWrap w:val="0"/>
            <w:vAlign w:val="center"/>
          </w:tcPr>
          <w:p w14:paraId="300D39FE">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0CE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0B30A0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23</w:t>
            </w:r>
          </w:p>
        </w:tc>
        <w:tc>
          <w:tcPr>
            <w:tcW w:w="3532" w:type="dxa"/>
            <w:noWrap w:val="0"/>
            <w:vAlign w:val="center"/>
          </w:tcPr>
          <w:p w14:paraId="5FEE8F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管理不严，随便让非工作人员进出施工现场</w:t>
            </w:r>
          </w:p>
        </w:tc>
        <w:tc>
          <w:tcPr>
            <w:tcW w:w="2809" w:type="dxa"/>
            <w:noWrap w:val="0"/>
            <w:vAlign w:val="center"/>
          </w:tcPr>
          <w:p w14:paraId="277078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highlight w:val="none"/>
                <w14:textFill>
                  <w14:solidFill>
                    <w14:schemeClr w14:val="tx1"/>
                  </w14:solidFill>
                </w14:textFill>
              </w:rPr>
              <w:t>0元/次</w:t>
            </w:r>
          </w:p>
        </w:tc>
        <w:tc>
          <w:tcPr>
            <w:tcW w:w="2386" w:type="dxa"/>
            <w:noWrap w:val="0"/>
            <w:vAlign w:val="center"/>
          </w:tcPr>
          <w:p w14:paraId="21298507">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66B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2E82F4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24</w:t>
            </w:r>
          </w:p>
        </w:tc>
        <w:tc>
          <w:tcPr>
            <w:tcW w:w="3532" w:type="dxa"/>
            <w:noWrap w:val="0"/>
            <w:vAlign w:val="center"/>
          </w:tcPr>
          <w:p w14:paraId="4299FF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通知开会不参与（特殊情况请假除外）</w:t>
            </w:r>
          </w:p>
        </w:tc>
        <w:tc>
          <w:tcPr>
            <w:tcW w:w="2809" w:type="dxa"/>
            <w:noWrap w:val="0"/>
            <w:vAlign w:val="center"/>
          </w:tcPr>
          <w:p w14:paraId="7D42D9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项目经理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00元/次</w:t>
            </w:r>
          </w:p>
          <w:p w14:paraId="2328DE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管理人员：200元/次</w:t>
            </w:r>
          </w:p>
        </w:tc>
        <w:tc>
          <w:tcPr>
            <w:tcW w:w="2386" w:type="dxa"/>
            <w:noWrap w:val="0"/>
            <w:vAlign w:val="center"/>
          </w:tcPr>
          <w:p w14:paraId="2F48BF81">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5F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679894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w:t>
            </w:r>
          </w:p>
        </w:tc>
        <w:tc>
          <w:tcPr>
            <w:tcW w:w="3532" w:type="dxa"/>
            <w:noWrap w:val="0"/>
            <w:vAlign w:val="center"/>
          </w:tcPr>
          <w:p w14:paraId="108BD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浇筑混凝土时，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项目部及</w:t>
            </w:r>
            <w:r>
              <w:rPr>
                <w:rFonts w:hint="default" w:ascii="Times New Roman" w:hAnsi="Times New Roman" w:eastAsia="宋体" w:cs="Times New Roman"/>
                <w:color w:val="000000" w:themeColor="text1"/>
                <w:sz w:val="21"/>
                <w:szCs w:val="21"/>
                <w:highlight w:val="none"/>
                <w14:textFill>
                  <w14:solidFill>
                    <w14:schemeClr w14:val="tx1"/>
                  </w14:solidFill>
                </w14:textFill>
              </w:rPr>
              <w:t>劳务班组无施工管理员值班指导</w:t>
            </w:r>
          </w:p>
        </w:tc>
        <w:tc>
          <w:tcPr>
            <w:tcW w:w="2809" w:type="dxa"/>
            <w:noWrap w:val="0"/>
            <w:vAlign w:val="center"/>
          </w:tcPr>
          <w:p w14:paraId="0B62F5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w:t>
            </w:r>
          </w:p>
        </w:tc>
        <w:tc>
          <w:tcPr>
            <w:tcW w:w="2386" w:type="dxa"/>
            <w:noWrap w:val="0"/>
            <w:vAlign w:val="center"/>
          </w:tcPr>
          <w:p w14:paraId="72B4A1E5">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13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1A8CDA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26</w:t>
            </w:r>
          </w:p>
        </w:tc>
        <w:tc>
          <w:tcPr>
            <w:tcW w:w="3532" w:type="dxa"/>
            <w:noWrap w:val="0"/>
            <w:vAlign w:val="center"/>
          </w:tcPr>
          <w:p w14:paraId="251409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项目部管理</w:t>
            </w:r>
            <w:r>
              <w:rPr>
                <w:rFonts w:hint="default" w:ascii="Times New Roman" w:hAnsi="Times New Roman" w:eastAsia="宋体" w:cs="Times New Roman"/>
                <w:color w:val="000000" w:themeColor="text1"/>
                <w:sz w:val="21"/>
                <w:szCs w:val="21"/>
                <w:highlight w:val="none"/>
                <w14:textFill>
                  <w14:solidFill>
                    <w14:schemeClr w14:val="tx1"/>
                  </w14:solidFill>
                </w14:textFill>
              </w:rPr>
              <w:t>人员</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或班组人员</w:t>
            </w:r>
            <w:r>
              <w:rPr>
                <w:rFonts w:hint="default" w:ascii="Times New Roman" w:hAnsi="Times New Roman" w:eastAsia="宋体" w:cs="Times New Roman"/>
                <w:color w:val="000000" w:themeColor="text1"/>
                <w:sz w:val="21"/>
                <w:szCs w:val="21"/>
                <w:highlight w:val="none"/>
                <w14:textFill>
                  <w14:solidFill>
                    <w14:schemeClr w14:val="tx1"/>
                  </w14:solidFill>
                </w14:textFill>
              </w:rPr>
              <w:t>不服从</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建设单位或监理单位</w:t>
            </w:r>
            <w:r>
              <w:rPr>
                <w:rFonts w:hint="default" w:ascii="Times New Roman" w:hAnsi="Times New Roman" w:eastAsia="宋体" w:cs="Times New Roman"/>
                <w:color w:val="000000" w:themeColor="text1"/>
                <w:sz w:val="21"/>
                <w:szCs w:val="21"/>
                <w:highlight w:val="none"/>
                <w14:textFill>
                  <w14:solidFill>
                    <w14:schemeClr w14:val="tx1"/>
                  </w14:solidFill>
                </w14:textFill>
              </w:rPr>
              <w:t>管理人员管理，恐吓威胁殴打</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建设单位或监理单位</w:t>
            </w:r>
            <w:r>
              <w:rPr>
                <w:rFonts w:hint="default" w:ascii="Times New Roman" w:hAnsi="Times New Roman" w:eastAsia="宋体" w:cs="Times New Roman"/>
                <w:color w:val="000000" w:themeColor="text1"/>
                <w:sz w:val="21"/>
                <w:szCs w:val="21"/>
                <w:highlight w:val="none"/>
                <w14:textFill>
                  <w14:solidFill>
                    <w14:schemeClr w14:val="tx1"/>
                  </w14:solidFill>
                </w14:textFill>
              </w:rPr>
              <w:t>管理人员</w:t>
            </w:r>
          </w:p>
        </w:tc>
        <w:tc>
          <w:tcPr>
            <w:tcW w:w="2809" w:type="dxa"/>
            <w:noWrap w:val="0"/>
            <w:vAlign w:val="center"/>
          </w:tcPr>
          <w:p w14:paraId="7B2693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1000元/次</w:t>
            </w:r>
          </w:p>
        </w:tc>
        <w:tc>
          <w:tcPr>
            <w:tcW w:w="2386" w:type="dxa"/>
            <w:noWrap w:val="0"/>
            <w:vAlign w:val="center"/>
          </w:tcPr>
          <w:p w14:paraId="79D4E123">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造成伤害追究法律责任</w:t>
            </w:r>
          </w:p>
        </w:tc>
      </w:tr>
      <w:tr w14:paraId="65EF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6" w:type="dxa"/>
            <w:noWrap w:val="0"/>
            <w:vAlign w:val="center"/>
          </w:tcPr>
          <w:p w14:paraId="7330D80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27</w:t>
            </w:r>
          </w:p>
        </w:tc>
        <w:tc>
          <w:tcPr>
            <w:tcW w:w="3532" w:type="dxa"/>
            <w:noWrap w:val="0"/>
            <w:vAlign w:val="center"/>
          </w:tcPr>
          <w:p w14:paraId="0110C8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浇筑混凝土时，木工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钢模工、</w:t>
            </w:r>
            <w:r>
              <w:rPr>
                <w:rFonts w:hint="default" w:ascii="Times New Roman" w:hAnsi="Times New Roman" w:eastAsia="宋体" w:cs="Times New Roman"/>
                <w:color w:val="000000" w:themeColor="text1"/>
                <w:sz w:val="21"/>
                <w:szCs w:val="21"/>
                <w:highlight w:val="none"/>
                <w14:textFill>
                  <w14:solidFill>
                    <w14:schemeClr w14:val="tx1"/>
                  </w14:solidFill>
                </w14:textFill>
              </w:rPr>
              <w:t>钢筋工、电工无人值班作业</w:t>
            </w:r>
          </w:p>
        </w:tc>
        <w:tc>
          <w:tcPr>
            <w:tcW w:w="2809" w:type="dxa"/>
            <w:noWrap w:val="0"/>
            <w:vAlign w:val="center"/>
          </w:tcPr>
          <w:p w14:paraId="09643D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200元/次</w:t>
            </w:r>
          </w:p>
        </w:tc>
        <w:tc>
          <w:tcPr>
            <w:tcW w:w="2386" w:type="dxa"/>
            <w:noWrap w:val="0"/>
            <w:vAlign w:val="center"/>
          </w:tcPr>
          <w:p w14:paraId="2FB32212">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5B1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696" w:type="dxa"/>
            <w:noWrap w:val="0"/>
            <w:vAlign w:val="center"/>
          </w:tcPr>
          <w:p w14:paraId="601276BC">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28</w:t>
            </w:r>
          </w:p>
        </w:tc>
        <w:tc>
          <w:tcPr>
            <w:tcW w:w="3532" w:type="dxa"/>
            <w:noWrap w:val="0"/>
            <w:vAlign w:val="center"/>
          </w:tcPr>
          <w:p w14:paraId="6E255F30">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处理结构质量问题，未通</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知建设单位</w:t>
            </w:r>
            <w:r>
              <w:rPr>
                <w:rFonts w:hint="default" w:ascii="Times New Roman" w:hAnsi="Times New Roman" w:eastAsia="宋体" w:cs="Times New Roman"/>
                <w:color w:val="000000" w:themeColor="text1"/>
                <w:sz w:val="21"/>
                <w:szCs w:val="21"/>
                <w:highlight w:val="none"/>
                <w14:textFill>
                  <w14:solidFill>
                    <w14:schemeClr w14:val="tx1"/>
                  </w14:solidFill>
                </w14:textFill>
              </w:rPr>
              <w:t>及监理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单位</w:t>
            </w:r>
            <w:r>
              <w:rPr>
                <w:rFonts w:hint="default" w:ascii="Times New Roman" w:hAnsi="Times New Roman" w:eastAsia="宋体" w:cs="Times New Roman"/>
                <w:color w:val="000000" w:themeColor="text1"/>
                <w:sz w:val="21"/>
                <w:szCs w:val="21"/>
                <w:highlight w:val="none"/>
                <w14:textFill>
                  <w14:solidFill>
                    <w14:schemeClr w14:val="tx1"/>
                  </w14:solidFill>
                </w14:textFill>
              </w:rPr>
              <w:t>，擅自处理</w:t>
            </w:r>
          </w:p>
        </w:tc>
        <w:tc>
          <w:tcPr>
            <w:tcW w:w="2809" w:type="dxa"/>
            <w:noWrap w:val="0"/>
            <w:vAlign w:val="center"/>
          </w:tcPr>
          <w:p w14:paraId="4A9F9805">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视情况轻重500-2000元/次</w:t>
            </w:r>
          </w:p>
        </w:tc>
        <w:tc>
          <w:tcPr>
            <w:tcW w:w="2386" w:type="dxa"/>
            <w:noWrap w:val="0"/>
            <w:vAlign w:val="center"/>
          </w:tcPr>
          <w:p w14:paraId="37FE0535">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BA9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68177DDE">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29</w:t>
            </w:r>
          </w:p>
        </w:tc>
        <w:tc>
          <w:tcPr>
            <w:tcW w:w="3532" w:type="dxa"/>
            <w:noWrap w:val="0"/>
            <w:vAlign w:val="center"/>
          </w:tcPr>
          <w:p w14:paraId="5286C0D9">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不按规定</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对各洞</w:t>
            </w:r>
            <w:r>
              <w:rPr>
                <w:rFonts w:hint="default" w:ascii="Times New Roman" w:hAnsi="Times New Roman" w:eastAsia="宋体" w:cs="Times New Roman"/>
                <w:color w:val="000000" w:themeColor="text1"/>
                <w:sz w:val="21"/>
                <w:szCs w:val="21"/>
                <w:highlight w:val="none"/>
                <w14:textFill>
                  <w14:solidFill>
                    <w14:schemeClr w14:val="tx1"/>
                  </w14:solidFill>
                </w14:textFill>
              </w:rPr>
              <w:t>口、临边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搭设</w:t>
            </w:r>
            <w:r>
              <w:rPr>
                <w:rFonts w:hint="default" w:ascii="Times New Roman" w:hAnsi="Times New Roman" w:eastAsia="宋体" w:cs="Times New Roman"/>
                <w:color w:val="000000" w:themeColor="text1"/>
                <w:sz w:val="21"/>
                <w:szCs w:val="21"/>
                <w:highlight w:val="none"/>
                <w14:textFill>
                  <w14:solidFill>
                    <w14:schemeClr w14:val="tx1"/>
                  </w14:solidFill>
                </w14:textFill>
              </w:rPr>
              <w:t>防护或防护不牢固</w:t>
            </w:r>
          </w:p>
        </w:tc>
        <w:tc>
          <w:tcPr>
            <w:tcW w:w="2809" w:type="dxa"/>
            <w:noWrap w:val="0"/>
            <w:vAlign w:val="center"/>
          </w:tcPr>
          <w:p w14:paraId="66CD4D73">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临边500元/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color w:val="000000" w:themeColor="text1"/>
                <w:sz w:val="21"/>
                <w:szCs w:val="21"/>
                <w:highlight w:val="none"/>
                <w14:textFill>
                  <w14:solidFill>
                    <w14:schemeClr w14:val="tx1"/>
                  </w14:solidFill>
                </w14:textFill>
              </w:rPr>
              <w:t>、洞口100元/个</w:t>
            </w:r>
          </w:p>
        </w:tc>
        <w:tc>
          <w:tcPr>
            <w:tcW w:w="2386" w:type="dxa"/>
            <w:noWrap w:val="0"/>
            <w:vAlign w:val="center"/>
          </w:tcPr>
          <w:p w14:paraId="7257BD61">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6C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6" w:type="dxa"/>
            <w:noWrap w:val="0"/>
            <w:vAlign w:val="center"/>
          </w:tcPr>
          <w:p w14:paraId="37026579">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w:t>
            </w:r>
          </w:p>
        </w:tc>
        <w:tc>
          <w:tcPr>
            <w:tcW w:w="3532" w:type="dxa"/>
            <w:noWrap w:val="0"/>
            <w:vAlign w:val="center"/>
          </w:tcPr>
          <w:p w14:paraId="7016037C">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发生安全事故的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造</w:t>
            </w:r>
            <w:r>
              <w:rPr>
                <w:rFonts w:hint="default" w:ascii="Times New Roman" w:hAnsi="Times New Roman" w:eastAsia="宋体" w:cs="Times New Roman"/>
                <w:color w:val="000000" w:themeColor="text1"/>
                <w:sz w:val="21"/>
                <w:szCs w:val="21"/>
                <w:highlight w:val="none"/>
                <w14:textFill>
                  <w14:solidFill>
                    <w14:schemeClr w14:val="tx1"/>
                  </w14:solidFill>
                </w14:textFill>
              </w:rPr>
              <w:t>成轻伤的</w:t>
            </w:r>
          </w:p>
        </w:tc>
        <w:tc>
          <w:tcPr>
            <w:tcW w:w="2809" w:type="dxa"/>
            <w:noWrap w:val="0"/>
            <w:vAlign w:val="center"/>
          </w:tcPr>
          <w:p w14:paraId="25851B86">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除自负相关费用外加罚500元</w:t>
            </w:r>
          </w:p>
        </w:tc>
        <w:tc>
          <w:tcPr>
            <w:tcW w:w="2386" w:type="dxa"/>
            <w:noWrap w:val="0"/>
            <w:vAlign w:val="center"/>
          </w:tcPr>
          <w:p w14:paraId="343AC6EE">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895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36E48F46">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31</w:t>
            </w:r>
          </w:p>
        </w:tc>
        <w:tc>
          <w:tcPr>
            <w:tcW w:w="3532" w:type="dxa"/>
            <w:noWrap w:val="0"/>
            <w:vAlign w:val="center"/>
          </w:tcPr>
          <w:p w14:paraId="52485084">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造成一人重伤的</w:t>
            </w:r>
          </w:p>
        </w:tc>
        <w:tc>
          <w:tcPr>
            <w:tcW w:w="2809" w:type="dxa"/>
            <w:noWrap w:val="0"/>
            <w:vAlign w:val="center"/>
          </w:tcPr>
          <w:p w14:paraId="12FA78BF">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除自负相关费用外加罚5000元</w:t>
            </w:r>
          </w:p>
        </w:tc>
        <w:tc>
          <w:tcPr>
            <w:tcW w:w="2386" w:type="dxa"/>
            <w:noWrap w:val="0"/>
            <w:vAlign w:val="center"/>
          </w:tcPr>
          <w:p w14:paraId="7E4E634C">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201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2756A651">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32</w:t>
            </w:r>
          </w:p>
        </w:tc>
        <w:tc>
          <w:tcPr>
            <w:tcW w:w="3532" w:type="dxa"/>
            <w:noWrap w:val="0"/>
            <w:vAlign w:val="center"/>
          </w:tcPr>
          <w:p w14:paraId="5F21F162">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造成多人重伤的</w:t>
            </w:r>
          </w:p>
        </w:tc>
        <w:tc>
          <w:tcPr>
            <w:tcW w:w="2809" w:type="dxa"/>
            <w:noWrap w:val="0"/>
            <w:vAlign w:val="center"/>
          </w:tcPr>
          <w:p w14:paraId="52BEE5BB">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除自负相关费用外加罚10000元</w:t>
            </w:r>
          </w:p>
        </w:tc>
        <w:tc>
          <w:tcPr>
            <w:tcW w:w="2386" w:type="dxa"/>
            <w:noWrap w:val="0"/>
            <w:vAlign w:val="center"/>
          </w:tcPr>
          <w:p w14:paraId="43C992D8">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41E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6" w:type="dxa"/>
            <w:noWrap w:val="0"/>
            <w:vAlign w:val="center"/>
          </w:tcPr>
          <w:p w14:paraId="1DF93120">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33</w:t>
            </w:r>
          </w:p>
        </w:tc>
        <w:tc>
          <w:tcPr>
            <w:tcW w:w="3532" w:type="dxa"/>
            <w:noWrap w:val="0"/>
            <w:vAlign w:val="center"/>
          </w:tcPr>
          <w:p w14:paraId="51EB9581">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后浇带、施工缝</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、变形缝、结构缝等</w:t>
            </w:r>
            <w:r>
              <w:rPr>
                <w:rFonts w:hint="default" w:ascii="Times New Roman" w:hAnsi="Times New Roman" w:eastAsia="宋体" w:cs="Times New Roman"/>
                <w:color w:val="000000" w:themeColor="text1"/>
                <w:sz w:val="21"/>
                <w:szCs w:val="21"/>
                <w:highlight w:val="none"/>
                <w14:textFill>
                  <w14:solidFill>
                    <w14:schemeClr w14:val="tx1"/>
                  </w14:solidFill>
                </w14:textFill>
              </w:rPr>
              <w:t>施工时不按规范及设计要求处理施工</w:t>
            </w:r>
          </w:p>
        </w:tc>
        <w:tc>
          <w:tcPr>
            <w:tcW w:w="2809" w:type="dxa"/>
            <w:noWrap w:val="0"/>
            <w:vAlign w:val="center"/>
          </w:tcPr>
          <w:p w14:paraId="0663CC2F">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500元/处</w:t>
            </w:r>
          </w:p>
        </w:tc>
        <w:tc>
          <w:tcPr>
            <w:tcW w:w="2386" w:type="dxa"/>
            <w:noWrap w:val="0"/>
            <w:vAlign w:val="center"/>
          </w:tcPr>
          <w:p w14:paraId="0E8BE393">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7B0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693E124C">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34</w:t>
            </w:r>
          </w:p>
        </w:tc>
        <w:tc>
          <w:tcPr>
            <w:tcW w:w="3532" w:type="dxa"/>
            <w:noWrap w:val="0"/>
            <w:vAlign w:val="center"/>
          </w:tcPr>
          <w:p w14:paraId="4D5EAD2F">
            <w:pPr>
              <w:keepNext w:val="0"/>
              <w:keepLines w:val="0"/>
              <w:pageBreakBefore w:val="0"/>
              <w:widowControl w:val="0"/>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机械设备基础不按设计、规范要求</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处理</w:t>
            </w:r>
          </w:p>
        </w:tc>
        <w:tc>
          <w:tcPr>
            <w:tcW w:w="2809" w:type="dxa"/>
            <w:noWrap w:val="0"/>
            <w:vAlign w:val="center"/>
          </w:tcPr>
          <w:p w14:paraId="05B6D00B">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500元/处</w:t>
            </w:r>
          </w:p>
        </w:tc>
        <w:tc>
          <w:tcPr>
            <w:tcW w:w="2386" w:type="dxa"/>
            <w:noWrap w:val="0"/>
            <w:vAlign w:val="center"/>
          </w:tcPr>
          <w:p w14:paraId="7EB17666">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F67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96" w:type="dxa"/>
            <w:noWrap w:val="0"/>
            <w:vAlign w:val="center"/>
          </w:tcPr>
          <w:p w14:paraId="00CEF242">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14:paraId="0E527317">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35</w:t>
            </w:r>
          </w:p>
        </w:tc>
        <w:tc>
          <w:tcPr>
            <w:tcW w:w="3532" w:type="dxa"/>
            <w:noWrap w:val="0"/>
            <w:vAlign w:val="center"/>
          </w:tcPr>
          <w:p w14:paraId="7F3087FA">
            <w:pPr>
              <w:keepNext w:val="0"/>
              <w:keepLines w:val="0"/>
              <w:pageBreakBefore w:val="0"/>
              <w:widowControl w:val="0"/>
              <w:tabs>
                <w:tab w:val="left" w:pos="706"/>
              </w:tabs>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外部尺寸、轮廓线顺直、表面整度不符合相关规范要求</w:t>
            </w:r>
          </w:p>
        </w:tc>
        <w:tc>
          <w:tcPr>
            <w:tcW w:w="2809" w:type="dxa"/>
            <w:noWrap w:val="0"/>
            <w:vAlign w:val="center"/>
          </w:tcPr>
          <w:p w14:paraId="3D5A6CD2">
            <w:pPr>
              <w:keepNext w:val="0"/>
              <w:keepLines w:val="0"/>
              <w:pageBreakBefore w:val="0"/>
              <w:widowControl w:val="0"/>
              <w:tabs>
                <w:tab w:val="left" w:pos="1107"/>
              </w:tabs>
              <w:kinsoku/>
              <w:wordWrap/>
              <w:overflowPunct/>
              <w:topLinePunct w:val="0"/>
              <w:autoSpaceDE/>
              <w:autoSpaceDN/>
              <w:bidi w:val="0"/>
              <w:adjustRightInd/>
              <w:snapToGrid/>
              <w:spacing w:line="39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200元/处</w:t>
            </w:r>
            <w:r>
              <w:rPr>
                <w:rFonts w:hint="default" w:ascii="Times New Roman" w:hAnsi="Times New Roman" w:eastAsia="宋体" w:cs="Times New Roman"/>
                <w:color w:val="000000" w:themeColor="text1"/>
                <w:sz w:val="21"/>
                <w:szCs w:val="21"/>
                <w:highlight w:val="none"/>
                <w14:textFill>
                  <w14:solidFill>
                    <w14:schemeClr w14:val="tx1"/>
                  </w14:solidFill>
                </w14:textFill>
              </w:rPr>
              <w:t>并责令整改</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至验收合格</w:t>
            </w:r>
          </w:p>
        </w:tc>
        <w:tc>
          <w:tcPr>
            <w:tcW w:w="2386" w:type="dxa"/>
            <w:noWrap w:val="0"/>
            <w:vAlign w:val="center"/>
          </w:tcPr>
          <w:p w14:paraId="46397052">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B8E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96" w:type="dxa"/>
            <w:noWrap w:val="0"/>
            <w:vAlign w:val="center"/>
          </w:tcPr>
          <w:p w14:paraId="1C2E0DEA">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36</w:t>
            </w:r>
          </w:p>
        </w:tc>
        <w:tc>
          <w:tcPr>
            <w:tcW w:w="3532" w:type="dxa"/>
            <w:noWrap w:val="0"/>
            <w:vAlign w:val="center"/>
          </w:tcPr>
          <w:p w14:paraId="2EDD49A0">
            <w:pPr>
              <w:keepNext w:val="0"/>
              <w:keepLines w:val="0"/>
              <w:pageBreakBefore w:val="0"/>
              <w:widowControl w:val="0"/>
              <w:tabs>
                <w:tab w:val="left" w:pos="706"/>
              </w:tabs>
              <w:kinsoku/>
              <w:wordWrap/>
              <w:overflowPunct/>
              <w:topLinePunct w:val="0"/>
              <w:autoSpaceDE/>
              <w:autoSpaceDN/>
              <w:bidi w:val="0"/>
              <w:adjustRightInd/>
              <w:snapToGrid/>
              <w:spacing w:line="41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各种工序不按规范及图纸设计要求施工。</w:t>
            </w:r>
          </w:p>
        </w:tc>
        <w:tc>
          <w:tcPr>
            <w:tcW w:w="2809" w:type="dxa"/>
            <w:noWrap w:val="0"/>
            <w:vAlign w:val="center"/>
          </w:tcPr>
          <w:p w14:paraId="1FE4DBC6">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500元/处</w:t>
            </w:r>
            <w:r>
              <w:rPr>
                <w:rFonts w:hint="default" w:ascii="Times New Roman" w:hAnsi="Times New Roman" w:eastAsia="宋体" w:cs="Times New Roman"/>
                <w:color w:val="000000" w:themeColor="text1"/>
                <w:sz w:val="21"/>
                <w:szCs w:val="21"/>
                <w:highlight w:val="none"/>
                <w14:textFill>
                  <w14:solidFill>
                    <w14:schemeClr w14:val="tx1"/>
                  </w14:solidFill>
                </w14:textFill>
              </w:rPr>
              <w:t>并责令整改至验收合格</w:t>
            </w:r>
          </w:p>
        </w:tc>
        <w:tc>
          <w:tcPr>
            <w:tcW w:w="2386" w:type="dxa"/>
            <w:noWrap w:val="0"/>
            <w:vAlign w:val="center"/>
          </w:tcPr>
          <w:p w14:paraId="219E8685">
            <w:pPr>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4DB378C5">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二、基础工程</w:t>
      </w:r>
    </w:p>
    <w:tbl>
      <w:tblPr>
        <w:tblStyle w:val="44"/>
        <w:tblW w:w="946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555"/>
        <w:gridCol w:w="2820"/>
        <w:gridCol w:w="2415"/>
      </w:tblGrid>
      <w:tr w14:paraId="0F58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noWrap w:val="0"/>
            <w:vAlign w:val="center"/>
          </w:tcPr>
          <w:p w14:paraId="0A51550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55" w:type="dxa"/>
            <w:noWrap w:val="0"/>
            <w:vAlign w:val="center"/>
          </w:tcPr>
          <w:p w14:paraId="2DA44E54">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20" w:type="dxa"/>
            <w:noWrap w:val="0"/>
            <w:vAlign w:val="center"/>
          </w:tcPr>
          <w:p w14:paraId="2630AD0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15" w:type="dxa"/>
            <w:noWrap w:val="0"/>
            <w:vAlign w:val="center"/>
          </w:tcPr>
          <w:p w14:paraId="7C6B37C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428F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75" w:type="dxa"/>
            <w:noWrap w:val="0"/>
            <w:vAlign w:val="center"/>
          </w:tcPr>
          <w:p w14:paraId="14E5553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3555" w:type="dxa"/>
            <w:noWrap w:val="0"/>
            <w:vAlign w:val="center"/>
          </w:tcPr>
          <w:p w14:paraId="2834725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基础验</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收未通知参建单位验收，擅自进行下一道工序施工</w:t>
            </w:r>
          </w:p>
        </w:tc>
        <w:tc>
          <w:tcPr>
            <w:tcW w:w="2820" w:type="dxa"/>
            <w:noWrap w:val="0"/>
            <w:vAlign w:val="center"/>
          </w:tcPr>
          <w:p w14:paraId="2ECD2A2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5000元</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/处并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责令拆除重建</w:t>
            </w:r>
          </w:p>
        </w:tc>
        <w:tc>
          <w:tcPr>
            <w:tcW w:w="2415" w:type="dxa"/>
            <w:noWrap w:val="0"/>
            <w:vAlign w:val="center"/>
          </w:tcPr>
          <w:p w14:paraId="31346370">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188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75" w:type="dxa"/>
            <w:noWrap w:val="0"/>
            <w:vAlign w:val="center"/>
          </w:tcPr>
          <w:p w14:paraId="21AECEE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3555" w:type="dxa"/>
            <w:noWrap w:val="0"/>
            <w:vAlign w:val="center"/>
          </w:tcPr>
          <w:p w14:paraId="7C24077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基础工程有轴线标高偏差超过规范2倍的</w:t>
            </w:r>
          </w:p>
        </w:tc>
        <w:tc>
          <w:tcPr>
            <w:tcW w:w="2820" w:type="dxa"/>
            <w:noWrap w:val="0"/>
            <w:vAlign w:val="center"/>
          </w:tcPr>
          <w:p w14:paraId="4967DF6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500元/处或500元/次</w:t>
            </w:r>
          </w:p>
        </w:tc>
        <w:tc>
          <w:tcPr>
            <w:tcW w:w="2415" w:type="dxa"/>
            <w:noWrap w:val="0"/>
            <w:vAlign w:val="center"/>
          </w:tcPr>
          <w:p w14:paraId="547E77A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5C6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noWrap w:val="0"/>
            <w:vAlign w:val="center"/>
          </w:tcPr>
          <w:p w14:paraId="5D42FFB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3555" w:type="dxa"/>
            <w:noWrap w:val="0"/>
            <w:vAlign w:val="center"/>
          </w:tcPr>
          <w:p w14:paraId="6335CD7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深基坑、高边坡未有施工方案或有施工方案不按施工方案施工的</w:t>
            </w:r>
          </w:p>
        </w:tc>
        <w:tc>
          <w:tcPr>
            <w:tcW w:w="2820" w:type="dxa"/>
            <w:noWrap w:val="0"/>
            <w:vAlign w:val="center"/>
          </w:tcPr>
          <w:p w14:paraId="7B0B82FF">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500元/处并整改</w:t>
            </w:r>
          </w:p>
        </w:tc>
        <w:tc>
          <w:tcPr>
            <w:tcW w:w="2415" w:type="dxa"/>
            <w:noWrap w:val="0"/>
            <w:vAlign w:val="center"/>
          </w:tcPr>
          <w:p w14:paraId="484169E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516BDE1C">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三、脚手架工程</w:t>
      </w:r>
    </w:p>
    <w:tbl>
      <w:tblPr>
        <w:tblStyle w:val="44"/>
        <w:tblW w:w="946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555"/>
        <w:gridCol w:w="2820"/>
        <w:gridCol w:w="2415"/>
      </w:tblGrid>
      <w:tr w14:paraId="7A01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noWrap w:val="0"/>
            <w:vAlign w:val="center"/>
          </w:tcPr>
          <w:p w14:paraId="4D12583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55" w:type="dxa"/>
            <w:noWrap w:val="0"/>
            <w:vAlign w:val="center"/>
          </w:tcPr>
          <w:p w14:paraId="7B13564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20" w:type="dxa"/>
            <w:noWrap w:val="0"/>
            <w:vAlign w:val="center"/>
          </w:tcPr>
          <w:p w14:paraId="6F03AB6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15" w:type="dxa"/>
            <w:noWrap w:val="0"/>
            <w:vAlign w:val="center"/>
          </w:tcPr>
          <w:p w14:paraId="62B2829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4AB9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noWrap w:val="0"/>
            <w:vAlign w:val="center"/>
          </w:tcPr>
          <w:p w14:paraId="395B875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55" w:type="dxa"/>
            <w:noWrap w:val="0"/>
            <w:vAlign w:val="center"/>
          </w:tcPr>
          <w:p w14:paraId="439AC75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外脚架无密目安全网或张挂不全</w:t>
            </w:r>
          </w:p>
        </w:tc>
        <w:tc>
          <w:tcPr>
            <w:tcW w:w="2820" w:type="dxa"/>
            <w:noWrap w:val="0"/>
            <w:vAlign w:val="center"/>
          </w:tcPr>
          <w:p w14:paraId="1CDCF45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500元/层并整改</w:t>
            </w:r>
          </w:p>
        </w:tc>
        <w:tc>
          <w:tcPr>
            <w:tcW w:w="2415" w:type="dxa"/>
            <w:noWrap w:val="0"/>
            <w:vAlign w:val="center"/>
          </w:tcPr>
          <w:p w14:paraId="632A409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43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noWrap w:val="0"/>
            <w:vAlign w:val="center"/>
          </w:tcPr>
          <w:p w14:paraId="07BF4874">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55" w:type="dxa"/>
            <w:noWrap w:val="0"/>
            <w:vAlign w:val="center"/>
          </w:tcPr>
          <w:p w14:paraId="7E6A913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作业层、首层及要求层未满铺脚手板</w:t>
            </w:r>
          </w:p>
        </w:tc>
        <w:tc>
          <w:tcPr>
            <w:tcW w:w="2820" w:type="dxa"/>
            <w:noWrap w:val="0"/>
            <w:vAlign w:val="center"/>
          </w:tcPr>
          <w:p w14:paraId="581BDDD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500元/层并整改</w:t>
            </w:r>
          </w:p>
        </w:tc>
        <w:tc>
          <w:tcPr>
            <w:tcW w:w="2415" w:type="dxa"/>
            <w:noWrap w:val="0"/>
            <w:vAlign w:val="center"/>
          </w:tcPr>
          <w:p w14:paraId="59FA2C3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5C4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noWrap w:val="0"/>
            <w:vAlign w:val="center"/>
          </w:tcPr>
          <w:p w14:paraId="10A30EA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55" w:type="dxa"/>
            <w:noWrap w:val="0"/>
            <w:vAlign w:val="center"/>
          </w:tcPr>
          <w:p w14:paraId="1064357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落地式外脚手架立杆无垫块和扫地杆</w:t>
            </w:r>
          </w:p>
        </w:tc>
        <w:tc>
          <w:tcPr>
            <w:tcW w:w="2820" w:type="dxa"/>
            <w:noWrap w:val="0"/>
            <w:vAlign w:val="center"/>
          </w:tcPr>
          <w:p w14:paraId="79D76B2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w:t>
            </w:r>
          </w:p>
        </w:tc>
        <w:tc>
          <w:tcPr>
            <w:tcW w:w="2415" w:type="dxa"/>
            <w:noWrap w:val="0"/>
            <w:vAlign w:val="center"/>
          </w:tcPr>
          <w:p w14:paraId="0A4B081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F1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noWrap w:val="0"/>
            <w:vAlign w:val="center"/>
          </w:tcPr>
          <w:p w14:paraId="4434B95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55" w:type="dxa"/>
            <w:noWrap w:val="0"/>
            <w:vAlign w:val="center"/>
          </w:tcPr>
          <w:p w14:paraId="2A714C3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脚手架未按规定与建筑结构拉结牢固（二步二跨/二步三跨）</w:t>
            </w:r>
          </w:p>
        </w:tc>
        <w:tc>
          <w:tcPr>
            <w:tcW w:w="2820" w:type="dxa"/>
            <w:noWrap w:val="0"/>
            <w:vAlign w:val="center"/>
          </w:tcPr>
          <w:p w14:paraId="6255AFB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w:t>
            </w:r>
          </w:p>
        </w:tc>
        <w:tc>
          <w:tcPr>
            <w:tcW w:w="2415" w:type="dxa"/>
            <w:noWrap w:val="0"/>
            <w:vAlign w:val="center"/>
          </w:tcPr>
          <w:p w14:paraId="5A06C850">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EE7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noWrap w:val="0"/>
            <w:vAlign w:val="center"/>
          </w:tcPr>
          <w:p w14:paraId="61185C4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3555" w:type="dxa"/>
            <w:noWrap w:val="0"/>
            <w:vAlign w:val="center"/>
          </w:tcPr>
          <w:p w14:paraId="15298E7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脚手架搭设与主体施工不同步，或高度未高于作业层1.2-1.5米</w:t>
            </w:r>
          </w:p>
        </w:tc>
        <w:tc>
          <w:tcPr>
            <w:tcW w:w="2820" w:type="dxa"/>
            <w:noWrap w:val="0"/>
            <w:vAlign w:val="center"/>
          </w:tcPr>
          <w:p w14:paraId="46FBD46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500元/层</w:t>
            </w:r>
          </w:p>
        </w:tc>
        <w:tc>
          <w:tcPr>
            <w:tcW w:w="2415" w:type="dxa"/>
            <w:noWrap w:val="0"/>
            <w:vAlign w:val="center"/>
          </w:tcPr>
          <w:p w14:paraId="6ACE051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5AD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5" w:type="dxa"/>
            <w:noWrap w:val="0"/>
            <w:vAlign w:val="center"/>
          </w:tcPr>
          <w:p w14:paraId="763EAC2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3555" w:type="dxa"/>
            <w:noWrap w:val="0"/>
            <w:vAlign w:val="center"/>
          </w:tcPr>
          <w:p w14:paraId="6DCBE22F">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脚手架搭设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无方案或</w:t>
            </w:r>
            <w:r>
              <w:rPr>
                <w:rFonts w:hint="default" w:ascii="Times New Roman" w:hAnsi="Times New Roman" w:eastAsia="宋体" w:cs="Times New Roman"/>
                <w:color w:val="000000" w:themeColor="text1"/>
                <w:sz w:val="21"/>
                <w:szCs w:val="21"/>
                <w:highlight w:val="none"/>
                <w14:textFill>
                  <w14:solidFill>
                    <w14:schemeClr w14:val="tx1"/>
                  </w14:solidFill>
                </w14:textFill>
              </w:rPr>
              <w:t>不符合规范，失稳造成倒塌事故</w:t>
            </w:r>
          </w:p>
        </w:tc>
        <w:tc>
          <w:tcPr>
            <w:tcW w:w="2820" w:type="dxa"/>
            <w:noWrap w:val="0"/>
            <w:vAlign w:val="center"/>
          </w:tcPr>
          <w:p w14:paraId="637980C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班组承担一切责任，视情节轻重处罚5000-50000元</w:t>
            </w:r>
          </w:p>
        </w:tc>
        <w:tc>
          <w:tcPr>
            <w:tcW w:w="2415" w:type="dxa"/>
            <w:noWrap w:val="0"/>
            <w:vAlign w:val="center"/>
          </w:tcPr>
          <w:p w14:paraId="0EF68B4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DCD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noWrap w:val="0"/>
            <w:vAlign w:val="center"/>
          </w:tcPr>
          <w:p w14:paraId="6525C8BF">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3555" w:type="dxa"/>
            <w:noWrap w:val="0"/>
            <w:vAlign w:val="center"/>
          </w:tcPr>
          <w:p w14:paraId="71E9799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脚手架搭设不严格按专项方案施工</w:t>
            </w:r>
          </w:p>
        </w:tc>
        <w:tc>
          <w:tcPr>
            <w:tcW w:w="2820" w:type="dxa"/>
            <w:noWrap w:val="0"/>
            <w:vAlign w:val="center"/>
          </w:tcPr>
          <w:p w14:paraId="515FB5F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w:t>
            </w:r>
          </w:p>
        </w:tc>
        <w:tc>
          <w:tcPr>
            <w:tcW w:w="2415" w:type="dxa"/>
            <w:noWrap w:val="0"/>
            <w:vAlign w:val="center"/>
          </w:tcPr>
          <w:p w14:paraId="1002F01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52E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noWrap w:val="0"/>
            <w:vAlign w:val="center"/>
          </w:tcPr>
          <w:p w14:paraId="1E5A5FF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3555" w:type="dxa"/>
            <w:noWrap w:val="0"/>
            <w:vAlign w:val="center"/>
          </w:tcPr>
          <w:p w14:paraId="3E5CBFEF">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安全网张挂不按样品材料使用，或使用的安全网为不合格产品</w:t>
            </w:r>
          </w:p>
        </w:tc>
        <w:tc>
          <w:tcPr>
            <w:tcW w:w="2820" w:type="dxa"/>
            <w:noWrap w:val="0"/>
            <w:vAlign w:val="center"/>
          </w:tcPr>
          <w:p w14:paraId="63B26F1F">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30元/张，并返工整改</w:t>
            </w:r>
          </w:p>
        </w:tc>
        <w:tc>
          <w:tcPr>
            <w:tcW w:w="2415" w:type="dxa"/>
            <w:noWrap w:val="0"/>
            <w:vAlign w:val="center"/>
          </w:tcPr>
          <w:p w14:paraId="51D78AA8">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0364D603">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四、</w:t>
      </w: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金结机</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电工程</w:t>
      </w:r>
    </w:p>
    <w:tbl>
      <w:tblPr>
        <w:tblStyle w:val="44"/>
        <w:tblW w:w="948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540"/>
        <w:gridCol w:w="2850"/>
        <w:gridCol w:w="2400"/>
      </w:tblGrid>
      <w:tr w14:paraId="4C38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690" w:type="dxa"/>
            <w:noWrap w:val="0"/>
            <w:vAlign w:val="center"/>
          </w:tcPr>
          <w:p w14:paraId="39E352E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40" w:type="dxa"/>
            <w:noWrap w:val="0"/>
            <w:vAlign w:val="center"/>
          </w:tcPr>
          <w:p w14:paraId="50E23F5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50" w:type="dxa"/>
            <w:noWrap w:val="0"/>
            <w:vAlign w:val="center"/>
          </w:tcPr>
          <w:p w14:paraId="7A3312C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00" w:type="dxa"/>
            <w:noWrap w:val="0"/>
            <w:vAlign w:val="center"/>
          </w:tcPr>
          <w:p w14:paraId="4EEC01A1">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665C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90" w:type="dxa"/>
            <w:noWrap w:val="0"/>
            <w:vAlign w:val="center"/>
          </w:tcPr>
          <w:p w14:paraId="2FE4B1C8">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40" w:type="dxa"/>
            <w:noWrap w:val="0"/>
            <w:vAlign w:val="center"/>
          </w:tcPr>
          <w:p w14:paraId="46B2CA44">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不按图纸规定预埋，事后凿洞开墙</w:t>
            </w:r>
          </w:p>
        </w:tc>
        <w:tc>
          <w:tcPr>
            <w:tcW w:w="2850" w:type="dxa"/>
            <w:noWrap w:val="0"/>
            <w:vAlign w:val="center"/>
          </w:tcPr>
          <w:p w14:paraId="56C8715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50元/处</w:t>
            </w:r>
          </w:p>
        </w:tc>
        <w:tc>
          <w:tcPr>
            <w:tcW w:w="2400" w:type="dxa"/>
            <w:noWrap w:val="0"/>
            <w:vAlign w:val="center"/>
          </w:tcPr>
          <w:p w14:paraId="6968C0F8">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B83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0" w:type="dxa"/>
            <w:noWrap w:val="0"/>
            <w:vAlign w:val="center"/>
          </w:tcPr>
          <w:p w14:paraId="7E386CD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40" w:type="dxa"/>
            <w:noWrap w:val="0"/>
            <w:vAlign w:val="center"/>
          </w:tcPr>
          <w:p w14:paraId="6A4FCF10">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管洞不按规范要求施工，管线不通</w:t>
            </w:r>
          </w:p>
        </w:tc>
        <w:tc>
          <w:tcPr>
            <w:tcW w:w="2850" w:type="dxa"/>
            <w:noWrap w:val="0"/>
            <w:vAlign w:val="center"/>
          </w:tcPr>
          <w:p w14:paraId="7C182B2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50元/处并返工</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，惨水漏水的</w:t>
            </w:r>
          </w:p>
        </w:tc>
        <w:tc>
          <w:tcPr>
            <w:tcW w:w="2400" w:type="dxa"/>
            <w:noWrap w:val="0"/>
            <w:vAlign w:val="center"/>
          </w:tcPr>
          <w:p w14:paraId="750726F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承担返工材料费</w:t>
            </w:r>
          </w:p>
        </w:tc>
      </w:tr>
      <w:tr w14:paraId="1BD5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90" w:type="dxa"/>
            <w:noWrap w:val="0"/>
            <w:vAlign w:val="center"/>
          </w:tcPr>
          <w:p w14:paraId="314EE03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3540" w:type="dxa"/>
            <w:noWrap w:val="0"/>
            <w:vAlign w:val="center"/>
          </w:tcPr>
          <w:p w14:paraId="14DC56D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预埋梁板内套管时随意踩踏板负筋导致负筋变形</w:t>
            </w:r>
          </w:p>
        </w:tc>
        <w:tc>
          <w:tcPr>
            <w:tcW w:w="2850" w:type="dxa"/>
            <w:noWrap w:val="0"/>
            <w:vAlign w:val="center"/>
          </w:tcPr>
          <w:p w14:paraId="2A44AF5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100元/处并责令修整</w:t>
            </w:r>
          </w:p>
        </w:tc>
        <w:tc>
          <w:tcPr>
            <w:tcW w:w="2400" w:type="dxa"/>
            <w:noWrap w:val="0"/>
            <w:vAlign w:val="center"/>
          </w:tcPr>
          <w:p w14:paraId="00D213C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959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14:paraId="3145FD2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40" w:type="dxa"/>
            <w:noWrap w:val="0"/>
            <w:vAlign w:val="center"/>
          </w:tcPr>
          <w:p w14:paraId="7690327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闸门</w:t>
            </w:r>
            <w:r>
              <w:rPr>
                <w:rFonts w:hint="default" w:ascii="Times New Roman" w:hAnsi="Times New Roman" w:eastAsia="宋体" w:cs="Times New Roman"/>
                <w:color w:val="000000" w:themeColor="text1"/>
                <w:sz w:val="21"/>
                <w:szCs w:val="21"/>
                <w:highlight w:val="none"/>
                <w14:textFill>
                  <w14:solidFill>
                    <w14:schemeClr w14:val="tx1"/>
                  </w14:solidFill>
                </w14:textFill>
              </w:rPr>
              <w:t>安装工程不按规范要求施工</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，渗水漏水变形的，超过规范要求</w:t>
            </w:r>
          </w:p>
        </w:tc>
        <w:tc>
          <w:tcPr>
            <w:tcW w:w="2850" w:type="dxa"/>
            <w:noWrap w:val="0"/>
            <w:vAlign w:val="center"/>
          </w:tcPr>
          <w:p w14:paraId="7326F51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元/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color w:val="000000" w:themeColor="text1"/>
                <w:sz w:val="21"/>
                <w:szCs w:val="21"/>
                <w:highlight w:val="none"/>
                <w14:textFill>
                  <w14:solidFill>
                    <w14:schemeClr w14:val="tx1"/>
                  </w14:solidFill>
                </w14:textFill>
              </w:rPr>
              <w:t>并承担所有返工费用</w:t>
            </w:r>
          </w:p>
        </w:tc>
        <w:tc>
          <w:tcPr>
            <w:tcW w:w="2400" w:type="dxa"/>
            <w:noWrap w:val="0"/>
            <w:vAlign w:val="center"/>
          </w:tcPr>
          <w:p w14:paraId="1D5D8AF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bl>
    <w:p w14:paraId="5F8FFF6C">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五、混凝土结构工程</w:t>
      </w:r>
    </w:p>
    <w:tbl>
      <w:tblPr>
        <w:tblStyle w:val="44"/>
        <w:tblW w:w="952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40"/>
        <w:gridCol w:w="2850"/>
        <w:gridCol w:w="2430"/>
      </w:tblGrid>
      <w:tr w14:paraId="7436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5" w:type="dxa"/>
            <w:noWrap w:val="0"/>
            <w:vAlign w:val="center"/>
          </w:tcPr>
          <w:p w14:paraId="2FAB7B7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40" w:type="dxa"/>
            <w:noWrap w:val="0"/>
            <w:vAlign w:val="center"/>
          </w:tcPr>
          <w:p w14:paraId="234AB755">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违反内同</w:t>
            </w:r>
          </w:p>
        </w:tc>
        <w:tc>
          <w:tcPr>
            <w:tcW w:w="2850" w:type="dxa"/>
            <w:noWrap w:val="0"/>
            <w:vAlign w:val="center"/>
          </w:tcPr>
          <w:p w14:paraId="573D2A8E">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30" w:type="dxa"/>
            <w:noWrap w:val="0"/>
            <w:vAlign w:val="center"/>
          </w:tcPr>
          <w:p w14:paraId="79F6EB01">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4092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5" w:type="dxa"/>
            <w:noWrap w:val="0"/>
            <w:vAlign w:val="center"/>
          </w:tcPr>
          <w:p w14:paraId="3B94798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40" w:type="dxa"/>
            <w:noWrap w:val="0"/>
            <w:vAlign w:val="center"/>
          </w:tcPr>
          <w:p w14:paraId="53687C7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模板安装刚性强度不符合要求</w:t>
            </w:r>
          </w:p>
        </w:tc>
        <w:tc>
          <w:tcPr>
            <w:tcW w:w="2850" w:type="dxa"/>
            <w:noWrap w:val="0"/>
            <w:vAlign w:val="center"/>
          </w:tcPr>
          <w:p w14:paraId="1BED6766">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仓</w:t>
            </w:r>
          </w:p>
        </w:tc>
        <w:tc>
          <w:tcPr>
            <w:tcW w:w="2430" w:type="dxa"/>
            <w:noWrap w:val="0"/>
            <w:vAlign w:val="center"/>
          </w:tcPr>
          <w:p w14:paraId="435EE94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FB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5" w:type="dxa"/>
            <w:noWrap w:val="0"/>
            <w:vAlign w:val="center"/>
          </w:tcPr>
          <w:p w14:paraId="63D24BE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40" w:type="dxa"/>
            <w:noWrap w:val="0"/>
            <w:vAlign w:val="center"/>
          </w:tcPr>
          <w:p w14:paraId="490BDDD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模板严重破烂不更换的</w:t>
            </w:r>
          </w:p>
        </w:tc>
        <w:tc>
          <w:tcPr>
            <w:tcW w:w="2850" w:type="dxa"/>
            <w:noWrap w:val="0"/>
            <w:vAlign w:val="center"/>
          </w:tcPr>
          <w:p w14:paraId="1F60B9F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100元/m²并整改</w:t>
            </w:r>
          </w:p>
        </w:tc>
        <w:tc>
          <w:tcPr>
            <w:tcW w:w="2430" w:type="dxa"/>
            <w:noWrap w:val="0"/>
            <w:vAlign w:val="center"/>
          </w:tcPr>
          <w:p w14:paraId="408D9DD9">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C09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05" w:type="dxa"/>
            <w:noWrap w:val="0"/>
            <w:vAlign w:val="center"/>
          </w:tcPr>
          <w:p w14:paraId="6B82B234">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40" w:type="dxa"/>
            <w:noWrap w:val="0"/>
            <w:vAlign w:val="center"/>
          </w:tcPr>
          <w:p w14:paraId="614DE6A4">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砼结构出现蜂窝、漏筋、孔洞、松散等质量缺陷</w:t>
            </w:r>
          </w:p>
        </w:tc>
        <w:tc>
          <w:tcPr>
            <w:tcW w:w="2850" w:type="dxa"/>
            <w:noWrap w:val="0"/>
            <w:vAlign w:val="center"/>
          </w:tcPr>
          <w:p w14:paraId="2A47C3E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普通缺陷：200元/处</w:t>
            </w:r>
          </w:p>
          <w:p w14:paraId="581B336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对结构有影响的：500元/处，并按方案进行补强</w:t>
            </w:r>
          </w:p>
        </w:tc>
        <w:tc>
          <w:tcPr>
            <w:tcW w:w="2430" w:type="dxa"/>
            <w:noWrap w:val="0"/>
            <w:vAlign w:val="center"/>
          </w:tcPr>
          <w:p w14:paraId="4A7782B1">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214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5" w:type="dxa"/>
            <w:noWrap w:val="0"/>
            <w:vAlign w:val="center"/>
          </w:tcPr>
          <w:p w14:paraId="2EB5BFC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40" w:type="dxa"/>
            <w:noWrap w:val="0"/>
            <w:vAlign w:val="center"/>
          </w:tcPr>
          <w:p w14:paraId="5ED1F3A7">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混凝土浇筑完毕后不按规定养护</w:t>
            </w:r>
          </w:p>
        </w:tc>
        <w:tc>
          <w:tcPr>
            <w:tcW w:w="2850" w:type="dxa"/>
            <w:noWrap w:val="0"/>
            <w:vAlign w:val="center"/>
          </w:tcPr>
          <w:p w14:paraId="76024CDC">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100元/次</w:t>
            </w:r>
          </w:p>
        </w:tc>
        <w:tc>
          <w:tcPr>
            <w:tcW w:w="2430" w:type="dxa"/>
            <w:noWrap w:val="0"/>
            <w:vAlign w:val="top"/>
          </w:tcPr>
          <w:p w14:paraId="648403E8">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D17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098B6851">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3540" w:type="dxa"/>
            <w:noWrap w:val="0"/>
            <w:vAlign w:val="center"/>
          </w:tcPr>
          <w:p w14:paraId="121B57FB">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浇筑砼涨收模超过30mm</w:t>
            </w:r>
          </w:p>
        </w:tc>
        <w:tc>
          <w:tcPr>
            <w:tcW w:w="2850" w:type="dxa"/>
            <w:noWrap w:val="0"/>
            <w:vAlign w:val="center"/>
          </w:tcPr>
          <w:p w14:paraId="2B1AB02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200元/处，并修整处理且承担材料费</w:t>
            </w:r>
          </w:p>
        </w:tc>
        <w:tc>
          <w:tcPr>
            <w:tcW w:w="2430" w:type="dxa"/>
            <w:noWrap w:val="0"/>
            <w:vAlign w:val="top"/>
          </w:tcPr>
          <w:p w14:paraId="06AD278A">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4E1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3A6A0723">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3540" w:type="dxa"/>
            <w:noWrap w:val="0"/>
            <w:vAlign w:val="center"/>
          </w:tcPr>
          <w:p w14:paraId="3CDD89E2">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泵送砼接管不按要求做好管道固定支撑架</w:t>
            </w:r>
          </w:p>
        </w:tc>
        <w:tc>
          <w:tcPr>
            <w:tcW w:w="2850" w:type="dxa"/>
            <w:noWrap w:val="0"/>
            <w:vAlign w:val="center"/>
          </w:tcPr>
          <w:p w14:paraId="16500208">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200元/次</w:t>
            </w:r>
          </w:p>
        </w:tc>
        <w:tc>
          <w:tcPr>
            <w:tcW w:w="2430" w:type="dxa"/>
            <w:noWrap w:val="0"/>
            <w:vAlign w:val="top"/>
          </w:tcPr>
          <w:p w14:paraId="5A9A69ED">
            <w:pPr>
              <w:keepNext w:val="0"/>
              <w:keepLines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F8B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0AA7C3D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3540" w:type="dxa"/>
            <w:noWrap w:val="0"/>
            <w:vAlign w:val="center"/>
          </w:tcPr>
          <w:p w14:paraId="1BBEE9D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梁、柱、墙</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等</w:t>
            </w:r>
            <w:r>
              <w:rPr>
                <w:rFonts w:hint="default" w:ascii="Times New Roman" w:hAnsi="Times New Roman" w:eastAsia="宋体" w:cs="Times New Roman"/>
                <w:color w:val="000000" w:themeColor="text1"/>
                <w:sz w:val="21"/>
                <w:szCs w:val="21"/>
                <w:highlight w:val="none"/>
                <w14:textFill>
                  <w14:solidFill>
                    <w14:schemeClr w14:val="tx1"/>
                  </w14:solidFill>
                </w14:textFill>
              </w:rPr>
              <w:t>轴线移位严重、集合尺寸误差偏大及标高错误</w:t>
            </w:r>
          </w:p>
        </w:tc>
        <w:tc>
          <w:tcPr>
            <w:tcW w:w="2850" w:type="dxa"/>
            <w:noWrap w:val="0"/>
            <w:vAlign w:val="center"/>
          </w:tcPr>
          <w:p w14:paraId="66DE362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500元/处并承担须返工的一切费用</w:t>
            </w:r>
          </w:p>
        </w:tc>
        <w:tc>
          <w:tcPr>
            <w:tcW w:w="2430" w:type="dxa"/>
            <w:noWrap w:val="0"/>
            <w:vAlign w:val="top"/>
          </w:tcPr>
          <w:p w14:paraId="485A587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E21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05" w:type="dxa"/>
            <w:noWrap w:val="0"/>
            <w:vAlign w:val="center"/>
          </w:tcPr>
          <w:p w14:paraId="7EE2773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3540" w:type="dxa"/>
            <w:noWrap w:val="0"/>
            <w:vAlign w:val="center"/>
          </w:tcPr>
          <w:p w14:paraId="7B96DBC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模板支撑失稳、加固不牢，造成梁板下沉变形</w:t>
            </w:r>
          </w:p>
        </w:tc>
        <w:tc>
          <w:tcPr>
            <w:tcW w:w="2850" w:type="dxa"/>
            <w:noWrap w:val="0"/>
            <w:vAlign w:val="center"/>
          </w:tcPr>
          <w:p w14:paraId="2034AE9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1000-2000元/处</w:t>
            </w:r>
          </w:p>
        </w:tc>
        <w:tc>
          <w:tcPr>
            <w:tcW w:w="2430" w:type="dxa"/>
            <w:noWrap w:val="0"/>
            <w:vAlign w:val="top"/>
          </w:tcPr>
          <w:p w14:paraId="018B87F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74A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2BF0963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3540" w:type="dxa"/>
            <w:noWrap w:val="0"/>
            <w:vAlign w:val="center"/>
          </w:tcPr>
          <w:p w14:paraId="4EA12CA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渡槽、</w:t>
            </w:r>
            <w:r>
              <w:rPr>
                <w:rFonts w:hint="default" w:ascii="Times New Roman" w:hAnsi="Times New Roman" w:eastAsia="宋体" w:cs="Times New Roman"/>
                <w:color w:val="000000" w:themeColor="text1"/>
                <w:sz w:val="21"/>
                <w:szCs w:val="21"/>
                <w:highlight w:val="none"/>
                <w14:textFill>
                  <w14:solidFill>
                    <w14:schemeClr w14:val="tx1"/>
                  </w14:solidFill>
                </w14:textFill>
              </w:rPr>
              <w:t>楼面</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等</w:t>
            </w:r>
            <w:r>
              <w:rPr>
                <w:rFonts w:hint="default" w:ascii="Times New Roman" w:hAnsi="Times New Roman" w:eastAsia="宋体" w:cs="Times New Roman"/>
                <w:color w:val="000000" w:themeColor="text1"/>
                <w:sz w:val="21"/>
                <w:szCs w:val="21"/>
                <w:highlight w:val="none"/>
                <w14:textFill>
                  <w14:solidFill>
                    <w14:schemeClr w14:val="tx1"/>
                  </w14:solidFill>
                </w14:textFill>
              </w:rPr>
              <w:t>塌模</w:t>
            </w:r>
          </w:p>
        </w:tc>
        <w:tc>
          <w:tcPr>
            <w:tcW w:w="2850" w:type="dxa"/>
            <w:noWrap w:val="0"/>
            <w:vAlign w:val="center"/>
          </w:tcPr>
          <w:p w14:paraId="23BEE1E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2000-10000元/次，并承担相应法律和经济责任</w:t>
            </w:r>
          </w:p>
        </w:tc>
        <w:tc>
          <w:tcPr>
            <w:tcW w:w="2430" w:type="dxa"/>
            <w:noWrap w:val="0"/>
            <w:vAlign w:val="top"/>
          </w:tcPr>
          <w:p w14:paraId="425FE24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47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4153E26E">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3540" w:type="dxa"/>
            <w:noWrap w:val="0"/>
            <w:vAlign w:val="center"/>
          </w:tcPr>
          <w:p w14:paraId="0D942EC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模拆除未经项目主管施工员同意并报监理审批就擅自拆除</w:t>
            </w:r>
          </w:p>
        </w:tc>
        <w:tc>
          <w:tcPr>
            <w:tcW w:w="2850" w:type="dxa"/>
            <w:noWrap w:val="0"/>
            <w:vAlign w:val="center"/>
          </w:tcPr>
          <w:p w14:paraId="4038F9C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500元/次，并责令停止作业</w:t>
            </w:r>
          </w:p>
        </w:tc>
        <w:tc>
          <w:tcPr>
            <w:tcW w:w="2430" w:type="dxa"/>
            <w:noWrap w:val="0"/>
            <w:vAlign w:val="top"/>
          </w:tcPr>
          <w:p w14:paraId="3F2F22BD">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E47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5" w:type="dxa"/>
            <w:noWrap w:val="0"/>
            <w:vAlign w:val="center"/>
          </w:tcPr>
          <w:p w14:paraId="5FCB1E6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w:t>
            </w:r>
          </w:p>
        </w:tc>
        <w:tc>
          <w:tcPr>
            <w:tcW w:w="3540" w:type="dxa"/>
            <w:noWrap w:val="0"/>
            <w:vAlign w:val="center"/>
          </w:tcPr>
          <w:p w14:paraId="6928C7B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过早拆除墙柱模造成砼受损严重</w:t>
            </w:r>
          </w:p>
        </w:tc>
        <w:tc>
          <w:tcPr>
            <w:tcW w:w="2850" w:type="dxa"/>
            <w:noWrap w:val="0"/>
            <w:vAlign w:val="center"/>
          </w:tcPr>
          <w:p w14:paraId="45C722D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500元/次，并责令停止作业</w:t>
            </w:r>
          </w:p>
        </w:tc>
        <w:tc>
          <w:tcPr>
            <w:tcW w:w="2430" w:type="dxa"/>
            <w:noWrap w:val="0"/>
            <w:vAlign w:val="top"/>
          </w:tcPr>
          <w:p w14:paraId="5F5672A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B12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59429BE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c>
          <w:tcPr>
            <w:tcW w:w="3540" w:type="dxa"/>
            <w:noWrap w:val="0"/>
            <w:vAlign w:val="center"/>
          </w:tcPr>
          <w:p w14:paraId="3D46907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锚固、搭接不够，主筋型号、数量、位置不对</w:t>
            </w:r>
          </w:p>
        </w:tc>
        <w:tc>
          <w:tcPr>
            <w:tcW w:w="2850" w:type="dxa"/>
            <w:noWrap w:val="0"/>
            <w:vAlign w:val="center"/>
          </w:tcPr>
          <w:p w14:paraId="578A837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100元/处，并返工整改</w:t>
            </w:r>
          </w:p>
        </w:tc>
        <w:tc>
          <w:tcPr>
            <w:tcW w:w="2430" w:type="dxa"/>
            <w:noWrap w:val="0"/>
            <w:vAlign w:val="top"/>
          </w:tcPr>
          <w:p w14:paraId="5C9FC8B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30E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0BCD0FA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w:t>
            </w:r>
          </w:p>
        </w:tc>
        <w:tc>
          <w:tcPr>
            <w:tcW w:w="3540" w:type="dxa"/>
            <w:noWrap w:val="0"/>
            <w:vAlign w:val="center"/>
          </w:tcPr>
          <w:p w14:paraId="1C6CE14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墙、</w:t>
            </w:r>
            <w:r>
              <w:rPr>
                <w:rFonts w:hint="default" w:ascii="Times New Roman" w:hAnsi="Times New Roman" w:eastAsia="宋体" w:cs="Times New Roman"/>
                <w:color w:val="000000" w:themeColor="text1"/>
                <w:sz w:val="21"/>
                <w:szCs w:val="21"/>
                <w:highlight w:val="none"/>
                <w14:textFill>
                  <w14:solidFill>
                    <w14:schemeClr w14:val="tx1"/>
                  </w14:solidFill>
                </w14:textFill>
              </w:rPr>
              <w:t>梁、板筋垫块</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、拉钩</w:t>
            </w:r>
            <w:r>
              <w:rPr>
                <w:rFonts w:hint="default" w:ascii="Times New Roman" w:hAnsi="Times New Roman" w:eastAsia="宋体" w:cs="Times New Roman"/>
                <w:color w:val="000000" w:themeColor="text1"/>
                <w:sz w:val="21"/>
                <w:szCs w:val="21"/>
                <w:highlight w:val="none"/>
                <w14:textFill>
                  <w14:solidFill>
                    <w14:schemeClr w14:val="tx1"/>
                  </w14:solidFill>
                </w14:textFill>
              </w:rPr>
              <w:t>，板负筋马凳不按要求设置，绑扎零乱</w:t>
            </w:r>
          </w:p>
        </w:tc>
        <w:tc>
          <w:tcPr>
            <w:tcW w:w="2850" w:type="dxa"/>
            <w:noWrap w:val="0"/>
            <w:vAlign w:val="center"/>
          </w:tcPr>
          <w:p w14:paraId="5C36B71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500元/层，并整改</w:t>
            </w:r>
          </w:p>
        </w:tc>
        <w:tc>
          <w:tcPr>
            <w:tcW w:w="2430" w:type="dxa"/>
            <w:noWrap w:val="0"/>
            <w:vAlign w:val="top"/>
          </w:tcPr>
          <w:p w14:paraId="0279322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B8B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382C9C0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14</w:t>
            </w:r>
          </w:p>
        </w:tc>
        <w:tc>
          <w:tcPr>
            <w:tcW w:w="3540" w:type="dxa"/>
            <w:noWrap w:val="0"/>
            <w:vAlign w:val="center"/>
          </w:tcPr>
          <w:p w14:paraId="780908CD">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钢筋焊接（电弧焊、闪光对焊、电</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渣</w:t>
            </w:r>
            <w:r>
              <w:rPr>
                <w:rFonts w:hint="default" w:ascii="Times New Roman" w:hAnsi="Times New Roman" w:eastAsia="宋体" w:cs="Times New Roman"/>
                <w:color w:val="000000" w:themeColor="text1"/>
                <w:sz w:val="21"/>
                <w:szCs w:val="21"/>
                <w:highlight w:val="none"/>
                <w14:textFill>
                  <w14:solidFill>
                    <w14:schemeClr w14:val="tx1"/>
                  </w14:solidFill>
                </w14:textFill>
              </w:rPr>
              <w:t>压力焊）不符合规范要求就隐蔽</w:t>
            </w:r>
          </w:p>
        </w:tc>
        <w:tc>
          <w:tcPr>
            <w:tcW w:w="2850" w:type="dxa"/>
            <w:noWrap w:val="0"/>
            <w:vAlign w:val="center"/>
          </w:tcPr>
          <w:p w14:paraId="7E93591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50元/处，并整改</w:t>
            </w:r>
          </w:p>
        </w:tc>
        <w:tc>
          <w:tcPr>
            <w:tcW w:w="2430" w:type="dxa"/>
            <w:noWrap w:val="0"/>
            <w:vAlign w:val="top"/>
          </w:tcPr>
          <w:p w14:paraId="65D6FB2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C91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0BFDC80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15</w:t>
            </w:r>
          </w:p>
        </w:tc>
        <w:tc>
          <w:tcPr>
            <w:tcW w:w="3540" w:type="dxa"/>
            <w:noWrap w:val="0"/>
            <w:vAlign w:val="center"/>
          </w:tcPr>
          <w:p w14:paraId="42C28E4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板</w:t>
            </w:r>
            <w:r>
              <w:rPr>
                <w:rFonts w:hint="default" w:ascii="Times New Roman" w:hAnsi="Times New Roman" w:eastAsia="宋体" w:cs="Times New Roman"/>
                <w:color w:val="000000" w:themeColor="text1"/>
                <w:sz w:val="21"/>
                <w:szCs w:val="21"/>
                <w:highlight w:val="none"/>
                <w14:textFill>
                  <w14:solidFill>
                    <w14:schemeClr w14:val="tx1"/>
                  </w14:solidFill>
                </w14:textFill>
              </w:rPr>
              <w:t>面出现贯穿性裂缝</w:t>
            </w:r>
          </w:p>
        </w:tc>
        <w:tc>
          <w:tcPr>
            <w:tcW w:w="2850" w:type="dxa"/>
            <w:noWrap w:val="0"/>
            <w:vAlign w:val="center"/>
          </w:tcPr>
          <w:p w14:paraId="10E610F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300元/处，并自负处理费用修补</w:t>
            </w:r>
          </w:p>
        </w:tc>
        <w:tc>
          <w:tcPr>
            <w:tcW w:w="2430" w:type="dxa"/>
            <w:noWrap w:val="0"/>
            <w:vAlign w:val="top"/>
          </w:tcPr>
          <w:p w14:paraId="1F2ED7E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FF2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5" w:type="dxa"/>
            <w:noWrap w:val="0"/>
            <w:vAlign w:val="center"/>
          </w:tcPr>
          <w:p w14:paraId="2F909C4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16</w:t>
            </w:r>
          </w:p>
        </w:tc>
        <w:tc>
          <w:tcPr>
            <w:tcW w:w="3540" w:type="dxa"/>
            <w:noWrap w:val="0"/>
            <w:vAlign w:val="center"/>
          </w:tcPr>
          <w:p w14:paraId="37476AB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墙</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面</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地面、板</w:t>
            </w:r>
            <w:r>
              <w:rPr>
                <w:rFonts w:hint="default" w:ascii="Times New Roman" w:hAnsi="Times New Roman" w:eastAsia="宋体" w:cs="Times New Roman"/>
                <w:color w:val="000000" w:themeColor="text1"/>
                <w:sz w:val="21"/>
                <w:szCs w:val="21"/>
                <w:highlight w:val="none"/>
                <w14:textFill>
                  <w14:solidFill>
                    <w14:schemeClr w14:val="tx1"/>
                  </w14:solidFill>
                </w14:textFill>
              </w:rPr>
              <w:t>面</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、渡槽</w:t>
            </w:r>
            <w:r>
              <w:rPr>
                <w:rFonts w:hint="default" w:ascii="Times New Roman" w:hAnsi="Times New Roman" w:eastAsia="宋体" w:cs="Times New Roman"/>
                <w:color w:val="000000" w:themeColor="text1"/>
                <w:sz w:val="21"/>
                <w:szCs w:val="21"/>
                <w:highlight w:val="none"/>
                <w14:textFill>
                  <w14:solidFill>
                    <w14:schemeClr w14:val="tx1"/>
                  </w14:solidFill>
                </w14:textFill>
              </w:rPr>
              <w:t>等结构部位渗水</w:t>
            </w:r>
          </w:p>
        </w:tc>
        <w:tc>
          <w:tcPr>
            <w:tcW w:w="2850" w:type="dxa"/>
            <w:noWrap w:val="0"/>
            <w:vAlign w:val="center"/>
          </w:tcPr>
          <w:p w14:paraId="3649B98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300元/处，并自负处理费用修补</w:t>
            </w:r>
          </w:p>
        </w:tc>
        <w:tc>
          <w:tcPr>
            <w:tcW w:w="2430" w:type="dxa"/>
            <w:noWrap w:val="0"/>
            <w:vAlign w:val="top"/>
          </w:tcPr>
          <w:p w14:paraId="4F68A4E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2B5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5" w:type="dxa"/>
            <w:noWrap w:val="0"/>
            <w:vAlign w:val="center"/>
          </w:tcPr>
          <w:p w14:paraId="3B3AB83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17</w:t>
            </w:r>
          </w:p>
        </w:tc>
        <w:tc>
          <w:tcPr>
            <w:tcW w:w="3540" w:type="dxa"/>
            <w:noWrap w:val="0"/>
            <w:vAlign w:val="center"/>
          </w:tcPr>
          <w:p w14:paraId="559D0AE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混凝土浇筑发现人工加水的</w:t>
            </w:r>
          </w:p>
        </w:tc>
        <w:tc>
          <w:tcPr>
            <w:tcW w:w="2850" w:type="dxa"/>
            <w:noWrap w:val="0"/>
            <w:vAlign w:val="center"/>
          </w:tcPr>
          <w:p w14:paraId="26F34B6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500元/次并开除当事人</w:t>
            </w:r>
          </w:p>
        </w:tc>
        <w:tc>
          <w:tcPr>
            <w:tcW w:w="2430" w:type="dxa"/>
            <w:noWrap w:val="0"/>
            <w:vAlign w:val="top"/>
          </w:tcPr>
          <w:p w14:paraId="6DB015B2">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2666105F">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六、砌体工程</w:t>
      </w:r>
    </w:p>
    <w:tbl>
      <w:tblPr>
        <w:tblStyle w:val="44"/>
        <w:tblW w:w="952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25"/>
        <w:gridCol w:w="2865"/>
        <w:gridCol w:w="2415"/>
      </w:tblGrid>
      <w:tr w14:paraId="16DA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0" w:type="dxa"/>
            <w:noWrap w:val="0"/>
            <w:vAlign w:val="center"/>
          </w:tcPr>
          <w:p w14:paraId="4F8C33B2">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25" w:type="dxa"/>
            <w:noWrap w:val="0"/>
            <w:vAlign w:val="center"/>
          </w:tcPr>
          <w:p w14:paraId="1A050FE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65" w:type="dxa"/>
            <w:noWrap w:val="0"/>
            <w:vAlign w:val="center"/>
          </w:tcPr>
          <w:p w14:paraId="62DEB2A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15" w:type="dxa"/>
            <w:noWrap w:val="0"/>
            <w:vAlign w:val="center"/>
          </w:tcPr>
          <w:p w14:paraId="5AFF9D5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6426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0" w:type="dxa"/>
            <w:noWrap w:val="0"/>
            <w:vAlign w:val="center"/>
          </w:tcPr>
          <w:p w14:paraId="07CE6F1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25" w:type="dxa"/>
            <w:noWrap w:val="0"/>
            <w:vAlign w:val="center"/>
          </w:tcPr>
          <w:p w14:paraId="3A90746D">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填充墙轴线错误，门、窗、洞口位置、标高错误</w:t>
            </w:r>
          </w:p>
        </w:tc>
        <w:tc>
          <w:tcPr>
            <w:tcW w:w="2865" w:type="dxa"/>
            <w:noWrap w:val="0"/>
            <w:vAlign w:val="center"/>
          </w:tcPr>
          <w:p w14:paraId="23847DB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200元/处，并返工整改</w:t>
            </w:r>
          </w:p>
        </w:tc>
        <w:tc>
          <w:tcPr>
            <w:tcW w:w="2415" w:type="dxa"/>
            <w:noWrap w:val="0"/>
            <w:vAlign w:val="center"/>
          </w:tcPr>
          <w:p w14:paraId="745527E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CF5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noWrap w:val="0"/>
            <w:vAlign w:val="center"/>
          </w:tcPr>
          <w:p w14:paraId="1FEBB5E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25" w:type="dxa"/>
            <w:noWrap w:val="0"/>
            <w:vAlign w:val="center"/>
          </w:tcPr>
          <w:p w14:paraId="25BFB81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砌体不放拉结筋或设置不规范</w:t>
            </w:r>
          </w:p>
        </w:tc>
        <w:tc>
          <w:tcPr>
            <w:tcW w:w="2865" w:type="dxa"/>
            <w:noWrap w:val="0"/>
            <w:vAlign w:val="center"/>
          </w:tcPr>
          <w:p w14:paraId="1314085D">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100元/处，并返工整改</w:t>
            </w:r>
          </w:p>
        </w:tc>
        <w:tc>
          <w:tcPr>
            <w:tcW w:w="2415" w:type="dxa"/>
            <w:noWrap w:val="0"/>
            <w:vAlign w:val="center"/>
          </w:tcPr>
          <w:p w14:paraId="1EB8859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C14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0" w:type="dxa"/>
            <w:noWrap w:val="0"/>
            <w:vAlign w:val="center"/>
          </w:tcPr>
          <w:p w14:paraId="61E1688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25" w:type="dxa"/>
            <w:noWrap w:val="0"/>
            <w:vAlign w:val="center"/>
          </w:tcPr>
          <w:p w14:paraId="68FEA0D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填充墙砌体顶砖不按规范斜砌顶紧，或未隔7天一次性砌到顶</w:t>
            </w:r>
          </w:p>
        </w:tc>
        <w:tc>
          <w:tcPr>
            <w:tcW w:w="2865" w:type="dxa"/>
            <w:noWrap w:val="0"/>
            <w:vAlign w:val="center"/>
          </w:tcPr>
          <w:p w14:paraId="6CEA4B6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200元/幅，并返工整改</w:t>
            </w:r>
          </w:p>
        </w:tc>
        <w:tc>
          <w:tcPr>
            <w:tcW w:w="2415" w:type="dxa"/>
            <w:noWrap w:val="0"/>
            <w:vAlign w:val="center"/>
          </w:tcPr>
          <w:p w14:paraId="4BDC370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ADC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0" w:type="dxa"/>
            <w:noWrap w:val="0"/>
            <w:vAlign w:val="center"/>
          </w:tcPr>
          <w:p w14:paraId="1D17759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25" w:type="dxa"/>
            <w:noWrap w:val="0"/>
            <w:vAlign w:val="center"/>
          </w:tcPr>
          <w:p w14:paraId="309B08B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具有防水部位，不按规范和设计文件要求先浇筑砼反边后砌体</w:t>
            </w:r>
          </w:p>
        </w:tc>
        <w:tc>
          <w:tcPr>
            <w:tcW w:w="2865" w:type="dxa"/>
            <w:noWrap w:val="0"/>
            <w:vAlign w:val="center"/>
          </w:tcPr>
          <w:p w14:paraId="4A75B7D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200元/处，并返工整改；不符合要求的100元/处</w:t>
            </w:r>
          </w:p>
        </w:tc>
        <w:tc>
          <w:tcPr>
            <w:tcW w:w="2415" w:type="dxa"/>
            <w:noWrap w:val="0"/>
            <w:vAlign w:val="top"/>
          </w:tcPr>
          <w:p w14:paraId="5D256C5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272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0" w:type="dxa"/>
            <w:noWrap w:val="0"/>
            <w:vAlign w:val="center"/>
          </w:tcPr>
          <w:p w14:paraId="2E5F22E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3525" w:type="dxa"/>
            <w:noWrap w:val="0"/>
            <w:vAlign w:val="center"/>
          </w:tcPr>
          <w:p w14:paraId="2FCB585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不按规范和设计文件设置构造柱或构造梁</w:t>
            </w:r>
          </w:p>
        </w:tc>
        <w:tc>
          <w:tcPr>
            <w:tcW w:w="2865" w:type="dxa"/>
            <w:noWrap w:val="0"/>
            <w:vAlign w:val="center"/>
          </w:tcPr>
          <w:p w14:paraId="20BAD56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w:t>
            </w:r>
          </w:p>
        </w:tc>
        <w:tc>
          <w:tcPr>
            <w:tcW w:w="2415" w:type="dxa"/>
            <w:noWrap w:val="0"/>
            <w:vAlign w:val="top"/>
          </w:tcPr>
          <w:p w14:paraId="2BC0E4B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20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0"/>
            <w:vAlign w:val="center"/>
          </w:tcPr>
          <w:p w14:paraId="010591B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3525" w:type="dxa"/>
            <w:noWrap w:val="0"/>
            <w:vAlign w:val="center"/>
          </w:tcPr>
          <w:p w14:paraId="4F19ADD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砌体淋水不透或干砖上墙</w:t>
            </w:r>
          </w:p>
        </w:tc>
        <w:tc>
          <w:tcPr>
            <w:tcW w:w="2865" w:type="dxa"/>
            <w:noWrap w:val="0"/>
            <w:vAlign w:val="center"/>
          </w:tcPr>
          <w:p w14:paraId="270F71D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200元/幅</w:t>
            </w:r>
          </w:p>
        </w:tc>
        <w:tc>
          <w:tcPr>
            <w:tcW w:w="2415" w:type="dxa"/>
            <w:noWrap w:val="0"/>
            <w:vAlign w:val="top"/>
          </w:tcPr>
          <w:p w14:paraId="40377B5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6B8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noWrap w:val="0"/>
            <w:vAlign w:val="center"/>
          </w:tcPr>
          <w:p w14:paraId="795E956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3525" w:type="dxa"/>
            <w:noWrap w:val="0"/>
            <w:vAlign w:val="center"/>
          </w:tcPr>
          <w:p w14:paraId="316828F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外墙窗洞上下部垂直，变差严重</w:t>
            </w:r>
          </w:p>
        </w:tc>
        <w:tc>
          <w:tcPr>
            <w:tcW w:w="2865" w:type="dxa"/>
            <w:noWrap w:val="0"/>
            <w:vAlign w:val="center"/>
          </w:tcPr>
          <w:p w14:paraId="02DCF06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100元/处，并返工整改</w:t>
            </w:r>
          </w:p>
        </w:tc>
        <w:tc>
          <w:tcPr>
            <w:tcW w:w="2415" w:type="dxa"/>
            <w:noWrap w:val="0"/>
            <w:vAlign w:val="top"/>
          </w:tcPr>
          <w:p w14:paraId="2C2C156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3A4D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20" w:type="dxa"/>
            <w:noWrap w:val="0"/>
            <w:vAlign w:val="center"/>
          </w:tcPr>
          <w:p w14:paraId="6A00C53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3525" w:type="dxa"/>
            <w:noWrap w:val="0"/>
            <w:vAlign w:val="center"/>
          </w:tcPr>
          <w:p w14:paraId="3D54103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浆砌石、砖砌石砂浆不饱满、无砂浆、平整度、垂直度、分缝等不按相关规范及设计要求的</w:t>
            </w:r>
          </w:p>
        </w:tc>
        <w:tc>
          <w:tcPr>
            <w:tcW w:w="2865" w:type="dxa"/>
            <w:noWrap w:val="0"/>
            <w:vAlign w:val="center"/>
          </w:tcPr>
          <w:p w14:paraId="6319370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200元/处</w:t>
            </w:r>
          </w:p>
        </w:tc>
        <w:tc>
          <w:tcPr>
            <w:tcW w:w="2415" w:type="dxa"/>
            <w:noWrap w:val="0"/>
            <w:vAlign w:val="top"/>
          </w:tcPr>
          <w:p w14:paraId="0FF8B1F3">
            <w:pPr>
              <w:keepNext w:val="0"/>
              <w:pageBreakBefore w:val="0"/>
              <w:widowControl w:val="0"/>
              <w:kinsoku/>
              <w:wordWrap/>
              <w:overflowPunct/>
              <w:topLinePunct w:val="0"/>
              <w:autoSpaceDE/>
              <w:autoSpaceDN/>
              <w:bidi w:val="0"/>
              <w:adjustRightInd/>
              <w:snapToGrid/>
              <w:spacing w:line="430" w:lineRule="exact"/>
              <w:ind w:left="0" w:lef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1DD67166">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七、装饰工程</w:t>
      </w:r>
    </w:p>
    <w:tbl>
      <w:tblPr>
        <w:tblStyle w:val="44"/>
        <w:tblW w:w="954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525"/>
        <w:gridCol w:w="2865"/>
        <w:gridCol w:w="2400"/>
      </w:tblGrid>
      <w:tr w14:paraId="4BD7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50" w:type="dxa"/>
            <w:noWrap w:val="0"/>
            <w:vAlign w:val="center"/>
          </w:tcPr>
          <w:p w14:paraId="54A7C4A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25" w:type="dxa"/>
            <w:noWrap w:val="0"/>
            <w:vAlign w:val="center"/>
          </w:tcPr>
          <w:p w14:paraId="43AC95D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违反内容</w:t>
            </w:r>
          </w:p>
        </w:tc>
        <w:tc>
          <w:tcPr>
            <w:tcW w:w="2865" w:type="dxa"/>
            <w:noWrap w:val="0"/>
            <w:vAlign w:val="center"/>
          </w:tcPr>
          <w:p w14:paraId="0C0BBB5B">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400" w:type="dxa"/>
            <w:noWrap w:val="0"/>
            <w:vAlign w:val="center"/>
          </w:tcPr>
          <w:p w14:paraId="55B57A2E">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35DC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50" w:type="dxa"/>
            <w:noWrap w:val="0"/>
            <w:vAlign w:val="center"/>
          </w:tcPr>
          <w:p w14:paraId="3026E0F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25" w:type="dxa"/>
            <w:noWrap w:val="0"/>
            <w:vAlign w:val="center"/>
          </w:tcPr>
          <w:p w14:paraId="6792809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墙面抹灰垂直度、平整度严重不合格，阴阳角线条不顺直、不方正</w:t>
            </w:r>
          </w:p>
        </w:tc>
        <w:tc>
          <w:tcPr>
            <w:tcW w:w="2865" w:type="dxa"/>
            <w:noWrap w:val="0"/>
            <w:vAlign w:val="center"/>
          </w:tcPr>
          <w:p w14:paraId="6837B7F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幅</w:t>
            </w:r>
            <w:r>
              <w:rPr>
                <w:rFonts w:hint="default" w:ascii="Times New Roman" w:hAnsi="Times New Roman" w:eastAsia="宋体" w:cs="Times New Roman"/>
                <w:color w:val="000000" w:themeColor="text1"/>
                <w:sz w:val="21"/>
                <w:szCs w:val="21"/>
                <w:highlight w:val="none"/>
                <w14:textFill>
                  <w14:solidFill>
                    <w14:schemeClr w14:val="tx1"/>
                  </w14:solidFill>
                </w14:textFill>
              </w:rPr>
              <w:t>，并返工整改</w:t>
            </w:r>
          </w:p>
        </w:tc>
        <w:tc>
          <w:tcPr>
            <w:tcW w:w="2400" w:type="dxa"/>
            <w:noWrap w:val="0"/>
            <w:vAlign w:val="center"/>
          </w:tcPr>
          <w:p w14:paraId="260A20E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1461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noWrap w:val="0"/>
            <w:vAlign w:val="center"/>
          </w:tcPr>
          <w:p w14:paraId="2734E39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25" w:type="dxa"/>
            <w:noWrap w:val="0"/>
            <w:vAlign w:val="center"/>
          </w:tcPr>
          <w:p w14:paraId="55DFB65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抹灰工程未按规范要求设置加强拉结网</w:t>
            </w:r>
          </w:p>
        </w:tc>
        <w:tc>
          <w:tcPr>
            <w:tcW w:w="2865" w:type="dxa"/>
            <w:noWrap w:val="0"/>
            <w:vAlign w:val="center"/>
          </w:tcPr>
          <w:p w14:paraId="1FB61D5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200元/幅，并返工整改</w:t>
            </w:r>
          </w:p>
        </w:tc>
        <w:tc>
          <w:tcPr>
            <w:tcW w:w="2400" w:type="dxa"/>
            <w:noWrap w:val="0"/>
            <w:vAlign w:val="center"/>
          </w:tcPr>
          <w:p w14:paraId="06F7BA51">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757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noWrap w:val="0"/>
            <w:vAlign w:val="center"/>
          </w:tcPr>
          <w:p w14:paraId="001F7C7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25" w:type="dxa"/>
            <w:noWrap w:val="0"/>
            <w:vAlign w:val="center"/>
          </w:tcPr>
          <w:p w14:paraId="2450544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门窗边工程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w:t>
            </w:r>
            <w:r>
              <w:rPr>
                <w:rFonts w:hint="default" w:ascii="Times New Roman" w:hAnsi="Times New Roman" w:eastAsia="宋体" w:cs="Times New Roman"/>
                <w:color w:val="000000" w:themeColor="text1"/>
                <w:sz w:val="21"/>
                <w:szCs w:val="21"/>
                <w:highlight w:val="none"/>
                <w14:textFill>
                  <w14:solidFill>
                    <w14:schemeClr w14:val="tx1"/>
                  </w14:solidFill>
                </w14:textFill>
              </w:rPr>
              <w:t>按规定先填缝再抹灰的</w:t>
            </w:r>
          </w:p>
        </w:tc>
        <w:tc>
          <w:tcPr>
            <w:tcW w:w="2865" w:type="dxa"/>
            <w:noWrap w:val="0"/>
            <w:vAlign w:val="center"/>
          </w:tcPr>
          <w:p w14:paraId="723AE10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200元/处，并返工整改</w:t>
            </w:r>
          </w:p>
        </w:tc>
        <w:tc>
          <w:tcPr>
            <w:tcW w:w="2400" w:type="dxa"/>
            <w:noWrap w:val="0"/>
            <w:vAlign w:val="center"/>
          </w:tcPr>
          <w:p w14:paraId="553F1A0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4FB4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50" w:type="dxa"/>
            <w:noWrap w:val="0"/>
            <w:vAlign w:val="center"/>
          </w:tcPr>
          <w:p w14:paraId="21BF98E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525" w:type="dxa"/>
            <w:noWrap w:val="0"/>
            <w:vAlign w:val="center"/>
          </w:tcPr>
          <w:p w14:paraId="3D986AB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因工序安排不合理导致入户门、窗、栏杆、楼梯扶手</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等其他成品</w:t>
            </w:r>
            <w:r>
              <w:rPr>
                <w:rFonts w:hint="default" w:ascii="Times New Roman" w:hAnsi="Times New Roman" w:eastAsia="宋体" w:cs="Times New Roman"/>
                <w:color w:val="000000" w:themeColor="text1"/>
                <w:sz w:val="21"/>
                <w:szCs w:val="21"/>
                <w:highlight w:val="none"/>
                <w14:textFill>
                  <w14:solidFill>
                    <w14:schemeClr w14:val="tx1"/>
                  </w14:solidFill>
                </w14:textFill>
              </w:rPr>
              <w:t>损坏</w:t>
            </w:r>
          </w:p>
        </w:tc>
        <w:tc>
          <w:tcPr>
            <w:tcW w:w="2865" w:type="dxa"/>
            <w:noWrap w:val="0"/>
            <w:vAlign w:val="center"/>
          </w:tcPr>
          <w:p w14:paraId="28F4744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200元/个，并返工整改</w:t>
            </w:r>
          </w:p>
        </w:tc>
        <w:tc>
          <w:tcPr>
            <w:tcW w:w="2400" w:type="dxa"/>
            <w:noWrap w:val="0"/>
            <w:vAlign w:val="center"/>
          </w:tcPr>
          <w:p w14:paraId="63FBB5A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92C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0" w:type="dxa"/>
            <w:noWrap w:val="0"/>
            <w:vAlign w:val="center"/>
          </w:tcPr>
          <w:p w14:paraId="66C1BB2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3525" w:type="dxa"/>
            <w:noWrap w:val="0"/>
            <w:vAlign w:val="center"/>
          </w:tcPr>
          <w:p w14:paraId="754EC194">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木制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、钢制、管道</w:t>
            </w:r>
            <w:r>
              <w:rPr>
                <w:rFonts w:hint="default" w:ascii="Times New Roman" w:hAnsi="Times New Roman" w:eastAsia="宋体" w:cs="Times New Roman"/>
                <w:color w:val="000000" w:themeColor="text1"/>
                <w:sz w:val="21"/>
                <w:szCs w:val="21"/>
                <w:highlight w:val="none"/>
                <w14:textFill>
                  <w14:solidFill>
                    <w14:schemeClr w14:val="tx1"/>
                  </w14:solidFill>
                </w14:textFill>
              </w:rPr>
              <w:t>工程不按规定进行防腐处理</w:t>
            </w:r>
          </w:p>
        </w:tc>
        <w:tc>
          <w:tcPr>
            <w:tcW w:w="2865" w:type="dxa"/>
            <w:noWrap w:val="0"/>
            <w:vAlign w:val="center"/>
          </w:tcPr>
          <w:p w14:paraId="00C07BF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100元/处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并整改</w:t>
            </w:r>
          </w:p>
        </w:tc>
        <w:tc>
          <w:tcPr>
            <w:tcW w:w="2400" w:type="dxa"/>
            <w:noWrap w:val="0"/>
            <w:vAlign w:val="center"/>
          </w:tcPr>
          <w:p w14:paraId="5E2292E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55A0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0" w:type="dxa"/>
            <w:noWrap w:val="0"/>
            <w:vAlign w:val="center"/>
          </w:tcPr>
          <w:p w14:paraId="3C0E490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3525" w:type="dxa"/>
            <w:noWrap w:val="0"/>
            <w:vAlign w:val="center"/>
          </w:tcPr>
          <w:p w14:paraId="194DE32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外墙涂料不按要求施工</w:t>
            </w:r>
          </w:p>
        </w:tc>
        <w:tc>
          <w:tcPr>
            <w:tcW w:w="2865" w:type="dxa"/>
            <w:noWrap w:val="0"/>
            <w:vAlign w:val="center"/>
          </w:tcPr>
          <w:p w14:paraId="439BFF7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500元/次，并返工整改</w:t>
            </w:r>
          </w:p>
        </w:tc>
        <w:tc>
          <w:tcPr>
            <w:tcW w:w="2400" w:type="dxa"/>
            <w:noWrap w:val="0"/>
            <w:vAlign w:val="center"/>
          </w:tcPr>
          <w:p w14:paraId="34E4AB4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D63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0" w:type="dxa"/>
            <w:noWrap w:val="0"/>
            <w:vAlign w:val="center"/>
          </w:tcPr>
          <w:p w14:paraId="51F0D1AE">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3525" w:type="dxa"/>
            <w:noWrap w:val="0"/>
            <w:vAlign w:val="center"/>
          </w:tcPr>
          <w:p w14:paraId="15AF784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门窗边阴阳角不方正、不顺直</w:t>
            </w:r>
          </w:p>
        </w:tc>
        <w:tc>
          <w:tcPr>
            <w:tcW w:w="2865" w:type="dxa"/>
            <w:noWrap w:val="0"/>
            <w:vAlign w:val="center"/>
          </w:tcPr>
          <w:p w14:paraId="17E9850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color w:val="000000" w:themeColor="text1"/>
                <w:sz w:val="21"/>
                <w:szCs w:val="21"/>
                <w:highlight w:val="none"/>
                <w14:textFill>
                  <w14:solidFill>
                    <w14:schemeClr w14:val="tx1"/>
                  </w14:solidFill>
                </w14:textFill>
              </w:rPr>
              <w:t>，并返工整改</w:t>
            </w:r>
          </w:p>
        </w:tc>
        <w:tc>
          <w:tcPr>
            <w:tcW w:w="2400" w:type="dxa"/>
            <w:noWrap w:val="0"/>
            <w:vAlign w:val="center"/>
          </w:tcPr>
          <w:p w14:paraId="393B105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0B6F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50" w:type="dxa"/>
            <w:noWrap w:val="0"/>
            <w:vAlign w:val="center"/>
          </w:tcPr>
          <w:p w14:paraId="0AE1562E">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
                <w14:textFill>
                  <w14:solidFill>
                    <w14:schemeClr w14:val="tx1"/>
                  </w14:solidFill>
                </w14:textFill>
              </w:rPr>
              <w:t>8</w:t>
            </w:r>
          </w:p>
        </w:tc>
        <w:tc>
          <w:tcPr>
            <w:tcW w:w="3525" w:type="dxa"/>
            <w:noWrap w:val="0"/>
            <w:vAlign w:val="center"/>
          </w:tcPr>
          <w:p w14:paraId="1A37BC69">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油漆工程不按要求施工的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并验收不合格的</w:t>
            </w:r>
          </w:p>
        </w:tc>
        <w:tc>
          <w:tcPr>
            <w:tcW w:w="2865" w:type="dxa"/>
            <w:noWrap w:val="0"/>
            <w:vAlign w:val="center"/>
          </w:tcPr>
          <w:p w14:paraId="165953E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元/ </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color w:val="000000" w:themeColor="text1"/>
                <w:sz w:val="21"/>
                <w:szCs w:val="21"/>
                <w:highlight w:val="none"/>
                <w14:textFill>
                  <w14:solidFill>
                    <w14:schemeClr w14:val="tx1"/>
                  </w14:solidFill>
                </w14:textFill>
              </w:rPr>
              <w:t>，返工整改并承担返工费用</w:t>
            </w:r>
          </w:p>
        </w:tc>
        <w:tc>
          <w:tcPr>
            <w:tcW w:w="2400" w:type="dxa"/>
            <w:noWrap w:val="0"/>
            <w:vAlign w:val="center"/>
          </w:tcPr>
          <w:p w14:paraId="66775E2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7676D3E7">
      <w:pPr>
        <w:keepNext w:val="0"/>
        <w:keepLines w:val="0"/>
        <w:pageBreakBefore w:val="0"/>
        <w:widowControl w:val="0"/>
        <w:kinsoku/>
        <w:wordWrap/>
        <w:overflowPunct/>
        <w:topLinePunct w:val="0"/>
        <w:autoSpaceDE/>
        <w:autoSpaceDN/>
        <w:bidi w:val="0"/>
        <w:adjustRightInd/>
        <w:snapToGrid/>
        <w:spacing w:before="181" w:beforeLines="50" w:after="181" w:afterLines="50" w:line="430" w:lineRule="exact"/>
        <w:ind w:left="0" w:leftChars="0" w:firstLine="0" w:firstLineChars="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八、其他</w:t>
      </w:r>
    </w:p>
    <w:tbl>
      <w:tblPr>
        <w:tblStyle w:val="44"/>
        <w:tblW w:w="955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540"/>
        <w:gridCol w:w="2865"/>
        <w:gridCol w:w="2370"/>
      </w:tblGrid>
      <w:tr w14:paraId="663C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0" w:type="dxa"/>
            <w:noWrap w:val="0"/>
            <w:vAlign w:val="center"/>
          </w:tcPr>
          <w:p w14:paraId="7C8123E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序号</w:t>
            </w:r>
          </w:p>
        </w:tc>
        <w:tc>
          <w:tcPr>
            <w:tcW w:w="3540" w:type="dxa"/>
            <w:noWrap w:val="0"/>
            <w:vAlign w:val="center"/>
          </w:tcPr>
          <w:p w14:paraId="31FC701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违反内同</w:t>
            </w:r>
          </w:p>
        </w:tc>
        <w:tc>
          <w:tcPr>
            <w:tcW w:w="2865" w:type="dxa"/>
            <w:noWrap w:val="0"/>
            <w:vAlign w:val="center"/>
          </w:tcPr>
          <w:p w14:paraId="36B84806">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处罚金额</w:t>
            </w:r>
          </w:p>
        </w:tc>
        <w:tc>
          <w:tcPr>
            <w:tcW w:w="2370" w:type="dxa"/>
            <w:noWrap w:val="0"/>
            <w:vAlign w:val="center"/>
          </w:tcPr>
          <w:p w14:paraId="564440D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备注</w:t>
            </w:r>
          </w:p>
        </w:tc>
      </w:tr>
      <w:tr w14:paraId="3855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80" w:type="dxa"/>
            <w:noWrap w:val="0"/>
            <w:vAlign w:val="center"/>
          </w:tcPr>
          <w:p w14:paraId="37772B82">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540" w:type="dxa"/>
            <w:noWrap w:val="0"/>
            <w:vAlign w:val="center"/>
          </w:tcPr>
          <w:p w14:paraId="330A417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施工现场内明火烤火</w:t>
            </w:r>
          </w:p>
        </w:tc>
        <w:tc>
          <w:tcPr>
            <w:tcW w:w="2865" w:type="dxa"/>
            <w:noWrap w:val="0"/>
            <w:vAlign w:val="center"/>
          </w:tcPr>
          <w:p w14:paraId="4F71334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500元/次</w:t>
            </w:r>
          </w:p>
        </w:tc>
        <w:tc>
          <w:tcPr>
            <w:tcW w:w="2370" w:type="dxa"/>
            <w:noWrap w:val="0"/>
            <w:vAlign w:val="center"/>
          </w:tcPr>
          <w:p w14:paraId="10DA490D">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251F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0" w:type="dxa"/>
            <w:noWrap w:val="0"/>
            <w:vAlign w:val="center"/>
          </w:tcPr>
          <w:p w14:paraId="37D7E3B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540" w:type="dxa"/>
            <w:noWrap w:val="0"/>
            <w:vAlign w:val="center"/>
          </w:tcPr>
          <w:p w14:paraId="294DA25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工程进度未按施工合同完成</w:t>
            </w:r>
          </w:p>
        </w:tc>
        <w:tc>
          <w:tcPr>
            <w:tcW w:w="2865" w:type="dxa"/>
            <w:noWrap w:val="0"/>
            <w:vAlign w:val="center"/>
          </w:tcPr>
          <w:p w14:paraId="1A203B4F">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按合同约定处罚</w:t>
            </w:r>
          </w:p>
        </w:tc>
        <w:tc>
          <w:tcPr>
            <w:tcW w:w="2370" w:type="dxa"/>
            <w:noWrap w:val="0"/>
            <w:vAlign w:val="center"/>
          </w:tcPr>
          <w:p w14:paraId="2E057558">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6AAD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80" w:type="dxa"/>
            <w:noWrap w:val="0"/>
            <w:vAlign w:val="center"/>
          </w:tcPr>
          <w:p w14:paraId="2B10A26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540" w:type="dxa"/>
            <w:noWrap w:val="0"/>
            <w:vAlign w:val="center"/>
          </w:tcPr>
          <w:p w14:paraId="566520E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各单元</w:t>
            </w:r>
            <w:r>
              <w:rPr>
                <w:rFonts w:hint="default" w:ascii="Times New Roman" w:hAnsi="Times New Roman" w:eastAsia="宋体" w:cs="Times New Roman"/>
                <w:color w:val="000000" w:themeColor="text1"/>
                <w:sz w:val="21"/>
                <w:szCs w:val="21"/>
                <w:highlight w:val="none"/>
                <w14:textFill>
                  <w14:solidFill>
                    <w14:schemeClr w14:val="tx1"/>
                  </w14:solidFill>
                </w14:textFill>
              </w:rPr>
              <w:t>工程未按要求施工的，或验收不合格的</w:t>
            </w:r>
          </w:p>
        </w:tc>
        <w:tc>
          <w:tcPr>
            <w:tcW w:w="2865" w:type="dxa"/>
            <w:noWrap w:val="0"/>
            <w:vAlign w:val="center"/>
          </w:tcPr>
          <w:p w14:paraId="3881F50A">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500元/</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color w:val="000000" w:themeColor="text1"/>
                <w:sz w:val="21"/>
                <w:szCs w:val="21"/>
                <w:highlight w:val="none"/>
                <w14:textFill>
                  <w14:solidFill>
                    <w14:schemeClr w14:val="tx1"/>
                  </w14:solidFill>
                </w14:textFill>
              </w:rPr>
              <w:t>，并返工整改承担材料费用</w:t>
            </w:r>
          </w:p>
        </w:tc>
        <w:tc>
          <w:tcPr>
            <w:tcW w:w="2370" w:type="dxa"/>
            <w:noWrap w:val="0"/>
            <w:vAlign w:val="center"/>
          </w:tcPr>
          <w:p w14:paraId="4BB75487">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14:paraId="77CF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80" w:type="dxa"/>
            <w:noWrap w:val="0"/>
            <w:vAlign w:val="center"/>
          </w:tcPr>
          <w:p w14:paraId="6E2A748C">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3540" w:type="dxa"/>
            <w:noWrap w:val="0"/>
            <w:vAlign w:val="center"/>
          </w:tcPr>
          <w:p w14:paraId="6D39E2F0">
            <w:pPr>
              <w:keepNext w:val="0"/>
              <w:pageBreakBefore w:val="0"/>
              <w:widowControl w:val="0"/>
              <w:kinsoku/>
              <w:wordWrap/>
              <w:overflowPunct/>
              <w:topLinePunct w:val="0"/>
              <w:autoSpaceDE/>
              <w:autoSpaceDN/>
              <w:bidi w:val="0"/>
              <w:adjustRightInd/>
              <w:snapToGrid/>
              <w:spacing w:line="430" w:lineRule="exact"/>
              <w:ind w:left="0" w:leftChars="0" w:firstLine="0" w:firstLineChars="0"/>
              <w:jc w:val="left"/>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防水工程不按规范及设计要求施工的（如：漏放止水带或放不规范、防水面起鼓或材料厚度不够等相关内容）</w:t>
            </w:r>
          </w:p>
        </w:tc>
        <w:tc>
          <w:tcPr>
            <w:tcW w:w="2865" w:type="dxa"/>
            <w:noWrap w:val="0"/>
            <w:vAlign w:val="center"/>
          </w:tcPr>
          <w:p w14:paraId="12F2C885">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200元/处，</w:t>
            </w:r>
            <w:r>
              <w:rPr>
                <w:rFonts w:hint="default" w:ascii="Times New Roman" w:hAnsi="Times New Roman" w:eastAsia="宋体" w:cs="Times New Roman"/>
                <w:color w:val="000000" w:themeColor="text1"/>
                <w:sz w:val="21"/>
                <w:szCs w:val="21"/>
                <w:highlight w:val="none"/>
                <w14:textFill>
                  <w14:solidFill>
                    <w14:schemeClr w14:val="tx1"/>
                  </w14:solidFill>
                </w14:textFill>
              </w:rPr>
              <w:t>并返工整改承担材料费用</w:t>
            </w:r>
          </w:p>
        </w:tc>
        <w:tc>
          <w:tcPr>
            <w:tcW w:w="2370" w:type="dxa"/>
            <w:noWrap w:val="0"/>
            <w:vAlign w:val="center"/>
          </w:tcPr>
          <w:p w14:paraId="25BABFA2">
            <w:pPr>
              <w:keepNext w:val="0"/>
              <w:pageBreakBefore w:val="0"/>
              <w:widowControl w:val="0"/>
              <w:kinsoku/>
              <w:wordWrap/>
              <w:overflowPunct/>
              <w:topLinePunct w:val="0"/>
              <w:autoSpaceDE/>
              <w:autoSpaceDN/>
              <w:bidi w:val="0"/>
              <w:adjustRightInd/>
              <w:snapToGrid/>
              <w:spacing w:line="430" w:lineRule="exact"/>
              <w:ind w:left="0" w:lef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bl>
    <w:p w14:paraId="1616213A">
      <w:pPr>
        <w:pStyle w:val="39"/>
        <w:keepNext w:val="0"/>
        <w:keepLines w:val="0"/>
        <w:pageBreakBefore w:val="0"/>
        <w:widowControl w:val="0"/>
        <w:numPr>
          <w:ilvl w:val="0"/>
          <w:numId w:val="0"/>
        </w:numPr>
        <w:kinsoku/>
        <w:wordWrap/>
        <w:overflowPunct/>
        <w:topLinePunct w:val="0"/>
        <w:autoSpaceDE/>
        <w:autoSpaceDN/>
        <w:bidi w:val="0"/>
        <w:adjustRightInd/>
        <w:snapToGrid/>
        <w:spacing w:before="181" w:beforeLines="50" w:after="0" w:line="490" w:lineRule="exact"/>
        <w:ind w:left="-440" w:leftChars="-200" w:right="-708" w:rightChars="-322" w:firstLine="420" w:firstLineChars="200"/>
        <w:jc w:val="left"/>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说明：</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1.若在</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施工过程中出现其他质量、安全、进度等其他问题，以上处罚条款未有，由</w:t>
      </w:r>
      <w:r>
        <w:rPr>
          <w:rFonts w:hint="eastAsia" w:ascii="Times New Roman" w:hAnsi="Times New Roman" w:cs="Times New Roman"/>
          <w:b w:val="0"/>
          <w:bCs w:val="0"/>
          <w:color w:val="000000" w:themeColor="text1"/>
          <w:kern w:val="2"/>
          <w:sz w:val="21"/>
          <w:szCs w:val="21"/>
          <w:highlight w:val="none"/>
          <w:lang w:val="en-US" w:eastAsia="zh-CN" w:bidi="ar-SA"/>
          <w14:textFill>
            <w14:solidFill>
              <w14:schemeClr w14:val="tx1"/>
            </w14:solidFill>
          </w14:textFill>
        </w:rPr>
        <w:t>发包人</w:t>
      </w: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领导或检查组及管理人员根据情节的严重情况而定金额进行处罚。</w:t>
      </w:r>
    </w:p>
    <w:p w14:paraId="40CEAF2A">
      <w:pPr>
        <w:pStyle w:val="3"/>
        <w:keepNext w:val="0"/>
        <w:keepLines w:val="0"/>
        <w:pageBreakBefore w:val="0"/>
        <w:widowControl w:val="0"/>
        <w:kinsoku/>
        <w:wordWrap/>
        <w:overflowPunct/>
        <w:topLinePunct w:val="0"/>
        <w:autoSpaceDE/>
        <w:autoSpaceDN/>
        <w:bidi w:val="0"/>
        <w:adjustRightInd/>
        <w:snapToGrid/>
        <w:spacing w:before="0" w:after="0" w:line="490" w:lineRule="exact"/>
        <w:ind w:left="-440" w:leftChars="-200" w:right="-480" w:rightChars="-218" w:firstLine="420" w:firstLineChars="200"/>
        <w:jc w:val="left"/>
        <w:textAlignment w:val="auto"/>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必须遵守</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各项管理制度，</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将根据管理制度的规定，在巡查过程中如发现问题将发出的</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质量</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安全整改通知书，</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必须在规定时限内整改完毕；发出的</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罚通知</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书</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须说明</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处罚</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理由</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及影像资料</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并由</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全额承担，</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必须</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签收处</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罚单，</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拒绝</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签收处罚单</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并不影响</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处</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 xml:space="preserve">罚单的生效。 </w:t>
      </w:r>
    </w:p>
    <w:p w14:paraId="73786043">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440" w:leftChars="-200" w:right="-480" w:rightChars="-218" w:firstLine="420" w:firstLineChars="200"/>
        <w:jc w:val="left"/>
        <w:textAlignment w:val="auto"/>
        <w:rPr>
          <w:rFonts w:hint="default"/>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所下发的处罚通知单必须实事求是，并</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附</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有</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影像资料</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为依据</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，以</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签发的处罚通知单</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为准。所处罚的款项</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收到</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处罚通知单</w:t>
      </w:r>
      <w:r>
        <w:rPr>
          <w:rFonts w:hint="default" w:ascii="Times New Roman" w:hAnsi="Times New Roman" w:eastAsia="宋体" w:cs="Times New Roman"/>
          <w:b w:val="0"/>
          <w:bCs w:val="0"/>
          <w:color w:val="000000" w:themeColor="text1"/>
          <w:sz w:val="21"/>
          <w:szCs w:val="21"/>
          <w:highlight w:val="none"/>
          <w:lang w:val="en" w:eastAsia="zh-CN"/>
          <w14:textFill>
            <w14:solidFill>
              <w14:schemeClr w14:val="tx1"/>
            </w14:solidFill>
          </w14:textFill>
        </w:rPr>
        <w:t>后</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，在</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7个工作日内自行存入或转账处罚款至</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基本账户并备注好标段及处罚单号，若</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未在规定时限内完成处罚款的激纳，则</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有权暂不拨付当月相应工程款，待</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承包人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完成处罚款激纳后</w:t>
      </w:r>
      <w:r>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t>发包人</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再拨付当月来的工程款。</w:t>
      </w:r>
    </w:p>
    <w:sectPr>
      <w:headerReference r:id="rId21" w:type="first"/>
      <w:footerReference r:id="rId23" w:type="first"/>
      <w:headerReference r:id="rId20" w:type="default"/>
      <w:footerReference r:id="rId22" w:type="default"/>
      <w:pgSz w:w="11905" w:h="16838"/>
      <w:pgMar w:top="1417" w:right="1531" w:bottom="1417" w:left="1587" w:header="850" w:footer="992" w:gutter="0"/>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28F">
    <w:pPr>
      <w:spacing w:line="176" w:lineRule="auto"/>
      <w:ind w:left="4930"/>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6887">
    <w:pPr>
      <w:spacing w:line="1" w:lineRule="exact"/>
    </w:pPr>
    <w:r>
      <w:rPr>
        <w:sz w:val="2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AEE4D">
                          <w:pPr>
                            <w:pStyle w:val="3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81AEE4D">
                    <w:pPr>
                      <w:pStyle w:val="3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7108">
    <w:pPr>
      <w:pStyle w:val="3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B68B">
    <w:pPr>
      <w:pStyle w:val="30"/>
    </w:pPr>
    <w:r>
      <mc:AlternateContent>
        <mc:Choice Requires="wps">
          <w:drawing>
            <wp:anchor distT="0" distB="0" distL="114300" distR="114300" simplePos="0" relativeHeight="251660288" behindDoc="0" locked="0" layoutInCell="1" allowOverlap="1">
              <wp:simplePos x="0" y="0"/>
              <wp:positionH relativeFrom="margin">
                <wp:posOffset>2689860</wp:posOffset>
              </wp:positionH>
              <wp:positionV relativeFrom="paragraph">
                <wp:posOffset>-38100</wp:posOffset>
              </wp:positionV>
              <wp:extent cx="1828800" cy="1828800"/>
              <wp:effectExtent l="0" t="0" r="0" b="0"/>
              <wp:wrapNone/>
              <wp:docPr id="1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4211B">
                          <w:pPr>
                            <w:pStyle w:val="30"/>
                            <w:rPr>
                              <w:rFonts w:hint="eastAsi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left:211.8pt;margin-top:-3pt;height:144pt;width:144pt;mso-position-horizontal-relative:margin;mso-wrap-style:none;z-index:251660288;mso-width-relative:page;mso-height-relative:page;" filled="f" stroked="f" coordsize="21600,21600" o:gfxdata="UEsDBAoAAAAAAIdO4kAAAAAAAAAAAAAAAAAEAAAAZHJzL1BLAwQUAAAACACHTuJAJpEbHdYAAAAK&#10;AQAADwAAAGRycy9kb3ducmV2LnhtbE2PPU/DMBCGdyT+g3VIbK2dgNIoxOlQiYWNgpC6ufE1jvBH&#10;ZLtp8u85Jhjv7tF7z9vuF2fZjDGNwUsotgIY+j7o0Q8SPj9eNzWwlJXXygaPElZMsO/u71rV6HDz&#10;7zgf88AoxKdGSTA5Tw3nqTfoVNqGCT3dLiE6lWmMA9dR3SjcWV4KUXGnRk8fjJrwYLD/Pl6dhN3y&#10;FXBKeMDTZe6jGdfavq1SPj4U4gVYxiX/wfCrT+rQkdM5XL1OzEp4Lp8qQiVsKupEwK4oaHGWUNal&#10;AN61/H+F7gdQSwMEFAAAAAgAh07iQPUXlqzLAQAAnQMAAA4AAABkcnMvZTJvRG9jLnhtbK1TzY7T&#10;MBC+I/EOlu/UaVd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xU1YUeK4xYlffny/&#10;/Px9+fWNLKubmyxRH6DGzPuAuWl46wdMn/2Azsx8UNHmL3IiGEeBz1eB5ZCIyI/Wq/W6wpDA2HxB&#10;fPbwPERI76S3JBsNjTjBIiw/fYA0ps4puZrzd9qYMkXj/nIgZvaw3PvYY7bSsB8mQnvfnpFPj8Nv&#10;qMNdp8S8d6ht3pPZiLOxn41jiPrQlUXK9SC8OSZsovSWK4ywU2GcWmE3bVhei8f3kvXwV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RGx3WAAAACgEAAA8AAAAAAAAAAQAgAAAAIgAAAGRycy9k&#10;b3ducmV2LnhtbFBLAQIUABQAAAAIAIdO4kD1F5asywEAAJ0DAAAOAAAAAAAAAAEAIAAAACUBAABk&#10;cnMvZTJvRG9jLnhtbFBLBQYAAAAABgAGAFkBAABiBQAAAAA=&#10;">
              <v:fill on="f" focussize="0,0"/>
              <v:stroke on="f"/>
              <v:imagedata o:title=""/>
              <o:lock v:ext="edit" aspectratio="f"/>
              <v:textbox inset="0mm,0mm,0mm,0mm" style="mso-fit-shape-to-text:t;">
                <w:txbxContent>
                  <w:p w14:paraId="0574211B">
                    <w:pPr>
                      <w:pStyle w:val="30"/>
                      <w:rPr>
                        <w:rFonts w:hint="eastAsia"/>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C0C2">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4DAAB">
                          <w:pPr>
                            <w:pStyle w:val="3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TmQcsBAACd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Zl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mE5kHLAQAAnQMAAA4AAAAAAAAAAQAgAAAAHgEAAGRycy9lMm9E&#10;b2MueG1sUEsFBgAAAAAGAAYAWQEAAFsFAAAAAA==&#10;">
              <v:fill on="f" focussize="0,0"/>
              <v:stroke on="f"/>
              <v:imagedata o:title=""/>
              <o:lock v:ext="edit" aspectratio="f"/>
              <v:textbox inset="0mm,0mm,0mm,0mm" style="mso-fit-shape-to-text:t;">
                <w:txbxContent>
                  <w:p w14:paraId="5624DAAB">
                    <w:pPr>
                      <w:pStyle w:val="3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9820">
    <w:pPr>
      <w:spacing w:line="1" w:lineRule="exact"/>
    </w:pPr>
    <w:r>
      <mc:AlternateContent>
        <mc:Choice Requires="wps">
          <w:drawing>
            <wp:anchor distT="0" distB="0" distL="114300" distR="114300" simplePos="0" relativeHeight="251667456" behindDoc="0" locked="0" layoutInCell="1" allowOverlap="1">
              <wp:simplePos x="0" y="0"/>
              <wp:positionH relativeFrom="margin">
                <wp:posOffset>2754630</wp:posOffset>
              </wp:positionH>
              <wp:positionV relativeFrom="paragraph">
                <wp:posOffset>-180975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A1E67">
                          <w:pPr>
                            <w:pStyle w:val="30"/>
                            <w:rPr>
                              <w:rFonts w:ascii="Times New Roman" w:hAnsi="Times New Roman" w:eastAsia="宋体"/>
                              <w:sz w:val="21"/>
                              <w:szCs w:val="21"/>
                              <w:lang w:eastAsia="zh-CN"/>
                            </w:rPr>
                          </w:pPr>
                          <w:r>
                            <w:rPr>
                              <w:rFonts w:ascii="Times New Roman" w:hAnsi="Times New Roman" w:eastAsia="宋体"/>
                              <w:sz w:val="21"/>
                              <w:szCs w:val="21"/>
                              <w:lang w:eastAsia="zh-CN"/>
                            </w:rPr>
                            <w:fldChar w:fldCharType="begin"/>
                          </w:r>
                          <w:r>
                            <w:rPr>
                              <w:rFonts w:ascii="Times New Roman" w:hAnsi="Times New Roman" w:eastAsia="宋体"/>
                              <w:sz w:val="21"/>
                              <w:szCs w:val="21"/>
                              <w:lang w:eastAsia="zh-CN"/>
                            </w:rPr>
                            <w:instrText xml:space="preserve"> PAGE  \* MERGEFORMAT </w:instrText>
                          </w:r>
                          <w:r>
                            <w:rPr>
                              <w:rFonts w:ascii="Times New Roman" w:hAnsi="Times New Roman" w:eastAsia="宋体"/>
                              <w:sz w:val="21"/>
                              <w:szCs w:val="21"/>
                              <w:lang w:eastAsia="zh-CN"/>
                            </w:rPr>
                            <w:fldChar w:fldCharType="separate"/>
                          </w:r>
                          <w:r>
                            <w:rPr>
                              <w:rFonts w:ascii="Times New Roman" w:hAnsi="Times New Roman" w:eastAsia="宋体"/>
                              <w:sz w:val="21"/>
                              <w:szCs w:val="21"/>
                              <w:lang w:eastAsia="zh-CN"/>
                            </w:rPr>
                            <w:t>178</w:t>
                          </w:r>
                          <w:r>
                            <w:rPr>
                              <w:rFonts w:ascii="Times New Roman" w:hAnsi="Times New Roman" w:eastAsia="宋体"/>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6.9pt;margin-top:-14.25pt;height:144pt;width:144pt;mso-position-horizontal-relative:margin;mso-wrap-style:none;z-index:251667456;mso-width-relative:page;mso-height-relative:page;" filled="f" stroked="f" coordsize="21600,21600" o:gfxdata="UEsDBAoAAAAAAIdO4kAAAAAAAAAAAAAAAAAEAAAAZHJzL1BLAwQUAAAACACHTuJAg830adgAAAAL&#10;AQAADwAAAGRycy9kb3ducmV2LnhtbE2PwU7DMBBE70j8g7WVuLVOUkJDiNNDJS7cKAiJmxtv46j2&#10;OrLdNPl7zAmOOzuaedPsZ2vYhD4MjgTkmwwYUufUQL2Az4/XdQUsRElKGkcoYMEA+/b+rpG1cjd6&#10;x+kYe5ZCKNRSgI5xrDkPnUYrw8aNSOl3dt7KmE7fc+XlLYVbw4sse+JWDpQatBzxoLG7HK9WwG7+&#10;cjgGPOD3eeq8HpbKvC1CPKzy7AVYxDn+meEXP6FDm5hO7koqMCPgcbtN6FHAuqhKYMmxK/KknAQU&#10;5XMJvG34/w3tD1BLAwQUAAAACACHTuJAunmGe8gBAACbAwAADgAAAGRycy9lMm9Eb2MueG1srVNL&#10;btswEN0X6B0I7msqXhSGYDloYCQoEKQF0h6ApkiLAH/g0JZ8gfYGXXXTfc/lc3RISU6abrLohhrO&#10;DN/MezNaXw/WkKOMoL1r6NWiokQ64Vvt9g39+uX23YoSSNy13HgnG3qSQK83b9+s+1DLpe+8aWUk&#10;COKg7kNDu5RCzRiITloOCx+kw6Dy0fKE17hnbeQ9olvDllX1nvU+tiF6IQHQux2DdEKMrwH0Smkh&#10;t14crHRpRI3S8ISUoNMB6KZ0q5QU6ZNSIBMxDUWmqZxYBO1dPtlmzet95KHTYmqBv6aFF5ws1w6L&#10;XqC2PHFyiPofKKtF9OBVWghv2UikKIIsrqoX2jx2PMjCBaWGcBEd/h+seDh+jkS3uAk4d8ctTvz8&#10;4/v55+/zr28EfShQH6DGvMeAmWm48QMmz35AZ+Y9qGjzFxkRjKO8p4u8ckhE5Eer5WpVYUhgbL4g&#10;Pnt6HiKkO+ktyUZDI86vyMqP95DG1DklV3P+VhtTZmjcXw7EzB6Wex97zFYadsNEaOfbE/LpcfQN&#10;dbjplJiPDpXNWzIbcTZ2s3EIUe+7ska5HoQPh4RNlN5yhRF2KowzK+ym/cpL8fxesp7+q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830adgAAAALAQAADwAAAAAAAAABACAAAAAiAAAAZHJzL2Rv&#10;d25yZXYueG1sUEsBAhQAFAAAAAgAh07iQLp5hnvIAQAAmwMAAA4AAAAAAAAAAQAgAAAAJwEAAGRy&#10;cy9lMm9Eb2MueG1sUEsFBgAAAAAGAAYAWQEAAGEFAAAAAA==&#10;">
              <v:fill on="f" focussize="0,0"/>
              <v:stroke on="f"/>
              <v:imagedata o:title=""/>
              <o:lock v:ext="edit" aspectratio="f"/>
              <v:textbox inset="0mm,0mm,0mm,0mm" style="mso-fit-shape-to-text:t;">
                <w:txbxContent>
                  <w:p w14:paraId="13FA1E67">
                    <w:pPr>
                      <w:pStyle w:val="30"/>
                      <w:rPr>
                        <w:rFonts w:ascii="Times New Roman" w:hAnsi="Times New Roman" w:eastAsia="宋体"/>
                        <w:sz w:val="21"/>
                        <w:szCs w:val="21"/>
                        <w:lang w:eastAsia="zh-CN"/>
                      </w:rPr>
                    </w:pPr>
                    <w:r>
                      <w:rPr>
                        <w:rFonts w:ascii="Times New Roman" w:hAnsi="Times New Roman" w:eastAsia="宋体"/>
                        <w:sz w:val="21"/>
                        <w:szCs w:val="21"/>
                        <w:lang w:eastAsia="zh-CN"/>
                      </w:rPr>
                      <w:fldChar w:fldCharType="begin"/>
                    </w:r>
                    <w:r>
                      <w:rPr>
                        <w:rFonts w:ascii="Times New Roman" w:hAnsi="Times New Roman" w:eastAsia="宋体"/>
                        <w:sz w:val="21"/>
                        <w:szCs w:val="21"/>
                        <w:lang w:eastAsia="zh-CN"/>
                      </w:rPr>
                      <w:instrText xml:space="preserve"> PAGE  \* MERGEFORMAT </w:instrText>
                    </w:r>
                    <w:r>
                      <w:rPr>
                        <w:rFonts w:ascii="Times New Roman" w:hAnsi="Times New Roman" w:eastAsia="宋体"/>
                        <w:sz w:val="21"/>
                        <w:szCs w:val="21"/>
                        <w:lang w:eastAsia="zh-CN"/>
                      </w:rPr>
                      <w:fldChar w:fldCharType="separate"/>
                    </w:r>
                    <w:r>
                      <w:rPr>
                        <w:rFonts w:ascii="Times New Roman" w:hAnsi="Times New Roman" w:eastAsia="宋体"/>
                        <w:sz w:val="21"/>
                        <w:szCs w:val="21"/>
                        <w:lang w:eastAsia="zh-CN"/>
                      </w:rPr>
                      <w:t>178</w:t>
                    </w:r>
                    <w:r>
                      <w:rPr>
                        <w:rFonts w:ascii="Times New Roman" w:hAnsi="Times New Roman" w:eastAsia="宋体"/>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68EA">
    <w:pPr>
      <w:pStyle w:val="30"/>
    </w:pPr>
    <w:r>
      <w:rPr>
        <w:sz w:val="18"/>
      </w:rPr>
      <mc:AlternateContent>
        <mc:Choice Requires="wps">
          <w:drawing>
            <wp:anchor distT="0" distB="0" distL="114300" distR="114300" simplePos="0" relativeHeight="251668480" behindDoc="0" locked="0" layoutInCell="1" allowOverlap="1">
              <wp:simplePos x="0" y="0"/>
              <wp:positionH relativeFrom="margin">
                <wp:posOffset>2751455</wp:posOffset>
              </wp:positionH>
              <wp:positionV relativeFrom="paragraph">
                <wp:posOffset>-66675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730D2">
                          <w:pPr>
                            <w:pStyle w:val="3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65pt;margin-top:-5.25pt;height:144pt;width:144pt;mso-position-horizontal-relative:margin;mso-wrap-style:none;z-index:251668480;mso-width-relative:page;mso-height-relative:page;" filled="f" stroked="f" coordsize="21600,21600" o:gfxdata="UEsDBAoAAAAAAIdO4kAAAAAAAAAAAAAAAAAEAAAAZHJzL1BLAwQUAAAACACHTuJAOtui2dkAAAAL&#10;AQAADwAAAGRycy9kb3ducmV2LnhtbE2PwU7DMAyG70i8Q2QkblvSdqNTqTuJiXJEYuXAMWu8ttAk&#10;VZJ15e0JJzja/vT7+8v9okc2k/ODNQjJWgAj01o1mA7hvalXO2A+SKPkaA0hfJOHfXV7U8pC2at5&#10;o/kYOhZDjC8kQh/CVHDu25609Gs7kYm3s3Vahji6jisnrzFcjzwV4oFrOZj4oZcTHXpqv44XjXCo&#10;m8bN5N34QS919vn6tKHnBfH+LhGPwAIt4Q+GX/2oDlV0OtmLUZ6NCJssyyKKsErEFlgk8jSJmxNC&#10;mudb4FXJ/3eofgBQSwMEFAAAAAgAh07iQBEhxuIy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qeU&#10;GKZR8cv3b5cfvy4/vxKcQaDahTnidg6RsXlrG7TNcB5wmHg3pdfpC0YEfsh7vsormkh4ujSbzmZj&#10;uDh8wwb42eN150N8J6wmycipR/1aWdlpG2IXOoSkbMZupFJtDZUhdU5vXr8ZtxeuHoArgxyJRPfY&#10;ZMVm3/TM9rY4g5i3XW8ExzcSybcsxAfm0Qx4MMYl3mMplUUS21uUVNZ/+dd5ikeN4KWkRnPl1GCW&#10;KFHvDWoHwDgYfjD2g2GO+s6iWycYQ8dbExd8VINZeqs/Y4ZWKQdczHBkymkczLvYNThmkIvVqg06&#10;Oi8PVXcBnedY3Jqd4ylNEjK41TFCzFbjJFCnSq8beq+tUj8nqbn/3LdRj/+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626LZ2QAAAAsBAAAPAAAAAAAAAAEAIAAAACIAAABkcnMvZG93bnJldi54&#10;bWxQSwECFAAUAAAACACHTuJAESHG4jICAABjBAAADgAAAAAAAAABACAAAAAoAQAAZHJzL2Uyb0Rv&#10;Yy54bWxQSwUGAAAAAAYABgBZAQAAzAUAAAAA&#10;">
              <v:fill on="f" focussize="0,0"/>
              <v:stroke on="f" weight="0.5pt"/>
              <v:imagedata o:title=""/>
              <o:lock v:ext="edit" aspectratio="f"/>
              <v:textbox inset="0mm,0mm,0mm,0mm" style="mso-fit-shape-to-text:t;">
                <w:txbxContent>
                  <w:p w14:paraId="1D4730D2">
                    <w:pPr>
                      <w:pStyle w:val="3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2C7B">
    <w:pPr>
      <w:spacing w:line="1" w:lineRule="exac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AC0B8">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E8AC0B8">
                    <w:pPr>
                      <w:pStyle w:val="3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D2E3">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11E9CBDD">
                          <w:pPr>
                            <w:pStyle w:val="125"/>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66GdBzAEAAJgDAAAOAAAAZHJzL2Uyb0RvYy54bWytU0Fu2zAQ&#10;vBfoHwjeaylJ06SC5aCFkSJA0QZI+gCaoiwCJJfg0pb8gfQHPfXSe9/ld2RJyU6bXnLoRVruroYz&#10;s6v51WAN26qAGlzNT2YlZ8pJaLRb1/zb/fWbS84wCtcIA07VfKeQXy1ev5r3vlKn0IFpVGAE4rDq&#10;fc27GH1VFCg7ZQXOwCtHxRaCFZGOYV00QfSEbk1xWpbvih5C4wNIhUjZ5VjkE2J4CSC0rZZqCXJj&#10;lYsjalBGRJKEnfbIF5lt2yoZv7YtqshMzUlpzE+6hOJVehaLuajWQfhOy4mCeAmFZ5qs0I4uPUIt&#10;RRRsE/Q/UFbLAAhtnEmwxSgkO0IqTspn3tx1wqushaxGfzQd/x+s/LK9DUw3NT/nzAlLA9//+L7/&#10;+Xv/64GdJ3t6jxV13Xnqi8NHGGhpDnmkZFI9tMGmN+lhVCdzd0dz1RCZpORZ+faypIqk0sX7s4sM&#10;Xjx96wPGTwosS0HNA40uOyq2nzESD2o9tKSrHFxrY/L4jPsrQY1jRuX5T18nGSPdFMVhNUzaVtDs&#10;SFpPO1BzRyvPmblxZHFal0MQDsFqCtKN6D9sItHI7BLqCEVU04EGlklPy5U24s9z7nr6oR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9r9DdQAAAAJAQAADwAAAAAAAAABACAAAAAiAAAAZHJzL2Rv&#10;d25yZXYueG1sUEsBAhQAFAAAAAgAh07iQProZ0HMAQAAmAMAAA4AAAAAAAAAAQAgAAAAIwEAAGRy&#10;cy9lMm9Eb2MueG1sUEsFBgAAAAAGAAYAWQEAAGEFAAAAAA==&#10;">
              <v:fill on="f" focussize="0,0"/>
              <v:stroke on="f"/>
              <v:imagedata o:title=""/>
              <o:lock v:ext="edit" aspectratio="f"/>
              <v:textbox inset="0mm,0mm,0mm,0mm" style="mso-fit-shape-to-text:t;">
                <w:txbxContent>
                  <w:p w14:paraId="11E9CBDD">
                    <w:pPr>
                      <w:pStyle w:val="125"/>
                      <w:jc w:val="left"/>
                    </w:pPr>
                    <w:r>
                      <w:rPr>
                        <w:rFonts w:ascii="宋体" w:hAnsi="宋体" w:cs="宋体"/>
                      </w:rPr>
                      <w:t>・</w:t>
                    </w:r>
                    <w:r>
                      <w:fldChar w:fldCharType="begin"/>
                    </w:r>
                    <w:r>
                      <w:instrText xml:space="preserve"> PAGE \* MERGEFORMAT </w:instrText>
                    </w:r>
                    <w:r>
                      <w:fldChar w:fldCharType="separate"/>
                    </w:r>
                    <w:r>
                      <w:t>174</w:t>
                    </w:r>
                    <w:r>
                      <w:fldChar w:fldCharType="end"/>
                    </w:r>
                    <w:r>
                      <w:rPr>
                        <w:rFonts w:ascii="宋体" w:hAnsi="宋体" w:cs="宋体"/>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F6AD">
    <w:pPr>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03158">
                          <w:pPr>
                            <w:pStyle w:val="30"/>
                            <w:rPr>
                              <w:rFonts w:ascii="Times New Roman" w:hAnsi="Times New Roman" w:eastAsia="宋体"/>
                              <w:sz w:val="21"/>
                              <w:szCs w:val="21"/>
                              <w:lang w:eastAsia="zh-CN"/>
                            </w:rPr>
                          </w:pPr>
                          <w:r>
                            <w:rPr>
                              <w:rFonts w:ascii="Times New Roman" w:hAnsi="Times New Roman" w:eastAsia="宋体"/>
                              <w:sz w:val="21"/>
                              <w:szCs w:val="21"/>
                              <w:lang w:eastAsia="zh-CN"/>
                            </w:rPr>
                            <w:fldChar w:fldCharType="begin"/>
                          </w:r>
                          <w:r>
                            <w:rPr>
                              <w:rFonts w:ascii="Times New Roman" w:hAnsi="Times New Roman" w:eastAsia="宋体"/>
                              <w:sz w:val="21"/>
                              <w:szCs w:val="21"/>
                              <w:lang w:eastAsia="zh-CN"/>
                            </w:rPr>
                            <w:instrText xml:space="preserve"> PAGE  \* MERGEFORMAT </w:instrText>
                          </w:r>
                          <w:r>
                            <w:rPr>
                              <w:rFonts w:ascii="Times New Roman" w:hAnsi="Times New Roman" w:eastAsia="宋体"/>
                              <w:sz w:val="21"/>
                              <w:szCs w:val="21"/>
                              <w:lang w:eastAsia="zh-CN"/>
                            </w:rPr>
                            <w:fldChar w:fldCharType="separate"/>
                          </w:r>
                          <w:r>
                            <w:rPr>
                              <w:rFonts w:ascii="Times New Roman" w:hAnsi="Times New Roman" w:eastAsia="宋体"/>
                              <w:sz w:val="21"/>
                              <w:szCs w:val="21"/>
                              <w:lang w:eastAsia="zh-CN"/>
                            </w:rPr>
                            <w:t>183</w:t>
                          </w:r>
                          <w:r>
                            <w:rPr>
                              <w:rFonts w:ascii="Times New Roman" w:hAnsi="Times New Roman" w:eastAsia="宋体"/>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4B03158">
                    <w:pPr>
                      <w:pStyle w:val="30"/>
                      <w:rPr>
                        <w:rFonts w:ascii="Times New Roman" w:hAnsi="Times New Roman" w:eastAsia="宋体"/>
                        <w:sz w:val="21"/>
                        <w:szCs w:val="21"/>
                        <w:lang w:eastAsia="zh-CN"/>
                      </w:rPr>
                    </w:pPr>
                    <w:r>
                      <w:rPr>
                        <w:rFonts w:ascii="Times New Roman" w:hAnsi="Times New Roman" w:eastAsia="宋体"/>
                        <w:sz w:val="21"/>
                        <w:szCs w:val="21"/>
                        <w:lang w:eastAsia="zh-CN"/>
                      </w:rPr>
                      <w:fldChar w:fldCharType="begin"/>
                    </w:r>
                    <w:r>
                      <w:rPr>
                        <w:rFonts w:ascii="Times New Roman" w:hAnsi="Times New Roman" w:eastAsia="宋体"/>
                        <w:sz w:val="21"/>
                        <w:szCs w:val="21"/>
                        <w:lang w:eastAsia="zh-CN"/>
                      </w:rPr>
                      <w:instrText xml:space="preserve"> PAGE  \* MERGEFORMAT </w:instrText>
                    </w:r>
                    <w:r>
                      <w:rPr>
                        <w:rFonts w:ascii="Times New Roman" w:hAnsi="Times New Roman" w:eastAsia="宋体"/>
                        <w:sz w:val="21"/>
                        <w:szCs w:val="21"/>
                        <w:lang w:eastAsia="zh-CN"/>
                      </w:rPr>
                      <w:fldChar w:fldCharType="separate"/>
                    </w:r>
                    <w:r>
                      <w:rPr>
                        <w:rFonts w:ascii="Times New Roman" w:hAnsi="Times New Roman" w:eastAsia="宋体"/>
                        <w:sz w:val="21"/>
                        <w:szCs w:val="21"/>
                        <w:lang w:eastAsia="zh-CN"/>
                      </w:rPr>
                      <w:t>183</w:t>
                    </w:r>
                    <w:r>
                      <w:rPr>
                        <w:rFonts w:ascii="Times New Roman" w:hAnsi="Times New Roman" w:eastAsia="宋体"/>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2375">
    <w:pPr>
      <w:spacing w:line="1"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9999345</wp:posOffset>
              </wp:positionV>
              <wp:extent cx="304800" cy="7937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304800" cy="79375"/>
                      </a:xfrm>
                      <a:prstGeom prst="rect">
                        <a:avLst/>
                      </a:prstGeom>
                      <a:noFill/>
                      <a:ln>
                        <a:noFill/>
                      </a:ln>
                      <a:effectLst/>
                    </wps:spPr>
                    <wps:txbx>
                      <w:txbxContent>
                        <w:p w14:paraId="3336F594">
                          <w:pPr>
                            <w:pStyle w:val="125"/>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787.35pt;height:6.25pt;width:24pt;mso-position-horizontal:center;mso-position-horizontal-relative:margin;mso-position-vertical-relative:page;mso-wrap-style:none;z-index:251664384;mso-width-relative:page;mso-height-relative:page;" filled="f" stroked="f" coordsize="21600,21600"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CT1gY4zQEAAJwDAAAOAAAAZHJzL2Uyb0RvYy54bWytU82O0zAQ&#10;viPxDpbvNOkW2BI1XYGqRUgIkBYewHUmjSX/yeM26QvAG3Diwp3n6nMwdtIuLJc9cHHGM+Nv5vtm&#10;sroZjGYHCKicrfl8VnIGVrpG2V3Nv3y+fbbkDKOwjdDOQs2PgPxm/fTJqvcVXLnO6QYCIxCLVe9r&#10;3sXoq6JA2YEROHMeLAVbF4yIdA27ogmiJ3Sji6uyfFn0LjQ+OAmI5N2MQT4hhscAurZVEjZO7g3Y&#10;OKIG0CISJeyUR77O3bYtyPixbREi0zUnpjGfVITsbTqL9UpUuyB8p+TUgnhMCw84GaEsFb1AbUQU&#10;bB/UP1BGyeDQtXEmnSlGIlkRYjEvH2hz1wkPmQtJjf4iOv4/WPnh8Ckw1dR8sZxzZoWhkZ++fzv9&#10;+HX6+ZUlJ0nUe6wo885TbhzeuIEW5+xHcibmQxtM+hInRnES+HgRGIbIJDkX5fNlSRFJoetXi+sX&#10;CaS4f+sDxrfgDEtGzQONL6sqDu8xjqnnlFTKululdR6htn85CHP0QN6B6XWiMbabrDhsh4nb1jVH&#10;otbTHtTc0tpzpt9ZkjmtzNkIZ2M7Gaki+tf7SG3k7hLqCEWs0oWGlvlNC5a24s97zrr/q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Q3UAAAACQEAAA8AAAAAAAAAAQAgAAAAIgAAAGRycy9k&#10;b3ducmV2LnhtbFBLAQIUABQAAAAIAIdO4kCT1gY4zQEAAJwDAAAOAAAAAAAAAAEAIAAAACMBAABk&#10;cnMvZTJvRG9jLnhtbFBLBQYAAAAABgAGAFkBAABiBQAAAAA=&#10;">
              <v:fill on="f" focussize="0,0"/>
              <v:stroke on="f"/>
              <v:imagedata o:title=""/>
              <o:lock v:ext="edit" aspectratio="f"/>
              <v:textbox inset="0mm,0mm,0mm,0mm" style="mso-fit-shape-to-text:t;">
                <w:txbxContent>
                  <w:p w14:paraId="3336F594">
                    <w:pPr>
                      <w:pStyle w:val="125"/>
                      <w:jc w:val="left"/>
                    </w:pPr>
                    <w:r>
                      <w:rPr>
                        <w:rFonts w:ascii="宋体" w:hAnsi="宋体" w:cs="宋体"/>
                      </w:rPr>
                      <w:t>・</w:t>
                    </w:r>
                    <w:r>
                      <w:fldChar w:fldCharType="begin"/>
                    </w:r>
                    <w:r>
                      <w:instrText xml:space="preserve"> PAGE \* MERGEFORMAT </w:instrText>
                    </w:r>
                    <w:r>
                      <w:fldChar w:fldCharType="separate"/>
                    </w:r>
                    <w:r>
                      <w:t>178</w:t>
                    </w:r>
                    <w:r>
                      <w:fldChar w:fldCharType="end"/>
                    </w:r>
                    <w:r>
                      <w:rPr>
                        <w:rFonts w:ascii="宋体" w:hAnsi="宋体" w:cs="宋体"/>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7A8B">
    <w:pPr>
      <w:spacing w:line="1" w:lineRule="exact"/>
    </w:pPr>
    <w:r>
      <w:rPr>
        <w:sz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1204E">
                          <w:pPr>
                            <w:pStyle w:val="3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031204E">
                    <w:pPr>
                      <w:pStyle w:val="3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1251">
    <w:pPr>
      <w:pStyle w:val="30"/>
    </w:pPr>
    <w:r>
      <w:rPr>
        <w:sz w:val="18"/>
      </w:rPr>
      <mc:AlternateContent>
        <mc:Choice Requires="wps">
          <w:drawing>
            <wp:anchor distT="0" distB="0" distL="114300" distR="114300" simplePos="0" relativeHeight="251670528" behindDoc="0" locked="0" layoutInCell="1" allowOverlap="1">
              <wp:simplePos x="0" y="0"/>
              <wp:positionH relativeFrom="margin">
                <wp:posOffset>2718435</wp:posOffset>
              </wp:positionH>
              <wp:positionV relativeFrom="paragraph">
                <wp:posOffset>-53340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1D0CE">
                          <w:pPr>
                            <w:pStyle w:val="3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68</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05pt;margin-top:-4.2pt;height:144pt;width:144pt;mso-position-horizontal-relative:margin;mso-wrap-style:none;z-index:251670528;mso-width-relative:page;mso-height-relative:page;" filled="f" stroked="f" coordsize="21600,21600" o:gfxdata="UEsDBAoAAAAAAIdO4kAAAAAAAAAAAAAAAAAEAAAAZHJzL1BLAwQUAAAACACHTuJAofORRdcAAAAK&#10;AQAADwAAAGRycy9kb3ducmV2LnhtbE2PTU+EMBCG7yb+h2ZMvO0WkLCIDJu4EY8mLh48dukIaD9I&#10;22Xx31tPepyZJ+88b71ftWILOT9Zg5BuE2BkeisnMyC8de2mBOaDMFIoawjhmzzsm+urWlTSXswr&#10;LccwsBhifCUQxhDminPfj6SF39qZTLx9WKdFiKMbuHTiEsO14lmSFFyLycQPo5jpMFL/dTxrhEPb&#10;dW4h79Q7Pbd3ny+POT2tiLc3afIALNAa/mD41Y/q0ESnkz0b6ZlCyLMyjSjCpsyBRWCXFnFxQsh2&#10;9wXwpub/KzQ/UEsDBBQAAAAIAIdO4kBe2iTuMw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hhLD&#10;NCp++vH99PPh9OsbwRkEalyYIe7eITK272yLthnOAw4T77byOn3BiMAPeY8XeUUbCU+XppPpNIeL&#10;wzdsgJ89Xnc+xPfCapKMgnrUr5OVHTYh9qFDSMpm7Foq1dVQGdIU9Or12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HzkUXXAAAACgEAAA8AAAAAAAAAAQAgAAAAIgAAAGRycy9kb3ducmV2Lnht&#10;bFBLAQIUABQAAAAIAIdO4kBe2iTuMwIAAGMEAAAOAAAAAAAAAAEAIAAAACYBAABkcnMvZTJvRG9j&#10;LnhtbFBLBQYAAAAABgAGAFkBAADLBQAAAAA=&#10;">
              <v:fill on="f" focussize="0,0"/>
              <v:stroke on="f" weight="0.5pt"/>
              <v:imagedata o:title=""/>
              <o:lock v:ext="edit" aspectratio="f"/>
              <v:textbox inset="0mm,0mm,0mm,0mm" style="mso-fit-shape-to-text:t;">
                <w:txbxContent>
                  <w:p w14:paraId="6C61D0CE">
                    <w:pPr>
                      <w:pStyle w:val="3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68</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4C8D">
    <w:pPr>
      <w:pStyle w:val="31"/>
      <w:jc w:val="both"/>
    </w:pPr>
    <w:bookmarkStart w:id="699" w:name="OLE_LINK50"/>
    <w:r>
      <w:rPr>
        <w:rFonts w:hint="eastAsia" w:ascii="Times New Roman" w:hAnsi="Times New Roman" w:cs="Times New Roman"/>
        <w:sz w:val="21"/>
        <w:szCs w:val="21"/>
        <w:lang w:val="en-US" w:eastAsia="zh-CN"/>
      </w:rPr>
      <w:t>金秀瑶族自治县桐木镇耕地提质改造（旱改水）修复项目</w:t>
    </w:r>
    <w:r>
      <w:rPr>
        <w:rFonts w:hint="default" w:ascii="Times New Roman" w:hAnsi="Times New Roman" w:cs="Times New Roman"/>
        <w:sz w:val="21"/>
        <w:szCs w:val="21"/>
        <w:lang w:val="en-US"/>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竞争性磋商文件</w:t>
    </w:r>
    <w:bookmarkEnd w:id="69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2D8C">
    <w:pPr>
      <w:pStyle w:val="31"/>
      <w:jc w:val="both"/>
      <w:rPr>
        <w:rFonts w:hint="eastAsia"/>
        <w:lang w:val="en-US"/>
      </w:rPr>
    </w:pPr>
    <w:r>
      <w:rPr>
        <w:rFonts w:hint="eastAsia" w:ascii="Times New Roman" w:hAnsi="Times New Roman" w:cs="Times New Roman"/>
        <w:sz w:val="21"/>
        <w:szCs w:val="21"/>
        <w:lang w:val="en-US" w:eastAsia="zh-CN"/>
      </w:rPr>
      <w:t>金秀瑶族自治县桐木镇耕地提质改造（旱改水）修复项目</w:t>
    </w:r>
    <w:r>
      <w:rPr>
        <w:rFonts w:hint="default" w:ascii="Times New Roman" w:hAnsi="Times New Roman" w:cs="Times New Roman"/>
        <w:sz w:val="21"/>
        <w:szCs w:val="21"/>
        <w:lang w:val="en-US"/>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竞争性磋商文件</w:t>
    </w:r>
  </w:p>
  <w:p w14:paraId="76B0486D">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46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DA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FAF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4EC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6127">
    <w:pPr>
      <w:pStyle w:val="31"/>
      <w:jc w:val="both"/>
      <w:rPr>
        <w:rFonts w:hint="eastAsia"/>
        <w:lang w:val="en-US"/>
      </w:rPr>
    </w:pPr>
    <w:r>
      <w:rPr>
        <w:rFonts w:hint="eastAsia" w:ascii="Times New Roman" w:hAnsi="Times New Roman" w:cs="Times New Roman"/>
        <w:sz w:val="21"/>
        <w:szCs w:val="21"/>
        <w:lang w:val="en-US" w:eastAsia="zh-CN"/>
      </w:rPr>
      <w:t>金秀瑶族自治县桐木镇耕地提质改造（旱改水）修复项目</w:t>
    </w:r>
    <w:r>
      <w:rPr>
        <w:rFonts w:hint="default" w:ascii="Times New Roman" w:hAnsi="Times New Roman" w:cs="Times New Roman"/>
        <w:sz w:val="21"/>
        <w:szCs w:val="21"/>
        <w:lang w:val="en-US"/>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ECBF">
    <w:pPr>
      <w:pStyle w:val="31"/>
      <w:jc w:val="both"/>
      <w:rPr>
        <w:rFonts w:hint="default" w:ascii="Times New Roman" w:hAnsi="Times New Roman" w:cs="Times New Roman"/>
        <w:sz w:val="21"/>
        <w:szCs w:val="21"/>
      </w:rPr>
    </w:pPr>
    <w:r>
      <w:rPr>
        <w:rFonts w:hint="eastAsia" w:ascii="Times New Roman" w:hAnsi="Times New Roman" w:cs="Times New Roman"/>
        <w:color w:val="000000"/>
        <w:sz w:val="21"/>
        <w:szCs w:val="21"/>
        <w:lang w:val="en-US" w:eastAsia="zh-CN"/>
      </w:rPr>
      <w:t>金秀瑶族自治县桐木镇耕地提质改造（旱改水）修复项目</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rPr>
      <w:t>竞争性磋商文件</w:t>
    </w:r>
  </w:p>
  <w:p w14:paraId="70B65FC2">
    <w:pPr>
      <w:snapToGrid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2DA34"/>
    <w:multiLevelType w:val="singleLevel"/>
    <w:tmpl w:val="EE02DA34"/>
    <w:lvl w:ilvl="0" w:tentative="0">
      <w:start w:val="1"/>
      <w:numFmt w:val="decimal"/>
      <w:suff w:val="nothing"/>
      <w:lvlText w:val="（%1）"/>
      <w:lvlJc w:val="left"/>
    </w:lvl>
  </w:abstractNum>
  <w:abstractNum w:abstractNumId="1">
    <w:nsid w:val="3E230C97"/>
    <w:multiLevelType w:val="singleLevel"/>
    <w:tmpl w:val="3E230C97"/>
    <w:lvl w:ilvl="0" w:tentative="0">
      <w:start w:val="1"/>
      <w:numFmt w:val="decimal"/>
      <w:pStyle w:val="13"/>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YWRmZGUxNGQ1MTUyOWU5Y2IzMmEyMjE1MmU1YWUifQ=="/>
  </w:docVars>
  <w:rsids>
    <w:rsidRoot w:val="002350F9"/>
    <w:rsid w:val="0000598F"/>
    <w:rsid w:val="00006630"/>
    <w:rsid w:val="000109DA"/>
    <w:rsid w:val="00040905"/>
    <w:rsid w:val="0005705D"/>
    <w:rsid w:val="00060168"/>
    <w:rsid w:val="0006383D"/>
    <w:rsid w:val="000806F3"/>
    <w:rsid w:val="00085EE5"/>
    <w:rsid w:val="000C3EA5"/>
    <w:rsid w:val="000C4718"/>
    <w:rsid w:val="000E5715"/>
    <w:rsid w:val="00107789"/>
    <w:rsid w:val="00110B7F"/>
    <w:rsid w:val="00111433"/>
    <w:rsid w:val="00112735"/>
    <w:rsid w:val="00133ACC"/>
    <w:rsid w:val="00142803"/>
    <w:rsid w:val="00150FDF"/>
    <w:rsid w:val="001974EB"/>
    <w:rsid w:val="001A49F2"/>
    <w:rsid w:val="001F0BE4"/>
    <w:rsid w:val="001F1517"/>
    <w:rsid w:val="001F1E12"/>
    <w:rsid w:val="001F4959"/>
    <w:rsid w:val="002069AA"/>
    <w:rsid w:val="002156D0"/>
    <w:rsid w:val="00231A54"/>
    <w:rsid w:val="002350F9"/>
    <w:rsid w:val="00237170"/>
    <w:rsid w:val="00240164"/>
    <w:rsid w:val="0024511B"/>
    <w:rsid w:val="00245BD6"/>
    <w:rsid w:val="00250680"/>
    <w:rsid w:val="00252704"/>
    <w:rsid w:val="002622A7"/>
    <w:rsid w:val="00262790"/>
    <w:rsid w:val="00273978"/>
    <w:rsid w:val="00286029"/>
    <w:rsid w:val="002C143F"/>
    <w:rsid w:val="002D04EC"/>
    <w:rsid w:val="002D0634"/>
    <w:rsid w:val="002E6071"/>
    <w:rsid w:val="00301F06"/>
    <w:rsid w:val="00303DB8"/>
    <w:rsid w:val="00314421"/>
    <w:rsid w:val="003155A6"/>
    <w:rsid w:val="00322198"/>
    <w:rsid w:val="00326A18"/>
    <w:rsid w:val="00335082"/>
    <w:rsid w:val="0035080D"/>
    <w:rsid w:val="00371E7D"/>
    <w:rsid w:val="00376C11"/>
    <w:rsid w:val="003A2437"/>
    <w:rsid w:val="003A54FC"/>
    <w:rsid w:val="003C41B6"/>
    <w:rsid w:val="003D7229"/>
    <w:rsid w:val="003F6F33"/>
    <w:rsid w:val="003F76A2"/>
    <w:rsid w:val="0041123F"/>
    <w:rsid w:val="004121C9"/>
    <w:rsid w:val="004153C4"/>
    <w:rsid w:val="0041685F"/>
    <w:rsid w:val="00422530"/>
    <w:rsid w:val="00434F73"/>
    <w:rsid w:val="0044060C"/>
    <w:rsid w:val="004410B8"/>
    <w:rsid w:val="004654E7"/>
    <w:rsid w:val="00482897"/>
    <w:rsid w:val="004A2AB4"/>
    <w:rsid w:val="004C7BA9"/>
    <w:rsid w:val="004C7E28"/>
    <w:rsid w:val="004D3490"/>
    <w:rsid w:val="004E311D"/>
    <w:rsid w:val="004E4086"/>
    <w:rsid w:val="004E452B"/>
    <w:rsid w:val="004E511B"/>
    <w:rsid w:val="0050109F"/>
    <w:rsid w:val="005042EA"/>
    <w:rsid w:val="0051715B"/>
    <w:rsid w:val="005364C3"/>
    <w:rsid w:val="00556782"/>
    <w:rsid w:val="005600B3"/>
    <w:rsid w:val="00565E61"/>
    <w:rsid w:val="00567866"/>
    <w:rsid w:val="00571260"/>
    <w:rsid w:val="00576118"/>
    <w:rsid w:val="005810B6"/>
    <w:rsid w:val="005B480E"/>
    <w:rsid w:val="005F312A"/>
    <w:rsid w:val="00606615"/>
    <w:rsid w:val="00607CB2"/>
    <w:rsid w:val="006519F3"/>
    <w:rsid w:val="00655370"/>
    <w:rsid w:val="006702FC"/>
    <w:rsid w:val="00675D90"/>
    <w:rsid w:val="00682BB1"/>
    <w:rsid w:val="00694D99"/>
    <w:rsid w:val="006B50C2"/>
    <w:rsid w:val="006C1218"/>
    <w:rsid w:val="006D56D7"/>
    <w:rsid w:val="006E3902"/>
    <w:rsid w:val="00702629"/>
    <w:rsid w:val="0070531E"/>
    <w:rsid w:val="00710942"/>
    <w:rsid w:val="007208D8"/>
    <w:rsid w:val="00720992"/>
    <w:rsid w:val="00730887"/>
    <w:rsid w:val="00740A1E"/>
    <w:rsid w:val="007636A4"/>
    <w:rsid w:val="007673E6"/>
    <w:rsid w:val="00773329"/>
    <w:rsid w:val="0077541C"/>
    <w:rsid w:val="00784BA3"/>
    <w:rsid w:val="00796686"/>
    <w:rsid w:val="007B38A6"/>
    <w:rsid w:val="007B67C3"/>
    <w:rsid w:val="007C4B24"/>
    <w:rsid w:val="007D058F"/>
    <w:rsid w:val="007D2B26"/>
    <w:rsid w:val="007D598E"/>
    <w:rsid w:val="007E63DF"/>
    <w:rsid w:val="007F023D"/>
    <w:rsid w:val="00800040"/>
    <w:rsid w:val="00801E76"/>
    <w:rsid w:val="00806BC5"/>
    <w:rsid w:val="00824409"/>
    <w:rsid w:val="008246CD"/>
    <w:rsid w:val="0084614C"/>
    <w:rsid w:val="00847933"/>
    <w:rsid w:val="00850FD1"/>
    <w:rsid w:val="0085685E"/>
    <w:rsid w:val="0086237C"/>
    <w:rsid w:val="008652AD"/>
    <w:rsid w:val="008718CD"/>
    <w:rsid w:val="008B7636"/>
    <w:rsid w:val="008C598E"/>
    <w:rsid w:val="008E12BC"/>
    <w:rsid w:val="008E5F98"/>
    <w:rsid w:val="008F3226"/>
    <w:rsid w:val="009044A5"/>
    <w:rsid w:val="00907674"/>
    <w:rsid w:val="00912FBC"/>
    <w:rsid w:val="00914A55"/>
    <w:rsid w:val="00917E6B"/>
    <w:rsid w:val="00921170"/>
    <w:rsid w:val="00931A88"/>
    <w:rsid w:val="0093616D"/>
    <w:rsid w:val="00941D12"/>
    <w:rsid w:val="00945ABC"/>
    <w:rsid w:val="00955971"/>
    <w:rsid w:val="00955E67"/>
    <w:rsid w:val="0098524E"/>
    <w:rsid w:val="00991A06"/>
    <w:rsid w:val="00991AC9"/>
    <w:rsid w:val="009F4E06"/>
    <w:rsid w:val="009F521F"/>
    <w:rsid w:val="00A00A11"/>
    <w:rsid w:val="00A22455"/>
    <w:rsid w:val="00A2295E"/>
    <w:rsid w:val="00A24921"/>
    <w:rsid w:val="00A24E13"/>
    <w:rsid w:val="00A2791F"/>
    <w:rsid w:val="00A46F95"/>
    <w:rsid w:val="00A73A36"/>
    <w:rsid w:val="00A7408C"/>
    <w:rsid w:val="00A75C7A"/>
    <w:rsid w:val="00A87961"/>
    <w:rsid w:val="00A96A48"/>
    <w:rsid w:val="00AD2106"/>
    <w:rsid w:val="00AD4E09"/>
    <w:rsid w:val="00AE5141"/>
    <w:rsid w:val="00B0231A"/>
    <w:rsid w:val="00B14BE7"/>
    <w:rsid w:val="00B1543B"/>
    <w:rsid w:val="00B15D44"/>
    <w:rsid w:val="00B16812"/>
    <w:rsid w:val="00B23872"/>
    <w:rsid w:val="00B46A99"/>
    <w:rsid w:val="00B51A23"/>
    <w:rsid w:val="00B57C7C"/>
    <w:rsid w:val="00B639D5"/>
    <w:rsid w:val="00B81330"/>
    <w:rsid w:val="00B83E5A"/>
    <w:rsid w:val="00BA6FD8"/>
    <w:rsid w:val="00BB2554"/>
    <w:rsid w:val="00BB4841"/>
    <w:rsid w:val="00BC06C5"/>
    <w:rsid w:val="00BC4308"/>
    <w:rsid w:val="00BE7D8D"/>
    <w:rsid w:val="00C003AD"/>
    <w:rsid w:val="00C1196F"/>
    <w:rsid w:val="00C12DC8"/>
    <w:rsid w:val="00C13446"/>
    <w:rsid w:val="00C16423"/>
    <w:rsid w:val="00C2320B"/>
    <w:rsid w:val="00C34BB6"/>
    <w:rsid w:val="00C41008"/>
    <w:rsid w:val="00C71D62"/>
    <w:rsid w:val="00C835D0"/>
    <w:rsid w:val="00CD5EC6"/>
    <w:rsid w:val="00CD7A21"/>
    <w:rsid w:val="00CE1502"/>
    <w:rsid w:val="00CF204B"/>
    <w:rsid w:val="00D11536"/>
    <w:rsid w:val="00D11F68"/>
    <w:rsid w:val="00D27AFC"/>
    <w:rsid w:val="00D3248C"/>
    <w:rsid w:val="00D34F82"/>
    <w:rsid w:val="00D4794C"/>
    <w:rsid w:val="00D6151D"/>
    <w:rsid w:val="00D72415"/>
    <w:rsid w:val="00D803BE"/>
    <w:rsid w:val="00D92789"/>
    <w:rsid w:val="00D92C70"/>
    <w:rsid w:val="00DA0651"/>
    <w:rsid w:val="00DA06E8"/>
    <w:rsid w:val="00DB2B67"/>
    <w:rsid w:val="00DB4E5F"/>
    <w:rsid w:val="00DB73AF"/>
    <w:rsid w:val="00DD1FC4"/>
    <w:rsid w:val="00DE04E4"/>
    <w:rsid w:val="00DE1533"/>
    <w:rsid w:val="00E04709"/>
    <w:rsid w:val="00E17998"/>
    <w:rsid w:val="00E219B8"/>
    <w:rsid w:val="00E23B8E"/>
    <w:rsid w:val="00E25C1D"/>
    <w:rsid w:val="00E33EB2"/>
    <w:rsid w:val="00E34EF3"/>
    <w:rsid w:val="00E54BE4"/>
    <w:rsid w:val="00E6074D"/>
    <w:rsid w:val="00E640C0"/>
    <w:rsid w:val="00E83610"/>
    <w:rsid w:val="00E84B1D"/>
    <w:rsid w:val="00EB6EEC"/>
    <w:rsid w:val="00ED7DD5"/>
    <w:rsid w:val="00EE3B95"/>
    <w:rsid w:val="00EF1F0C"/>
    <w:rsid w:val="00EF72F0"/>
    <w:rsid w:val="00F01DE5"/>
    <w:rsid w:val="00F03400"/>
    <w:rsid w:val="00F0456F"/>
    <w:rsid w:val="00F156B9"/>
    <w:rsid w:val="00F33F0E"/>
    <w:rsid w:val="00F4099D"/>
    <w:rsid w:val="00F4489F"/>
    <w:rsid w:val="00F54971"/>
    <w:rsid w:val="00F54E56"/>
    <w:rsid w:val="00F65706"/>
    <w:rsid w:val="00F75A7D"/>
    <w:rsid w:val="00F83D56"/>
    <w:rsid w:val="00FA38F7"/>
    <w:rsid w:val="00FA6C9D"/>
    <w:rsid w:val="00FB22A8"/>
    <w:rsid w:val="00FB2933"/>
    <w:rsid w:val="00FC41D4"/>
    <w:rsid w:val="00FD344C"/>
    <w:rsid w:val="00FD363A"/>
    <w:rsid w:val="00FD405E"/>
    <w:rsid w:val="00FD749E"/>
    <w:rsid w:val="00FE4239"/>
    <w:rsid w:val="011C67EC"/>
    <w:rsid w:val="01237036"/>
    <w:rsid w:val="012A4BB5"/>
    <w:rsid w:val="012A6BDB"/>
    <w:rsid w:val="012E63EC"/>
    <w:rsid w:val="012F2A46"/>
    <w:rsid w:val="013623EE"/>
    <w:rsid w:val="013712F7"/>
    <w:rsid w:val="01536F07"/>
    <w:rsid w:val="017E0CD4"/>
    <w:rsid w:val="018619D3"/>
    <w:rsid w:val="01877B89"/>
    <w:rsid w:val="018B1DD7"/>
    <w:rsid w:val="019D55FE"/>
    <w:rsid w:val="01A72C4C"/>
    <w:rsid w:val="01C0309B"/>
    <w:rsid w:val="01C17B49"/>
    <w:rsid w:val="01D3427A"/>
    <w:rsid w:val="01DB2E6C"/>
    <w:rsid w:val="01EA78BB"/>
    <w:rsid w:val="02130561"/>
    <w:rsid w:val="02353A89"/>
    <w:rsid w:val="02532161"/>
    <w:rsid w:val="0256019C"/>
    <w:rsid w:val="026D2769"/>
    <w:rsid w:val="0270061D"/>
    <w:rsid w:val="027C3819"/>
    <w:rsid w:val="02A44398"/>
    <w:rsid w:val="02BA76E6"/>
    <w:rsid w:val="02CF7A3A"/>
    <w:rsid w:val="02E34474"/>
    <w:rsid w:val="02EC0514"/>
    <w:rsid w:val="02EC0DB4"/>
    <w:rsid w:val="02F139AE"/>
    <w:rsid w:val="02F6051C"/>
    <w:rsid w:val="0327260B"/>
    <w:rsid w:val="032B09E8"/>
    <w:rsid w:val="032C39B5"/>
    <w:rsid w:val="034E4FE1"/>
    <w:rsid w:val="03675EC4"/>
    <w:rsid w:val="036C1BC7"/>
    <w:rsid w:val="036E4A5A"/>
    <w:rsid w:val="037D040F"/>
    <w:rsid w:val="03AC0E84"/>
    <w:rsid w:val="03AD4ACA"/>
    <w:rsid w:val="03C4784F"/>
    <w:rsid w:val="03CA1787"/>
    <w:rsid w:val="03DA15F5"/>
    <w:rsid w:val="03DD47DD"/>
    <w:rsid w:val="03E153C2"/>
    <w:rsid w:val="03ED56DA"/>
    <w:rsid w:val="03F427FC"/>
    <w:rsid w:val="04211968"/>
    <w:rsid w:val="045118F3"/>
    <w:rsid w:val="046C5BF0"/>
    <w:rsid w:val="048364BE"/>
    <w:rsid w:val="049C7DEF"/>
    <w:rsid w:val="04B74C29"/>
    <w:rsid w:val="04B9220D"/>
    <w:rsid w:val="04BA2023"/>
    <w:rsid w:val="04BD7D66"/>
    <w:rsid w:val="04CA5A90"/>
    <w:rsid w:val="04CC4020"/>
    <w:rsid w:val="04D01CAC"/>
    <w:rsid w:val="04E010E8"/>
    <w:rsid w:val="04F30119"/>
    <w:rsid w:val="05031C1C"/>
    <w:rsid w:val="05197A48"/>
    <w:rsid w:val="053A3164"/>
    <w:rsid w:val="053E5D99"/>
    <w:rsid w:val="054335A5"/>
    <w:rsid w:val="054E5BCA"/>
    <w:rsid w:val="055533CC"/>
    <w:rsid w:val="056C2539"/>
    <w:rsid w:val="05744663"/>
    <w:rsid w:val="05917228"/>
    <w:rsid w:val="059E280D"/>
    <w:rsid w:val="05A76A4C"/>
    <w:rsid w:val="05B15A13"/>
    <w:rsid w:val="05B60DFC"/>
    <w:rsid w:val="05E11832"/>
    <w:rsid w:val="05F42AB4"/>
    <w:rsid w:val="05F45A09"/>
    <w:rsid w:val="060C4B01"/>
    <w:rsid w:val="060C6C4F"/>
    <w:rsid w:val="060D68C2"/>
    <w:rsid w:val="06112117"/>
    <w:rsid w:val="06157BA0"/>
    <w:rsid w:val="0639562F"/>
    <w:rsid w:val="063F0057"/>
    <w:rsid w:val="064228EC"/>
    <w:rsid w:val="065D2D50"/>
    <w:rsid w:val="066E30C6"/>
    <w:rsid w:val="067C7EBE"/>
    <w:rsid w:val="069F6EBC"/>
    <w:rsid w:val="06A002FD"/>
    <w:rsid w:val="06BA2454"/>
    <w:rsid w:val="06F32700"/>
    <w:rsid w:val="06F51A39"/>
    <w:rsid w:val="07087E49"/>
    <w:rsid w:val="070B300A"/>
    <w:rsid w:val="071076B7"/>
    <w:rsid w:val="071A4FFB"/>
    <w:rsid w:val="072B021A"/>
    <w:rsid w:val="0730481F"/>
    <w:rsid w:val="0748600C"/>
    <w:rsid w:val="07541D89"/>
    <w:rsid w:val="075C73C2"/>
    <w:rsid w:val="077416B5"/>
    <w:rsid w:val="07880466"/>
    <w:rsid w:val="078B414B"/>
    <w:rsid w:val="078C0F36"/>
    <w:rsid w:val="07A6733B"/>
    <w:rsid w:val="07B92A66"/>
    <w:rsid w:val="07BD1D9D"/>
    <w:rsid w:val="07CB0578"/>
    <w:rsid w:val="07D23B28"/>
    <w:rsid w:val="07D478A0"/>
    <w:rsid w:val="07FA6221"/>
    <w:rsid w:val="07FC1ED9"/>
    <w:rsid w:val="08182BB0"/>
    <w:rsid w:val="08221DDF"/>
    <w:rsid w:val="082962EA"/>
    <w:rsid w:val="08687FE8"/>
    <w:rsid w:val="086B5A39"/>
    <w:rsid w:val="087A0447"/>
    <w:rsid w:val="087B393B"/>
    <w:rsid w:val="088A4060"/>
    <w:rsid w:val="088C4599"/>
    <w:rsid w:val="089F1C5C"/>
    <w:rsid w:val="08AE1E9F"/>
    <w:rsid w:val="08B97593"/>
    <w:rsid w:val="08BF5D29"/>
    <w:rsid w:val="08C83BF3"/>
    <w:rsid w:val="08FD5F86"/>
    <w:rsid w:val="09005119"/>
    <w:rsid w:val="09007BDF"/>
    <w:rsid w:val="090E6D1B"/>
    <w:rsid w:val="09112BF0"/>
    <w:rsid w:val="09275E06"/>
    <w:rsid w:val="092E2FE0"/>
    <w:rsid w:val="0941060F"/>
    <w:rsid w:val="094A2224"/>
    <w:rsid w:val="095C4BF8"/>
    <w:rsid w:val="096133B5"/>
    <w:rsid w:val="097349D4"/>
    <w:rsid w:val="097D4345"/>
    <w:rsid w:val="097D7F94"/>
    <w:rsid w:val="098B3F8E"/>
    <w:rsid w:val="09931095"/>
    <w:rsid w:val="099948FD"/>
    <w:rsid w:val="09BC683E"/>
    <w:rsid w:val="09C33CA2"/>
    <w:rsid w:val="09C556F2"/>
    <w:rsid w:val="09D06B52"/>
    <w:rsid w:val="09DB3A6E"/>
    <w:rsid w:val="09E772A6"/>
    <w:rsid w:val="09EB0A8E"/>
    <w:rsid w:val="09F719E5"/>
    <w:rsid w:val="0A026047"/>
    <w:rsid w:val="0A2C4BD3"/>
    <w:rsid w:val="0A2E6C68"/>
    <w:rsid w:val="0A4719C4"/>
    <w:rsid w:val="0A4C1995"/>
    <w:rsid w:val="0A4D7496"/>
    <w:rsid w:val="0A650C83"/>
    <w:rsid w:val="0A6A629A"/>
    <w:rsid w:val="0A6E4E57"/>
    <w:rsid w:val="0A7333A0"/>
    <w:rsid w:val="0A7B04A7"/>
    <w:rsid w:val="0A8D3D36"/>
    <w:rsid w:val="0AA1025C"/>
    <w:rsid w:val="0AB44D51"/>
    <w:rsid w:val="0ABB4D47"/>
    <w:rsid w:val="0ABF0394"/>
    <w:rsid w:val="0AC43BFC"/>
    <w:rsid w:val="0AE46E84"/>
    <w:rsid w:val="0AF138B9"/>
    <w:rsid w:val="0B1443EE"/>
    <w:rsid w:val="0B426546"/>
    <w:rsid w:val="0B576303"/>
    <w:rsid w:val="0B594933"/>
    <w:rsid w:val="0B6506CC"/>
    <w:rsid w:val="0B656444"/>
    <w:rsid w:val="0B7839DC"/>
    <w:rsid w:val="0B7C58A6"/>
    <w:rsid w:val="0B8769D7"/>
    <w:rsid w:val="0B8A07DA"/>
    <w:rsid w:val="0B8C4068"/>
    <w:rsid w:val="0BA94BA0"/>
    <w:rsid w:val="0BAD704E"/>
    <w:rsid w:val="0BB27EF8"/>
    <w:rsid w:val="0BBC3512"/>
    <w:rsid w:val="0C1B70EE"/>
    <w:rsid w:val="0C376833"/>
    <w:rsid w:val="0C3B6140"/>
    <w:rsid w:val="0C547201"/>
    <w:rsid w:val="0C566AD6"/>
    <w:rsid w:val="0C686809"/>
    <w:rsid w:val="0C871A65"/>
    <w:rsid w:val="0C931AD8"/>
    <w:rsid w:val="0CA535B9"/>
    <w:rsid w:val="0CAA0BCF"/>
    <w:rsid w:val="0CAB771F"/>
    <w:rsid w:val="0CB00D05"/>
    <w:rsid w:val="0CB96C11"/>
    <w:rsid w:val="0CC06645"/>
    <w:rsid w:val="0CC451FA"/>
    <w:rsid w:val="0CC679CB"/>
    <w:rsid w:val="0CC71781"/>
    <w:rsid w:val="0CED5550"/>
    <w:rsid w:val="0CF46D89"/>
    <w:rsid w:val="0CFF720B"/>
    <w:rsid w:val="0D0227BA"/>
    <w:rsid w:val="0D0C53E6"/>
    <w:rsid w:val="0D273528"/>
    <w:rsid w:val="0D541F99"/>
    <w:rsid w:val="0D8315FC"/>
    <w:rsid w:val="0D891B9E"/>
    <w:rsid w:val="0D9A1EEC"/>
    <w:rsid w:val="0DB02216"/>
    <w:rsid w:val="0DB376C9"/>
    <w:rsid w:val="0DB937C0"/>
    <w:rsid w:val="0DC37649"/>
    <w:rsid w:val="0DCD726B"/>
    <w:rsid w:val="0DEE0887"/>
    <w:rsid w:val="0E006295"/>
    <w:rsid w:val="0E04422C"/>
    <w:rsid w:val="0E161661"/>
    <w:rsid w:val="0E2449B2"/>
    <w:rsid w:val="0E3E10C3"/>
    <w:rsid w:val="0E474AFA"/>
    <w:rsid w:val="0E492AD6"/>
    <w:rsid w:val="0E5E4367"/>
    <w:rsid w:val="0E87566C"/>
    <w:rsid w:val="0E993F3A"/>
    <w:rsid w:val="0EB45D35"/>
    <w:rsid w:val="0EB77E79"/>
    <w:rsid w:val="0EBE4E06"/>
    <w:rsid w:val="0EC75A69"/>
    <w:rsid w:val="0ED00F35"/>
    <w:rsid w:val="0ED536C6"/>
    <w:rsid w:val="0EE425DE"/>
    <w:rsid w:val="0EEF77AA"/>
    <w:rsid w:val="0F135841"/>
    <w:rsid w:val="0F154FD2"/>
    <w:rsid w:val="0F1D1B2D"/>
    <w:rsid w:val="0F234C69"/>
    <w:rsid w:val="0F275029"/>
    <w:rsid w:val="0F2A7C9D"/>
    <w:rsid w:val="0F2D7FC5"/>
    <w:rsid w:val="0F43191A"/>
    <w:rsid w:val="0F474DFC"/>
    <w:rsid w:val="0F5130FD"/>
    <w:rsid w:val="0F53735D"/>
    <w:rsid w:val="0F5B2655"/>
    <w:rsid w:val="0F654361"/>
    <w:rsid w:val="0F752D8A"/>
    <w:rsid w:val="0FB1732A"/>
    <w:rsid w:val="0FC34141"/>
    <w:rsid w:val="0FE8213B"/>
    <w:rsid w:val="10050D5A"/>
    <w:rsid w:val="100C3F23"/>
    <w:rsid w:val="10335BE9"/>
    <w:rsid w:val="103A64E6"/>
    <w:rsid w:val="10413888"/>
    <w:rsid w:val="10490802"/>
    <w:rsid w:val="10721DC5"/>
    <w:rsid w:val="107757E2"/>
    <w:rsid w:val="108C51BC"/>
    <w:rsid w:val="108D469E"/>
    <w:rsid w:val="109776F2"/>
    <w:rsid w:val="10982124"/>
    <w:rsid w:val="10A54478"/>
    <w:rsid w:val="10C813E8"/>
    <w:rsid w:val="10DA61A1"/>
    <w:rsid w:val="10ED3F59"/>
    <w:rsid w:val="10F7015B"/>
    <w:rsid w:val="10F7568C"/>
    <w:rsid w:val="1126131A"/>
    <w:rsid w:val="11511F61"/>
    <w:rsid w:val="11633575"/>
    <w:rsid w:val="116B2E82"/>
    <w:rsid w:val="1170063A"/>
    <w:rsid w:val="11820C7A"/>
    <w:rsid w:val="11845E93"/>
    <w:rsid w:val="119E0C03"/>
    <w:rsid w:val="11D230A2"/>
    <w:rsid w:val="11E323D6"/>
    <w:rsid w:val="11F831E9"/>
    <w:rsid w:val="122D5ABC"/>
    <w:rsid w:val="122E24A4"/>
    <w:rsid w:val="123509CF"/>
    <w:rsid w:val="123A47A4"/>
    <w:rsid w:val="125910CE"/>
    <w:rsid w:val="125E66E4"/>
    <w:rsid w:val="12617F82"/>
    <w:rsid w:val="12744188"/>
    <w:rsid w:val="129F05D8"/>
    <w:rsid w:val="12A22DAA"/>
    <w:rsid w:val="12B22195"/>
    <w:rsid w:val="12F0338A"/>
    <w:rsid w:val="12F772DF"/>
    <w:rsid w:val="13005636"/>
    <w:rsid w:val="13021765"/>
    <w:rsid w:val="13033987"/>
    <w:rsid w:val="130523D4"/>
    <w:rsid w:val="130B7EEE"/>
    <w:rsid w:val="1345451F"/>
    <w:rsid w:val="13456194"/>
    <w:rsid w:val="135D699C"/>
    <w:rsid w:val="136B5CDC"/>
    <w:rsid w:val="139B5716"/>
    <w:rsid w:val="139E1327"/>
    <w:rsid w:val="13A46379"/>
    <w:rsid w:val="13AC16D1"/>
    <w:rsid w:val="13AE5449"/>
    <w:rsid w:val="13B07F0B"/>
    <w:rsid w:val="13C95DDF"/>
    <w:rsid w:val="13D63C0E"/>
    <w:rsid w:val="13ED7CA0"/>
    <w:rsid w:val="13FB2D81"/>
    <w:rsid w:val="13FB30A7"/>
    <w:rsid w:val="140C5ED8"/>
    <w:rsid w:val="1425577D"/>
    <w:rsid w:val="14294AD0"/>
    <w:rsid w:val="142D5D63"/>
    <w:rsid w:val="1435327B"/>
    <w:rsid w:val="14442AC4"/>
    <w:rsid w:val="144F137D"/>
    <w:rsid w:val="144F30BF"/>
    <w:rsid w:val="14634486"/>
    <w:rsid w:val="147C6F68"/>
    <w:rsid w:val="148461AA"/>
    <w:rsid w:val="14871541"/>
    <w:rsid w:val="148F7963"/>
    <w:rsid w:val="14987EE4"/>
    <w:rsid w:val="14C60D22"/>
    <w:rsid w:val="14C63BD2"/>
    <w:rsid w:val="14E07884"/>
    <w:rsid w:val="14EF540C"/>
    <w:rsid w:val="15075857"/>
    <w:rsid w:val="15075E28"/>
    <w:rsid w:val="15373CF1"/>
    <w:rsid w:val="155C6F32"/>
    <w:rsid w:val="1562473D"/>
    <w:rsid w:val="158A2898"/>
    <w:rsid w:val="15A026A2"/>
    <w:rsid w:val="15B86F25"/>
    <w:rsid w:val="15BB51E8"/>
    <w:rsid w:val="15C24B41"/>
    <w:rsid w:val="15C51C2D"/>
    <w:rsid w:val="15C551AF"/>
    <w:rsid w:val="15C94DE8"/>
    <w:rsid w:val="163559AE"/>
    <w:rsid w:val="1638294B"/>
    <w:rsid w:val="1638724C"/>
    <w:rsid w:val="163C6D3C"/>
    <w:rsid w:val="163F4A7E"/>
    <w:rsid w:val="164C1053"/>
    <w:rsid w:val="16695815"/>
    <w:rsid w:val="167B2577"/>
    <w:rsid w:val="1692793B"/>
    <w:rsid w:val="16BD5EBF"/>
    <w:rsid w:val="170048E7"/>
    <w:rsid w:val="170D38CA"/>
    <w:rsid w:val="17293BB5"/>
    <w:rsid w:val="175A3982"/>
    <w:rsid w:val="177C55A8"/>
    <w:rsid w:val="178564C1"/>
    <w:rsid w:val="179363FD"/>
    <w:rsid w:val="17B12A65"/>
    <w:rsid w:val="17CA756C"/>
    <w:rsid w:val="17D10D96"/>
    <w:rsid w:val="17DA3333"/>
    <w:rsid w:val="17DA4A5F"/>
    <w:rsid w:val="17E07581"/>
    <w:rsid w:val="17F51EC2"/>
    <w:rsid w:val="18185587"/>
    <w:rsid w:val="181C121C"/>
    <w:rsid w:val="18312C4C"/>
    <w:rsid w:val="18455C50"/>
    <w:rsid w:val="187327BD"/>
    <w:rsid w:val="18814CB9"/>
    <w:rsid w:val="18893D84"/>
    <w:rsid w:val="188F595D"/>
    <w:rsid w:val="189676BB"/>
    <w:rsid w:val="18AD02E0"/>
    <w:rsid w:val="18C92391"/>
    <w:rsid w:val="18E84F59"/>
    <w:rsid w:val="18F07164"/>
    <w:rsid w:val="18FD55A6"/>
    <w:rsid w:val="190B0C48"/>
    <w:rsid w:val="191A0E8B"/>
    <w:rsid w:val="192A2EBE"/>
    <w:rsid w:val="19300EB3"/>
    <w:rsid w:val="19406339"/>
    <w:rsid w:val="194A79C2"/>
    <w:rsid w:val="195D2AB2"/>
    <w:rsid w:val="196122B7"/>
    <w:rsid w:val="19801E95"/>
    <w:rsid w:val="19924EC5"/>
    <w:rsid w:val="19963B64"/>
    <w:rsid w:val="19AA66B3"/>
    <w:rsid w:val="19B644B2"/>
    <w:rsid w:val="19B83BBD"/>
    <w:rsid w:val="19B968F6"/>
    <w:rsid w:val="19C64C27"/>
    <w:rsid w:val="19C66E55"/>
    <w:rsid w:val="1A09633A"/>
    <w:rsid w:val="1A1859EF"/>
    <w:rsid w:val="1A444411"/>
    <w:rsid w:val="1A5B1D0B"/>
    <w:rsid w:val="1A634D26"/>
    <w:rsid w:val="1A75281D"/>
    <w:rsid w:val="1A9C249F"/>
    <w:rsid w:val="1ABC5CD6"/>
    <w:rsid w:val="1AC612CA"/>
    <w:rsid w:val="1AC9700C"/>
    <w:rsid w:val="1ADC0187"/>
    <w:rsid w:val="1AF47FA6"/>
    <w:rsid w:val="1AFA522F"/>
    <w:rsid w:val="1B0911B7"/>
    <w:rsid w:val="1B171A18"/>
    <w:rsid w:val="1B372EFC"/>
    <w:rsid w:val="1B411A79"/>
    <w:rsid w:val="1B4370C0"/>
    <w:rsid w:val="1B486183"/>
    <w:rsid w:val="1B5F5146"/>
    <w:rsid w:val="1B6F54BE"/>
    <w:rsid w:val="1B7374FE"/>
    <w:rsid w:val="1B7C2D09"/>
    <w:rsid w:val="1BA22ED7"/>
    <w:rsid w:val="1BA4226D"/>
    <w:rsid w:val="1BA56275"/>
    <w:rsid w:val="1BBE6C97"/>
    <w:rsid w:val="1BDD7D45"/>
    <w:rsid w:val="1BE60F71"/>
    <w:rsid w:val="1BED70E8"/>
    <w:rsid w:val="1C0B778E"/>
    <w:rsid w:val="1C185B56"/>
    <w:rsid w:val="1C1D316C"/>
    <w:rsid w:val="1C2A17AB"/>
    <w:rsid w:val="1C34740D"/>
    <w:rsid w:val="1C43620E"/>
    <w:rsid w:val="1C5E1FE7"/>
    <w:rsid w:val="1C781BA2"/>
    <w:rsid w:val="1CB82D02"/>
    <w:rsid w:val="1CCC3DDF"/>
    <w:rsid w:val="1CD87AB7"/>
    <w:rsid w:val="1CF90EC8"/>
    <w:rsid w:val="1D2C581A"/>
    <w:rsid w:val="1D3E3EF2"/>
    <w:rsid w:val="1D4209B0"/>
    <w:rsid w:val="1D5C7CC4"/>
    <w:rsid w:val="1D8E7656"/>
    <w:rsid w:val="1D9233F0"/>
    <w:rsid w:val="1D9E652E"/>
    <w:rsid w:val="1DAC0C4B"/>
    <w:rsid w:val="1DB82789"/>
    <w:rsid w:val="1DC13FCB"/>
    <w:rsid w:val="1DC751AF"/>
    <w:rsid w:val="1DC87107"/>
    <w:rsid w:val="1DD10C77"/>
    <w:rsid w:val="1DD76466"/>
    <w:rsid w:val="1DDD48CF"/>
    <w:rsid w:val="1DDE692B"/>
    <w:rsid w:val="1DEF209C"/>
    <w:rsid w:val="1E0D5462"/>
    <w:rsid w:val="1E195BB5"/>
    <w:rsid w:val="1E1D56A5"/>
    <w:rsid w:val="1E761259"/>
    <w:rsid w:val="1E7D7EF2"/>
    <w:rsid w:val="1E884A2B"/>
    <w:rsid w:val="1E944404"/>
    <w:rsid w:val="1E980A54"/>
    <w:rsid w:val="1EB06519"/>
    <w:rsid w:val="1EB8496B"/>
    <w:rsid w:val="1ECC6993"/>
    <w:rsid w:val="1ECD0133"/>
    <w:rsid w:val="1EF02DBA"/>
    <w:rsid w:val="1EFB350D"/>
    <w:rsid w:val="1F030FD3"/>
    <w:rsid w:val="1F0739FB"/>
    <w:rsid w:val="1F125523"/>
    <w:rsid w:val="1F3C476A"/>
    <w:rsid w:val="1F737547"/>
    <w:rsid w:val="1F784B5D"/>
    <w:rsid w:val="1F7B0A35"/>
    <w:rsid w:val="1F7C454B"/>
    <w:rsid w:val="1F876836"/>
    <w:rsid w:val="1F9A5406"/>
    <w:rsid w:val="1FA6791C"/>
    <w:rsid w:val="1FAF2BB9"/>
    <w:rsid w:val="1FD64D21"/>
    <w:rsid w:val="1FDE13BB"/>
    <w:rsid w:val="1FEA1F3C"/>
    <w:rsid w:val="1FFC615C"/>
    <w:rsid w:val="20035B4A"/>
    <w:rsid w:val="200A7EAB"/>
    <w:rsid w:val="200E01F3"/>
    <w:rsid w:val="201907DB"/>
    <w:rsid w:val="201C2F63"/>
    <w:rsid w:val="20242B36"/>
    <w:rsid w:val="203D52C3"/>
    <w:rsid w:val="20775110"/>
    <w:rsid w:val="207A4B64"/>
    <w:rsid w:val="20970C5C"/>
    <w:rsid w:val="20A527E1"/>
    <w:rsid w:val="20C22534"/>
    <w:rsid w:val="20E50D38"/>
    <w:rsid w:val="20E61768"/>
    <w:rsid w:val="20F929D8"/>
    <w:rsid w:val="210643D0"/>
    <w:rsid w:val="211C6121"/>
    <w:rsid w:val="211F7986"/>
    <w:rsid w:val="213A656E"/>
    <w:rsid w:val="21501626"/>
    <w:rsid w:val="21535882"/>
    <w:rsid w:val="21617F9F"/>
    <w:rsid w:val="217C122D"/>
    <w:rsid w:val="218613A7"/>
    <w:rsid w:val="21957C48"/>
    <w:rsid w:val="21983295"/>
    <w:rsid w:val="21B646AE"/>
    <w:rsid w:val="21C65B8F"/>
    <w:rsid w:val="21E07116"/>
    <w:rsid w:val="21E916D0"/>
    <w:rsid w:val="21EC71F4"/>
    <w:rsid w:val="22027665"/>
    <w:rsid w:val="2205092A"/>
    <w:rsid w:val="22172E76"/>
    <w:rsid w:val="221C5C74"/>
    <w:rsid w:val="22230DB0"/>
    <w:rsid w:val="22273E4A"/>
    <w:rsid w:val="222D7E81"/>
    <w:rsid w:val="224F7DF7"/>
    <w:rsid w:val="225645F9"/>
    <w:rsid w:val="227026B6"/>
    <w:rsid w:val="229B02CB"/>
    <w:rsid w:val="229E24D9"/>
    <w:rsid w:val="22B602EB"/>
    <w:rsid w:val="22E04EF3"/>
    <w:rsid w:val="22E35D21"/>
    <w:rsid w:val="22E76282"/>
    <w:rsid w:val="22EA18E2"/>
    <w:rsid w:val="22F21F3F"/>
    <w:rsid w:val="22F51640"/>
    <w:rsid w:val="22FF3DB9"/>
    <w:rsid w:val="23056708"/>
    <w:rsid w:val="23056F75"/>
    <w:rsid w:val="23775F59"/>
    <w:rsid w:val="23843CCE"/>
    <w:rsid w:val="23963561"/>
    <w:rsid w:val="239969B1"/>
    <w:rsid w:val="23A31CA3"/>
    <w:rsid w:val="23A83639"/>
    <w:rsid w:val="23C142D5"/>
    <w:rsid w:val="23D259CC"/>
    <w:rsid w:val="23D9206E"/>
    <w:rsid w:val="23EE53CB"/>
    <w:rsid w:val="23F00F7D"/>
    <w:rsid w:val="24046056"/>
    <w:rsid w:val="240A3547"/>
    <w:rsid w:val="240E507C"/>
    <w:rsid w:val="241C1F5B"/>
    <w:rsid w:val="24214671"/>
    <w:rsid w:val="243A0633"/>
    <w:rsid w:val="243C34B0"/>
    <w:rsid w:val="246D6C5B"/>
    <w:rsid w:val="24724C68"/>
    <w:rsid w:val="247B4ED4"/>
    <w:rsid w:val="247F7AB0"/>
    <w:rsid w:val="24BE6BE6"/>
    <w:rsid w:val="24E46F1D"/>
    <w:rsid w:val="24FA2658"/>
    <w:rsid w:val="24FE227B"/>
    <w:rsid w:val="25056E93"/>
    <w:rsid w:val="252E7DA9"/>
    <w:rsid w:val="255E0551"/>
    <w:rsid w:val="2561056D"/>
    <w:rsid w:val="257302A1"/>
    <w:rsid w:val="2579663C"/>
    <w:rsid w:val="25C2759F"/>
    <w:rsid w:val="25D16EDF"/>
    <w:rsid w:val="25DD396C"/>
    <w:rsid w:val="25DD4634"/>
    <w:rsid w:val="26246F41"/>
    <w:rsid w:val="263539EF"/>
    <w:rsid w:val="26366FD5"/>
    <w:rsid w:val="2642319A"/>
    <w:rsid w:val="264C1D9B"/>
    <w:rsid w:val="26543C2E"/>
    <w:rsid w:val="2661634B"/>
    <w:rsid w:val="26674740"/>
    <w:rsid w:val="267D4CC7"/>
    <w:rsid w:val="26877702"/>
    <w:rsid w:val="269F794C"/>
    <w:rsid w:val="26A34EFF"/>
    <w:rsid w:val="26AF70B6"/>
    <w:rsid w:val="26C8461C"/>
    <w:rsid w:val="26D905D7"/>
    <w:rsid w:val="26E46226"/>
    <w:rsid w:val="26E77DEF"/>
    <w:rsid w:val="26EA4592"/>
    <w:rsid w:val="26ED0DB9"/>
    <w:rsid w:val="27034987"/>
    <w:rsid w:val="27054F28"/>
    <w:rsid w:val="270D4DBF"/>
    <w:rsid w:val="270E4DB6"/>
    <w:rsid w:val="27161E01"/>
    <w:rsid w:val="2755477C"/>
    <w:rsid w:val="27577C10"/>
    <w:rsid w:val="275C5BC6"/>
    <w:rsid w:val="27695F9E"/>
    <w:rsid w:val="276C31F9"/>
    <w:rsid w:val="2782723B"/>
    <w:rsid w:val="27881334"/>
    <w:rsid w:val="27962024"/>
    <w:rsid w:val="27AE10F5"/>
    <w:rsid w:val="27AF0A37"/>
    <w:rsid w:val="27B5694E"/>
    <w:rsid w:val="27C34146"/>
    <w:rsid w:val="27E06A6C"/>
    <w:rsid w:val="27E23A7C"/>
    <w:rsid w:val="27FA25B3"/>
    <w:rsid w:val="27FD244D"/>
    <w:rsid w:val="280450F1"/>
    <w:rsid w:val="28210E7B"/>
    <w:rsid w:val="28212236"/>
    <w:rsid w:val="28215E18"/>
    <w:rsid w:val="28396707"/>
    <w:rsid w:val="28414DD8"/>
    <w:rsid w:val="28497097"/>
    <w:rsid w:val="285D1188"/>
    <w:rsid w:val="286971AA"/>
    <w:rsid w:val="286D0DAF"/>
    <w:rsid w:val="28766F00"/>
    <w:rsid w:val="28853310"/>
    <w:rsid w:val="28A54C15"/>
    <w:rsid w:val="28B16F71"/>
    <w:rsid w:val="28C572D4"/>
    <w:rsid w:val="28CF4308"/>
    <w:rsid w:val="28D3169D"/>
    <w:rsid w:val="28DD392C"/>
    <w:rsid w:val="28E03E9F"/>
    <w:rsid w:val="291109BC"/>
    <w:rsid w:val="29127DD1"/>
    <w:rsid w:val="29190FC6"/>
    <w:rsid w:val="29211CF1"/>
    <w:rsid w:val="292518B2"/>
    <w:rsid w:val="292C7C9C"/>
    <w:rsid w:val="29453D02"/>
    <w:rsid w:val="294E538A"/>
    <w:rsid w:val="296A5055"/>
    <w:rsid w:val="296E036D"/>
    <w:rsid w:val="297707B3"/>
    <w:rsid w:val="29841429"/>
    <w:rsid w:val="29C6459A"/>
    <w:rsid w:val="29D02E6F"/>
    <w:rsid w:val="29D15269"/>
    <w:rsid w:val="2A094B04"/>
    <w:rsid w:val="2A111E36"/>
    <w:rsid w:val="2A113504"/>
    <w:rsid w:val="2A146D6B"/>
    <w:rsid w:val="2A190351"/>
    <w:rsid w:val="2A2529CA"/>
    <w:rsid w:val="2A273408"/>
    <w:rsid w:val="2A373AE3"/>
    <w:rsid w:val="2A3C5105"/>
    <w:rsid w:val="2A5360F9"/>
    <w:rsid w:val="2A5A68F4"/>
    <w:rsid w:val="2A6670EB"/>
    <w:rsid w:val="2A757922"/>
    <w:rsid w:val="2A854A08"/>
    <w:rsid w:val="2AA0373D"/>
    <w:rsid w:val="2AB330F0"/>
    <w:rsid w:val="2ABB3EAF"/>
    <w:rsid w:val="2AD747E0"/>
    <w:rsid w:val="2AF86595"/>
    <w:rsid w:val="2B097A24"/>
    <w:rsid w:val="2B25277A"/>
    <w:rsid w:val="2B277AAB"/>
    <w:rsid w:val="2B31540B"/>
    <w:rsid w:val="2B657791"/>
    <w:rsid w:val="2B8224BF"/>
    <w:rsid w:val="2B845CCD"/>
    <w:rsid w:val="2B8C1059"/>
    <w:rsid w:val="2B9D6077"/>
    <w:rsid w:val="2BA838E9"/>
    <w:rsid w:val="2BA94E62"/>
    <w:rsid w:val="2BAC62BA"/>
    <w:rsid w:val="2BAF5D4A"/>
    <w:rsid w:val="2BC77803"/>
    <w:rsid w:val="2BCC474C"/>
    <w:rsid w:val="2BDC5FBF"/>
    <w:rsid w:val="2BDD6474"/>
    <w:rsid w:val="2BE03B4E"/>
    <w:rsid w:val="2BE41C31"/>
    <w:rsid w:val="2BEF05D5"/>
    <w:rsid w:val="2BF34F40"/>
    <w:rsid w:val="2BF5784D"/>
    <w:rsid w:val="2C002162"/>
    <w:rsid w:val="2C0C511B"/>
    <w:rsid w:val="2C2C11A9"/>
    <w:rsid w:val="2C3659B2"/>
    <w:rsid w:val="2C383432"/>
    <w:rsid w:val="2C3B5D0C"/>
    <w:rsid w:val="2C3C763E"/>
    <w:rsid w:val="2C6179F8"/>
    <w:rsid w:val="2C883B0F"/>
    <w:rsid w:val="2C8A1D4F"/>
    <w:rsid w:val="2CAE7E10"/>
    <w:rsid w:val="2CB51FC3"/>
    <w:rsid w:val="2CBF201D"/>
    <w:rsid w:val="2CFB18D4"/>
    <w:rsid w:val="2CFC3215"/>
    <w:rsid w:val="2D056A8F"/>
    <w:rsid w:val="2D0D1156"/>
    <w:rsid w:val="2D121BCD"/>
    <w:rsid w:val="2D253565"/>
    <w:rsid w:val="2D4A706E"/>
    <w:rsid w:val="2D5E494C"/>
    <w:rsid w:val="2D636CE3"/>
    <w:rsid w:val="2D686211"/>
    <w:rsid w:val="2D6D1A79"/>
    <w:rsid w:val="2D6F75A0"/>
    <w:rsid w:val="2D771D50"/>
    <w:rsid w:val="2D963C58"/>
    <w:rsid w:val="2D981B42"/>
    <w:rsid w:val="2DC0511F"/>
    <w:rsid w:val="2DCD42C6"/>
    <w:rsid w:val="2DEA705C"/>
    <w:rsid w:val="2DF16C69"/>
    <w:rsid w:val="2E450300"/>
    <w:rsid w:val="2E4E5724"/>
    <w:rsid w:val="2E5B1576"/>
    <w:rsid w:val="2E5D564A"/>
    <w:rsid w:val="2E760C2A"/>
    <w:rsid w:val="2E856AEE"/>
    <w:rsid w:val="2E8A5883"/>
    <w:rsid w:val="2E9F30A7"/>
    <w:rsid w:val="2E9F7559"/>
    <w:rsid w:val="2EA42B25"/>
    <w:rsid w:val="2EB82B04"/>
    <w:rsid w:val="2EC76278"/>
    <w:rsid w:val="2EE61AE3"/>
    <w:rsid w:val="2EEC7A71"/>
    <w:rsid w:val="2F015EFB"/>
    <w:rsid w:val="2F230642"/>
    <w:rsid w:val="2F370591"/>
    <w:rsid w:val="2F3B20EE"/>
    <w:rsid w:val="2F5B427F"/>
    <w:rsid w:val="2F6532CE"/>
    <w:rsid w:val="2F666780"/>
    <w:rsid w:val="2F700224"/>
    <w:rsid w:val="2FBB2F70"/>
    <w:rsid w:val="2FC01C6A"/>
    <w:rsid w:val="2FC35FA3"/>
    <w:rsid w:val="2FC55D70"/>
    <w:rsid w:val="2FDD2254"/>
    <w:rsid w:val="2FDE7915"/>
    <w:rsid w:val="2FEA115F"/>
    <w:rsid w:val="2FF62FB9"/>
    <w:rsid w:val="2FFD6C0E"/>
    <w:rsid w:val="301376C5"/>
    <w:rsid w:val="30493294"/>
    <w:rsid w:val="305079B3"/>
    <w:rsid w:val="305401E9"/>
    <w:rsid w:val="30607673"/>
    <w:rsid w:val="30663A6E"/>
    <w:rsid w:val="307B5830"/>
    <w:rsid w:val="307D3E1B"/>
    <w:rsid w:val="30AB3D63"/>
    <w:rsid w:val="30C92E41"/>
    <w:rsid w:val="30D11862"/>
    <w:rsid w:val="30E91112"/>
    <w:rsid w:val="30EC0F07"/>
    <w:rsid w:val="30F11E91"/>
    <w:rsid w:val="310444A3"/>
    <w:rsid w:val="31067058"/>
    <w:rsid w:val="31085D41"/>
    <w:rsid w:val="3115595C"/>
    <w:rsid w:val="31227821"/>
    <w:rsid w:val="312A2724"/>
    <w:rsid w:val="3149302F"/>
    <w:rsid w:val="315F60D7"/>
    <w:rsid w:val="317575D5"/>
    <w:rsid w:val="317B05F3"/>
    <w:rsid w:val="31844B54"/>
    <w:rsid w:val="318769F7"/>
    <w:rsid w:val="31A25151"/>
    <w:rsid w:val="31A31F0E"/>
    <w:rsid w:val="31B1462B"/>
    <w:rsid w:val="31B41A25"/>
    <w:rsid w:val="31D918C0"/>
    <w:rsid w:val="31E1761A"/>
    <w:rsid w:val="31F23E68"/>
    <w:rsid w:val="31FA428B"/>
    <w:rsid w:val="32054E62"/>
    <w:rsid w:val="321D581C"/>
    <w:rsid w:val="324059AE"/>
    <w:rsid w:val="32451F0B"/>
    <w:rsid w:val="328062C5"/>
    <w:rsid w:val="32852B19"/>
    <w:rsid w:val="328B176D"/>
    <w:rsid w:val="329420BF"/>
    <w:rsid w:val="32A92774"/>
    <w:rsid w:val="32AA340C"/>
    <w:rsid w:val="32B71A6A"/>
    <w:rsid w:val="32CE2FBA"/>
    <w:rsid w:val="32DF13F1"/>
    <w:rsid w:val="32E01960"/>
    <w:rsid w:val="33014B5B"/>
    <w:rsid w:val="33067A20"/>
    <w:rsid w:val="33356B95"/>
    <w:rsid w:val="333861BF"/>
    <w:rsid w:val="333A41AC"/>
    <w:rsid w:val="33476189"/>
    <w:rsid w:val="3350390F"/>
    <w:rsid w:val="33633703"/>
    <w:rsid w:val="336752AC"/>
    <w:rsid w:val="336918A9"/>
    <w:rsid w:val="336B25B7"/>
    <w:rsid w:val="3381627F"/>
    <w:rsid w:val="33956C28"/>
    <w:rsid w:val="33A31678"/>
    <w:rsid w:val="33A45807"/>
    <w:rsid w:val="33C65B1D"/>
    <w:rsid w:val="33FA47C5"/>
    <w:rsid w:val="340832F0"/>
    <w:rsid w:val="341656E3"/>
    <w:rsid w:val="34176065"/>
    <w:rsid w:val="343B642D"/>
    <w:rsid w:val="3445359B"/>
    <w:rsid w:val="347336B4"/>
    <w:rsid w:val="34784F8C"/>
    <w:rsid w:val="347A390B"/>
    <w:rsid w:val="348A7790"/>
    <w:rsid w:val="34967B08"/>
    <w:rsid w:val="34A8266C"/>
    <w:rsid w:val="34BD77C2"/>
    <w:rsid w:val="34CA77B1"/>
    <w:rsid w:val="34D02904"/>
    <w:rsid w:val="34DA3E98"/>
    <w:rsid w:val="34F07218"/>
    <w:rsid w:val="34F3797B"/>
    <w:rsid w:val="34F831CE"/>
    <w:rsid w:val="34FD1935"/>
    <w:rsid w:val="350238EF"/>
    <w:rsid w:val="351449A7"/>
    <w:rsid w:val="352C2AEC"/>
    <w:rsid w:val="35335357"/>
    <w:rsid w:val="353446AC"/>
    <w:rsid w:val="35360140"/>
    <w:rsid w:val="353E1927"/>
    <w:rsid w:val="3546508A"/>
    <w:rsid w:val="355B5C59"/>
    <w:rsid w:val="35667A22"/>
    <w:rsid w:val="35975B1F"/>
    <w:rsid w:val="35BA3691"/>
    <w:rsid w:val="35EB56D5"/>
    <w:rsid w:val="35EB5C31"/>
    <w:rsid w:val="35FC6014"/>
    <w:rsid w:val="36033316"/>
    <w:rsid w:val="361702BF"/>
    <w:rsid w:val="36282DC5"/>
    <w:rsid w:val="363B3C2E"/>
    <w:rsid w:val="36402856"/>
    <w:rsid w:val="36435A6D"/>
    <w:rsid w:val="366400BF"/>
    <w:rsid w:val="366F6862"/>
    <w:rsid w:val="36783969"/>
    <w:rsid w:val="367C47F2"/>
    <w:rsid w:val="367F4CF7"/>
    <w:rsid w:val="368813C4"/>
    <w:rsid w:val="36C7314A"/>
    <w:rsid w:val="36D308E5"/>
    <w:rsid w:val="36F23353"/>
    <w:rsid w:val="36F42170"/>
    <w:rsid w:val="36F84633"/>
    <w:rsid w:val="370E1BD7"/>
    <w:rsid w:val="37212670"/>
    <w:rsid w:val="37217B5C"/>
    <w:rsid w:val="372907BF"/>
    <w:rsid w:val="373D070E"/>
    <w:rsid w:val="37424819"/>
    <w:rsid w:val="374429EA"/>
    <w:rsid w:val="37693BF6"/>
    <w:rsid w:val="37783580"/>
    <w:rsid w:val="378325C5"/>
    <w:rsid w:val="379743FE"/>
    <w:rsid w:val="379A2677"/>
    <w:rsid w:val="37B20426"/>
    <w:rsid w:val="37B52B09"/>
    <w:rsid w:val="37B66C9D"/>
    <w:rsid w:val="37BC5AD7"/>
    <w:rsid w:val="37C72393"/>
    <w:rsid w:val="37D7646D"/>
    <w:rsid w:val="37DE77FC"/>
    <w:rsid w:val="37F30DCD"/>
    <w:rsid w:val="37F53313"/>
    <w:rsid w:val="3801798E"/>
    <w:rsid w:val="38044D88"/>
    <w:rsid w:val="380A5344"/>
    <w:rsid w:val="3814146F"/>
    <w:rsid w:val="38165F7C"/>
    <w:rsid w:val="381C6576"/>
    <w:rsid w:val="383218F5"/>
    <w:rsid w:val="3857135C"/>
    <w:rsid w:val="386249B7"/>
    <w:rsid w:val="38792D0F"/>
    <w:rsid w:val="387D02B9"/>
    <w:rsid w:val="38A30A21"/>
    <w:rsid w:val="38B90B2A"/>
    <w:rsid w:val="38BB18EB"/>
    <w:rsid w:val="38CB0240"/>
    <w:rsid w:val="38DB01DF"/>
    <w:rsid w:val="38F372D7"/>
    <w:rsid w:val="38F4304F"/>
    <w:rsid w:val="390C6F12"/>
    <w:rsid w:val="391905F1"/>
    <w:rsid w:val="394065DE"/>
    <w:rsid w:val="39581830"/>
    <w:rsid w:val="3973643B"/>
    <w:rsid w:val="397B107A"/>
    <w:rsid w:val="39991D34"/>
    <w:rsid w:val="399B34CA"/>
    <w:rsid w:val="39B36A66"/>
    <w:rsid w:val="39BB2D24"/>
    <w:rsid w:val="39C3314D"/>
    <w:rsid w:val="39C80232"/>
    <w:rsid w:val="39D55A99"/>
    <w:rsid w:val="39EB7615"/>
    <w:rsid w:val="3A1D28F1"/>
    <w:rsid w:val="3A1F40FB"/>
    <w:rsid w:val="3A1F5BCC"/>
    <w:rsid w:val="3A3F36EC"/>
    <w:rsid w:val="3A4649AE"/>
    <w:rsid w:val="3A571913"/>
    <w:rsid w:val="3A67018E"/>
    <w:rsid w:val="3A720D0A"/>
    <w:rsid w:val="3A8F689A"/>
    <w:rsid w:val="3A9C5475"/>
    <w:rsid w:val="3AB34300"/>
    <w:rsid w:val="3ABE1B66"/>
    <w:rsid w:val="3AC0768C"/>
    <w:rsid w:val="3AC36410"/>
    <w:rsid w:val="3AD452F4"/>
    <w:rsid w:val="3AE113B1"/>
    <w:rsid w:val="3AF45588"/>
    <w:rsid w:val="3AFA3081"/>
    <w:rsid w:val="3B1B6B8C"/>
    <w:rsid w:val="3B425E8D"/>
    <w:rsid w:val="3B504118"/>
    <w:rsid w:val="3B772E99"/>
    <w:rsid w:val="3B8A74EC"/>
    <w:rsid w:val="3B8E784F"/>
    <w:rsid w:val="3B8F02D3"/>
    <w:rsid w:val="3B997098"/>
    <w:rsid w:val="3B9A0CBB"/>
    <w:rsid w:val="3BBA23D3"/>
    <w:rsid w:val="3BC0273E"/>
    <w:rsid w:val="3BD1646E"/>
    <w:rsid w:val="3BD42E46"/>
    <w:rsid w:val="3BD827B4"/>
    <w:rsid w:val="3BDF56A6"/>
    <w:rsid w:val="3BE1579D"/>
    <w:rsid w:val="3BEA3AE0"/>
    <w:rsid w:val="3BEF351D"/>
    <w:rsid w:val="3BFC64A2"/>
    <w:rsid w:val="3C1A2EC2"/>
    <w:rsid w:val="3C461F0A"/>
    <w:rsid w:val="3C46793E"/>
    <w:rsid w:val="3C7A1ABD"/>
    <w:rsid w:val="3C7B6E2D"/>
    <w:rsid w:val="3C8406E8"/>
    <w:rsid w:val="3C921D44"/>
    <w:rsid w:val="3CA628B2"/>
    <w:rsid w:val="3CAA0CC8"/>
    <w:rsid w:val="3CC01BC6"/>
    <w:rsid w:val="3CC82828"/>
    <w:rsid w:val="3CC83932"/>
    <w:rsid w:val="3CD4741F"/>
    <w:rsid w:val="3CDD6E74"/>
    <w:rsid w:val="3D015D3D"/>
    <w:rsid w:val="3D036A46"/>
    <w:rsid w:val="3D150F31"/>
    <w:rsid w:val="3D1E069A"/>
    <w:rsid w:val="3D244083"/>
    <w:rsid w:val="3D37186E"/>
    <w:rsid w:val="3D3842D0"/>
    <w:rsid w:val="3D432D04"/>
    <w:rsid w:val="3D8C7CFA"/>
    <w:rsid w:val="3D8F3346"/>
    <w:rsid w:val="3D9A619B"/>
    <w:rsid w:val="3DA32933"/>
    <w:rsid w:val="3DA52F19"/>
    <w:rsid w:val="3DC24743"/>
    <w:rsid w:val="3DC37F38"/>
    <w:rsid w:val="3DDE3403"/>
    <w:rsid w:val="3DF44E3C"/>
    <w:rsid w:val="3E0E555B"/>
    <w:rsid w:val="3E18158D"/>
    <w:rsid w:val="3E341D49"/>
    <w:rsid w:val="3E432AAE"/>
    <w:rsid w:val="3E5110D2"/>
    <w:rsid w:val="3E5527E2"/>
    <w:rsid w:val="3E5830C0"/>
    <w:rsid w:val="3E6B0370"/>
    <w:rsid w:val="3E6F4D3E"/>
    <w:rsid w:val="3E8408BB"/>
    <w:rsid w:val="3EA42CC3"/>
    <w:rsid w:val="3EA9140E"/>
    <w:rsid w:val="3EB538CE"/>
    <w:rsid w:val="3EB92D70"/>
    <w:rsid w:val="3EB968CD"/>
    <w:rsid w:val="3ECB6600"/>
    <w:rsid w:val="3ED656D0"/>
    <w:rsid w:val="3EFB5146"/>
    <w:rsid w:val="3EFD71EB"/>
    <w:rsid w:val="3F0C62B6"/>
    <w:rsid w:val="3F145EB6"/>
    <w:rsid w:val="3F2A5A1C"/>
    <w:rsid w:val="3F332BC0"/>
    <w:rsid w:val="3F3423F7"/>
    <w:rsid w:val="3F376B9C"/>
    <w:rsid w:val="3F3A2B79"/>
    <w:rsid w:val="3F485EA2"/>
    <w:rsid w:val="3F4C4FFB"/>
    <w:rsid w:val="3F604B64"/>
    <w:rsid w:val="3F7647BE"/>
    <w:rsid w:val="3F8B0720"/>
    <w:rsid w:val="3FA0183A"/>
    <w:rsid w:val="3FD5089E"/>
    <w:rsid w:val="3FE84CC0"/>
    <w:rsid w:val="3FEB6F5A"/>
    <w:rsid w:val="400B3BB8"/>
    <w:rsid w:val="40130EDA"/>
    <w:rsid w:val="401E0E4D"/>
    <w:rsid w:val="402204A1"/>
    <w:rsid w:val="40261EF1"/>
    <w:rsid w:val="403316B1"/>
    <w:rsid w:val="40363199"/>
    <w:rsid w:val="40580367"/>
    <w:rsid w:val="405A7D24"/>
    <w:rsid w:val="40705C60"/>
    <w:rsid w:val="40754A75"/>
    <w:rsid w:val="40A42AF5"/>
    <w:rsid w:val="40A67324"/>
    <w:rsid w:val="40B51316"/>
    <w:rsid w:val="40B90E06"/>
    <w:rsid w:val="40D82DB3"/>
    <w:rsid w:val="41175ED5"/>
    <w:rsid w:val="413E3695"/>
    <w:rsid w:val="414627BE"/>
    <w:rsid w:val="41502960"/>
    <w:rsid w:val="417C3401"/>
    <w:rsid w:val="418930B5"/>
    <w:rsid w:val="41BD64CE"/>
    <w:rsid w:val="41C01E22"/>
    <w:rsid w:val="41CB6793"/>
    <w:rsid w:val="41D43A1D"/>
    <w:rsid w:val="41FD751D"/>
    <w:rsid w:val="420C765B"/>
    <w:rsid w:val="421166B1"/>
    <w:rsid w:val="42163766"/>
    <w:rsid w:val="423D1DBC"/>
    <w:rsid w:val="428B4C11"/>
    <w:rsid w:val="42B15EC5"/>
    <w:rsid w:val="42C65868"/>
    <w:rsid w:val="42CD2946"/>
    <w:rsid w:val="42D20452"/>
    <w:rsid w:val="42DE6B50"/>
    <w:rsid w:val="42F51797"/>
    <w:rsid w:val="431E5A63"/>
    <w:rsid w:val="432F53AF"/>
    <w:rsid w:val="43372FCC"/>
    <w:rsid w:val="43416487"/>
    <w:rsid w:val="43686B13"/>
    <w:rsid w:val="43694E19"/>
    <w:rsid w:val="43711AEA"/>
    <w:rsid w:val="437B6846"/>
    <w:rsid w:val="437E1F9B"/>
    <w:rsid w:val="439E659B"/>
    <w:rsid w:val="43A56F13"/>
    <w:rsid w:val="43AF1670"/>
    <w:rsid w:val="43C318BF"/>
    <w:rsid w:val="43E233A3"/>
    <w:rsid w:val="43FD061B"/>
    <w:rsid w:val="440F17AA"/>
    <w:rsid w:val="44143A48"/>
    <w:rsid w:val="44202F4A"/>
    <w:rsid w:val="44293167"/>
    <w:rsid w:val="442C11EE"/>
    <w:rsid w:val="443243BC"/>
    <w:rsid w:val="446E6B5C"/>
    <w:rsid w:val="44827761"/>
    <w:rsid w:val="44903312"/>
    <w:rsid w:val="449B7DE5"/>
    <w:rsid w:val="44AB18FE"/>
    <w:rsid w:val="44D40911"/>
    <w:rsid w:val="44D75CFE"/>
    <w:rsid w:val="44F271C6"/>
    <w:rsid w:val="44F763A1"/>
    <w:rsid w:val="450B28F6"/>
    <w:rsid w:val="451431FF"/>
    <w:rsid w:val="45154A79"/>
    <w:rsid w:val="451A3832"/>
    <w:rsid w:val="451E391B"/>
    <w:rsid w:val="4528655A"/>
    <w:rsid w:val="452C4B24"/>
    <w:rsid w:val="4541586E"/>
    <w:rsid w:val="454A40A8"/>
    <w:rsid w:val="45544D11"/>
    <w:rsid w:val="457353E6"/>
    <w:rsid w:val="458D120A"/>
    <w:rsid w:val="45943BEF"/>
    <w:rsid w:val="45A217A6"/>
    <w:rsid w:val="45AA10F6"/>
    <w:rsid w:val="45AA3858"/>
    <w:rsid w:val="45C25420"/>
    <w:rsid w:val="45E216DD"/>
    <w:rsid w:val="45E858D0"/>
    <w:rsid w:val="45FC4415"/>
    <w:rsid w:val="46000D5C"/>
    <w:rsid w:val="46085177"/>
    <w:rsid w:val="460A3EB2"/>
    <w:rsid w:val="461026A2"/>
    <w:rsid w:val="46110DB8"/>
    <w:rsid w:val="46206CE5"/>
    <w:rsid w:val="462C3E28"/>
    <w:rsid w:val="462F3918"/>
    <w:rsid w:val="46396545"/>
    <w:rsid w:val="4652339D"/>
    <w:rsid w:val="46593F54"/>
    <w:rsid w:val="465A45F7"/>
    <w:rsid w:val="465F590A"/>
    <w:rsid w:val="466E61EE"/>
    <w:rsid w:val="467852BF"/>
    <w:rsid w:val="469C6830"/>
    <w:rsid w:val="469D7635"/>
    <w:rsid w:val="46A7327A"/>
    <w:rsid w:val="46A9191C"/>
    <w:rsid w:val="46C379C9"/>
    <w:rsid w:val="46EC3C26"/>
    <w:rsid w:val="46F23B79"/>
    <w:rsid w:val="47055793"/>
    <w:rsid w:val="47072ED2"/>
    <w:rsid w:val="471A4185"/>
    <w:rsid w:val="473F361F"/>
    <w:rsid w:val="474A38BE"/>
    <w:rsid w:val="474F6373"/>
    <w:rsid w:val="477464B6"/>
    <w:rsid w:val="47785BE0"/>
    <w:rsid w:val="478C5C57"/>
    <w:rsid w:val="47924515"/>
    <w:rsid w:val="47A62222"/>
    <w:rsid w:val="47AA594C"/>
    <w:rsid w:val="47AB6FCE"/>
    <w:rsid w:val="47B44595"/>
    <w:rsid w:val="47BB2913"/>
    <w:rsid w:val="47BC11DC"/>
    <w:rsid w:val="47D3708F"/>
    <w:rsid w:val="47E917F0"/>
    <w:rsid w:val="47F7668B"/>
    <w:rsid w:val="48074B4D"/>
    <w:rsid w:val="480B5A28"/>
    <w:rsid w:val="481B1752"/>
    <w:rsid w:val="484B33BA"/>
    <w:rsid w:val="48515B87"/>
    <w:rsid w:val="4876582E"/>
    <w:rsid w:val="4877597E"/>
    <w:rsid w:val="48883E7F"/>
    <w:rsid w:val="489A17F5"/>
    <w:rsid w:val="489F6B33"/>
    <w:rsid w:val="48AB197C"/>
    <w:rsid w:val="48BB1493"/>
    <w:rsid w:val="48C471ED"/>
    <w:rsid w:val="48CF7C6F"/>
    <w:rsid w:val="48E527E4"/>
    <w:rsid w:val="48E65FBE"/>
    <w:rsid w:val="491C6312"/>
    <w:rsid w:val="49374129"/>
    <w:rsid w:val="494859DF"/>
    <w:rsid w:val="497C6E74"/>
    <w:rsid w:val="499D5180"/>
    <w:rsid w:val="49A02C45"/>
    <w:rsid w:val="49A87C69"/>
    <w:rsid w:val="49DC5F35"/>
    <w:rsid w:val="49E66F22"/>
    <w:rsid w:val="4A0C36C4"/>
    <w:rsid w:val="4A0D21C2"/>
    <w:rsid w:val="4A1744D3"/>
    <w:rsid w:val="4A2B43F6"/>
    <w:rsid w:val="4A2D26E9"/>
    <w:rsid w:val="4A3F75B7"/>
    <w:rsid w:val="4A547DF1"/>
    <w:rsid w:val="4A5C0E68"/>
    <w:rsid w:val="4A607CC0"/>
    <w:rsid w:val="4A6B58D9"/>
    <w:rsid w:val="4A7B35D0"/>
    <w:rsid w:val="4A8163C4"/>
    <w:rsid w:val="4A82670C"/>
    <w:rsid w:val="4A981A8C"/>
    <w:rsid w:val="4AA0568E"/>
    <w:rsid w:val="4AA91EEB"/>
    <w:rsid w:val="4ACC5BD9"/>
    <w:rsid w:val="4ADF137C"/>
    <w:rsid w:val="4AE27323"/>
    <w:rsid w:val="4AE900CC"/>
    <w:rsid w:val="4AFC758D"/>
    <w:rsid w:val="4B127877"/>
    <w:rsid w:val="4B312F49"/>
    <w:rsid w:val="4B3F49CB"/>
    <w:rsid w:val="4B630E12"/>
    <w:rsid w:val="4B7F2C4C"/>
    <w:rsid w:val="4B930563"/>
    <w:rsid w:val="4B95421D"/>
    <w:rsid w:val="4B9F70D0"/>
    <w:rsid w:val="4BB072A9"/>
    <w:rsid w:val="4BB93804"/>
    <w:rsid w:val="4BC641F3"/>
    <w:rsid w:val="4BDC144A"/>
    <w:rsid w:val="4BDC3BA2"/>
    <w:rsid w:val="4C053ECD"/>
    <w:rsid w:val="4C07336D"/>
    <w:rsid w:val="4C0D4765"/>
    <w:rsid w:val="4C11062E"/>
    <w:rsid w:val="4C15710C"/>
    <w:rsid w:val="4C177647"/>
    <w:rsid w:val="4C214917"/>
    <w:rsid w:val="4C453E95"/>
    <w:rsid w:val="4C6F2CC0"/>
    <w:rsid w:val="4C8A5D4C"/>
    <w:rsid w:val="4CD11925"/>
    <w:rsid w:val="4CD13AEA"/>
    <w:rsid w:val="4CEE3778"/>
    <w:rsid w:val="4D0C6F1A"/>
    <w:rsid w:val="4D10711F"/>
    <w:rsid w:val="4D137E53"/>
    <w:rsid w:val="4D3A2678"/>
    <w:rsid w:val="4D4222AC"/>
    <w:rsid w:val="4D443755"/>
    <w:rsid w:val="4D453A21"/>
    <w:rsid w:val="4D492C42"/>
    <w:rsid w:val="4D69431D"/>
    <w:rsid w:val="4D7919C0"/>
    <w:rsid w:val="4D865767"/>
    <w:rsid w:val="4D89595A"/>
    <w:rsid w:val="4DA42AAD"/>
    <w:rsid w:val="4DE33966"/>
    <w:rsid w:val="4DEE6095"/>
    <w:rsid w:val="4E053631"/>
    <w:rsid w:val="4E2E61B1"/>
    <w:rsid w:val="4E4154CC"/>
    <w:rsid w:val="4E561B38"/>
    <w:rsid w:val="4E7E0A18"/>
    <w:rsid w:val="4E822ABD"/>
    <w:rsid w:val="4E870795"/>
    <w:rsid w:val="4E9B43F2"/>
    <w:rsid w:val="4E9E564F"/>
    <w:rsid w:val="4EDC11DD"/>
    <w:rsid w:val="4EF23735"/>
    <w:rsid w:val="4F053B30"/>
    <w:rsid w:val="4F122A8C"/>
    <w:rsid w:val="4F1761F4"/>
    <w:rsid w:val="4F190D64"/>
    <w:rsid w:val="4F1B712F"/>
    <w:rsid w:val="4F497A43"/>
    <w:rsid w:val="4F5F139B"/>
    <w:rsid w:val="4F6D7C8E"/>
    <w:rsid w:val="4F704543"/>
    <w:rsid w:val="4F7B7430"/>
    <w:rsid w:val="4F8D1DDB"/>
    <w:rsid w:val="4F8D612B"/>
    <w:rsid w:val="4FB8672C"/>
    <w:rsid w:val="4FCC21D8"/>
    <w:rsid w:val="4FEB3428"/>
    <w:rsid w:val="4FF77BE0"/>
    <w:rsid w:val="4FF9121F"/>
    <w:rsid w:val="4FFC4664"/>
    <w:rsid w:val="500A7B96"/>
    <w:rsid w:val="501E2A33"/>
    <w:rsid w:val="501F0559"/>
    <w:rsid w:val="504413BE"/>
    <w:rsid w:val="50521237"/>
    <w:rsid w:val="507765E7"/>
    <w:rsid w:val="50812FC2"/>
    <w:rsid w:val="508F1B83"/>
    <w:rsid w:val="50970257"/>
    <w:rsid w:val="509C4492"/>
    <w:rsid w:val="50B11804"/>
    <w:rsid w:val="50BD607E"/>
    <w:rsid w:val="50D34552"/>
    <w:rsid w:val="50F72525"/>
    <w:rsid w:val="50F9128B"/>
    <w:rsid w:val="510B1DFE"/>
    <w:rsid w:val="511C5535"/>
    <w:rsid w:val="5126788A"/>
    <w:rsid w:val="513406EB"/>
    <w:rsid w:val="513A2C52"/>
    <w:rsid w:val="513F5F11"/>
    <w:rsid w:val="51412EDB"/>
    <w:rsid w:val="5149072B"/>
    <w:rsid w:val="51641120"/>
    <w:rsid w:val="51751A3F"/>
    <w:rsid w:val="51932FAD"/>
    <w:rsid w:val="51BE572B"/>
    <w:rsid w:val="51D72EA1"/>
    <w:rsid w:val="520163B7"/>
    <w:rsid w:val="521D285C"/>
    <w:rsid w:val="523E6AF0"/>
    <w:rsid w:val="52494780"/>
    <w:rsid w:val="524C2AAF"/>
    <w:rsid w:val="524E3BC9"/>
    <w:rsid w:val="525B1036"/>
    <w:rsid w:val="525F3958"/>
    <w:rsid w:val="52646992"/>
    <w:rsid w:val="52664A45"/>
    <w:rsid w:val="526B3F2A"/>
    <w:rsid w:val="527C2896"/>
    <w:rsid w:val="52831274"/>
    <w:rsid w:val="52925225"/>
    <w:rsid w:val="52A1409D"/>
    <w:rsid w:val="52A90444"/>
    <w:rsid w:val="52AE22FB"/>
    <w:rsid w:val="52C918B7"/>
    <w:rsid w:val="52CC0F4A"/>
    <w:rsid w:val="52E71802"/>
    <w:rsid w:val="52EF283C"/>
    <w:rsid w:val="52F837E3"/>
    <w:rsid w:val="530140FE"/>
    <w:rsid w:val="53114AD1"/>
    <w:rsid w:val="53191BD8"/>
    <w:rsid w:val="53285BD7"/>
    <w:rsid w:val="53346D25"/>
    <w:rsid w:val="5339100A"/>
    <w:rsid w:val="533B38FC"/>
    <w:rsid w:val="533D471B"/>
    <w:rsid w:val="53455215"/>
    <w:rsid w:val="537868FE"/>
    <w:rsid w:val="537961D3"/>
    <w:rsid w:val="53896352"/>
    <w:rsid w:val="53A906A2"/>
    <w:rsid w:val="53BE5B60"/>
    <w:rsid w:val="53E21FCA"/>
    <w:rsid w:val="53FD7E56"/>
    <w:rsid w:val="540F7196"/>
    <w:rsid w:val="541E3FF7"/>
    <w:rsid w:val="54270DB1"/>
    <w:rsid w:val="54302356"/>
    <w:rsid w:val="5466291E"/>
    <w:rsid w:val="54667B60"/>
    <w:rsid w:val="54874D4A"/>
    <w:rsid w:val="548A3116"/>
    <w:rsid w:val="54920E81"/>
    <w:rsid w:val="54A51975"/>
    <w:rsid w:val="54B971CF"/>
    <w:rsid w:val="55182B7D"/>
    <w:rsid w:val="551E1E45"/>
    <w:rsid w:val="55216B22"/>
    <w:rsid w:val="55300120"/>
    <w:rsid w:val="55415C7A"/>
    <w:rsid w:val="55434355"/>
    <w:rsid w:val="555A764D"/>
    <w:rsid w:val="55631D9D"/>
    <w:rsid w:val="557A2965"/>
    <w:rsid w:val="55811970"/>
    <w:rsid w:val="55892555"/>
    <w:rsid w:val="5599133D"/>
    <w:rsid w:val="55B856D8"/>
    <w:rsid w:val="55BD0B5F"/>
    <w:rsid w:val="55CA424F"/>
    <w:rsid w:val="56076CFB"/>
    <w:rsid w:val="56131EA5"/>
    <w:rsid w:val="561915D5"/>
    <w:rsid w:val="565B4891"/>
    <w:rsid w:val="565E2B72"/>
    <w:rsid w:val="56723AD9"/>
    <w:rsid w:val="567D132D"/>
    <w:rsid w:val="5681694E"/>
    <w:rsid w:val="56827EA3"/>
    <w:rsid w:val="568B7456"/>
    <w:rsid w:val="56C705CE"/>
    <w:rsid w:val="56D315F7"/>
    <w:rsid w:val="56DB283B"/>
    <w:rsid w:val="56FF6FDB"/>
    <w:rsid w:val="571A389C"/>
    <w:rsid w:val="571E5C0C"/>
    <w:rsid w:val="57266ADA"/>
    <w:rsid w:val="572F7DD4"/>
    <w:rsid w:val="57342B3C"/>
    <w:rsid w:val="57571B0C"/>
    <w:rsid w:val="57572158"/>
    <w:rsid w:val="57603851"/>
    <w:rsid w:val="576176AA"/>
    <w:rsid w:val="57637A44"/>
    <w:rsid w:val="57672DA3"/>
    <w:rsid w:val="57743103"/>
    <w:rsid w:val="57882E88"/>
    <w:rsid w:val="578E2717"/>
    <w:rsid w:val="579E2319"/>
    <w:rsid w:val="57A2210A"/>
    <w:rsid w:val="57AB5AB6"/>
    <w:rsid w:val="57B83755"/>
    <w:rsid w:val="57BF013C"/>
    <w:rsid w:val="57CE023B"/>
    <w:rsid w:val="57CE09AB"/>
    <w:rsid w:val="57E84FFF"/>
    <w:rsid w:val="58156E12"/>
    <w:rsid w:val="58241860"/>
    <w:rsid w:val="58555460"/>
    <w:rsid w:val="587547D2"/>
    <w:rsid w:val="587873A1"/>
    <w:rsid w:val="587D36FF"/>
    <w:rsid w:val="587D4033"/>
    <w:rsid w:val="587D6E0B"/>
    <w:rsid w:val="58857361"/>
    <w:rsid w:val="589E7362"/>
    <w:rsid w:val="58A0052D"/>
    <w:rsid w:val="58B2347D"/>
    <w:rsid w:val="58BF4E4D"/>
    <w:rsid w:val="58C04503"/>
    <w:rsid w:val="58CB413F"/>
    <w:rsid w:val="58E426FC"/>
    <w:rsid w:val="58F31111"/>
    <w:rsid w:val="58F47708"/>
    <w:rsid w:val="58F9193A"/>
    <w:rsid w:val="590F1AB3"/>
    <w:rsid w:val="59161052"/>
    <w:rsid w:val="59205A6E"/>
    <w:rsid w:val="592725AD"/>
    <w:rsid w:val="59334B9A"/>
    <w:rsid w:val="593A5116"/>
    <w:rsid w:val="59646580"/>
    <w:rsid w:val="597D2E77"/>
    <w:rsid w:val="598558D1"/>
    <w:rsid w:val="59875AED"/>
    <w:rsid w:val="598F13DF"/>
    <w:rsid w:val="599904D8"/>
    <w:rsid w:val="59A275AD"/>
    <w:rsid w:val="59AA358A"/>
    <w:rsid w:val="59AF6DF2"/>
    <w:rsid w:val="59BB7545"/>
    <w:rsid w:val="59D70FAC"/>
    <w:rsid w:val="59E612B2"/>
    <w:rsid w:val="59EF71EF"/>
    <w:rsid w:val="59F76152"/>
    <w:rsid w:val="5A0C131E"/>
    <w:rsid w:val="5A114D86"/>
    <w:rsid w:val="5A24787D"/>
    <w:rsid w:val="5A6B2D19"/>
    <w:rsid w:val="5A7E461D"/>
    <w:rsid w:val="5A8B4215"/>
    <w:rsid w:val="5A8E2EAB"/>
    <w:rsid w:val="5A9828F8"/>
    <w:rsid w:val="5AAA098C"/>
    <w:rsid w:val="5AAE549C"/>
    <w:rsid w:val="5AB54ABC"/>
    <w:rsid w:val="5AC274C1"/>
    <w:rsid w:val="5AC60EDF"/>
    <w:rsid w:val="5AF72C1D"/>
    <w:rsid w:val="5B3255E5"/>
    <w:rsid w:val="5B3C46B5"/>
    <w:rsid w:val="5B9433F7"/>
    <w:rsid w:val="5B9718EC"/>
    <w:rsid w:val="5B9A7419"/>
    <w:rsid w:val="5BB701E0"/>
    <w:rsid w:val="5BC11760"/>
    <w:rsid w:val="5BCF552A"/>
    <w:rsid w:val="5BD23965"/>
    <w:rsid w:val="5BD9049B"/>
    <w:rsid w:val="5BDE4699"/>
    <w:rsid w:val="5BE421AC"/>
    <w:rsid w:val="5BE8039C"/>
    <w:rsid w:val="5C0B2126"/>
    <w:rsid w:val="5C167D93"/>
    <w:rsid w:val="5C2238AB"/>
    <w:rsid w:val="5C25597C"/>
    <w:rsid w:val="5C363D19"/>
    <w:rsid w:val="5C3655A9"/>
    <w:rsid w:val="5C471564"/>
    <w:rsid w:val="5C477536"/>
    <w:rsid w:val="5C776994"/>
    <w:rsid w:val="5C7B38EA"/>
    <w:rsid w:val="5C844566"/>
    <w:rsid w:val="5C9F5C6D"/>
    <w:rsid w:val="5CCB7BA5"/>
    <w:rsid w:val="5CCF5921"/>
    <w:rsid w:val="5CD77584"/>
    <w:rsid w:val="5CE54077"/>
    <w:rsid w:val="5D0E2082"/>
    <w:rsid w:val="5D2000CD"/>
    <w:rsid w:val="5D2650B4"/>
    <w:rsid w:val="5D290C69"/>
    <w:rsid w:val="5D2968AE"/>
    <w:rsid w:val="5D361401"/>
    <w:rsid w:val="5D3C4649"/>
    <w:rsid w:val="5D4423D1"/>
    <w:rsid w:val="5D4B515F"/>
    <w:rsid w:val="5D573851"/>
    <w:rsid w:val="5D8256B7"/>
    <w:rsid w:val="5D9407D9"/>
    <w:rsid w:val="5D9C518C"/>
    <w:rsid w:val="5DA622BA"/>
    <w:rsid w:val="5DB4653D"/>
    <w:rsid w:val="5DC664B8"/>
    <w:rsid w:val="5DE01A6E"/>
    <w:rsid w:val="5DED1C97"/>
    <w:rsid w:val="5DF537E6"/>
    <w:rsid w:val="5E05686B"/>
    <w:rsid w:val="5E061C8E"/>
    <w:rsid w:val="5E1824AD"/>
    <w:rsid w:val="5E190FEA"/>
    <w:rsid w:val="5E1E4678"/>
    <w:rsid w:val="5E2851BB"/>
    <w:rsid w:val="5E2E06C4"/>
    <w:rsid w:val="5E52605D"/>
    <w:rsid w:val="5E6A287C"/>
    <w:rsid w:val="5E8E034B"/>
    <w:rsid w:val="5E8E5228"/>
    <w:rsid w:val="5E9555D3"/>
    <w:rsid w:val="5E9B16F3"/>
    <w:rsid w:val="5EA6210D"/>
    <w:rsid w:val="5EB06204"/>
    <w:rsid w:val="5EB855B3"/>
    <w:rsid w:val="5EBC4DA6"/>
    <w:rsid w:val="5EC450EE"/>
    <w:rsid w:val="5ED0259C"/>
    <w:rsid w:val="5EDD1DD0"/>
    <w:rsid w:val="5EE66E12"/>
    <w:rsid w:val="5F062D3D"/>
    <w:rsid w:val="5F3603C3"/>
    <w:rsid w:val="5F393B1E"/>
    <w:rsid w:val="5F441D37"/>
    <w:rsid w:val="5F572F33"/>
    <w:rsid w:val="5F62553A"/>
    <w:rsid w:val="5F7F1015"/>
    <w:rsid w:val="5F881122"/>
    <w:rsid w:val="5F8B66C2"/>
    <w:rsid w:val="5F955D8D"/>
    <w:rsid w:val="5FA00AD8"/>
    <w:rsid w:val="5FB567E4"/>
    <w:rsid w:val="5FC133DB"/>
    <w:rsid w:val="5FCF75CF"/>
    <w:rsid w:val="5FD749AD"/>
    <w:rsid w:val="5FDE0527"/>
    <w:rsid w:val="5FE36F8F"/>
    <w:rsid w:val="5FE64BF0"/>
    <w:rsid w:val="5FE96BF2"/>
    <w:rsid w:val="60006ABF"/>
    <w:rsid w:val="601233C6"/>
    <w:rsid w:val="602048CE"/>
    <w:rsid w:val="602D6D9B"/>
    <w:rsid w:val="6041335F"/>
    <w:rsid w:val="60593614"/>
    <w:rsid w:val="605B3830"/>
    <w:rsid w:val="606918EB"/>
    <w:rsid w:val="607F0C79"/>
    <w:rsid w:val="60927B41"/>
    <w:rsid w:val="60A96349"/>
    <w:rsid w:val="60C213BC"/>
    <w:rsid w:val="60C34F31"/>
    <w:rsid w:val="60D854A5"/>
    <w:rsid w:val="60E241A0"/>
    <w:rsid w:val="60E750C3"/>
    <w:rsid w:val="60EF2410"/>
    <w:rsid w:val="60FD0443"/>
    <w:rsid w:val="60FD36DF"/>
    <w:rsid w:val="61033FED"/>
    <w:rsid w:val="611A3D4F"/>
    <w:rsid w:val="61241E74"/>
    <w:rsid w:val="613320B7"/>
    <w:rsid w:val="613F23BC"/>
    <w:rsid w:val="614F7276"/>
    <w:rsid w:val="615613E6"/>
    <w:rsid w:val="61594F47"/>
    <w:rsid w:val="61765655"/>
    <w:rsid w:val="617C580C"/>
    <w:rsid w:val="618C019B"/>
    <w:rsid w:val="61AC3545"/>
    <w:rsid w:val="61C66FBB"/>
    <w:rsid w:val="61C84EF5"/>
    <w:rsid w:val="61F423D1"/>
    <w:rsid w:val="61F70C54"/>
    <w:rsid w:val="61FB5BF7"/>
    <w:rsid w:val="62124853"/>
    <w:rsid w:val="6218327A"/>
    <w:rsid w:val="621B73AB"/>
    <w:rsid w:val="621F4953"/>
    <w:rsid w:val="62223373"/>
    <w:rsid w:val="622665E5"/>
    <w:rsid w:val="622C6CA9"/>
    <w:rsid w:val="623D56B3"/>
    <w:rsid w:val="62432C17"/>
    <w:rsid w:val="624A3B5C"/>
    <w:rsid w:val="62943029"/>
    <w:rsid w:val="629800BF"/>
    <w:rsid w:val="62A3501A"/>
    <w:rsid w:val="62BB2364"/>
    <w:rsid w:val="62C75E21"/>
    <w:rsid w:val="62EC076F"/>
    <w:rsid w:val="631344F6"/>
    <w:rsid w:val="63676048"/>
    <w:rsid w:val="63734E49"/>
    <w:rsid w:val="637F1B3E"/>
    <w:rsid w:val="6382125D"/>
    <w:rsid w:val="6384684B"/>
    <w:rsid w:val="638903DB"/>
    <w:rsid w:val="639A01CB"/>
    <w:rsid w:val="63B35E5D"/>
    <w:rsid w:val="63B41EF8"/>
    <w:rsid w:val="63C45248"/>
    <w:rsid w:val="63D80F52"/>
    <w:rsid w:val="63DE27AE"/>
    <w:rsid w:val="63E458EA"/>
    <w:rsid w:val="63F841C0"/>
    <w:rsid w:val="64172B6A"/>
    <w:rsid w:val="6452680B"/>
    <w:rsid w:val="64540CC2"/>
    <w:rsid w:val="6454481E"/>
    <w:rsid w:val="648044DD"/>
    <w:rsid w:val="649015CE"/>
    <w:rsid w:val="64A10055"/>
    <w:rsid w:val="64A6153A"/>
    <w:rsid w:val="64BD500A"/>
    <w:rsid w:val="64C26B44"/>
    <w:rsid w:val="64CB6B4D"/>
    <w:rsid w:val="64E42046"/>
    <w:rsid w:val="64EF2799"/>
    <w:rsid w:val="64F15490"/>
    <w:rsid w:val="65091AAC"/>
    <w:rsid w:val="65136487"/>
    <w:rsid w:val="651C03F4"/>
    <w:rsid w:val="652109E8"/>
    <w:rsid w:val="65280A8B"/>
    <w:rsid w:val="653F523C"/>
    <w:rsid w:val="655B2259"/>
    <w:rsid w:val="657408BA"/>
    <w:rsid w:val="658D5EBD"/>
    <w:rsid w:val="65962C14"/>
    <w:rsid w:val="65A25A5D"/>
    <w:rsid w:val="65E676F8"/>
    <w:rsid w:val="66064B02"/>
    <w:rsid w:val="660D6029"/>
    <w:rsid w:val="66431915"/>
    <w:rsid w:val="66727B83"/>
    <w:rsid w:val="66754F1F"/>
    <w:rsid w:val="66815672"/>
    <w:rsid w:val="6682396B"/>
    <w:rsid w:val="668620BF"/>
    <w:rsid w:val="668A591C"/>
    <w:rsid w:val="668D6A1F"/>
    <w:rsid w:val="66946842"/>
    <w:rsid w:val="669D02CB"/>
    <w:rsid w:val="66A3383B"/>
    <w:rsid w:val="66AC1952"/>
    <w:rsid w:val="66D10BD3"/>
    <w:rsid w:val="66D86229"/>
    <w:rsid w:val="66F02DAB"/>
    <w:rsid w:val="67417782"/>
    <w:rsid w:val="67452B44"/>
    <w:rsid w:val="674D64A0"/>
    <w:rsid w:val="67580AC9"/>
    <w:rsid w:val="67667ACA"/>
    <w:rsid w:val="67675CBE"/>
    <w:rsid w:val="67760F4F"/>
    <w:rsid w:val="67AB3EA5"/>
    <w:rsid w:val="67BC2E06"/>
    <w:rsid w:val="67C15B96"/>
    <w:rsid w:val="67CE3BF1"/>
    <w:rsid w:val="67F04061"/>
    <w:rsid w:val="67FA35D9"/>
    <w:rsid w:val="67FF2CF3"/>
    <w:rsid w:val="68092349"/>
    <w:rsid w:val="681A2AF2"/>
    <w:rsid w:val="68246BFD"/>
    <w:rsid w:val="682865FD"/>
    <w:rsid w:val="684D75DC"/>
    <w:rsid w:val="68561C2A"/>
    <w:rsid w:val="685E210F"/>
    <w:rsid w:val="68623BE2"/>
    <w:rsid w:val="687641CA"/>
    <w:rsid w:val="687D3480"/>
    <w:rsid w:val="687F3AF5"/>
    <w:rsid w:val="68845B72"/>
    <w:rsid w:val="688A3C29"/>
    <w:rsid w:val="68B0223F"/>
    <w:rsid w:val="68CA1553"/>
    <w:rsid w:val="68D01AD8"/>
    <w:rsid w:val="68D93544"/>
    <w:rsid w:val="68EC1BC8"/>
    <w:rsid w:val="68F22857"/>
    <w:rsid w:val="68F735F2"/>
    <w:rsid w:val="68FA361C"/>
    <w:rsid w:val="68FF1346"/>
    <w:rsid w:val="68FF3391"/>
    <w:rsid w:val="69001719"/>
    <w:rsid w:val="69044C3E"/>
    <w:rsid w:val="690D1EB5"/>
    <w:rsid w:val="692549DB"/>
    <w:rsid w:val="692A259E"/>
    <w:rsid w:val="693D0694"/>
    <w:rsid w:val="694806C9"/>
    <w:rsid w:val="69A32CBB"/>
    <w:rsid w:val="69A973BA"/>
    <w:rsid w:val="69CD1A38"/>
    <w:rsid w:val="69CD1BF9"/>
    <w:rsid w:val="6A0F72C7"/>
    <w:rsid w:val="6A1727EA"/>
    <w:rsid w:val="6A202A10"/>
    <w:rsid w:val="6A226039"/>
    <w:rsid w:val="6A246634"/>
    <w:rsid w:val="6A302FA3"/>
    <w:rsid w:val="6A3B3D8A"/>
    <w:rsid w:val="6A40580B"/>
    <w:rsid w:val="6A416F41"/>
    <w:rsid w:val="6A567FEB"/>
    <w:rsid w:val="6A686EB2"/>
    <w:rsid w:val="6A6B28C1"/>
    <w:rsid w:val="6A7C4ACE"/>
    <w:rsid w:val="6A951468"/>
    <w:rsid w:val="6A9F33AE"/>
    <w:rsid w:val="6AA67B8F"/>
    <w:rsid w:val="6AE37DC1"/>
    <w:rsid w:val="6AF32925"/>
    <w:rsid w:val="6B027B25"/>
    <w:rsid w:val="6B066D70"/>
    <w:rsid w:val="6B284577"/>
    <w:rsid w:val="6B686E01"/>
    <w:rsid w:val="6B770426"/>
    <w:rsid w:val="6B77362C"/>
    <w:rsid w:val="6B785296"/>
    <w:rsid w:val="6B7A630E"/>
    <w:rsid w:val="6B977504"/>
    <w:rsid w:val="6BA03D4A"/>
    <w:rsid w:val="6BA126BF"/>
    <w:rsid w:val="6BC43BF7"/>
    <w:rsid w:val="6BC935C5"/>
    <w:rsid w:val="6BDE53D7"/>
    <w:rsid w:val="6BE446D9"/>
    <w:rsid w:val="6BEC7A32"/>
    <w:rsid w:val="6BF16DF6"/>
    <w:rsid w:val="6C117190"/>
    <w:rsid w:val="6C1908A4"/>
    <w:rsid w:val="6C20148A"/>
    <w:rsid w:val="6C225202"/>
    <w:rsid w:val="6C313697"/>
    <w:rsid w:val="6C377E13"/>
    <w:rsid w:val="6C5960D2"/>
    <w:rsid w:val="6C651B68"/>
    <w:rsid w:val="6C793963"/>
    <w:rsid w:val="6C9F1808"/>
    <w:rsid w:val="6CA5291A"/>
    <w:rsid w:val="6CA57B53"/>
    <w:rsid w:val="6CB47DB2"/>
    <w:rsid w:val="6CC22541"/>
    <w:rsid w:val="6CC747CA"/>
    <w:rsid w:val="6CCD1917"/>
    <w:rsid w:val="6CD56718"/>
    <w:rsid w:val="6D225179"/>
    <w:rsid w:val="6D353A91"/>
    <w:rsid w:val="6D3D45F9"/>
    <w:rsid w:val="6D493DB6"/>
    <w:rsid w:val="6D604233"/>
    <w:rsid w:val="6D6F6F8C"/>
    <w:rsid w:val="6D81781D"/>
    <w:rsid w:val="6D8C22E3"/>
    <w:rsid w:val="6D926664"/>
    <w:rsid w:val="6D982787"/>
    <w:rsid w:val="6D9C6DD7"/>
    <w:rsid w:val="6DAE20B4"/>
    <w:rsid w:val="6DB602F7"/>
    <w:rsid w:val="6DD4077E"/>
    <w:rsid w:val="6DE03859"/>
    <w:rsid w:val="6DEC3D19"/>
    <w:rsid w:val="6DFF3B02"/>
    <w:rsid w:val="6E0839F8"/>
    <w:rsid w:val="6E0B497A"/>
    <w:rsid w:val="6E1374F8"/>
    <w:rsid w:val="6E5054D0"/>
    <w:rsid w:val="6E507A97"/>
    <w:rsid w:val="6E521560"/>
    <w:rsid w:val="6E634D01"/>
    <w:rsid w:val="6E6935BC"/>
    <w:rsid w:val="6E6A3537"/>
    <w:rsid w:val="6E9D5B22"/>
    <w:rsid w:val="6EA91C0A"/>
    <w:rsid w:val="6EB00708"/>
    <w:rsid w:val="6EB10C80"/>
    <w:rsid w:val="6EC30F1E"/>
    <w:rsid w:val="6EC63C13"/>
    <w:rsid w:val="6EC82D65"/>
    <w:rsid w:val="6ECA348F"/>
    <w:rsid w:val="6EDF26E8"/>
    <w:rsid w:val="6EE36B35"/>
    <w:rsid w:val="6EEF1DC8"/>
    <w:rsid w:val="6F232184"/>
    <w:rsid w:val="6F321046"/>
    <w:rsid w:val="6F3D03B5"/>
    <w:rsid w:val="6F3E053A"/>
    <w:rsid w:val="6F4055BB"/>
    <w:rsid w:val="6F5C1C62"/>
    <w:rsid w:val="6F6A3147"/>
    <w:rsid w:val="6F807AD2"/>
    <w:rsid w:val="6F9A1B99"/>
    <w:rsid w:val="6F9F5EB0"/>
    <w:rsid w:val="6FAF4892"/>
    <w:rsid w:val="6FB401B8"/>
    <w:rsid w:val="6FB46AB9"/>
    <w:rsid w:val="6FC14D32"/>
    <w:rsid w:val="700D2B33"/>
    <w:rsid w:val="701731EF"/>
    <w:rsid w:val="703B5E6D"/>
    <w:rsid w:val="70554797"/>
    <w:rsid w:val="705A09B7"/>
    <w:rsid w:val="706A127A"/>
    <w:rsid w:val="707326E9"/>
    <w:rsid w:val="70B6171B"/>
    <w:rsid w:val="70BB79D3"/>
    <w:rsid w:val="70DC515B"/>
    <w:rsid w:val="70E707C8"/>
    <w:rsid w:val="70EB3928"/>
    <w:rsid w:val="70F516CA"/>
    <w:rsid w:val="70FD432A"/>
    <w:rsid w:val="71384E03"/>
    <w:rsid w:val="714605A4"/>
    <w:rsid w:val="714B79FA"/>
    <w:rsid w:val="715E6CDC"/>
    <w:rsid w:val="716C2775"/>
    <w:rsid w:val="717B5AE0"/>
    <w:rsid w:val="71970EFF"/>
    <w:rsid w:val="719D7555"/>
    <w:rsid w:val="71C234C0"/>
    <w:rsid w:val="71CD77B9"/>
    <w:rsid w:val="71D251D0"/>
    <w:rsid w:val="71ED41A1"/>
    <w:rsid w:val="71FA6DC2"/>
    <w:rsid w:val="720871D3"/>
    <w:rsid w:val="7210658B"/>
    <w:rsid w:val="721C2B35"/>
    <w:rsid w:val="721F290F"/>
    <w:rsid w:val="721F3C15"/>
    <w:rsid w:val="722563B0"/>
    <w:rsid w:val="724A7260"/>
    <w:rsid w:val="72606A84"/>
    <w:rsid w:val="726128E1"/>
    <w:rsid w:val="728D6FA3"/>
    <w:rsid w:val="729D2129"/>
    <w:rsid w:val="72A83CCB"/>
    <w:rsid w:val="72A9437C"/>
    <w:rsid w:val="72B77BA7"/>
    <w:rsid w:val="72BB4362"/>
    <w:rsid w:val="72E945CA"/>
    <w:rsid w:val="72FE4E59"/>
    <w:rsid w:val="732B3943"/>
    <w:rsid w:val="734B3290"/>
    <w:rsid w:val="73560DAA"/>
    <w:rsid w:val="735C0C85"/>
    <w:rsid w:val="735C227F"/>
    <w:rsid w:val="735C7D75"/>
    <w:rsid w:val="736561A3"/>
    <w:rsid w:val="737237FF"/>
    <w:rsid w:val="7372790D"/>
    <w:rsid w:val="737A180B"/>
    <w:rsid w:val="738D1AFA"/>
    <w:rsid w:val="73936192"/>
    <w:rsid w:val="739D4432"/>
    <w:rsid w:val="73A708C7"/>
    <w:rsid w:val="73EE7BD4"/>
    <w:rsid w:val="73FE6554"/>
    <w:rsid w:val="74052C8C"/>
    <w:rsid w:val="74065409"/>
    <w:rsid w:val="740D114B"/>
    <w:rsid w:val="74143FCA"/>
    <w:rsid w:val="741521A4"/>
    <w:rsid w:val="741C4C2C"/>
    <w:rsid w:val="741D2E7E"/>
    <w:rsid w:val="74231776"/>
    <w:rsid w:val="742A741D"/>
    <w:rsid w:val="743B50B2"/>
    <w:rsid w:val="74475573"/>
    <w:rsid w:val="744F5002"/>
    <w:rsid w:val="74533DD8"/>
    <w:rsid w:val="746626FF"/>
    <w:rsid w:val="747817C2"/>
    <w:rsid w:val="74911176"/>
    <w:rsid w:val="749961E3"/>
    <w:rsid w:val="74A372DB"/>
    <w:rsid w:val="74A5019C"/>
    <w:rsid w:val="74BB2697"/>
    <w:rsid w:val="74CD7086"/>
    <w:rsid w:val="74E4608F"/>
    <w:rsid w:val="75080E44"/>
    <w:rsid w:val="75111F62"/>
    <w:rsid w:val="75162CC6"/>
    <w:rsid w:val="7542044D"/>
    <w:rsid w:val="75446D82"/>
    <w:rsid w:val="75736F27"/>
    <w:rsid w:val="75864A53"/>
    <w:rsid w:val="759233F8"/>
    <w:rsid w:val="759B3BDC"/>
    <w:rsid w:val="759E321D"/>
    <w:rsid w:val="75AC5C2D"/>
    <w:rsid w:val="75DF5F11"/>
    <w:rsid w:val="761024FB"/>
    <w:rsid w:val="76121138"/>
    <w:rsid w:val="76174066"/>
    <w:rsid w:val="761C0248"/>
    <w:rsid w:val="76346CE5"/>
    <w:rsid w:val="764845CF"/>
    <w:rsid w:val="76492F12"/>
    <w:rsid w:val="76724FD8"/>
    <w:rsid w:val="7672510D"/>
    <w:rsid w:val="7678272D"/>
    <w:rsid w:val="7689400B"/>
    <w:rsid w:val="76937380"/>
    <w:rsid w:val="76A35191"/>
    <w:rsid w:val="76E91CCC"/>
    <w:rsid w:val="76EF03D6"/>
    <w:rsid w:val="77083511"/>
    <w:rsid w:val="770F6259"/>
    <w:rsid w:val="772C5186"/>
    <w:rsid w:val="77316B14"/>
    <w:rsid w:val="7737655D"/>
    <w:rsid w:val="775B5BC5"/>
    <w:rsid w:val="777810CB"/>
    <w:rsid w:val="778620DD"/>
    <w:rsid w:val="779B6C59"/>
    <w:rsid w:val="779E6B06"/>
    <w:rsid w:val="77B80028"/>
    <w:rsid w:val="77C655DB"/>
    <w:rsid w:val="77D01FB6"/>
    <w:rsid w:val="77D051A1"/>
    <w:rsid w:val="77DA35B6"/>
    <w:rsid w:val="77E56728"/>
    <w:rsid w:val="77F07377"/>
    <w:rsid w:val="77F80CA9"/>
    <w:rsid w:val="78050543"/>
    <w:rsid w:val="786170B2"/>
    <w:rsid w:val="78650950"/>
    <w:rsid w:val="78824484"/>
    <w:rsid w:val="788A6608"/>
    <w:rsid w:val="78931961"/>
    <w:rsid w:val="78A218EF"/>
    <w:rsid w:val="78A376CA"/>
    <w:rsid w:val="78C0027C"/>
    <w:rsid w:val="78CD136B"/>
    <w:rsid w:val="78D11731"/>
    <w:rsid w:val="78EF7679"/>
    <w:rsid w:val="78FB45F7"/>
    <w:rsid w:val="78FC7679"/>
    <w:rsid w:val="790E548B"/>
    <w:rsid w:val="79393B8B"/>
    <w:rsid w:val="794756BC"/>
    <w:rsid w:val="794C7A9A"/>
    <w:rsid w:val="79631329"/>
    <w:rsid w:val="79652D5C"/>
    <w:rsid w:val="79777D5E"/>
    <w:rsid w:val="797C401A"/>
    <w:rsid w:val="799F4335"/>
    <w:rsid w:val="79A35716"/>
    <w:rsid w:val="79BD029D"/>
    <w:rsid w:val="79C468C9"/>
    <w:rsid w:val="79CB414D"/>
    <w:rsid w:val="79CD2C51"/>
    <w:rsid w:val="79F92B69"/>
    <w:rsid w:val="7A0128FA"/>
    <w:rsid w:val="7A0423EA"/>
    <w:rsid w:val="7A22590E"/>
    <w:rsid w:val="7A247FB6"/>
    <w:rsid w:val="7A4245F8"/>
    <w:rsid w:val="7A8359DE"/>
    <w:rsid w:val="7A844288"/>
    <w:rsid w:val="7A883688"/>
    <w:rsid w:val="7A8C52AB"/>
    <w:rsid w:val="7A932AE7"/>
    <w:rsid w:val="7A951295"/>
    <w:rsid w:val="7A9D7BC7"/>
    <w:rsid w:val="7AB01FA9"/>
    <w:rsid w:val="7AD61FD9"/>
    <w:rsid w:val="7ADE49EA"/>
    <w:rsid w:val="7AF1471D"/>
    <w:rsid w:val="7AF76481"/>
    <w:rsid w:val="7B235943"/>
    <w:rsid w:val="7B3B1E3C"/>
    <w:rsid w:val="7B4B1DA7"/>
    <w:rsid w:val="7B520911"/>
    <w:rsid w:val="7B607AF4"/>
    <w:rsid w:val="7B6C0247"/>
    <w:rsid w:val="7B6E3FBF"/>
    <w:rsid w:val="7B7F2CAE"/>
    <w:rsid w:val="7B7F381A"/>
    <w:rsid w:val="7B8732D3"/>
    <w:rsid w:val="7BB265A2"/>
    <w:rsid w:val="7BD65CD4"/>
    <w:rsid w:val="7BD679BF"/>
    <w:rsid w:val="7BDA539F"/>
    <w:rsid w:val="7BE764A8"/>
    <w:rsid w:val="7C0B7B94"/>
    <w:rsid w:val="7C2B0F68"/>
    <w:rsid w:val="7C3B22CC"/>
    <w:rsid w:val="7C3C40BE"/>
    <w:rsid w:val="7C4F1E58"/>
    <w:rsid w:val="7C6A43EA"/>
    <w:rsid w:val="7C865339"/>
    <w:rsid w:val="7C885555"/>
    <w:rsid w:val="7CB00608"/>
    <w:rsid w:val="7CC11C19"/>
    <w:rsid w:val="7CDE5175"/>
    <w:rsid w:val="7CE309DD"/>
    <w:rsid w:val="7D080444"/>
    <w:rsid w:val="7D142945"/>
    <w:rsid w:val="7D292894"/>
    <w:rsid w:val="7D2A690E"/>
    <w:rsid w:val="7D36066A"/>
    <w:rsid w:val="7D3C4514"/>
    <w:rsid w:val="7D742C1C"/>
    <w:rsid w:val="7D805BC0"/>
    <w:rsid w:val="7D8C6BBD"/>
    <w:rsid w:val="7D953507"/>
    <w:rsid w:val="7D9E45AD"/>
    <w:rsid w:val="7DA4016C"/>
    <w:rsid w:val="7DA90991"/>
    <w:rsid w:val="7DAB1434"/>
    <w:rsid w:val="7DBA08AC"/>
    <w:rsid w:val="7DCC62E7"/>
    <w:rsid w:val="7DE95B7F"/>
    <w:rsid w:val="7DF34C25"/>
    <w:rsid w:val="7E24305B"/>
    <w:rsid w:val="7E444069"/>
    <w:rsid w:val="7E4E5CE5"/>
    <w:rsid w:val="7E7729A1"/>
    <w:rsid w:val="7E7A6017"/>
    <w:rsid w:val="7E933FB5"/>
    <w:rsid w:val="7EA55E80"/>
    <w:rsid w:val="7EA84466"/>
    <w:rsid w:val="7EAE29BA"/>
    <w:rsid w:val="7EBC425B"/>
    <w:rsid w:val="7EC21C25"/>
    <w:rsid w:val="7EE11EE3"/>
    <w:rsid w:val="7EEF18BB"/>
    <w:rsid w:val="7EF7251E"/>
    <w:rsid w:val="7EFE0269"/>
    <w:rsid w:val="7F250E39"/>
    <w:rsid w:val="7F364073"/>
    <w:rsid w:val="7F386457"/>
    <w:rsid w:val="7F394C39"/>
    <w:rsid w:val="7F410EA6"/>
    <w:rsid w:val="7F4259E2"/>
    <w:rsid w:val="7F4734A5"/>
    <w:rsid w:val="7F524091"/>
    <w:rsid w:val="7F743B6E"/>
    <w:rsid w:val="7FAD1ED9"/>
    <w:rsid w:val="7FAF4C3A"/>
    <w:rsid w:val="7FB9184E"/>
    <w:rsid w:val="7FBB179D"/>
    <w:rsid w:val="7FC56178"/>
    <w:rsid w:val="7FCB5E84"/>
    <w:rsid w:val="7FE44A3E"/>
    <w:rsid w:val="7FF03444"/>
    <w:rsid w:val="7FF72400"/>
    <w:rsid w:val="7FFA65AA"/>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53"/>
    <w:qFormat/>
    <w:uiPriority w:val="0"/>
    <w:pPr>
      <w:spacing w:line="702" w:lineRule="exact"/>
      <w:ind w:left="2148"/>
      <w:outlineLvl w:val="0"/>
    </w:pPr>
    <w:rPr>
      <w:rFonts w:ascii="Microsoft JhengHei" w:hAnsi="Microsoft JhengHei" w:eastAsia="Microsoft JhengHei" w:cs="Microsoft JhengHei"/>
      <w:b/>
      <w:bCs/>
      <w:sz w:val="44"/>
      <w:szCs w:val="44"/>
    </w:rPr>
  </w:style>
  <w:style w:type="paragraph" w:styleId="3">
    <w:name w:val="heading 2"/>
    <w:basedOn w:val="1"/>
    <w:next w:val="1"/>
    <w:link w:val="54"/>
    <w:autoRedefine/>
    <w:qFormat/>
    <w:uiPriority w:val="0"/>
    <w:pPr>
      <w:jc w:val="center"/>
      <w:outlineLvl w:val="1"/>
    </w:pPr>
    <w:rPr>
      <w:rFonts w:ascii="Microsoft JhengHei" w:hAnsi="Microsoft JhengHei" w:eastAsia="Microsoft JhengHei" w:cs="Microsoft JhengHei"/>
      <w:b/>
      <w:bCs/>
      <w:sz w:val="32"/>
      <w:szCs w:val="32"/>
    </w:rPr>
  </w:style>
  <w:style w:type="paragraph" w:styleId="4">
    <w:name w:val="heading 3"/>
    <w:basedOn w:val="1"/>
    <w:next w:val="1"/>
    <w:link w:val="55"/>
    <w:autoRedefine/>
    <w:qFormat/>
    <w:uiPriority w:val="0"/>
    <w:pPr>
      <w:spacing w:before="54"/>
      <w:ind w:left="202"/>
      <w:outlineLvl w:val="2"/>
    </w:pPr>
    <w:rPr>
      <w:sz w:val="32"/>
      <w:szCs w:val="32"/>
    </w:rPr>
  </w:style>
  <w:style w:type="paragraph" w:styleId="5">
    <w:name w:val="heading 4"/>
    <w:basedOn w:val="1"/>
    <w:next w:val="1"/>
    <w:link w:val="128"/>
    <w:autoRedefine/>
    <w:qFormat/>
    <w:uiPriority w:val="0"/>
    <w:pPr>
      <w:ind w:left="2033"/>
      <w:outlineLvl w:val="3"/>
    </w:pPr>
    <w:rPr>
      <w:rFonts w:ascii="Microsoft JhengHei" w:hAnsi="Microsoft JhengHei" w:eastAsia="Microsoft JhengHei" w:cs="Microsoft JhengHei"/>
      <w:b/>
      <w:bCs/>
      <w:sz w:val="30"/>
      <w:szCs w:val="30"/>
    </w:rPr>
  </w:style>
  <w:style w:type="paragraph" w:styleId="6">
    <w:name w:val="heading 5"/>
    <w:basedOn w:val="1"/>
    <w:next w:val="7"/>
    <w:link w:val="57"/>
    <w:autoRedefine/>
    <w:qFormat/>
    <w:uiPriority w:val="0"/>
    <w:pPr>
      <w:ind w:left="202"/>
      <w:outlineLvl w:val="4"/>
    </w:pPr>
    <w:rPr>
      <w:sz w:val="30"/>
      <w:szCs w:val="30"/>
    </w:rPr>
  </w:style>
  <w:style w:type="paragraph" w:styleId="8">
    <w:name w:val="heading 6"/>
    <w:basedOn w:val="1"/>
    <w:next w:val="1"/>
    <w:link w:val="58"/>
    <w:autoRedefine/>
    <w:qFormat/>
    <w:uiPriority w:val="0"/>
    <w:pPr>
      <w:ind w:left="225"/>
      <w:outlineLvl w:val="5"/>
    </w:pPr>
    <w:rPr>
      <w:rFonts w:ascii="Microsoft JhengHei" w:hAnsi="Microsoft JhengHei" w:eastAsia="Microsoft JhengHei" w:cs="Microsoft JhengHei"/>
      <w:b/>
      <w:bCs/>
      <w:sz w:val="28"/>
      <w:szCs w:val="28"/>
    </w:rPr>
  </w:style>
  <w:style w:type="paragraph" w:styleId="9">
    <w:name w:val="heading 7"/>
    <w:basedOn w:val="1"/>
    <w:next w:val="1"/>
    <w:link w:val="126"/>
    <w:autoRedefine/>
    <w:qFormat/>
    <w:uiPriority w:val="0"/>
    <w:pPr>
      <w:spacing w:before="112"/>
      <w:ind w:left="202" w:right="245"/>
      <w:jc w:val="center"/>
      <w:outlineLvl w:val="6"/>
    </w:pPr>
    <w:rPr>
      <w:sz w:val="28"/>
      <w:szCs w:val="28"/>
    </w:rPr>
  </w:style>
  <w:style w:type="paragraph" w:styleId="10">
    <w:name w:val="heading 8"/>
    <w:basedOn w:val="1"/>
    <w:next w:val="1"/>
    <w:link w:val="60"/>
    <w:autoRedefine/>
    <w:qFormat/>
    <w:uiPriority w:val="0"/>
    <w:pPr>
      <w:ind w:left="681" w:right="250"/>
      <w:jc w:val="center"/>
      <w:outlineLvl w:val="7"/>
    </w:pPr>
    <w:rPr>
      <w:rFonts w:ascii="Microsoft JhengHei" w:hAnsi="Microsoft JhengHei" w:eastAsia="Microsoft JhengHei" w:cs="Microsoft JhengHei"/>
      <w:b/>
      <w:bCs/>
      <w:sz w:val="24"/>
      <w:szCs w:val="24"/>
    </w:rPr>
  </w:style>
  <w:style w:type="paragraph" w:styleId="11">
    <w:name w:val="heading 9"/>
    <w:basedOn w:val="1"/>
    <w:next w:val="1"/>
    <w:link w:val="61"/>
    <w:autoRedefine/>
    <w:qFormat/>
    <w:uiPriority w:val="0"/>
    <w:pPr>
      <w:ind w:left="225"/>
      <w:outlineLvl w:val="8"/>
    </w:pPr>
    <w:rPr>
      <w:sz w:val="24"/>
      <w:szCs w:val="24"/>
    </w:rPr>
  </w:style>
  <w:style w:type="character" w:default="1" w:styleId="45">
    <w:name w:val="Default Paragraph Font"/>
    <w:autoRedefine/>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val="en-US" w:bidi="ar-SA"/>
    </w:rPr>
  </w:style>
  <w:style w:type="paragraph" w:styleId="12">
    <w:name w:val="toc 7"/>
    <w:basedOn w:val="1"/>
    <w:next w:val="1"/>
    <w:autoRedefine/>
    <w:qFormat/>
    <w:uiPriority w:val="39"/>
    <w:pPr>
      <w:autoSpaceDE/>
      <w:autoSpaceDN/>
      <w:ind w:left="2520" w:leftChars="1200"/>
      <w:jc w:val="both"/>
    </w:pPr>
    <w:rPr>
      <w:rFonts w:ascii="Calibri" w:hAnsi="Calibri" w:cs="Times New Roman"/>
      <w:kern w:val="2"/>
      <w:sz w:val="21"/>
      <w:lang w:val="en-US" w:bidi="ar-SA"/>
    </w:rPr>
  </w:style>
  <w:style w:type="paragraph" w:styleId="13">
    <w:name w:val="List Number"/>
    <w:basedOn w:val="1"/>
    <w:autoRedefine/>
    <w:unhideWhenUsed/>
    <w:qFormat/>
    <w:uiPriority w:val="99"/>
    <w:pPr>
      <w:numPr>
        <w:ilvl w:val="0"/>
        <w:numId w:val="1"/>
      </w:numPr>
    </w:pPr>
  </w:style>
  <w:style w:type="paragraph" w:styleId="14">
    <w:name w:val="caption"/>
    <w:basedOn w:val="1"/>
    <w:next w:val="1"/>
    <w:autoRedefine/>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62"/>
    <w:autoRedefine/>
    <w:qFormat/>
    <w:uiPriority w:val="0"/>
    <w:pPr>
      <w:shd w:val="clear" w:color="auto" w:fill="000080"/>
      <w:autoSpaceDE/>
      <w:autoSpaceDN/>
      <w:jc w:val="both"/>
    </w:pPr>
    <w:rPr>
      <w:rFonts w:ascii="Times New Roman" w:hAnsi="Times New Roman" w:cs="Times New Roman"/>
      <w:sz w:val="20"/>
      <w:szCs w:val="24"/>
      <w:shd w:val="clear" w:color="auto" w:fill="000080"/>
      <w:lang w:bidi="ar-SA"/>
    </w:rPr>
  </w:style>
  <w:style w:type="paragraph" w:styleId="16">
    <w:name w:val="toa heading"/>
    <w:basedOn w:val="1"/>
    <w:next w:val="1"/>
    <w:autoRedefine/>
    <w:qFormat/>
    <w:uiPriority w:val="0"/>
    <w:rPr>
      <w:rFonts w:ascii="Arial" w:hAnsi="Arial"/>
      <w:sz w:val="24"/>
    </w:rPr>
  </w:style>
  <w:style w:type="paragraph" w:styleId="17">
    <w:name w:val="annotation text"/>
    <w:basedOn w:val="1"/>
    <w:link w:val="63"/>
    <w:autoRedefine/>
    <w:semiHidden/>
    <w:qFormat/>
    <w:uiPriority w:val="0"/>
  </w:style>
  <w:style w:type="paragraph" w:styleId="18">
    <w:name w:val="Body Text 3"/>
    <w:basedOn w:val="1"/>
    <w:autoRedefine/>
    <w:unhideWhenUsed/>
    <w:qFormat/>
    <w:uiPriority w:val="99"/>
    <w:pPr>
      <w:spacing w:after="120"/>
    </w:pPr>
    <w:rPr>
      <w:sz w:val="16"/>
      <w:szCs w:val="16"/>
    </w:rPr>
  </w:style>
  <w:style w:type="paragraph" w:styleId="19">
    <w:name w:val="Body Text"/>
    <w:basedOn w:val="1"/>
    <w:link w:val="64"/>
    <w:autoRedefine/>
    <w:qFormat/>
    <w:uiPriority w:val="0"/>
    <w:rPr>
      <w:sz w:val="21"/>
      <w:szCs w:val="21"/>
    </w:rPr>
  </w:style>
  <w:style w:type="paragraph" w:styleId="20">
    <w:name w:val="Body Text Indent"/>
    <w:basedOn w:val="1"/>
    <w:autoRedefine/>
    <w:qFormat/>
    <w:uiPriority w:val="0"/>
    <w:pPr>
      <w:ind w:firstLine="830" w:firstLineChars="352"/>
    </w:pPr>
    <w:rPr>
      <w:rFonts w:ascii="仿宋_GB2312" w:eastAsia="仿宋_GB2312"/>
      <w:kern w:val="0"/>
      <w:sz w:val="32"/>
      <w:szCs w:val="20"/>
    </w:rPr>
  </w:style>
  <w:style w:type="paragraph" w:styleId="21">
    <w:name w:val="List 2"/>
    <w:basedOn w:val="1"/>
    <w:autoRedefine/>
    <w:unhideWhenUsed/>
    <w:qFormat/>
    <w:uiPriority w:val="99"/>
    <w:pPr>
      <w:ind w:left="100" w:leftChars="200" w:hanging="200" w:hangingChars="200"/>
      <w:contextualSpacing/>
    </w:pPr>
  </w:style>
  <w:style w:type="paragraph" w:styleId="22">
    <w:name w:val="index 4"/>
    <w:basedOn w:val="1"/>
    <w:next w:val="1"/>
    <w:autoRedefine/>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3">
    <w:name w:val="toc 5"/>
    <w:basedOn w:val="1"/>
    <w:next w:val="1"/>
    <w:autoRedefine/>
    <w:qFormat/>
    <w:uiPriority w:val="39"/>
    <w:pPr>
      <w:tabs>
        <w:tab w:val="right" w:leader="dot" w:pos="8296"/>
      </w:tabs>
      <w:autoSpaceDE/>
      <w:autoSpaceDN/>
      <w:ind w:left="1050" w:leftChars="500"/>
      <w:jc w:val="both"/>
    </w:pPr>
    <w:rPr>
      <w:rFonts w:ascii="Calibri" w:hAnsi="Calibri" w:cs="Times New Roman"/>
      <w:kern w:val="2"/>
      <w:sz w:val="21"/>
      <w:lang w:val="en-US" w:bidi="ar-SA"/>
    </w:rPr>
  </w:style>
  <w:style w:type="paragraph" w:styleId="24">
    <w:name w:val="toc 3"/>
    <w:basedOn w:val="1"/>
    <w:next w:val="1"/>
    <w:autoRedefine/>
    <w:unhideWhenUsed/>
    <w:qFormat/>
    <w:uiPriority w:val="39"/>
    <w:pPr>
      <w:ind w:left="840" w:leftChars="400"/>
    </w:pPr>
  </w:style>
  <w:style w:type="paragraph" w:styleId="25">
    <w:name w:val="Plain Text"/>
    <w:basedOn w:val="1"/>
    <w:autoRedefine/>
    <w:qFormat/>
    <w:uiPriority w:val="0"/>
    <w:rPr>
      <w:rFonts w:ascii="宋体" w:hAnsi="Courier New"/>
      <w:szCs w:val="20"/>
    </w:rPr>
  </w:style>
  <w:style w:type="paragraph" w:styleId="26">
    <w:name w:val="toc 8"/>
    <w:basedOn w:val="1"/>
    <w:next w:val="1"/>
    <w:autoRedefine/>
    <w:qFormat/>
    <w:uiPriority w:val="39"/>
    <w:pPr>
      <w:autoSpaceDE/>
      <w:autoSpaceDN/>
      <w:ind w:left="2940" w:leftChars="1400"/>
      <w:jc w:val="both"/>
    </w:pPr>
    <w:rPr>
      <w:rFonts w:ascii="Calibri" w:hAnsi="Calibri" w:cs="Times New Roman"/>
      <w:kern w:val="2"/>
      <w:sz w:val="21"/>
      <w:lang w:val="en-US" w:bidi="ar-SA"/>
    </w:rPr>
  </w:style>
  <w:style w:type="paragraph" w:styleId="27">
    <w:name w:val="Date"/>
    <w:basedOn w:val="1"/>
    <w:next w:val="1"/>
    <w:link w:val="65"/>
    <w:autoRedefine/>
    <w:qFormat/>
    <w:uiPriority w:val="0"/>
    <w:pPr>
      <w:autoSpaceDE/>
      <w:autoSpaceDN/>
      <w:ind w:left="100" w:leftChars="2500"/>
      <w:jc w:val="both"/>
    </w:pPr>
    <w:rPr>
      <w:rFonts w:hAnsi="Times New Roman" w:cs="Times New Roman"/>
      <w:sz w:val="28"/>
      <w:szCs w:val="20"/>
      <w:lang w:bidi="ar-SA"/>
    </w:rPr>
  </w:style>
  <w:style w:type="paragraph" w:styleId="28">
    <w:name w:val="Body Text Indent 2"/>
    <w:basedOn w:val="1"/>
    <w:autoRedefine/>
    <w:qFormat/>
    <w:uiPriority w:val="0"/>
    <w:pPr>
      <w:ind w:firstLine="630"/>
    </w:pPr>
    <w:rPr>
      <w:sz w:val="32"/>
      <w:szCs w:val="20"/>
    </w:rPr>
  </w:style>
  <w:style w:type="paragraph" w:styleId="29">
    <w:name w:val="Balloon Text"/>
    <w:basedOn w:val="1"/>
    <w:link w:val="66"/>
    <w:autoRedefine/>
    <w:semiHidden/>
    <w:qFormat/>
    <w:uiPriority w:val="0"/>
    <w:rPr>
      <w:sz w:val="18"/>
      <w:szCs w:val="18"/>
    </w:rPr>
  </w:style>
  <w:style w:type="paragraph" w:styleId="30">
    <w:name w:val="footer"/>
    <w:basedOn w:val="1"/>
    <w:link w:val="67"/>
    <w:autoRedefine/>
    <w:unhideWhenUsed/>
    <w:qFormat/>
    <w:uiPriority w:val="99"/>
    <w:pPr>
      <w:tabs>
        <w:tab w:val="center" w:pos="4153"/>
        <w:tab w:val="right" w:pos="8306"/>
      </w:tabs>
      <w:snapToGrid w:val="0"/>
    </w:pPr>
    <w:rPr>
      <w:sz w:val="18"/>
      <w:szCs w:val="18"/>
    </w:rPr>
  </w:style>
  <w:style w:type="paragraph" w:styleId="31">
    <w:name w:val="header"/>
    <w:basedOn w:val="1"/>
    <w:next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33"/>
      <w:ind w:left="225"/>
    </w:pPr>
    <w:rPr>
      <w:sz w:val="24"/>
      <w:szCs w:val="24"/>
    </w:rPr>
  </w:style>
  <w:style w:type="paragraph" w:styleId="33">
    <w:name w:val="toc 4"/>
    <w:basedOn w:val="1"/>
    <w:next w:val="1"/>
    <w:autoRedefine/>
    <w:qFormat/>
    <w:uiPriority w:val="39"/>
    <w:pPr>
      <w:tabs>
        <w:tab w:val="left" w:pos="1890"/>
        <w:tab w:val="right" w:leader="dot" w:pos="8296"/>
      </w:tabs>
      <w:autoSpaceDE/>
      <w:autoSpaceDN/>
      <w:ind w:left="630" w:leftChars="300"/>
      <w:jc w:val="both"/>
    </w:pPr>
    <w:rPr>
      <w:rFonts w:ascii="Calibri" w:hAnsi="Calibri" w:cs="Times New Roman"/>
      <w:kern w:val="2"/>
      <w:sz w:val="21"/>
      <w:lang w:val="en-US" w:bidi="ar-SA"/>
    </w:rPr>
  </w:style>
  <w:style w:type="paragraph" w:styleId="34">
    <w:name w:val="Subtitle"/>
    <w:basedOn w:val="1"/>
    <w:next w:val="1"/>
    <w:link w:val="69"/>
    <w:autoRedefine/>
    <w:qFormat/>
    <w:uiPriority w:val="0"/>
    <w:pPr>
      <w:autoSpaceDE/>
      <w:autoSpaceDN/>
      <w:spacing w:before="240" w:after="60" w:line="312" w:lineRule="auto"/>
      <w:jc w:val="center"/>
      <w:outlineLvl w:val="1"/>
    </w:pPr>
    <w:rPr>
      <w:rFonts w:ascii="Cambria" w:hAnsi="Cambria" w:cs="Times New Roman"/>
      <w:b/>
      <w:bCs/>
      <w:kern w:val="28"/>
      <w:sz w:val="32"/>
      <w:szCs w:val="32"/>
      <w:lang w:bidi="ar-SA"/>
    </w:rPr>
  </w:style>
  <w:style w:type="paragraph" w:styleId="35">
    <w:name w:val="toc 6"/>
    <w:basedOn w:val="1"/>
    <w:next w:val="1"/>
    <w:autoRedefine/>
    <w:qFormat/>
    <w:uiPriority w:val="39"/>
    <w:pPr>
      <w:autoSpaceDE/>
      <w:autoSpaceDN/>
      <w:ind w:left="2100" w:leftChars="1000"/>
      <w:jc w:val="both"/>
    </w:pPr>
    <w:rPr>
      <w:rFonts w:ascii="Calibri" w:hAnsi="Calibri" w:cs="Times New Roman"/>
      <w:kern w:val="2"/>
      <w:sz w:val="21"/>
      <w:lang w:val="en-US" w:bidi="ar-SA"/>
    </w:rPr>
  </w:style>
  <w:style w:type="paragraph" w:styleId="36">
    <w:name w:val="toc 2"/>
    <w:basedOn w:val="1"/>
    <w:next w:val="1"/>
    <w:autoRedefine/>
    <w:unhideWhenUsed/>
    <w:qFormat/>
    <w:uiPriority w:val="39"/>
    <w:pPr>
      <w:ind w:left="420" w:leftChars="200"/>
    </w:pPr>
  </w:style>
  <w:style w:type="paragraph" w:styleId="37">
    <w:name w:val="toc 9"/>
    <w:basedOn w:val="1"/>
    <w:next w:val="1"/>
    <w:autoRedefine/>
    <w:qFormat/>
    <w:uiPriority w:val="39"/>
    <w:pPr>
      <w:autoSpaceDE/>
      <w:autoSpaceDN/>
      <w:ind w:left="3360" w:leftChars="1600"/>
      <w:jc w:val="both"/>
    </w:pPr>
    <w:rPr>
      <w:rFonts w:ascii="Calibri" w:hAnsi="Calibri" w:cs="Times New Roman"/>
      <w:kern w:val="2"/>
      <w:sz w:val="21"/>
      <w:lang w:val="en-US" w:bidi="ar-SA"/>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kern w:val="0"/>
      <w:sz w:val="24"/>
      <w:szCs w:val="24"/>
    </w:rPr>
  </w:style>
  <w:style w:type="paragraph" w:styleId="39">
    <w:name w:val="Title"/>
    <w:basedOn w:val="1"/>
    <w:next w:val="1"/>
    <w:link w:val="70"/>
    <w:autoRedefine/>
    <w:qFormat/>
    <w:uiPriority w:val="0"/>
    <w:pPr>
      <w:autoSpaceDE/>
      <w:autoSpaceDN/>
      <w:spacing w:before="240" w:after="60"/>
      <w:jc w:val="center"/>
      <w:outlineLvl w:val="0"/>
    </w:pPr>
    <w:rPr>
      <w:rFonts w:ascii="Cambria" w:hAnsi="Cambria" w:cs="Times New Roman"/>
      <w:b/>
      <w:bCs/>
      <w:kern w:val="2"/>
      <w:sz w:val="32"/>
      <w:szCs w:val="32"/>
      <w:lang w:bidi="ar-SA"/>
    </w:rPr>
  </w:style>
  <w:style w:type="paragraph" w:styleId="40">
    <w:name w:val="annotation subject"/>
    <w:basedOn w:val="17"/>
    <w:next w:val="17"/>
    <w:link w:val="71"/>
    <w:autoRedefine/>
    <w:semiHidden/>
    <w:qFormat/>
    <w:uiPriority w:val="0"/>
    <w:rPr>
      <w:b/>
      <w:bCs/>
    </w:rPr>
  </w:style>
  <w:style w:type="paragraph" w:styleId="41">
    <w:name w:val="Body Text First Indent"/>
    <w:basedOn w:val="19"/>
    <w:autoRedefine/>
    <w:unhideWhenUsed/>
    <w:qFormat/>
    <w:uiPriority w:val="99"/>
    <w:pPr>
      <w:tabs>
        <w:tab w:val="right" w:pos="6712"/>
      </w:tabs>
      <w:spacing w:line="240" w:lineRule="auto"/>
      <w:ind w:firstLine="420" w:firstLineChars="100"/>
    </w:pPr>
    <w:rPr>
      <w:rFonts w:ascii="Times New Roman" w:hAnsi="Times New Roman"/>
      <w:sz w:val="21"/>
    </w:rPr>
  </w:style>
  <w:style w:type="paragraph" w:styleId="42">
    <w:name w:val="Body Text First Indent 2"/>
    <w:basedOn w:val="20"/>
    <w:autoRedefine/>
    <w:unhideWhenUsed/>
    <w:qFormat/>
    <w:uiPriority w:val="99"/>
    <w:pPr>
      <w:ind w:left="420"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rPr>
      <w:rFonts w:cs="Times New Roman"/>
    </w:rPr>
  </w:style>
  <w:style w:type="character" w:styleId="48">
    <w:name w:val="FollowedHyperlink"/>
    <w:basedOn w:val="45"/>
    <w:autoRedefine/>
    <w:unhideWhenUsed/>
    <w:qFormat/>
    <w:uiPriority w:val="99"/>
    <w:rPr>
      <w:rFonts w:ascii="微软雅黑" w:hAnsi="微软雅黑" w:eastAsia="微软雅黑" w:cs="微软雅黑"/>
      <w:color w:val="02396F"/>
      <w:u w:val="single"/>
    </w:rPr>
  </w:style>
  <w:style w:type="character" w:styleId="49">
    <w:name w:val="Emphasis"/>
    <w:autoRedefine/>
    <w:qFormat/>
    <w:uiPriority w:val="0"/>
    <w:rPr>
      <w:i/>
      <w:iCs/>
    </w:rPr>
  </w:style>
  <w:style w:type="character" w:styleId="50">
    <w:name w:val="Hyperlink"/>
    <w:autoRedefine/>
    <w:qFormat/>
    <w:uiPriority w:val="99"/>
    <w:rPr>
      <w:rFonts w:cs="Times New Roman"/>
      <w:color w:val="0000FF"/>
      <w:u w:val="single"/>
    </w:rPr>
  </w:style>
  <w:style w:type="character" w:styleId="51">
    <w:name w:val="annotation reference"/>
    <w:basedOn w:val="45"/>
    <w:autoRedefine/>
    <w:semiHidden/>
    <w:qFormat/>
    <w:uiPriority w:val="0"/>
    <w:rPr>
      <w:sz w:val="21"/>
      <w:szCs w:val="21"/>
    </w:rPr>
  </w:style>
  <w:style w:type="paragraph" w:customStyle="1" w:styleId="5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标题 1 Char"/>
    <w:link w:val="2"/>
    <w:autoRedefine/>
    <w:qFormat/>
    <w:uiPriority w:val="0"/>
    <w:rPr>
      <w:rFonts w:ascii="Microsoft JhengHei" w:hAnsi="Microsoft JhengHei" w:eastAsia="Microsoft JhengHei" w:cs="Microsoft JhengHei"/>
      <w:b/>
      <w:bCs/>
      <w:sz w:val="44"/>
      <w:szCs w:val="44"/>
      <w:lang w:val="zh-CN" w:eastAsia="zh-CN" w:bidi="zh-CN"/>
    </w:rPr>
  </w:style>
  <w:style w:type="character" w:customStyle="1" w:styleId="54">
    <w:name w:val="标题 2 Char"/>
    <w:link w:val="3"/>
    <w:autoRedefine/>
    <w:qFormat/>
    <w:uiPriority w:val="0"/>
    <w:rPr>
      <w:rFonts w:ascii="Microsoft JhengHei" w:hAnsi="Microsoft JhengHei" w:eastAsia="Microsoft JhengHei" w:cs="Microsoft JhengHei"/>
      <w:b/>
      <w:bCs/>
      <w:sz w:val="32"/>
      <w:szCs w:val="32"/>
      <w:lang w:val="zh-CN" w:eastAsia="zh-CN" w:bidi="zh-CN"/>
    </w:rPr>
  </w:style>
  <w:style w:type="character" w:customStyle="1" w:styleId="55">
    <w:name w:val="标题 3 Char"/>
    <w:link w:val="4"/>
    <w:autoRedefine/>
    <w:qFormat/>
    <w:uiPriority w:val="0"/>
    <w:rPr>
      <w:rFonts w:ascii="宋体" w:hAnsi="宋体" w:eastAsia="宋体" w:cs="宋体"/>
      <w:sz w:val="32"/>
      <w:szCs w:val="32"/>
      <w:lang w:val="zh-CN" w:eastAsia="zh-CN" w:bidi="zh-CN"/>
    </w:rPr>
  </w:style>
  <w:style w:type="character" w:customStyle="1" w:styleId="56">
    <w:name w:val="标题 4 Char"/>
    <w:link w:val="5"/>
    <w:autoRedefine/>
    <w:qFormat/>
    <w:uiPriority w:val="0"/>
    <w:rPr>
      <w:rFonts w:ascii="Microsoft JhengHei" w:hAnsi="Microsoft JhengHei" w:eastAsia="Microsoft JhengHei" w:cs="Microsoft JhengHei"/>
      <w:b/>
      <w:bCs/>
      <w:sz w:val="30"/>
      <w:szCs w:val="30"/>
      <w:lang w:val="zh-CN" w:eastAsia="zh-CN" w:bidi="zh-CN"/>
    </w:rPr>
  </w:style>
  <w:style w:type="character" w:customStyle="1" w:styleId="57">
    <w:name w:val="标题 5 Char"/>
    <w:link w:val="6"/>
    <w:autoRedefine/>
    <w:qFormat/>
    <w:uiPriority w:val="0"/>
    <w:rPr>
      <w:rFonts w:ascii="宋体" w:hAnsi="宋体" w:eastAsia="宋体" w:cs="宋体"/>
      <w:sz w:val="30"/>
      <w:szCs w:val="30"/>
      <w:lang w:val="zh-CN" w:eastAsia="zh-CN" w:bidi="zh-CN"/>
    </w:rPr>
  </w:style>
  <w:style w:type="character" w:customStyle="1" w:styleId="58">
    <w:name w:val="标题 6 Char"/>
    <w:link w:val="8"/>
    <w:autoRedefine/>
    <w:qFormat/>
    <w:uiPriority w:val="0"/>
    <w:rPr>
      <w:rFonts w:ascii="Microsoft JhengHei" w:hAnsi="Microsoft JhengHei" w:eastAsia="Microsoft JhengHei" w:cs="Microsoft JhengHei"/>
      <w:b/>
      <w:bCs/>
      <w:sz w:val="28"/>
      <w:szCs w:val="28"/>
      <w:lang w:val="zh-CN" w:eastAsia="zh-CN" w:bidi="zh-CN"/>
    </w:rPr>
  </w:style>
  <w:style w:type="character" w:customStyle="1" w:styleId="59">
    <w:name w:val="标题 7 Char"/>
    <w:link w:val="9"/>
    <w:autoRedefine/>
    <w:qFormat/>
    <w:uiPriority w:val="0"/>
    <w:rPr>
      <w:rFonts w:ascii="宋体" w:hAnsi="宋体" w:eastAsia="宋体" w:cs="宋体"/>
      <w:sz w:val="28"/>
      <w:szCs w:val="28"/>
      <w:lang w:val="zh-CN" w:eastAsia="zh-CN" w:bidi="zh-CN"/>
    </w:rPr>
  </w:style>
  <w:style w:type="character" w:customStyle="1" w:styleId="60">
    <w:name w:val="标题 8 Char"/>
    <w:link w:val="10"/>
    <w:autoRedefine/>
    <w:qFormat/>
    <w:uiPriority w:val="0"/>
    <w:rPr>
      <w:rFonts w:ascii="Microsoft JhengHei" w:hAnsi="Microsoft JhengHei" w:eastAsia="Microsoft JhengHei" w:cs="Microsoft JhengHei"/>
      <w:b/>
      <w:bCs/>
      <w:sz w:val="24"/>
      <w:szCs w:val="24"/>
      <w:lang w:val="zh-CN" w:eastAsia="zh-CN" w:bidi="zh-CN"/>
    </w:rPr>
  </w:style>
  <w:style w:type="character" w:customStyle="1" w:styleId="61">
    <w:name w:val="标题 9 Char"/>
    <w:link w:val="11"/>
    <w:autoRedefine/>
    <w:qFormat/>
    <w:uiPriority w:val="0"/>
    <w:rPr>
      <w:rFonts w:ascii="宋体" w:hAnsi="宋体" w:eastAsia="宋体" w:cs="宋体"/>
      <w:sz w:val="24"/>
      <w:szCs w:val="24"/>
      <w:lang w:val="zh-CN" w:eastAsia="zh-CN" w:bidi="zh-CN"/>
    </w:rPr>
  </w:style>
  <w:style w:type="character" w:customStyle="1" w:styleId="62">
    <w:name w:val="文档结构图 Char"/>
    <w:link w:val="15"/>
    <w:autoRedefine/>
    <w:qFormat/>
    <w:uiPriority w:val="0"/>
    <w:rPr>
      <w:szCs w:val="24"/>
      <w:shd w:val="clear" w:color="auto" w:fill="000080"/>
      <w:lang w:bidi="ar-SA"/>
    </w:rPr>
  </w:style>
  <w:style w:type="character" w:customStyle="1" w:styleId="63">
    <w:name w:val="批注文字 Char"/>
    <w:link w:val="17"/>
    <w:autoRedefine/>
    <w:qFormat/>
    <w:uiPriority w:val="0"/>
    <w:rPr>
      <w:rFonts w:ascii="宋体" w:hAnsi="宋体" w:eastAsia="宋体" w:cs="宋体"/>
      <w:sz w:val="22"/>
      <w:szCs w:val="22"/>
      <w:lang w:val="zh-CN" w:eastAsia="zh-CN" w:bidi="zh-CN"/>
    </w:rPr>
  </w:style>
  <w:style w:type="character" w:customStyle="1" w:styleId="64">
    <w:name w:val="正文文本 Char"/>
    <w:link w:val="19"/>
    <w:autoRedefine/>
    <w:qFormat/>
    <w:uiPriority w:val="0"/>
    <w:rPr>
      <w:rFonts w:ascii="宋体" w:hAnsi="宋体" w:eastAsia="宋体" w:cs="宋体"/>
      <w:sz w:val="21"/>
      <w:szCs w:val="21"/>
      <w:lang w:val="zh-CN" w:eastAsia="zh-CN" w:bidi="zh-CN"/>
    </w:rPr>
  </w:style>
  <w:style w:type="character" w:customStyle="1" w:styleId="65">
    <w:name w:val="日期 Char"/>
    <w:link w:val="27"/>
    <w:autoRedefine/>
    <w:qFormat/>
    <w:uiPriority w:val="0"/>
    <w:rPr>
      <w:rFonts w:ascii="宋体"/>
      <w:sz w:val="28"/>
      <w:lang w:bidi="ar-SA"/>
    </w:rPr>
  </w:style>
  <w:style w:type="character" w:customStyle="1" w:styleId="66">
    <w:name w:val="批注框文本 Char"/>
    <w:link w:val="29"/>
    <w:autoRedefine/>
    <w:qFormat/>
    <w:uiPriority w:val="0"/>
    <w:rPr>
      <w:rFonts w:ascii="宋体" w:hAnsi="宋体" w:eastAsia="宋体" w:cs="宋体"/>
      <w:sz w:val="18"/>
      <w:szCs w:val="18"/>
      <w:lang w:val="zh-CN" w:eastAsia="zh-CN" w:bidi="zh-CN"/>
    </w:rPr>
  </w:style>
  <w:style w:type="character" w:customStyle="1" w:styleId="67">
    <w:name w:val="页脚 Char"/>
    <w:basedOn w:val="45"/>
    <w:link w:val="30"/>
    <w:autoRedefine/>
    <w:qFormat/>
    <w:uiPriority w:val="99"/>
    <w:rPr>
      <w:rFonts w:ascii="宋体" w:hAnsi="宋体" w:eastAsia="宋体" w:cs="宋体"/>
      <w:sz w:val="18"/>
      <w:szCs w:val="18"/>
      <w:lang w:val="zh-CN" w:eastAsia="zh-CN" w:bidi="zh-CN"/>
    </w:rPr>
  </w:style>
  <w:style w:type="character" w:customStyle="1" w:styleId="68">
    <w:name w:val="页眉 Char"/>
    <w:basedOn w:val="45"/>
    <w:link w:val="31"/>
    <w:autoRedefine/>
    <w:qFormat/>
    <w:uiPriority w:val="99"/>
    <w:rPr>
      <w:rFonts w:ascii="宋体" w:hAnsi="宋体" w:eastAsia="宋体" w:cs="宋体"/>
      <w:sz w:val="18"/>
      <w:szCs w:val="18"/>
      <w:lang w:val="zh-CN" w:eastAsia="zh-CN" w:bidi="zh-CN"/>
    </w:rPr>
  </w:style>
  <w:style w:type="character" w:customStyle="1" w:styleId="69">
    <w:name w:val="副标题 Char"/>
    <w:link w:val="34"/>
    <w:autoRedefine/>
    <w:qFormat/>
    <w:uiPriority w:val="0"/>
    <w:rPr>
      <w:rFonts w:ascii="Cambria" w:hAnsi="Cambria"/>
      <w:b/>
      <w:bCs/>
      <w:kern w:val="28"/>
      <w:sz w:val="32"/>
      <w:szCs w:val="32"/>
      <w:lang w:bidi="ar-SA"/>
    </w:rPr>
  </w:style>
  <w:style w:type="character" w:customStyle="1" w:styleId="70">
    <w:name w:val="标题 Char"/>
    <w:link w:val="39"/>
    <w:autoRedefine/>
    <w:qFormat/>
    <w:uiPriority w:val="0"/>
    <w:rPr>
      <w:rFonts w:ascii="Cambria" w:hAnsi="Cambria"/>
      <w:b/>
      <w:bCs/>
      <w:kern w:val="2"/>
      <w:sz w:val="32"/>
      <w:szCs w:val="32"/>
      <w:lang w:bidi="ar-SA"/>
    </w:rPr>
  </w:style>
  <w:style w:type="character" w:customStyle="1" w:styleId="71">
    <w:name w:val="批注主题 Char"/>
    <w:link w:val="40"/>
    <w:autoRedefine/>
    <w:qFormat/>
    <w:uiPriority w:val="0"/>
    <w:rPr>
      <w:rFonts w:ascii="宋体" w:hAnsi="宋体" w:eastAsia="宋体" w:cs="宋体"/>
      <w:b/>
      <w:bCs/>
      <w:sz w:val="22"/>
      <w:szCs w:val="22"/>
      <w:lang w:val="zh-CN" w:eastAsia="zh-CN" w:bidi="zh-CN"/>
    </w:rPr>
  </w:style>
  <w:style w:type="character" w:customStyle="1" w:styleId="72">
    <w:name w:val="redfilenumber"/>
    <w:basedOn w:val="45"/>
    <w:autoRedefine/>
    <w:qFormat/>
    <w:uiPriority w:val="0"/>
    <w:rPr>
      <w:color w:val="BA2636"/>
      <w:sz w:val="18"/>
      <w:szCs w:val="18"/>
    </w:rPr>
  </w:style>
  <w:style w:type="character" w:customStyle="1" w:styleId="73">
    <w:name w:val="批注主题 Char1"/>
    <w:autoRedefine/>
    <w:qFormat/>
    <w:uiPriority w:val="0"/>
    <w:rPr>
      <w:b/>
      <w:bCs/>
      <w:kern w:val="2"/>
      <w:sz w:val="21"/>
      <w:szCs w:val="22"/>
    </w:rPr>
  </w:style>
  <w:style w:type="character" w:customStyle="1" w:styleId="74">
    <w:name w:val="批注文字 Char Char"/>
    <w:autoRedefine/>
    <w:qFormat/>
    <w:uiPriority w:val="0"/>
    <w:rPr>
      <w:rFonts w:ascii="宋体" w:hAnsi="Times New Roman" w:eastAsia="宋体" w:cs="Times New Roman"/>
      <w:sz w:val="28"/>
      <w:szCs w:val="20"/>
    </w:rPr>
  </w:style>
  <w:style w:type="character" w:customStyle="1" w:styleId="75">
    <w:name w:val=" Char Char4"/>
    <w:autoRedefine/>
    <w:qFormat/>
    <w:uiPriority w:val="0"/>
    <w:rPr>
      <w:rFonts w:ascii="Times New Roman" w:hAnsi="Times New Roman" w:eastAsia="宋体"/>
      <w:b/>
      <w:bCs/>
      <w:kern w:val="44"/>
      <w:sz w:val="30"/>
      <w:szCs w:val="44"/>
    </w:rPr>
  </w:style>
  <w:style w:type="character" w:customStyle="1" w:styleId="76">
    <w:name w:val="_Style 74"/>
    <w:autoRedefine/>
    <w:qFormat/>
    <w:uiPriority w:val="0"/>
    <w:rPr>
      <w:smallCaps/>
      <w:color w:val="C0504D"/>
      <w:u w:val="single"/>
    </w:rPr>
  </w:style>
  <w:style w:type="character" w:customStyle="1" w:styleId="77">
    <w:name w:val="redfilefwwh"/>
    <w:basedOn w:val="45"/>
    <w:autoRedefine/>
    <w:qFormat/>
    <w:uiPriority w:val="0"/>
    <w:rPr>
      <w:color w:val="BA2636"/>
      <w:sz w:val="18"/>
      <w:szCs w:val="18"/>
    </w:rPr>
  </w:style>
  <w:style w:type="character" w:customStyle="1" w:styleId="78">
    <w:name w:val="_Style 76"/>
    <w:qFormat/>
    <w:uiPriority w:val="0"/>
    <w:rPr>
      <w:b/>
      <w:bCs/>
      <w:smallCaps/>
      <w:spacing w:val="5"/>
    </w:rPr>
  </w:style>
  <w:style w:type="character" w:customStyle="1" w:styleId="79">
    <w:name w:val="批注框文本 Char1"/>
    <w:autoRedefine/>
    <w:qFormat/>
    <w:uiPriority w:val="0"/>
    <w:rPr>
      <w:kern w:val="2"/>
      <w:sz w:val="18"/>
      <w:szCs w:val="18"/>
    </w:rPr>
  </w:style>
  <w:style w:type="character" w:customStyle="1" w:styleId="80">
    <w:name w:val="_Style 78"/>
    <w:autoRedefine/>
    <w:qFormat/>
    <w:uiPriority w:val="0"/>
    <w:rPr>
      <w:i/>
      <w:iCs/>
      <w:color w:val="808080"/>
    </w:rPr>
  </w:style>
  <w:style w:type="character" w:customStyle="1" w:styleId="81">
    <w:name w:val="_Style 79"/>
    <w:autoRedefine/>
    <w:qFormat/>
    <w:uiPriority w:val="0"/>
    <w:rPr>
      <w:b/>
      <w:bCs/>
      <w:i/>
      <w:iCs/>
      <w:color w:val="4F81BD"/>
    </w:rPr>
  </w:style>
  <w:style w:type="character" w:customStyle="1" w:styleId="82">
    <w:name w:val="日期 Char1"/>
    <w:autoRedefine/>
    <w:qFormat/>
    <w:uiPriority w:val="0"/>
    <w:rPr>
      <w:kern w:val="2"/>
      <w:sz w:val="21"/>
      <w:szCs w:val="22"/>
    </w:rPr>
  </w:style>
  <w:style w:type="character" w:customStyle="1" w:styleId="83">
    <w:name w:val="文档结构图 Char1"/>
    <w:autoRedefine/>
    <w:qFormat/>
    <w:uiPriority w:val="0"/>
    <w:rPr>
      <w:rFonts w:ascii="宋体"/>
      <w:kern w:val="2"/>
      <w:sz w:val="18"/>
      <w:szCs w:val="18"/>
    </w:rPr>
  </w:style>
  <w:style w:type="character" w:customStyle="1" w:styleId="84">
    <w:name w:val="qxdate"/>
    <w:basedOn w:val="45"/>
    <w:autoRedefine/>
    <w:qFormat/>
    <w:uiPriority w:val="0"/>
    <w:rPr>
      <w:color w:val="333333"/>
      <w:sz w:val="18"/>
      <w:szCs w:val="18"/>
    </w:rPr>
  </w:style>
  <w:style w:type="character" w:customStyle="1" w:styleId="85">
    <w:name w:val="textcontents"/>
    <w:qFormat/>
    <w:uiPriority w:val="0"/>
    <w:rPr>
      <w:rFonts w:cs="Times New Roman"/>
    </w:rPr>
  </w:style>
  <w:style w:type="character" w:customStyle="1" w:styleId="86">
    <w:name w:val="displayarti"/>
    <w:basedOn w:val="45"/>
    <w:autoRedefine/>
    <w:qFormat/>
    <w:uiPriority w:val="0"/>
    <w:rPr>
      <w:color w:val="FFFFFF"/>
      <w:shd w:val="clear" w:color="auto" w:fill="A00000"/>
    </w:rPr>
  </w:style>
  <w:style w:type="character" w:customStyle="1" w:styleId="87">
    <w:name w:val="NormalCharacter"/>
    <w:autoRedefine/>
    <w:semiHidden/>
    <w:qFormat/>
    <w:uiPriority w:val="0"/>
    <w:rPr>
      <w:rFonts w:ascii="宋体" w:hAnsi="宋体" w:cs="宋体"/>
      <w:sz w:val="22"/>
      <w:szCs w:val="22"/>
      <w:lang w:val="zh-CN" w:eastAsia="zh-CN" w:bidi="zh-CN"/>
    </w:rPr>
  </w:style>
  <w:style w:type="character" w:customStyle="1" w:styleId="88">
    <w:name w:val="标题4 Char Char"/>
    <w:link w:val="89"/>
    <w:autoRedefine/>
    <w:qFormat/>
    <w:uiPriority w:val="0"/>
    <w:rPr>
      <w:rFonts w:ascii="Arial" w:hAnsi="Arial"/>
      <w:b/>
      <w:bCs/>
      <w:sz w:val="24"/>
      <w:szCs w:val="32"/>
      <w:lang w:bidi="ar-SA"/>
    </w:rPr>
  </w:style>
  <w:style w:type="paragraph" w:customStyle="1" w:styleId="89">
    <w:name w:val="标题4"/>
    <w:basedOn w:val="3"/>
    <w:next w:val="22"/>
    <w:link w:val="88"/>
    <w:autoRedefine/>
    <w:qFormat/>
    <w:uiPriority w:val="0"/>
    <w:pPr>
      <w:keepNext/>
      <w:keepLines/>
      <w:autoSpaceDE/>
      <w:autoSpaceDN/>
      <w:spacing w:before="260" w:after="260" w:line="413" w:lineRule="auto"/>
      <w:jc w:val="both"/>
    </w:pPr>
    <w:rPr>
      <w:rFonts w:ascii="Arial" w:hAnsi="Arial" w:eastAsia="宋体" w:cs="Times New Roman"/>
      <w:sz w:val="24"/>
      <w:lang w:bidi="ar-SA"/>
    </w:rPr>
  </w:style>
  <w:style w:type="character" w:customStyle="1" w:styleId="90">
    <w:name w:val="标题5 Char Char"/>
    <w:link w:val="91"/>
    <w:autoRedefine/>
    <w:qFormat/>
    <w:uiPriority w:val="0"/>
    <w:rPr>
      <w:rFonts w:ascii="Arial" w:hAnsi="Arial"/>
      <w:b/>
      <w:bCs/>
      <w:sz w:val="24"/>
      <w:szCs w:val="32"/>
      <w:lang w:bidi="ar-SA"/>
    </w:rPr>
  </w:style>
  <w:style w:type="paragraph" w:customStyle="1" w:styleId="91">
    <w:name w:val="标题5"/>
    <w:basedOn w:val="4"/>
    <w:link w:val="90"/>
    <w:autoRedefine/>
    <w:qFormat/>
    <w:uiPriority w:val="0"/>
    <w:pPr>
      <w:keepNext/>
      <w:keepLines/>
      <w:autoSpaceDE/>
      <w:autoSpaceDN/>
      <w:spacing w:before="260" w:after="260" w:line="413" w:lineRule="auto"/>
      <w:ind w:left="0"/>
      <w:jc w:val="both"/>
    </w:pPr>
    <w:rPr>
      <w:rFonts w:ascii="Arial" w:hAnsi="Arial" w:cs="Times New Roman"/>
      <w:b/>
      <w:bCs/>
      <w:sz w:val="24"/>
      <w:lang w:bidi="ar-SA"/>
    </w:rPr>
  </w:style>
  <w:style w:type="character" w:customStyle="1" w:styleId="92">
    <w:name w:val="gjfg"/>
    <w:basedOn w:val="45"/>
    <w:qFormat/>
    <w:uiPriority w:val="0"/>
  </w:style>
  <w:style w:type="character" w:customStyle="1" w:styleId="93">
    <w:name w:val="正文文本 Char1"/>
    <w:autoRedefine/>
    <w:qFormat/>
    <w:uiPriority w:val="0"/>
    <w:rPr>
      <w:kern w:val="2"/>
      <w:sz w:val="21"/>
      <w:szCs w:val="22"/>
    </w:rPr>
  </w:style>
  <w:style w:type="character" w:customStyle="1" w:styleId="94">
    <w:name w:val="_Style 92"/>
    <w:autoRedefine/>
    <w:qFormat/>
    <w:uiPriority w:val="0"/>
    <w:rPr>
      <w:b/>
      <w:bCs/>
      <w:smallCaps/>
      <w:color w:val="C0504D"/>
      <w:spacing w:val="5"/>
      <w:u w:val="single"/>
    </w:rPr>
  </w:style>
  <w:style w:type="character" w:customStyle="1" w:styleId="95">
    <w:name w:val="引用 Char"/>
    <w:link w:val="96"/>
    <w:autoRedefine/>
    <w:qFormat/>
    <w:uiPriority w:val="0"/>
    <w:rPr>
      <w:i/>
      <w:iCs/>
      <w:color w:val="000000"/>
      <w:kern w:val="2"/>
      <w:sz w:val="21"/>
      <w:szCs w:val="22"/>
      <w:lang w:bidi="ar-SA"/>
    </w:rPr>
  </w:style>
  <w:style w:type="paragraph" w:styleId="96">
    <w:name w:val="Quote"/>
    <w:basedOn w:val="1"/>
    <w:next w:val="1"/>
    <w:link w:val="95"/>
    <w:autoRedefine/>
    <w:qFormat/>
    <w:uiPriority w:val="0"/>
    <w:pPr>
      <w:autoSpaceDE/>
      <w:autoSpaceDN/>
      <w:jc w:val="both"/>
    </w:pPr>
    <w:rPr>
      <w:rFonts w:ascii="Times New Roman" w:hAnsi="Times New Roman" w:cs="Times New Roman"/>
      <w:i/>
      <w:iCs/>
      <w:color w:val="000000"/>
      <w:kern w:val="2"/>
      <w:sz w:val="21"/>
      <w:lang w:bidi="ar-SA"/>
    </w:rPr>
  </w:style>
  <w:style w:type="character" w:customStyle="1" w:styleId="97">
    <w:name w:val="cfdate"/>
    <w:basedOn w:val="45"/>
    <w:autoRedefine/>
    <w:qFormat/>
    <w:uiPriority w:val="0"/>
    <w:rPr>
      <w:color w:val="333333"/>
      <w:sz w:val="18"/>
      <w:szCs w:val="18"/>
    </w:rPr>
  </w:style>
  <w:style w:type="character" w:customStyle="1" w:styleId="98">
    <w:name w:val="明显引用 Char"/>
    <w:link w:val="99"/>
    <w:autoRedefine/>
    <w:qFormat/>
    <w:uiPriority w:val="0"/>
    <w:rPr>
      <w:b/>
      <w:bCs/>
      <w:i/>
      <w:iCs/>
      <w:color w:val="4F81BD"/>
      <w:kern w:val="2"/>
      <w:sz w:val="21"/>
      <w:szCs w:val="22"/>
      <w:lang w:bidi="ar-SA"/>
    </w:rPr>
  </w:style>
  <w:style w:type="paragraph" w:styleId="99">
    <w:name w:val="Intense Quote"/>
    <w:basedOn w:val="1"/>
    <w:next w:val="1"/>
    <w:link w:val="98"/>
    <w:autoRedefine/>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bidi="ar-SA"/>
    </w:rPr>
  </w:style>
  <w:style w:type="paragraph" w:customStyle="1" w:styleId="100">
    <w:name w:val="Table Paragraph"/>
    <w:basedOn w:val="1"/>
    <w:autoRedefine/>
    <w:qFormat/>
    <w:uiPriority w:val="1"/>
  </w:style>
  <w:style w:type="paragraph" w:customStyle="1" w:styleId="101">
    <w:name w:val="表格文字"/>
    <w:basedOn w:val="1"/>
    <w:autoRedefine/>
    <w:qFormat/>
    <w:uiPriority w:val="0"/>
    <w:pPr>
      <w:spacing w:before="25" w:after="25"/>
      <w:jc w:val="left"/>
    </w:pPr>
    <w:rPr>
      <w:rFonts w:ascii="Times New Roman" w:hAnsi="Times New Roman" w:cs="Times New Roman"/>
      <w:spacing w:val="10"/>
      <w:sz w:val="24"/>
      <w:szCs w:val="20"/>
    </w:rPr>
  </w:style>
  <w:style w:type="paragraph" w:customStyle="1" w:styleId="102">
    <w:name w:val="List Paragraph1"/>
    <w:basedOn w:val="1"/>
    <w:autoRedefine/>
    <w:qFormat/>
    <w:uiPriority w:val="1"/>
    <w:pPr>
      <w:ind w:left="225"/>
    </w:pPr>
  </w:style>
  <w:style w:type="paragraph" w:customStyle="1" w:styleId="103">
    <w:name w:val="flNote"/>
    <w:basedOn w:val="1"/>
    <w:autoRedefine/>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04">
    <w:name w:val="2"/>
    <w:basedOn w:val="1"/>
    <w:next w:val="25"/>
    <w:autoRedefine/>
    <w:qFormat/>
    <w:uiPriority w:val="0"/>
    <w:rPr>
      <w:rFonts w:ascii="宋体" w:hAnsi="Courier New"/>
      <w:szCs w:val="20"/>
    </w:rPr>
  </w:style>
  <w:style w:type="paragraph" w:customStyle="1" w:styleId="105">
    <w:name w:val="Body text|1"/>
    <w:basedOn w:val="1"/>
    <w:autoRedefine/>
    <w:qFormat/>
    <w:uiPriority w:val="0"/>
    <w:pPr>
      <w:widowControl w:val="0"/>
      <w:shd w:val="clear" w:color="auto" w:fill="auto"/>
      <w:spacing w:line="382" w:lineRule="auto"/>
      <w:ind w:firstLine="400"/>
    </w:pPr>
    <w:rPr>
      <w:rFonts w:ascii="宋体" w:hAnsi="宋体" w:eastAsia="宋体" w:cs="宋体"/>
      <w:sz w:val="20"/>
      <w:szCs w:val="20"/>
      <w:u w:val="none"/>
      <w:shd w:val="clear" w:color="auto" w:fill="auto"/>
      <w:lang w:val="zh-TW" w:eastAsia="zh-TW" w:bidi="zh-TW"/>
    </w:rPr>
  </w:style>
  <w:style w:type="paragraph" w:styleId="106">
    <w:name w:val="List Paragraph"/>
    <w:basedOn w:val="1"/>
    <w:autoRedefine/>
    <w:qFormat/>
    <w:uiPriority w:val="0"/>
    <w:pPr>
      <w:autoSpaceDE/>
      <w:autoSpaceDN/>
      <w:ind w:firstLine="420" w:firstLineChars="200"/>
      <w:jc w:val="both"/>
    </w:pPr>
    <w:rPr>
      <w:rFonts w:ascii="Calibri" w:hAnsi="Calibri" w:cs="Times New Roman"/>
      <w:kern w:val="2"/>
      <w:sz w:val="21"/>
      <w:lang w:val="en-US" w:bidi="ar-SA"/>
    </w:rPr>
  </w:style>
  <w:style w:type="paragraph" w:customStyle="1" w:styleId="107">
    <w:name w:val="空半行"/>
    <w:basedOn w:val="1"/>
    <w:autoRedefine/>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108">
    <w:name w:val="_Style 106"/>
    <w:basedOn w:val="2"/>
    <w:next w:val="1"/>
    <w:autoRedefine/>
    <w:qFormat/>
    <w:uiPriority w:val="0"/>
    <w:pPr>
      <w:keepNext/>
      <w:keepLines/>
      <w:autoSpaceDE/>
      <w:autoSpaceDN/>
      <w:spacing w:before="340" w:after="330" w:line="576" w:lineRule="auto"/>
      <w:ind w:left="0"/>
      <w:jc w:val="both"/>
      <w:outlineLvl w:val="9"/>
    </w:pPr>
    <w:rPr>
      <w:rFonts w:ascii="Calibri" w:hAnsi="Calibri" w:eastAsia="宋体" w:cs="Times New Roman"/>
      <w:kern w:val="44"/>
      <w:lang w:val="en-US" w:bidi="ar-SA"/>
    </w:rPr>
  </w:style>
  <w:style w:type="paragraph" w:styleId="109">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_Style 18"/>
    <w:basedOn w:val="1"/>
    <w:autoRedefine/>
    <w:qFormat/>
    <w:uiPriority w:val="0"/>
    <w:pPr>
      <w:autoSpaceDE/>
      <w:autoSpaceDN/>
      <w:jc w:val="both"/>
    </w:pPr>
    <w:rPr>
      <w:rFonts w:ascii="Tahoma" w:hAnsi="Tahoma" w:cs="Times New Roman"/>
      <w:kern w:val="2"/>
      <w:sz w:val="24"/>
      <w:szCs w:val="20"/>
      <w:lang w:val="en-US" w:bidi="ar-SA"/>
    </w:rPr>
  </w:style>
  <w:style w:type="paragraph" w:customStyle="1" w:styleId="111">
    <w:name w:val="_Style 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_Style 110"/>
    <w:autoRedefine/>
    <w:qFormat/>
    <w:uiPriority w:val="0"/>
    <w:rPr>
      <w:rFonts w:ascii="Times New Roman" w:hAnsi="Times New Roman" w:eastAsia="宋体" w:cs="Times New Roman"/>
      <w:kern w:val="2"/>
      <w:sz w:val="21"/>
      <w:szCs w:val="24"/>
      <w:lang w:val="en-US" w:eastAsia="zh-CN" w:bidi="ar-SA"/>
    </w:rPr>
  </w:style>
  <w:style w:type="paragraph" w:customStyle="1" w:styleId="113">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样式 标题 2 + Times New Roman 四号 非加粗 段前: 5 磅 段后: 0 磅 行距: 固定值 20..."/>
    <w:basedOn w:val="3"/>
    <w:autoRedefine/>
    <w:qFormat/>
    <w:uiPriority w:val="0"/>
    <w:pPr>
      <w:keepNext/>
      <w:keepLines/>
      <w:autoSpaceDE/>
      <w:autoSpaceDN/>
      <w:spacing w:before="100" w:line="400" w:lineRule="exact"/>
      <w:jc w:val="both"/>
    </w:pPr>
    <w:rPr>
      <w:rFonts w:ascii="Times New Roman" w:hAnsi="Times New Roman" w:eastAsia="黑体" w:cs="宋体"/>
      <w:b w:val="0"/>
      <w:bCs w:val="0"/>
      <w:sz w:val="28"/>
      <w:szCs w:val="20"/>
      <w:lang w:val="en-US" w:bidi="ar-SA"/>
    </w:rPr>
  </w:style>
  <w:style w:type="paragraph" w:customStyle="1" w:styleId="115">
    <w:name w:val=" Char Char Char"/>
    <w:basedOn w:val="1"/>
    <w:autoRedefine/>
    <w:qFormat/>
    <w:uiPriority w:val="0"/>
    <w:pPr>
      <w:autoSpaceDE/>
      <w:autoSpaceDN/>
      <w:jc w:val="both"/>
    </w:pPr>
    <w:rPr>
      <w:rFonts w:ascii="Tahoma" w:hAnsi="Tahoma" w:cs="Times New Roman"/>
      <w:kern w:val="2"/>
      <w:sz w:val="24"/>
      <w:szCs w:val="20"/>
      <w:lang w:val="en-US" w:bidi="ar-SA"/>
    </w:rPr>
  </w:style>
  <w:style w:type="paragraph" w:customStyle="1" w:styleId="116">
    <w:name w:val="bb"/>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17">
    <w:name w:val="样式 标题 3 + (中文) 黑体 小四 非加粗 段前: 7.8 磅 段后: 0 磅 行距: 固定值 20 磅"/>
    <w:basedOn w:val="4"/>
    <w:autoRedefine/>
    <w:qFormat/>
    <w:uiPriority w:val="0"/>
    <w:pPr>
      <w:keepNext/>
      <w:keepLines/>
      <w:autoSpaceDE/>
      <w:autoSpaceDN/>
      <w:spacing w:before="0" w:line="400" w:lineRule="exact"/>
      <w:ind w:left="0"/>
      <w:jc w:val="both"/>
    </w:pPr>
    <w:rPr>
      <w:rFonts w:ascii="Times New Roman" w:hAnsi="Times New Roman" w:eastAsia="黑体"/>
      <w:kern w:val="2"/>
      <w:sz w:val="24"/>
      <w:szCs w:val="20"/>
      <w:lang w:bidi="ar-SA"/>
    </w:rPr>
  </w:style>
  <w:style w:type="paragraph" w:customStyle="1" w:styleId="11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正文段"/>
    <w:basedOn w:val="1"/>
    <w:autoRedefine/>
    <w:qFormat/>
    <w:uiPriority w:val="0"/>
    <w:pPr>
      <w:widowControl/>
      <w:spacing w:after="156"/>
      <w:ind w:firstLine="200"/>
    </w:pPr>
    <w:rPr>
      <w:rFonts w:eastAsia="Times New Roman"/>
      <w:sz w:val="24"/>
      <w:szCs w:val="20"/>
    </w:rPr>
  </w:style>
  <w:style w:type="table" w:customStyle="1" w:styleId="120">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121">
    <w:name w:val="标题 2_1"/>
    <w:basedOn w:val="122"/>
    <w:next w:val="122"/>
    <w:autoRedefine/>
    <w:qFormat/>
    <w:uiPriority w:val="0"/>
    <w:pPr>
      <w:keepNext/>
      <w:keepLines/>
      <w:spacing w:before="260" w:after="260" w:line="415" w:lineRule="auto"/>
      <w:outlineLvl w:val="1"/>
    </w:pPr>
    <w:rPr>
      <w:rFonts w:ascii="Cambria" w:hAnsi="Cambria"/>
      <w:b/>
      <w:bCs/>
      <w:sz w:val="32"/>
      <w:szCs w:val="32"/>
    </w:rPr>
  </w:style>
  <w:style w:type="paragraph" w:customStyle="1" w:styleId="122">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3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Other|1"/>
    <w:basedOn w:val="1"/>
    <w:autoRedefine/>
    <w:qFormat/>
    <w:uiPriority w:val="0"/>
    <w:pPr>
      <w:spacing w:line="360" w:lineRule="auto"/>
      <w:ind w:firstLine="400"/>
    </w:pPr>
    <w:rPr>
      <w:rFonts w:ascii="宋体" w:hAnsi="宋体" w:eastAsia="宋体" w:cs="宋体"/>
      <w:sz w:val="20"/>
      <w:szCs w:val="20"/>
      <w:lang w:val="zh-CN" w:eastAsia="zh-CN" w:bidi="zh-CN"/>
    </w:rPr>
  </w:style>
  <w:style w:type="paragraph" w:customStyle="1" w:styleId="125">
    <w:name w:val="Header or footer|1"/>
    <w:basedOn w:val="1"/>
    <w:autoRedefine/>
    <w:qFormat/>
    <w:uiPriority w:val="0"/>
    <w:pPr>
      <w:jc w:val="center"/>
    </w:pPr>
    <w:rPr>
      <w:sz w:val="17"/>
      <w:szCs w:val="17"/>
      <w:lang w:val="zh-CN" w:eastAsia="zh-CN" w:bidi="zh-CN"/>
    </w:rPr>
  </w:style>
  <w:style w:type="character" w:customStyle="1" w:styleId="126">
    <w:name w:val="标题 7 字符"/>
    <w:link w:val="9"/>
    <w:autoRedefine/>
    <w:qFormat/>
    <w:uiPriority w:val="0"/>
    <w:rPr>
      <w:b/>
      <w:sz w:val="24"/>
    </w:rPr>
  </w:style>
  <w:style w:type="paragraph" w:customStyle="1" w:styleId="127">
    <w:name w:val="Body text|2"/>
    <w:basedOn w:val="1"/>
    <w:autoRedefine/>
    <w:qFormat/>
    <w:uiPriority w:val="0"/>
    <w:pPr>
      <w:spacing w:after="30"/>
      <w:ind w:firstLine="420"/>
    </w:pPr>
    <w:rPr>
      <w:rFonts w:eastAsia="宋体"/>
      <w:color w:val="auto"/>
      <w:szCs w:val="20"/>
      <w:lang w:bidi="ar-SA"/>
    </w:rPr>
  </w:style>
  <w:style w:type="character" w:customStyle="1" w:styleId="128">
    <w:name w:val="标题 4 字符"/>
    <w:link w:val="5"/>
    <w:qFormat/>
    <w:uiPriority w:val="9"/>
    <w:rPr>
      <w:rFonts w:ascii="等线 Light" w:hAnsi="等线 Light" w:eastAsia="宋体" w:cs="Times New Roman"/>
      <w:b/>
      <w:bCs/>
      <w:sz w:val="30"/>
      <w:szCs w:val="28"/>
    </w:rPr>
  </w:style>
  <w:style w:type="paragraph" w:customStyle="1" w:styleId="129">
    <w:name w:val="Header or footer|2"/>
    <w:basedOn w:val="1"/>
    <w:qFormat/>
    <w:uiPriority w:val="0"/>
    <w:rPr>
      <w:rFonts w:eastAsia="宋体"/>
      <w:color w:val="auto"/>
      <w:sz w:val="20"/>
      <w:szCs w:val="20"/>
      <w:lang w:val="zh-CN" w:eastAsia="zh-CN" w:bidi="zh-CN"/>
    </w:rPr>
  </w:style>
  <w:style w:type="paragraph" w:customStyle="1" w:styleId="13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21794</Words>
  <Characters>23877</Characters>
  <Lines>365</Lines>
  <Paragraphs>102</Paragraphs>
  <TotalTime>82</TotalTime>
  <ScaleCrop>false</ScaleCrop>
  <LinksUpToDate>false</LinksUpToDate>
  <CharactersWithSpaces>24569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2017-12-06T09:40:00Z</dcterms:created>
  <dc:creator>ll</dc:creator>
  <cp:lastModifiedBy>大图图。</cp:lastModifiedBy>
  <cp:lastPrinted>2024-09-11T03:34:00Z</cp:lastPrinted>
  <dcterms:modified xsi:type="dcterms:W3CDTF">2025-06-26T03:37:54Z</dcterms:modified>
  <dc:title>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Office Word 2007</vt:lpwstr>
  </property>
  <property fmtid="{D5CDD505-2E9C-101B-9397-08002B2CF9AE}" pid="4" name="LastSaved">
    <vt:filetime>2017-12-01T00:00:00Z</vt:filetime>
  </property>
  <property fmtid="{D5CDD505-2E9C-101B-9397-08002B2CF9AE}" pid="5" name="KSOProductBuildVer">
    <vt:lpwstr>2052-12.1.0.21915</vt:lpwstr>
  </property>
  <property fmtid="{D5CDD505-2E9C-101B-9397-08002B2CF9AE}" pid="6" name="ICV">
    <vt:lpwstr>16D15E25D6574B5B9B66FD875D0EC031_13</vt:lpwstr>
  </property>
  <property fmtid="{D5CDD505-2E9C-101B-9397-08002B2CF9AE}" pid="7" name="KSOTemplateDocerSaveRecord">
    <vt:lpwstr>eyJoZGlkIjoiMmU2YjVhZDJkODljMGM3NmE1NDNjNzk1N2VkOWY4MGYiLCJ1c2VySWQiOiIyMTAxMjYzNDEifQ==</vt:lpwstr>
  </property>
</Properties>
</file>