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DCFE3">
      <w:pPr>
        <w:spacing w:line="360" w:lineRule="auto"/>
        <w:jc w:val="both"/>
        <w:rPr>
          <w:rFonts w:hint="eastAsia" w:cs="宋体" w:asciiTheme="minorEastAsia" w:hAnsiTheme="minorEastAsia" w:eastAsiaTheme="minorEastAsia"/>
          <w:b/>
          <w:bCs/>
          <w:color w:val="auto"/>
          <w:sz w:val="52"/>
          <w:szCs w:val="52"/>
          <w:highlight w:val="none"/>
          <w:lang w:val="en-US" w:eastAsia="zh-CN"/>
        </w:rPr>
      </w:pPr>
      <w:r>
        <w:rPr>
          <w:rFonts w:hint="eastAsia" w:cs="宋体" w:asciiTheme="minorEastAsia" w:hAnsiTheme="minorEastAsia" w:eastAsiaTheme="minorEastAsia"/>
          <w:b/>
          <w:bCs/>
          <w:color w:val="auto"/>
          <w:sz w:val="52"/>
          <w:szCs w:val="52"/>
          <w:highlight w:val="none"/>
          <w:lang w:val="en-US" w:eastAsia="zh-CN"/>
        </w:rPr>
        <w:t xml:space="preserve"> </w:t>
      </w:r>
    </w:p>
    <w:p w14:paraId="12393A2D">
      <w:pPr>
        <w:pStyle w:val="20"/>
        <w:ind w:firstLine="1126"/>
        <w:rPr>
          <w:color w:val="auto"/>
          <w:highlight w:val="none"/>
        </w:rPr>
      </w:pPr>
    </w:p>
    <w:p w14:paraId="120D3656">
      <w:pPr>
        <w:pStyle w:val="20"/>
        <w:ind w:firstLine="1126"/>
        <w:rPr>
          <w:color w:val="auto"/>
          <w:highlight w:val="none"/>
        </w:rPr>
      </w:pPr>
    </w:p>
    <w:p w14:paraId="0FD1457A">
      <w:pPr>
        <w:pStyle w:val="20"/>
        <w:ind w:firstLine="1126"/>
        <w:rPr>
          <w:color w:val="auto"/>
          <w:highlight w:val="none"/>
        </w:rPr>
      </w:pPr>
    </w:p>
    <w:p w14:paraId="66D394A7">
      <w:pPr>
        <w:rPr>
          <w:color w:val="auto"/>
          <w:highlight w:val="none"/>
        </w:rPr>
      </w:pPr>
    </w:p>
    <w:p w14:paraId="7E005BE1">
      <w:pPr>
        <w:snapToGrid w:val="0"/>
        <w:spacing w:before="156" w:beforeLines="50" w:line="360" w:lineRule="auto"/>
        <w:jc w:val="center"/>
        <w:rPr>
          <w:rFonts w:ascii="华文新魏" w:hAnsi="宋体" w:eastAsia="华文新魏"/>
          <w:color w:val="auto"/>
          <w:sz w:val="120"/>
          <w:szCs w:val="120"/>
          <w:highlight w:val="none"/>
        </w:rPr>
      </w:pPr>
      <w:r>
        <w:rPr>
          <w:rFonts w:hint="eastAsia" w:ascii="宋体" w:hAnsi="宋体" w:eastAsia="宋体" w:cs="宋体"/>
          <w:color w:val="auto"/>
          <w:sz w:val="120"/>
          <w:szCs w:val="120"/>
          <w:highlight w:val="none"/>
        </w:rPr>
        <w:t>竞争</w:t>
      </w:r>
      <w:bookmarkStart w:id="125" w:name="_GoBack"/>
      <w:bookmarkEnd w:id="125"/>
      <w:r>
        <w:rPr>
          <w:rFonts w:hint="eastAsia" w:ascii="宋体" w:hAnsi="宋体" w:eastAsia="宋体" w:cs="宋体"/>
          <w:color w:val="auto"/>
          <w:sz w:val="120"/>
          <w:szCs w:val="120"/>
          <w:highlight w:val="none"/>
        </w:rPr>
        <w:t>性磋商文件</w:t>
      </w:r>
    </w:p>
    <w:p w14:paraId="041D0A85">
      <w:pPr>
        <w:snapToGrid w:val="0"/>
        <w:spacing w:before="156" w:beforeLines="50" w:line="360" w:lineRule="auto"/>
        <w:jc w:val="center"/>
        <w:rPr>
          <w:rFonts w:ascii="仿宋_GB2312" w:hAnsi="宋体" w:eastAsia="仿宋_GB2312"/>
          <w:b/>
          <w:color w:val="auto"/>
          <w:sz w:val="30"/>
          <w:szCs w:val="72"/>
          <w:highlight w:val="none"/>
        </w:rPr>
      </w:pPr>
      <w:r>
        <w:rPr>
          <w:rFonts w:hint="eastAsia" w:ascii="仿宋_GB2312" w:hAnsi="宋体" w:eastAsia="仿宋_GB2312"/>
          <w:b/>
          <w:color w:val="auto"/>
          <w:sz w:val="48"/>
          <w:szCs w:val="48"/>
          <w:highlight w:val="none"/>
        </w:rPr>
        <w:t>（</w:t>
      </w:r>
      <w:r>
        <w:rPr>
          <w:rFonts w:hint="eastAsia" w:ascii="宋体" w:hAnsi="宋体"/>
          <w:b/>
          <w:color w:val="auto"/>
          <w:sz w:val="48"/>
          <w:szCs w:val="48"/>
          <w:highlight w:val="none"/>
        </w:rPr>
        <w:t>全流程电子化采购</w:t>
      </w:r>
      <w:r>
        <w:rPr>
          <w:rFonts w:hint="eastAsia" w:ascii="仿宋_GB2312" w:hAnsi="宋体" w:eastAsia="仿宋_GB2312"/>
          <w:b/>
          <w:color w:val="auto"/>
          <w:sz w:val="48"/>
          <w:szCs w:val="48"/>
          <w:highlight w:val="none"/>
        </w:rPr>
        <w:t>）</w:t>
      </w:r>
    </w:p>
    <w:p w14:paraId="2A8773C2">
      <w:pPr>
        <w:snapToGrid w:val="0"/>
        <w:spacing w:line="360" w:lineRule="auto"/>
        <w:rPr>
          <w:rFonts w:ascii="仿宋_GB2312" w:hAnsi="宋体" w:eastAsia="仿宋_GB2312"/>
          <w:color w:val="auto"/>
          <w:sz w:val="30"/>
          <w:szCs w:val="72"/>
          <w:highlight w:val="none"/>
        </w:rPr>
      </w:pPr>
    </w:p>
    <w:p w14:paraId="317682F8">
      <w:pPr>
        <w:pStyle w:val="23"/>
        <w:snapToGrid w:val="0"/>
        <w:spacing w:line="360" w:lineRule="auto"/>
        <w:ind w:firstLine="1193" w:firstLineChars="396"/>
        <w:rPr>
          <w:rFonts w:hint="eastAsia" w:asciiTheme="minorEastAsia" w:hAnsiTheme="minorEastAsia" w:eastAsiaTheme="minorEastAsia"/>
          <w:b/>
          <w:bCs/>
          <w:color w:val="auto"/>
          <w:sz w:val="30"/>
          <w:szCs w:val="30"/>
          <w:highlight w:val="none"/>
        </w:rPr>
      </w:pPr>
    </w:p>
    <w:p w14:paraId="381AD2D6">
      <w:pPr>
        <w:pStyle w:val="23"/>
        <w:snapToGrid w:val="0"/>
        <w:spacing w:line="360" w:lineRule="auto"/>
        <w:ind w:firstLine="1193" w:firstLineChars="396"/>
        <w:rPr>
          <w:rFonts w:hint="eastAsia" w:asciiTheme="minorEastAsia" w:hAnsiTheme="minorEastAsia" w:eastAsiaTheme="minorEastAsia"/>
          <w:b/>
          <w:bCs/>
          <w:color w:val="auto"/>
          <w:sz w:val="30"/>
          <w:szCs w:val="30"/>
          <w:highlight w:val="none"/>
        </w:rPr>
      </w:pPr>
    </w:p>
    <w:p w14:paraId="6641F92A">
      <w:pPr>
        <w:pStyle w:val="23"/>
        <w:snapToGrid w:val="0"/>
        <w:spacing w:line="360" w:lineRule="auto"/>
        <w:ind w:firstLine="1193" w:firstLineChars="396"/>
        <w:rPr>
          <w:rFonts w:hint="eastAsia" w:asciiTheme="minorEastAsia" w:hAnsiTheme="minorEastAsia" w:eastAsiaTheme="minorEastAsia"/>
          <w:b/>
          <w:bCs/>
          <w:color w:val="auto"/>
          <w:sz w:val="30"/>
          <w:szCs w:val="30"/>
          <w:highlight w:val="none"/>
          <w:lang w:eastAsia="zh-CN"/>
        </w:rPr>
      </w:pPr>
      <w:r>
        <w:rPr>
          <w:rFonts w:hint="eastAsia" w:asciiTheme="minorEastAsia" w:hAnsiTheme="minorEastAsia" w:eastAsiaTheme="minorEastAsia"/>
          <w:b/>
          <w:bCs/>
          <w:color w:val="auto"/>
          <w:sz w:val="30"/>
          <w:szCs w:val="30"/>
          <w:highlight w:val="none"/>
        </w:rPr>
        <w:t>项目</w:t>
      </w:r>
      <w:r>
        <w:rPr>
          <w:rFonts w:hint="eastAsia" w:cs="Courier New" w:asciiTheme="minorEastAsia" w:hAnsiTheme="minorEastAsia" w:eastAsiaTheme="minorEastAsia"/>
          <w:b/>
          <w:bCs/>
          <w:color w:val="auto"/>
          <w:w w:val="95"/>
          <w:sz w:val="30"/>
          <w:szCs w:val="30"/>
          <w:highlight w:val="none"/>
        </w:rPr>
        <w:t>名称：</w:t>
      </w:r>
      <w:r>
        <w:rPr>
          <w:rFonts w:hint="eastAsia" w:asciiTheme="minorEastAsia" w:hAnsiTheme="minorEastAsia" w:eastAsiaTheme="minorEastAsia"/>
          <w:b/>
          <w:bCs/>
          <w:color w:val="auto"/>
          <w:sz w:val="30"/>
          <w:szCs w:val="30"/>
          <w:highlight w:val="none"/>
          <w:lang w:eastAsia="zh-CN"/>
        </w:rPr>
        <w:t>2025年度服务保障物资（材料购置）供应配送服务</w:t>
      </w:r>
    </w:p>
    <w:p w14:paraId="72496CE4">
      <w:pPr>
        <w:pStyle w:val="23"/>
        <w:snapToGrid w:val="0"/>
        <w:spacing w:line="360" w:lineRule="auto"/>
        <w:ind w:firstLine="1133" w:firstLineChars="396"/>
        <w:jc w:val="left"/>
        <w:rPr>
          <w:rFonts w:hint="eastAsia" w:asciiTheme="minorEastAsia" w:hAnsiTheme="minorEastAsia" w:eastAsiaTheme="minorEastAsia"/>
          <w:color w:val="auto"/>
          <w:sz w:val="30"/>
          <w:szCs w:val="72"/>
          <w:highlight w:val="none"/>
          <w:lang w:eastAsia="zh-CN"/>
        </w:rPr>
      </w:pPr>
      <w:r>
        <w:rPr>
          <w:rFonts w:hint="eastAsia" w:cs="Courier New" w:asciiTheme="minorEastAsia" w:hAnsiTheme="minorEastAsia" w:eastAsiaTheme="minorEastAsia"/>
          <w:b/>
          <w:bCs/>
          <w:color w:val="auto"/>
          <w:w w:val="95"/>
          <w:sz w:val="30"/>
          <w:szCs w:val="30"/>
          <w:highlight w:val="none"/>
        </w:rPr>
        <w:t>项目</w:t>
      </w:r>
      <w:r>
        <w:rPr>
          <w:rFonts w:hint="eastAsia" w:asciiTheme="minorEastAsia" w:hAnsiTheme="minorEastAsia" w:eastAsiaTheme="minorEastAsia"/>
          <w:b/>
          <w:bCs/>
          <w:color w:val="auto"/>
          <w:sz w:val="30"/>
          <w:szCs w:val="30"/>
          <w:highlight w:val="none"/>
        </w:rPr>
        <w:t>编号</w:t>
      </w:r>
      <w:r>
        <w:rPr>
          <w:rFonts w:hint="eastAsia" w:cs="Courier New" w:asciiTheme="minorEastAsia" w:hAnsiTheme="minorEastAsia" w:eastAsiaTheme="minorEastAsia"/>
          <w:b/>
          <w:bCs/>
          <w:color w:val="auto"/>
          <w:w w:val="95"/>
          <w:sz w:val="30"/>
          <w:szCs w:val="30"/>
          <w:highlight w:val="none"/>
        </w:rPr>
        <w:t>：</w:t>
      </w:r>
      <w:r>
        <w:rPr>
          <w:rFonts w:hint="eastAsia" w:cs="Courier New" w:asciiTheme="minorEastAsia" w:hAnsiTheme="minorEastAsia" w:eastAsiaTheme="minorEastAsia"/>
          <w:b/>
          <w:bCs/>
          <w:color w:val="auto"/>
          <w:w w:val="95"/>
          <w:sz w:val="30"/>
          <w:szCs w:val="30"/>
          <w:highlight w:val="none"/>
          <w:lang w:eastAsia="zh-CN"/>
        </w:rPr>
        <w:t>GXZC2025-C3-001646-GXCJ</w:t>
      </w:r>
    </w:p>
    <w:p w14:paraId="13D3662A">
      <w:pPr>
        <w:pStyle w:val="23"/>
        <w:snapToGrid w:val="0"/>
        <w:spacing w:line="360" w:lineRule="auto"/>
        <w:ind w:firstLine="1125" w:firstLineChars="393"/>
        <w:rPr>
          <w:rFonts w:hint="eastAsia" w:asciiTheme="minorEastAsia" w:hAnsiTheme="minorEastAsia" w:eastAsiaTheme="minorEastAsia"/>
          <w:b/>
          <w:bCs/>
          <w:color w:val="auto"/>
          <w:w w:val="95"/>
          <w:sz w:val="30"/>
          <w:szCs w:val="30"/>
          <w:highlight w:val="none"/>
          <w:lang w:eastAsia="zh-CN"/>
        </w:rPr>
      </w:pPr>
      <w:r>
        <w:rPr>
          <w:rFonts w:hint="eastAsia" w:asciiTheme="minorEastAsia" w:hAnsiTheme="minorEastAsia" w:eastAsiaTheme="minorEastAsia"/>
          <w:b/>
          <w:bCs/>
          <w:color w:val="auto"/>
          <w:w w:val="95"/>
          <w:sz w:val="30"/>
          <w:szCs w:val="30"/>
          <w:highlight w:val="none"/>
        </w:rPr>
        <w:t>采购人：</w:t>
      </w:r>
      <w:r>
        <w:rPr>
          <w:rFonts w:hint="eastAsia" w:asciiTheme="minorEastAsia" w:hAnsiTheme="minorEastAsia" w:eastAsiaTheme="minorEastAsia"/>
          <w:b/>
          <w:bCs/>
          <w:color w:val="auto"/>
          <w:w w:val="95"/>
          <w:sz w:val="30"/>
          <w:szCs w:val="30"/>
          <w:highlight w:val="none"/>
          <w:lang w:eastAsia="zh-CN"/>
        </w:rPr>
        <w:t>中国共产党广西壮族自治区委员会党校</w:t>
      </w:r>
    </w:p>
    <w:p w14:paraId="6BF8B22C">
      <w:pPr>
        <w:pStyle w:val="23"/>
        <w:snapToGrid w:val="0"/>
        <w:spacing w:line="360" w:lineRule="auto"/>
        <w:ind w:firstLine="1125" w:firstLineChars="393"/>
        <w:rPr>
          <w:rFonts w:hint="eastAsia" w:asciiTheme="minorEastAsia" w:hAnsiTheme="minorEastAsia" w:eastAsiaTheme="minorEastAsia"/>
          <w:b/>
          <w:bCs/>
          <w:color w:val="auto"/>
          <w:w w:val="95"/>
          <w:sz w:val="30"/>
          <w:szCs w:val="30"/>
          <w:highlight w:val="none"/>
          <w:lang w:val="en-US" w:eastAsia="zh-CN"/>
        </w:rPr>
      </w:pPr>
      <w:r>
        <w:rPr>
          <w:rFonts w:hint="eastAsia" w:asciiTheme="minorEastAsia" w:hAnsiTheme="minorEastAsia" w:eastAsiaTheme="minorEastAsia"/>
          <w:b/>
          <w:bCs/>
          <w:color w:val="auto"/>
          <w:w w:val="95"/>
          <w:sz w:val="30"/>
          <w:szCs w:val="30"/>
          <w:highlight w:val="none"/>
        </w:rPr>
        <w:t>采购代理机构：</w:t>
      </w:r>
      <w:r>
        <w:rPr>
          <w:rFonts w:hint="eastAsia" w:asciiTheme="minorEastAsia" w:hAnsiTheme="minorEastAsia" w:eastAsiaTheme="minorEastAsia"/>
          <w:b/>
          <w:bCs/>
          <w:color w:val="auto"/>
          <w:w w:val="95"/>
          <w:sz w:val="30"/>
          <w:szCs w:val="30"/>
          <w:highlight w:val="none"/>
          <w:lang w:val="en-US" w:eastAsia="zh-CN"/>
        </w:rPr>
        <w:t>广西城建咨询设计有限公司</w:t>
      </w:r>
    </w:p>
    <w:p w14:paraId="41A65716">
      <w:pPr>
        <w:pStyle w:val="23"/>
        <w:snapToGrid w:val="0"/>
        <w:spacing w:line="360" w:lineRule="auto"/>
        <w:rPr>
          <w:rFonts w:asciiTheme="minorEastAsia" w:hAnsiTheme="minorEastAsia" w:eastAsiaTheme="minorEastAsia"/>
          <w:b/>
          <w:bCs/>
          <w:color w:val="auto"/>
          <w:w w:val="95"/>
          <w:sz w:val="30"/>
          <w:szCs w:val="30"/>
          <w:highlight w:val="none"/>
        </w:rPr>
      </w:pPr>
    </w:p>
    <w:p w14:paraId="6C3C1A33">
      <w:pPr>
        <w:pStyle w:val="23"/>
        <w:snapToGrid w:val="0"/>
        <w:spacing w:line="360" w:lineRule="auto"/>
        <w:jc w:val="center"/>
        <w:rPr>
          <w:rFonts w:ascii="仿宋_GB2312" w:eastAsia="仿宋_GB2312"/>
          <w:color w:val="auto"/>
          <w:szCs w:val="20"/>
          <w:highlight w:val="none"/>
        </w:rPr>
      </w:pPr>
      <w:r>
        <w:rPr>
          <w:rFonts w:asciiTheme="minorEastAsia" w:hAnsiTheme="minorEastAsia" w:eastAsiaTheme="minorEastAsia"/>
          <w:b/>
          <w:bCs/>
          <w:color w:val="auto"/>
          <w:w w:val="95"/>
          <w:sz w:val="30"/>
          <w:szCs w:val="30"/>
          <w:highlight w:val="none"/>
        </w:rPr>
        <w:t>202</w:t>
      </w:r>
      <w:r>
        <w:rPr>
          <w:rFonts w:hint="eastAsia" w:asciiTheme="minorEastAsia" w:hAnsiTheme="minorEastAsia" w:eastAsiaTheme="minorEastAsia"/>
          <w:b/>
          <w:bCs/>
          <w:color w:val="auto"/>
          <w:w w:val="95"/>
          <w:sz w:val="30"/>
          <w:szCs w:val="30"/>
          <w:highlight w:val="none"/>
          <w:lang w:val="en-US" w:eastAsia="zh-CN"/>
        </w:rPr>
        <w:t>5</w:t>
      </w:r>
      <w:r>
        <w:rPr>
          <w:rFonts w:hint="eastAsia" w:asciiTheme="minorEastAsia" w:hAnsiTheme="minorEastAsia" w:eastAsiaTheme="minorEastAsia"/>
          <w:b/>
          <w:bCs/>
          <w:color w:val="auto"/>
          <w:w w:val="95"/>
          <w:sz w:val="30"/>
          <w:szCs w:val="30"/>
          <w:highlight w:val="none"/>
        </w:rPr>
        <w:t>年</w:t>
      </w:r>
      <w:r>
        <w:rPr>
          <w:rFonts w:hint="eastAsia" w:asciiTheme="minorEastAsia" w:hAnsiTheme="minorEastAsia" w:eastAsiaTheme="minorEastAsia"/>
          <w:b/>
          <w:bCs/>
          <w:color w:val="auto"/>
          <w:w w:val="95"/>
          <w:sz w:val="30"/>
          <w:szCs w:val="30"/>
          <w:highlight w:val="none"/>
          <w:lang w:val="en-US" w:eastAsia="zh-CN"/>
        </w:rPr>
        <w:t>6</w:t>
      </w:r>
      <w:r>
        <w:rPr>
          <w:rFonts w:hint="eastAsia" w:asciiTheme="minorEastAsia" w:hAnsiTheme="minorEastAsia" w:eastAsiaTheme="minorEastAsia"/>
          <w:b/>
          <w:bCs/>
          <w:color w:val="auto"/>
          <w:w w:val="95"/>
          <w:sz w:val="30"/>
          <w:szCs w:val="30"/>
          <w:highlight w:val="none"/>
        </w:rPr>
        <w:t>月</w:t>
      </w:r>
    </w:p>
    <w:p w14:paraId="17960B61">
      <w:pPr>
        <w:spacing w:line="360" w:lineRule="auto"/>
        <w:jc w:val="center"/>
        <w:rPr>
          <w:rFonts w:ascii="宋体" w:hAnsi="宋体" w:cs="宋体"/>
          <w:b/>
          <w:bCs/>
          <w:color w:val="auto"/>
          <w:kern w:val="0"/>
          <w:sz w:val="32"/>
          <w:szCs w:val="32"/>
          <w:highlight w:val="none"/>
        </w:rPr>
      </w:pPr>
    </w:p>
    <w:p w14:paraId="5C780A36">
      <w:pPr>
        <w:spacing w:line="360" w:lineRule="auto"/>
        <w:jc w:val="center"/>
        <w:rPr>
          <w:rFonts w:ascii="宋体" w:hAnsi="宋体"/>
          <w:b/>
          <w:color w:val="auto"/>
          <w:sz w:val="44"/>
          <w:szCs w:val="44"/>
          <w:highlight w:val="none"/>
        </w:rPr>
      </w:pPr>
      <w:r>
        <w:rPr>
          <w:rFonts w:ascii="黑体" w:hAnsi="黑体" w:eastAsia="黑体" w:cs="宋体"/>
          <w:b/>
          <w:bCs/>
          <w:color w:val="auto"/>
          <w:kern w:val="0"/>
          <w:sz w:val="32"/>
          <w:szCs w:val="32"/>
          <w:highlight w:val="none"/>
        </w:rPr>
        <w:br w:type="page"/>
      </w:r>
    </w:p>
    <w:p w14:paraId="1530C937">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目</w:t>
      </w:r>
      <w:r>
        <w:rPr>
          <w:rFonts w:hint="eastAsia" w:ascii="宋体" w:hAnsi="宋体"/>
          <w:b/>
          <w:color w:val="auto"/>
          <w:sz w:val="44"/>
          <w:szCs w:val="44"/>
          <w:highlight w:val="none"/>
          <w:lang w:val="en-US" w:eastAsia="zh-CN"/>
        </w:rPr>
        <w:t xml:space="preserve"> </w:t>
      </w:r>
      <w:r>
        <w:rPr>
          <w:rFonts w:hint="eastAsia" w:ascii="宋体" w:hAnsi="宋体"/>
          <w:b/>
          <w:color w:val="auto"/>
          <w:sz w:val="44"/>
          <w:szCs w:val="44"/>
          <w:highlight w:val="none"/>
        </w:rPr>
        <w:t>录</w:t>
      </w:r>
    </w:p>
    <w:p w14:paraId="79AAAFAE">
      <w:pPr>
        <w:spacing w:line="400" w:lineRule="exact"/>
        <w:jc w:val="center"/>
        <w:rPr>
          <w:rFonts w:ascii="宋体" w:hAnsi="宋体"/>
          <w:b/>
          <w:color w:val="auto"/>
          <w:sz w:val="44"/>
          <w:szCs w:val="44"/>
          <w:highlight w:val="none"/>
        </w:rPr>
      </w:pPr>
    </w:p>
    <w:p w14:paraId="24FA876B">
      <w:pPr>
        <w:pStyle w:val="27"/>
        <w:tabs>
          <w:tab w:val="right" w:leader="dot" w:pos="8869"/>
        </w:tabs>
        <w:rPr>
          <w:rFonts w:asciiTheme="minorEastAsia" w:hAnsiTheme="minorEastAsia" w:eastAsiaTheme="minorEastAsia" w:cstheme="minorBidi"/>
          <w:color w:val="auto"/>
          <w:sz w:val="28"/>
          <w:szCs w:val="32"/>
          <w:highlight w:val="none"/>
        </w:rPr>
      </w:pPr>
      <w:r>
        <w:rPr>
          <w:rFonts w:ascii="宋体" w:hAnsi="宋体"/>
          <w:b/>
          <w:color w:val="auto"/>
          <w:sz w:val="24"/>
          <w:highlight w:val="none"/>
        </w:rPr>
        <w:fldChar w:fldCharType="begin"/>
      </w:r>
      <w:r>
        <w:rPr>
          <w:rFonts w:hint="eastAsia" w:ascii="宋体" w:hAnsi="宋体"/>
          <w:b/>
          <w:color w:val="auto"/>
          <w:sz w:val="24"/>
          <w:highlight w:val="none"/>
        </w:rPr>
        <w:instrText xml:space="preserve">TOC \o "1-3" \h \z \u</w:instrText>
      </w:r>
      <w:r>
        <w:rPr>
          <w:rFonts w:ascii="宋体" w:hAnsi="宋体"/>
          <w:b/>
          <w:color w:val="auto"/>
          <w:sz w:val="24"/>
          <w:highlight w:val="none"/>
        </w:rPr>
        <w:fldChar w:fldCharType="separate"/>
      </w:r>
      <w:r>
        <w:rPr>
          <w:color w:val="auto"/>
          <w:highlight w:val="none"/>
        </w:rPr>
        <w:fldChar w:fldCharType="begin"/>
      </w:r>
      <w:r>
        <w:rPr>
          <w:color w:val="auto"/>
          <w:highlight w:val="none"/>
        </w:rPr>
        <w:instrText xml:space="preserve"> HYPERLINK \l "_Toc151675536" </w:instrText>
      </w:r>
      <w:r>
        <w:rPr>
          <w:color w:val="auto"/>
          <w:highlight w:val="none"/>
        </w:rPr>
        <w:fldChar w:fldCharType="separate"/>
      </w:r>
      <w:r>
        <w:rPr>
          <w:rStyle w:val="42"/>
          <w:rFonts w:asciiTheme="minorEastAsia" w:hAnsiTheme="minorEastAsia" w:eastAsiaTheme="minorEastAsia"/>
          <w:color w:val="auto"/>
          <w:sz w:val="28"/>
          <w:szCs w:val="36"/>
          <w:highlight w:val="none"/>
        </w:rPr>
        <w:t>第一章  竞争性磋商公告</w:t>
      </w:r>
      <w:r>
        <w:rPr>
          <w:rFonts w:asciiTheme="minorEastAsia" w:hAnsiTheme="minorEastAsia" w:eastAsiaTheme="minorEastAsia"/>
          <w:color w:val="auto"/>
          <w:sz w:val="28"/>
          <w:szCs w:val="36"/>
          <w:highlight w:val="none"/>
        </w:rPr>
        <w:tab/>
      </w:r>
      <w:r>
        <w:rPr>
          <w:rFonts w:asciiTheme="minorEastAsia" w:hAnsiTheme="minorEastAsia" w:eastAsiaTheme="minorEastAsia"/>
          <w:color w:val="auto"/>
          <w:sz w:val="28"/>
          <w:szCs w:val="36"/>
          <w:highlight w:val="none"/>
        </w:rPr>
        <w:fldChar w:fldCharType="begin"/>
      </w:r>
      <w:r>
        <w:rPr>
          <w:rFonts w:asciiTheme="minorEastAsia" w:hAnsiTheme="minorEastAsia" w:eastAsiaTheme="minorEastAsia"/>
          <w:color w:val="auto"/>
          <w:sz w:val="28"/>
          <w:szCs w:val="36"/>
          <w:highlight w:val="none"/>
        </w:rPr>
        <w:instrText xml:space="preserve"> PAGEREF _Toc151675536 \h </w:instrText>
      </w:r>
      <w:r>
        <w:rPr>
          <w:rFonts w:asciiTheme="minorEastAsia" w:hAnsiTheme="minorEastAsia" w:eastAsiaTheme="minorEastAsia"/>
          <w:color w:val="auto"/>
          <w:sz w:val="28"/>
          <w:szCs w:val="36"/>
          <w:highlight w:val="none"/>
        </w:rPr>
        <w:fldChar w:fldCharType="separate"/>
      </w:r>
      <w:r>
        <w:rPr>
          <w:rFonts w:asciiTheme="minorEastAsia" w:hAnsiTheme="minorEastAsia" w:eastAsiaTheme="minorEastAsia"/>
          <w:color w:val="auto"/>
          <w:sz w:val="28"/>
          <w:szCs w:val="36"/>
          <w:highlight w:val="none"/>
        </w:rPr>
        <w:t>1</w:t>
      </w:r>
      <w:r>
        <w:rPr>
          <w:rFonts w:asciiTheme="minorEastAsia" w:hAnsiTheme="minorEastAsia" w:eastAsiaTheme="minorEastAsia"/>
          <w:color w:val="auto"/>
          <w:sz w:val="28"/>
          <w:szCs w:val="36"/>
          <w:highlight w:val="none"/>
        </w:rPr>
        <w:fldChar w:fldCharType="end"/>
      </w:r>
      <w:r>
        <w:rPr>
          <w:rFonts w:asciiTheme="minorEastAsia" w:hAnsiTheme="minorEastAsia" w:eastAsiaTheme="minorEastAsia"/>
          <w:color w:val="auto"/>
          <w:sz w:val="28"/>
          <w:szCs w:val="36"/>
          <w:highlight w:val="none"/>
        </w:rPr>
        <w:fldChar w:fldCharType="end"/>
      </w:r>
    </w:p>
    <w:p w14:paraId="47857107">
      <w:pPr>
        <w:pStyle w:val="27"/>
        <w:tabs>
          <w:tab w:val="right" w:leader="dot" w:pos="8869"/>
        </w:tabs>
        <w:rPr>
          <w:rFonts w:asciiTheme="minorEastAsia" w:hAnsiTheme="minorEastAsia" w:eastAsiaTheme="minorEastAsia" w:cstheme="minorBidi"/>
          <w:color w:val="auto"/>
          <w:sz w:val="28"/>
          <w:szCs w:val="32"/>
          <w:highlight w:val="none"/>
        </w:rPr>
      </w:pPr>
      <w:r>
        <w:rPr>
          <w:color w:val="auto"/>
          <w:highlight w:val="none"/>
        </w:rPr>
        <w:fldChar w:fldCharType="begin"/>
      </w:r>
      <w:r>
        <w:rPr>
          <w:color w:val="auto"/>
          <w:highlight w:val="none"/>
        </w:rPr>
        <w:instrText xml:space="preserve"> HYPERLINK \l "_Toc151675537" </w:instrText>
      </w:r>
      <w:r>
        <w:rPr>
          <w:color w:val="auto"/>
          <w:highlight w:val="none"/>
        </w:rPr>
        <w:fldChar w:fldCharType="separate"/>
      </w:r>
      <w:r>
        <w:rPr>
          <w:rStyle w:val="42"/>
          <w:rFonts w:asciiTheme="minorEastAsia" w:hAnsiTheme="minorEastAsia" w:eastAsiaTheme="minorEastAsia"/>
          <w:color w:val="auto"/>
          <w:sz w:val="28"/>
          <w:szCs w:val="36"/>
          <w:highlight w:val="none"/>
        </w:rPr>
        <w:t>第二章  供应商须知</w:t>
      </w:r>
      <w:r>
        <w:rPr>
          <w:rFonts w:asciiTheme="minorEastAsia" w:hAnsiTheme="minorEastAsia" w:eastAsiaTheme="minorEastAsia"/>
          <w:color w:val="auto"/>
          <w:sz w:val="28"/>
          <w:szCs w:val="36"/>
          <w:highlight w:val="none"/>
        </w:rPr>
        <w:tab/>
      </w:r>
      <w:r>
        <w:rPr>
          <w:rFonts w:asciiTheme="minorEastAsia" w:hAnsiTheme="minorEastAsia" w:eastAsiaTheme="minorEastAsia"/>
          <w:color w:val="auto"/>
          <w:sz w:val="28"/>
          <w:szCs w:val="36"/>
          <w:highlight w:val="none"/>
        </w:rPr>
        <w:fldChar w:fldCharType="begin"/>
      </w:r>
      <w:r>
        <w:rPr>
          <w:rFonts w:asciiTheme="minorEastAsia" w:hAnsiTheme="minorEastAsia" w:eastAsiaTheme="minorEastAsia"/>
          <w:color w:val="auto"/>
          <w:sz w:val="28"/>
          <w:szCs w:val="36"/>
          <w:highlight w:val="none"/>
        </w:rPr>
        <w:instrText xml:space="preserve"> PAGEREF _Toc151675537 \h </w:instrText>
      </w:r>
      <w:r>
        <w:rPr>
          <w:rFonts w:asciiTheme="minorEastAsia" w:hAnsiTheme="minorEastAsia" w:eastAsiaTheme="minorEastAsia"/>
          <w:color w:val="auto"/>
          <w:sz w:val="28"/>
          <w:szCs w:val="36"/>
          <w:highlight w:val="none"/>
        </w:rPr>
        <w:fldChar w:fldCharType="separate"/>
      </w:r>
      <w:r>
        <w:rPr>
          <w:rFonts w:asciiTheme="minorEastAsia" w:hAnsiTheme="minorEastAsia" w:eastAsiaTheme="minorEastAsia"/>
          <w:color w:val="auto"/>
          <w:sz w:val="28"/>
          <w:szCs w:val="36"/>
          <w:highlight w:val="none"/>
        </w:rPr>
        <w:t>3</w:t>
      </w:r>
      <w:r>
        <w:rPr>
          <w:rFonts w:asciiTheme="minorEastAsia" w:hAnsiTheme="minorEastAsia" w:eastAsiaTheme="minorEastAsia"/>
          <w:color w:val="auto"/>
          <w:sz w:val="28"/>
          <w:szCs w:val="36"/>
          <w:highlight w:val="none"/>
        </w:rPr>
        <w:fldChar w:fldCharType="end"/>
      </w:r>
      <w:r>
        <w:rPr>
          <w:rFonts w:asciiTheme="minorEastAsia" w:hAnsiTheme="minorEastAsia" w:eastAsiaTheme="minorEastAsia"/>
          <w:color w:val="auto"/>
          <w:sz w:val="28"/>
          <w:szCs w:val="36"/>
          <w:highlight w:val="none"/>
        </w:rPr>
        <w:fldChar w:fldCharType="end"/>
      </w:r>
    </w:p>
    <w:p w14:paraId="6A80263B">
      <w:pPr>
        <w:pStyle w:val="27"/>
        <w:tabs>
          <w:tab w:val="right" w:leader="dot" w:pos="8869"/>
        </w:tabs>
        <w:rPr>
          <w:rFonts w:asciiTheme="minorEastAsia" w:hAnsiTheme="minorEastAsia" w:eastAsiaTheme="minorEastAsia" w:cstheme="minorBidi"/>
          <w:color w:val="auto"/>
          <w:sz w:val="28"/>
          <w:szCs w:val="32"/>
          <w:highlight w:val="none"/>
        </w:rPr>
      </w:pPr>
      <w:r>
        <w:rPr>
          <w:color w:val="auto"/>
          <w:highlight w:val="none"/>
        </w:rPr>
        <w:fldChar w:fldCharType="begin"/>
      </w:r>
      <w:r>
        <w:rPr>
          <w:color w:val="auto"/>
          <w:highlight w:val="none"/>
        </w:rPr>
        <w:instrText xml:space="preserve"> HYPERLINK \l "_Toc151675538" </w:instrText>
      </w:r>
      <w:r>
        <w:rPr>
          <w:color w:val="auto"/>
          <w:highlight w:val="none"/>
        </w:rPr>
        <w:fldChar w:fldCharType="separate"/>
      </w:r>
      <w:r>
        <w:rPr>
          <w:rStyle w:val="42"/>
          <w:rFonts w:asciiTheme="minorEastAsia" w:hAnsiTheme="minorEastAsia" w:eastAsiaTheme="minorEastAsia"/>
          <w:color w:val="auto"/>
          <w:sz w:val="28"/>
          <w:szCs w:val="36"/>
          <w:highlight w:val="none"/>
        </w:rPr>
        <w:t>第三章  采购需求</w:t>
      </w:r>
      <w:r>
        <w:rPr>
          <w:rFonts w:asciiTheme="minorEastAsia" w:hAnsiTheme="minorEastAsia" w:eastAsiaTheme="minorEastAsia"/>
          <w:color w:val="auto"/>
          <w:sz w:val="28"/>
          <w:szCs w:val="36"/>
          <w:highlight w:val="none"/>
        </w:rPr>
        <w:tab/>
      </w:r>
      <w:r>
        <w:rPr>
          <w:rFonts w:asciiTheme="minorEastAsia" w:hAnsiTheme="minorEastAsia" w:eastAsiaTheme="minorEastAsia"/>
          <w:color w:val="auto"/>
          <w:sz w:val="28"/>
          <w:szCs w:val="36"/>
          <w:highlight w:val="none"/>
        </w:rPr>
        <w:fldChar w:fldCharType="begin"/>
      </w:r>
      <w:r>
        <w:rPr>
          <w:rFonts w:asciiTheme="minorEastAsia" w:hAnsiTheme="minorEastAsia" w:eastAsiaTheme="minorEastAsia"/>
          <w:color w:val="auto"/>
          <w:sz w:val="28"/>
          <w:szCs w:val="36"/>
          <w:highlight w:val="none"/>
        </w:rPr>
        <w:instrText xml:space="preserve"> PAGEREF _Toc151675538 \h </w:instrText>
      </w:r>
      <w:r>
        <w:rPr>
          <w:rFonts w:asciiTheme="minorEastAsia" w:hAnsiTheme="minorEastAsia" w:eastAsiaTheme="minorEastAsia"/>
          <w:color w:val="auto"/>
          <w:sz w:val="28"/>
          <w:szCs w:val="36"/>
          <w:highlight w:val="none"/>
        </w:rPr>
        <w:fldChar w:fldCharType="separate"/>
      </w:r>
      <w:r>
        <w:rPr>
          <w:rFonts w:asciiTheme="minorEastAsia" w:hAnsiTheme="minorEastAsia" w:eastAsiaTheme="minorEastAsia"/>
          <w:color w:val="auto"/>
          <w:sz w:val="28"/>
          <w:szCs w:val="36"/>
          <w:highlight w:val="none"/>
        </w:rPr>
        <w:t>26</w:t>
      </w:r>
      <w:r>
        <w:rPr>
          <w:rFonts w:asciiTheme="minorEastAsia" w:hAnsiTheme="minorEastAsia" w:eastAsiaTheme="minorEastAsia"/>
          <w:color w:val="auto"/>
          <w:sz w:val="28"/>
          <w:szCs w:val="36"/>
          <w:highlight w:val="none"/>
        </w:rPr>
        <w:fldChar w:fldCharType="end"/>
      </w:r>
      <w:r>
        <w:rPr>
          <w:rFonts w:asciiTheme="minorEastAsia" w:hAnsiTheme="minorEastAsia" w:eastAsiaTheme="minorEastAsia"/>
          <w:color w:val="auto"/>
          <w:sz w:val="28"/>
          <w:szCs w:val="36"/>
          <w:highlight w:val="none"/>
        </w:rPr>
        <w:fldChar w:fldCharType="end"/>
      </w:r>
    </w:p>
    <w:p w14:paraId="55E9EC0F">
      <w:pPr>
        <w:pStyle w:val="27"/>
        <w:tabs>
          <w:tab w:val="right" w:leader="dot" w:pos="8869"/>
        </w:tabs>
        <w:rPr>
          <w:rFonts w:asciiTheme="minorEastAsia" w:hAnsiTheme="minorEastAsia" w:eastAsiaTheme="minorEastAsia" w:cstheme="minorBidi"/>
          <w:color w:val="auto"/>
          <w:sz w:val="28"/>
          <w:szCs w:val="32"/>
          <w:highlight w:val="none"/>
        </w:rPr>
      </w:pPr>
      <w:r>
        <w:rPr>
          <w:color w:val="auto"/>
          <w:highlight w:val="none"/>
        </w:rPr>
        <w:fldChar w:fldCharType="begin"/>
      </w:r>
      <w:r>
        <w:rPr>
          <w:color w:val="auto"/>
          <w:highlight w:val="none"/>
        </w:rPr>
        <w:instrText xml:space="preserve"> HYPERLINK \l "_Toc151675539" </w:instrText>
      </w:r>
      <w:r>
        <w:rPr>
          <w:color w:val="auto"/>
          <w:highlight w:val="none"/>
        </w:rPr>
        <w:fldChar w:fldCharType="separate"/>
      </w:r>
      <w:r>
        <w:rPr>
          <w:rStyle w:val="42"/>
          <w:rFonts w:asciiTheme="minorEastAsia" w:hAnsiTheme="minorEastAsia" w:eastAsiaTheme="minorEastAsia"/>
          <w:color w:val="auto"/>
          <w:sz w:val="28"/>
          <w:szCs w:val="36"/>
          <w:highlight w:val="none"/>
        </w:rPr>
        <w:t>第四章  评审程序、评审方法和评审标准</w:t>
      </w:r>
      <w:r>
        <w:rPr>
          <w:rFonts w:asciiTheme="minorEastAsia" w:hAnsiTheme="minorEastAsia" w:eastAsiaTheme="minorEastAsia"/>
          <w:color w:val="auto"/>
          <w:sz w:val="28"/>
          <w:szCs w:val="36"/>
          <w:highlight w:val="none"/>
        </w:rPr>
        <w:tab/>
      </w:r>
      <w:r>
        <w:rPr>
          <w:rFonts w:asciiTheme="minorEastAsia" w:hAnsiTheme="minorEastAsia" w:eastAsiaTheme="minorEastAsia"/>
          <w:color w:val="auto"/>
          <w:sz w:val="28"/>
          <w:szCs w:val="36"/>
          <w:highlight w:val="none"/>
        </w:rPr>
        <w:fldChar w:fldCharType="begin"/>
      </w:r>
      <w:r>
        <w:rPr>
          <w:rFonts w:asciiTheme="minorEastAsia" w:hAnsiTheme="minorEastAsia" w:eastAsiaTheme="minorEastAsia"/>
          <w:color w:val="auto"/>
          <w:sz w:val="28"/>
          <w:szCs w:val="36"/>
          <w:highlight w:val="none"/>
        </w:rPr>
        <w:instrText xml:space="preserve"> PAGEREF _Toc151675539 \h </w:instrText>
      </w:r>
      <w:r>
        <w:rPr>
          <w:rFonts w:asciiTheme="minorEastAsia" w:hAnsiTheme="minorEastAsia" w:eastAsiaTheme="minorEastAsia"/>
          <w:color w:val="auto"/>
          <w:sz w:val="28"/>
          <w:szCs w:val="36"/>
          <w:highlight w:val="none"/>
        </w:rPr>
        <w:fldChar w:fldCharType="separate"/>
      </w:r>
      <w:r>
        <w:rPr>
          <w:rFonts w:asciiTheme="minorEastAsia" w:hAnsiTheme="minorEastAsia" w:eastAsiaTheme="minorEastAsia"/>
          <w:color w:val="auto"/>
          <w:sz w:val="28"/>
          <w:szCs w:val="36"/>
          <w:highlight w:val="none"/>
        </w:rPr>
        <w:t>60</w:t>
      </w:r>
      <w:r>
        <w:rPr>
          <w:rFonts w:asciiTheme="minorEastAsia" w:hAnsiTheme="minorEastAsia" w:eastAsiaTheme="minorEastAsia"/>
          <w:color w:val="auto"/>
          <w:sz w:val="28"/>
          <w:szCs w:val="36"/>
          <w:highlight w:val="none"/>
        </w:rPr>
        <w:fldChar w:fldCharType="end"/>
      </w:r>
      <w:r>
        <w:rPr>
          <w:rFonts w:asciiTheme="minorEastAsia" w:hAnsiTheme="minorEastAsia" w:eastAsiaTheme="minorEastAsia"/>
          <w:color w:val="auto"/>
          <w:sz w:val="28"/>
          <w:szCs w:val="36"/>
          <w:highlight w:val="none"/>
        </w:rPr>
        <w:fldChar w:fldCharType="end"/>
      </w:r>
    </w:p>
    <w:p w14:paraId="35A0F122">
      <w:pPr>
        <w:pStyle w:val="27"/>
        <w:tabs>
          <w:tab w:val="right" w:leader="dot" w:pos="8869"/>
        </w:tabs>
        <w:rPr>
          <w:rFonts w:asciiTheme="minorEastAsia" w:hAnsiTheme="minorEastAsia" w:eastAsiaTheme="minorEastAsia" w:cstheme="minorBidi"/>
          <w:color w:val="auto"/>
          <w:sz w:val="28"/>
          <w:szCs w:val="32"/>
          <w:highlight w:val="none"/>
        </w:rPr>
      </w:pPr>
      <w:r>
        <w:rPr>
          <w:color w:val="auto"/>
          <w:highlight w:val="none"/>
        </w:rPr>
        <w:fldChar w:fldCharType="begin"/>
      </w:r>
      <w:r>
        <w:rPr>
          <w:color w:val="auto"/>
          <w:highlight w:val="none"/>
        </w:rPr>
        <w:instrText xml:space="preserve"> HYPERLINK \l "_Toc151675540" </w:instrText>
      </w:r>
      <w:r>
        <w:rPr>
          <w:color w:val="auto"/>
          <w:highlight w:val="none"/>
        </w:rPr>
        <w:fldChar w:fldCharType="separate"/>
      </w:r>
      <w:r>
        <w:rPr>
          <w:rStyle w:val="42"/>
          <w:rFonts w:asciiTheme="minorEastAsia" w:hAnsiTheme="minorEastAsia" w:eastAsiaTheme="minorEastAsia"/>
          <w:color w:val="auto"/>
          <w:sz w:val="28"/>
          <w:szCs w:val="36"/>
          <w:highlight w:val="none"/>
        </w:rPr>
        <w:t>第五章  响应文件格式</w:t>
      </w:r>
      <w:r>
        <w:rPr>
          <w:rFonts w:asciiTheme="minorEastAsia" w:hAnsiTheme="minorEastAsia" w:eastAsiaTheme="minorEastAsia"/>
          <w:color w:val="auto"/>
          <w:sz w:val="28"/>
          <w:szCs w:val="36"/>
          <w:highlight w:val="none"/>
        </w:rPr>
        <w:tab/>
      </w:r>
      <w:r>
        <w:rPr>
          <w:rFonts w:asciiTheme="minorEastAsia" w:hAnsiTheme="minorEastAsia" w:eastAsiaTheme="minorEastAsia"/>
          <w:color w:val="auto"/>
          <w:sz w:val="28"/>
          <w:szCs w:val="36"/>
          <w:highlight w:val="none"/>
        </w:rPr>
        <w:fldChar w:fldCharType="begin"/>
      </w:r>
      <w:r>
        <w:rPr>
          <w:rFonts w:asciiTheme="minorEastAsia" w:hAnsiTheme="minorEastAsia" w:eastAsiaTheme="minorEastAsia"/>
          <w:color w:val="auto"/>
          <w:sz w:val="28"/>
          <w:szCs w:val="36"/>
          <w:highlight w:val="none"/>
        </w:rPr>
        <w:instrText xml:space="preserve"> PAGEREF _Toc151675540 \h </w:instrText>
      </w:r>
      <w:r>
        <w:rPr>
          <w:rFonts w:asciiTheme="minorEastAsia" w:hAnsiTheme="minorEastAsia" w:eastAsiaTheme="minorEastAsia"/>
          <w:color w:val="auto"/>
          <w:sz w:val="28"/>
          <w:szCs w:val="36"/>
          <w:highlight w:val="none"/>
        </w:rPr>
        <w:fldChar w:fldCharType="separate"/>
      </w:r>
      <w:r>
        <w:rPr>
          <w:rFonts w:asciiTheme="minorEastAsia" w:hAnsiTheme="minorEastAsia" w:eastAsiaTheme="minorEastAsia"/>
          <w:color w:val="auto"/>
          <w:sz w:val="28"/>
          <w:szCs w:val="36"/>
          <w:highlight w:val="none"/>
        </w:rPr>
        <w:t>71</w:t>
      </w:r>
      <w:r>
        <w:rPr>
          <w:rFonts w:asciiTheme="minorEastAsia" w:hAnsiTheme="minorEastAsia" w:eastAsiaTheme="minorEastAsia"/>
          <w:color w:val="auto"/>
          <w:sz w:val="28"/>
          <w:szCs w:val="36"/>
          <w:highlight w:val="none"/>
        </w:rPr>
        <w:fldChar w:fldCharType="end"/>
      </w:r>
      <w:r>
        <w:rPr>
          <w:rFonts w:asciiTheme="minorEastAsia" w:hAnsiTheme="minorEastAsia" w:eastAsiaTheme="minorEastAsia"/>
          <w:color w:val="auto"/>
          <w:sz w:val="28"/>
          <w:szCs w:val="36"/>
          <w:highlight w:val="none"/>
        </w:rPr>
        <w:fldChar w:fldCharType="end"/>
      </w:r>
    </w:p>
    <w:p w14:paraId="0DD1127E">
      <w:pPr>
        <w:pStyle w:val="27"/>
        <w:tabs>
          <w:tab w:val="right" w:leader="dot" w:pos="8869"/>
        </w:tabs>
        <w:rPr>
          <w:rFonts w:asciiTheme="minorEastAsia" w:hAnsiTheme="minorEastAsia" w:eastAsiaTheme="minorEastAsia" w:cstheme="minorBidi"/>
          <w:color w:val="auto"/>
          <w:sz w:val="28"/>
          <w:szCs w:val="32"/>
          <w:highlight w:val="none"/>
        </w:rPr>
      </w:pPr>
      <w:r>
        <w:rPr>
          <w:color w:val="auto"/>
          <w:highlight w:val="none"/>
        </w:rPr>
        <w:fldChar w:fldCharType="begin"/>
      </w:r>
      <w:r>
        <w:rPr>
          <w:color w:val="auto"/>
          <w:highlight w:val="none"/>
        </w:rPr>
        <w:instrText xml:space="preserve"> HYPERLINK \l "_Toc151675541" </w:instrText>
      </w:r>
      <w:r>
        <w:rPr>
          <w:color w:val="auto"/>
          <w:highlight w:val="none"/>
        </w:rPr>
        <w:fldChar w:fldCharType="separate"/>
      </w:r>
      <w:r>
        <w:rPr>
          <w:rStyle w:val="42"/>
          <w:rFonts w:asciiTheme="minorEastAsia" w:hAnsiTheme="minorEastAsia" w:eastAsiaTheme="minorEastAsia"/>
          <w:color w:val="auto"/>
          <w:sz w:val="28"/>
          <w:szCs w:val="36"/>
          <w:highlight w:val="none"/>
        </w:rPr>
        <w:t>第六章  合同文本</w:t>
      </w:r>
      <w:r>
        <w:rPr>
          <w:rFonts w:asciiTheme="minorEastAsia" w:hAnsiTheme="minorEastAsia" w:eastAsiaTheme="minorEastAsia"/>
          <w:color w:val="auto"/>
          <w:sz w:val="28"/>
          <w:szCs w:val="36"/>
          <w:highlight w:val="none"/>
        </w:rPr>
        <w:tab/>
      </w:r>
      <w:r>
        <w:rPr>
          <w:rFonts w:asciiTheme="minorEastAsia" w:hAnsiTheme="minorEastAsia" w:eastAsiaTheme="minorEastAsia"/>
          <w:color w:val="auto"/>
          <w:sz w:val="28"/>
          <w:szCs w:val="36"/>
          <w:highlight w:val="none"/>
        </w:rPr>
        <w:fldChar w:fldCharType="begin"/>
      </w:r>
      <w:r>
        <w:rPr>
          <w:rFonts w:asciiTheme="minorEastAsia" w:hAnsiTheme="minorEastAsia" w:eastAsiaTheme="minorEastAsia"/>
          <w:color w:val="auto"/>
          <w:sz w:val="28"/>
          <w:szCs w:val="36"/>
          <w:highlight w:val="none"/>
        </w:rPr>
        <w:instrText xml:space="preserve"> PAGEREF _Toc151675541 \h </w:instrText>
      </w:r>
      <w:r>
        <w:rPr>
          <w:rFonts w:asciiTheme="minorEastAsia" w:hAnsiTheme="minorEastAsia" w:eastAsiaTheme="minorEastAsia"/>
          <w:color w:val="auto"/>
          <w:sz w:val="28"/>
          <w:szCs w:val="36"/>
          <w:highlight w:val="none"/>
        </w:rPr>
        <w:fldChar w:fldCharType="separate"/>
      </w:r>
      <w:r>
        <w:rPr>
          <w:rFonts w:asciiTheme="minorEastAsia" w:hAnsiTheme="minorEastAsia" w:eastAsiaTheme="minorEastAsia"/>
          <w:color w:val="auto"/>
          <w:sz w:val="28"/>
          <w:szCs w:val="36"/>
          <w:highlight w:val="none"/>
        </w:rPr>
        <w:t>100</w:t>
      </w:r>
      <w:r>
        <w:rPr>
          <w:rFonts w:asciiTheme="minorEastAsia" w:hAnsiTheme="minorEastAsia" w:eastAsiaTheme="minorEastAsia"/>
          <w:color w:val="auto"/>
          <w:sz w:val="28"/>
          <w:szCs w:val="36"/>
          <w:highlight w:val="none"/>
        </w:rPr>
        <w:fldChar w:fldCharType="end"/>
      </w:r>
      <w:r>
        <w:rPr>
          <w:rFonts w:asciiTheme="minorEastAsia" w:hAnsiTheme="minorEastAsia" w:eastAsiaTheme="minorEastAsia"/>
          <w:color w:val="auto"/>
          <w:sz w:val="28"/>
          <w:szCs w:val="36"/>
          <w:highlight w:val="none"/>
        </w:rPr>
        <w:fldChar w:fldCharType="end"/>
      </w:r>
    </w:p>
    <w:p w14:paraId="32DFE794">
      <w:pPr>
        <w:pStyle w:val="29"/>
        <w:tabs>
          <w:tab w:val="right" w:leader="dot" w:pos="8931"/>
          <w:tab w:val="clear" w:pos="8296"/>
        </w:tabs>
        <w:snapToGrid w:val="0"/>
        <w:spacing w:line="500" w:lineRule="atLeast"/>
        <w:ind w:left="0" w:leftChars="0"/>
        <w:rPr>
          <w:rFonts w:ascii="宋体" w:hAnsi="宋体"/>
          <w:b/>
          <w:color w:val="auto"/>
          <w:sz w:val="24"/>
          <w:highlight w:val="none"/>
        </w:rPr>
      </w:pPr>
      <w:r>
        <w:rPr>
          <w:rFonts w:ascii="宋体" w:hAnsi="宋体"/>
          <w:b/>
          <w:color w:val="auto"/>
          <w:sz w:val="24"/>
          <w:highlight w:val="none"/>
        </w:rPr>
        <w:fldChar w:fldCharType="end"/>
      </w:r>
    </w:p>
    <w:p w14:paraId="5785E203">
      <w:pPr>
        <w:spacing w:line="400" w:lineRule="exact"/>
        <w:jc w:val="left"/>
        <w:rPr>
          <w:rFonts w:ascii="宋体" w:hAnsi="宋体"/>
          <w:b/>
          <w:color w:val="auto"/>
          <w:sz w:val="32"/>
          <w:szCs w:val="32"/>
          <w:highlight w:val="none"/>
        </w:rPr>
      </w:pPr>
    </w:p>
    <w:p w14:paraId="1D6DD0B8">
      <w:pPr>
        <w:spacing w:line="400" w:lineRule="exact"/>
        <w:jc w:val="center"/>
        <w:rPr>
          <w:rFonts w:ascii="宋体" w:hAnsi="宋体"/>
          <w:b/>
          <w:color w:val="auto"/>
          <w:sz w:val="32"/>
          <w:szCs w:val="32"/>
          <w:highlight w:val="none"/>
        </w:rPr>
      </w:pPr>
    </w:p>
    <w:p w14:paraId="1F84CD12">
      <w:pPr>
        <w:spacing w:line="400" w:lineRule="exact"/>
        <w:jc w:val="center"/>
        <w:rPr>
          <w:rFonts w:ascii="宋体" w:hAnsi="宋体"/>
          <w:b/>
          <w:color w:val="auto"/>
          <w:sz w:val="32"/>
          <w:szCs w:val="32"/>
          <w:highlight w:val="none"/>
        </w:rPr>
      </w:pPr>
    </w:p>
    <w:p w14:paraId="4C64C2F4">
      <w:pPr>
        <w:spacing w:line="400" w:lineRule="exact"/>
        <w:jc w:val="center"/>
        <w:rPr>
          <w:rFonts w:ascii="宋体" w:hAnsi="宋体"/>
          <w:b/>
          <w:color w:val="auto"/>
          <w:sz w:val="32"/>
          <w:szCs w:val="32"/>
          <w:highlight w:val="none"/>
        </w:rPr>
      </w:pPr>
    </w:p>
    <w:p w14:paraId="0140DA92">
      <w:pPr>
        <w:spacing w:line="400" w:lineRule="exact"/>
        <w:jc w:val="center"/>
        <w:rPr>
          <w:rFonts w:ascii="宋体" w:hAnsi="宋体"/>
          <w:b/>
          <w:color w:val="auto"/>
          <w:sz w:val="32"/>
          <w:szCs w:val="32"/>
          <w:highlight w:val="none"/>
        </w:rPr>
      </w:pPr>
    </w:p>
    <w:p w14:paraId="5B5CF2CF">
      <w:pPr>
        <w:spacing w:line="400" w:lineRule="exact"/>
        <w:rPr>
          <w:rFonts w:ascii="宋体" w:hAnsi="宋体"/>
          <w:b/>
          <w:color w:val="auto"/>
          <w:sz w:val="32"/>
          <w:szCs w:val="32"/>
          <w:highlight w:val="none"/>
        </w:rPr>
        <w:sectPr>
          <w:headerReference r:id="rId4" w:type="first"/>
          <w:footerReference r:id="rId6" w:type="first"/>
          <w:headerReference r:id="rId3" w:type="default"/>
          <w:footerReference r:id="rId5" w:type="default"/>
          <w:pgSz w:w="11906" w:h="16838"/>
          <w:pgMar w:top="1440" w:right="1080" w:bottom="1440" w:left="1080" w:header="851" w:footer="992" w:gutter="0"/>
          <w:pgNumType w:start="0"/>
          <w:cols w:space="720" w:num="1"/>
          <w:titlePg/>
          <w:docGrid w:type="lines" w:linePitch="312" w:charSpace="0"/>
        </w:sectPr>
      </w:pPr>
    </w:p>
    <w:p w14:paraId="547A9EC2">
      <w:pPr>
        <w:pStyle w:val="3"/>
        <w:jc w:val="center"/>
        <w:rPr>
          <w:rFonts w:ascii="宋体" w:hAnsi="宋体"/>
          <w:color w:val="auto"/>
          <w:szCs w:val="21"/>
          <w:highlight w:val="none"/>
        </w:rPr>
      </w:pPr>
      <w:bookmarkStart w:id="0" w:name="_Toc151675536"/>
      <w:r>
        <w:rPr>
          <w:rFonts w:hint="eastAsia"/>
          <w:color w:val="auto"/>
          <w:highlight w:val="none"/>
        </w:rPr>
        <w:t xml:space="preserve">第一章 </w:t>
      </w:r>
      <w:r>
        <w:rPr>
          <w:color w:val="auto"/>
          <w:highlight w:val="none"/>
        </w:rPr>
        <w:t xml:space="preserve"> </w:t>
      </w:r>
      <w:r>
        <w:rPr>
          <w:rFonts w:hint="eastAsia"/>
          <w:color w:val="auto"/>
          <w:highlight w:val="none"/>
        </w:rPr>
        <w:t>竞争性磋商公告</w:t>
      </w:r>
      <w:bookmarkEnd w:id="0"/>
    </w:p>
    <w:p w14:paraId="26610A4E">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bookmarkStart w:id="1" w:name="_Hlk37430271"/>
      <w:r>
        <w:rPr>
          <w:rFonts w:hint="eastAsia" w:ascii="宋体" w:hAnsi="宋体"/>
          <w:color w:val="auto"/>
          <w:szCs w:val="21"/>
          <w:highlight w:val="none"/>
        </w:rPr>
        <w:t>项目概况</w:t>
      </w:r>
    </w:p>
    <w:p w14:paraId="02AB2B33">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lang w:eastAsia="zh-CN"/>
        </w:rPr>
        <w:t>2025年度服务保障物资（材料购置）供应配送服务</w:t>
      </w:r>
      <w:r>
        <w:rPr>
          <w:rFonts w:hint="eastAsia" w:ascii="宋体" w:hAnsi="宋体"/>
          <w:color w:val="auto"/>
          <w:szCs w:val="21"/>
          <w:highlight w:val="none"/>
        </w:rPr>
        <w:t>的潜在供应商应在广西政府采购云平台（https://www.gcy.zfcg.gxzf.gov.cn/）获取（下载）竞争性磋商文件，并于2</w:t>
      </w:r>
      <w:r>
        <w:rPr>
          <w:rFonts w:ascii="宋体" w:hAnsi="宋体"/>
          <w:color w:val="auto"/>
          <w:szCs w:val="21"/>
          <w:highlight w:val="none"/>
        </w:rPr>
        <w:t>02</w:t>
      </w:r>
      <w:r>
        <w:rPr>
          <w:rFonts w:hint="eastAsia" w:ascii="宋体" w:hAnsi="宋体"/>
          <w:color w:val="auto"/>
          <w:szCs w:val="21"/>
          <w:highlight w:val="none"/>
          <w:lang w:val="en-US" w:eastAsia="zh-CN"/>
        </w:rPr>
        <w:t>5</w:t>
      </w:r>
      <w:r>
        <w:rPr>
          <w:rFonts w:hint="eastAsia" w:ascii="宋体" w:hAnsi="宋体"/>
          <w:bCs/>
          <w:color w:val="auto"/>
          <w:szCs w:val="21"/>
          <w:highlight w:val="none"/>
        </w:rPr>
        <w:t>年</w:t>
      </w:r>
      <w:r>
        <w:rPr>
          <w:rFonts w:hint="eastAsia" w:ascii="宋体" w:hAnsi="宋体"/>
          <w:bCs/>
          <w:color w:val="auto"/>
          <w:szCs w:val="21"/>
          <w:highlight w:val="none"/>
          <w:lang w:val="en-US" w:eastAsia="zh-CN"/>
        </w:rPr>
        <w:t>7</w:t>
      </w:r>
      <w:r>
        <w:rPr>
          <w:rFonts w:hint="eastAsia" w:ascii="宋体" w:hAnsi="宋体"/>
          <w:bCs/>
          <w:color w:val="auto"/>
          <w:szCs w:val="21"/>
          <w:highlight w:val="none"/>
        </w:rPr>
        <w:t>月</w:t>
      </w:r>
      <w:r>
        <w:rPr>
          <w:rFonts w:hint="eastAsia" w:ascii="宋体" w:hAnsi="宋体"/>
          <w:bCs/>
          <w:color w:val="auto"/>
          <w:szCs w:val="21"/>
          <w:highlight w:val="none"/>
          <w:lang w:val="en-US" w:eastAsia="zh-CN"/>
        </w:rPr>
        <w:t>1</w:t>
      </w:r>
      <w:r>
        <w:rPr>
          <w:rFonts w:hint="eastAsia" w:ascii="宋体" w:hAnsi="宋体"/>
          <w:bCs/>
          <w:color w:val="auto"/>
          <w:szCs w:val="21"/>
          <w:highlight w:val="none"/>
        </w:rPr>
        <w:t>日</w:t>
      </w:r>
      <w:r>
        <w:rPr>
          <w:rFonts w:hint="eastAsia" w:ascii="宋体" w:hAnsi="宋体"/>
          <w:bCs/>
          <w:color w:val="auto"/>
          <w:szCs w:val="21"/>
          <w:highlight w:val="none"/>
          <w:lang w:val="en-US" w:eastAsia="zh-CN"/>
        </w:rPr>
        <w:t>09</w:t>
      </w:r>
      <w:r>
        <w:rPr>
          <w:rFonts w:hint="eastAsia" w:ascii="宋体" w:hAnsi="宋体"/>
          <w:bCs/>
          <w:color w:val="auto"/>
          <w:szCs w:val="21"/>
          <w:highlight w:val="none"/>
        </w:rPr>
        <w:t>时</w:t>
      </w:r>
      <w:r>
        <w:rPr>
          <w:rFonts w:hint="eastAsia" w:ascii="宋体" w:hAnsi="宋体"/>
          <w:bCs/>
          <w:color w:val="auto"/>
          <w:szCs w:val="21"/>
          <w:highlight w:val="none"/>
          <w:lang w:val="en-US" w:eastAsia="zh-CN"/>
        </w:rPr>
        <w:t>30</w:t>
      </w:r>
      <w:r>
        <w:rPr>
          <w:rFonts w:hint="eastAsia" w:ascii="宋体" w:hAnsi="宋体"/>
          <w:bCs/>
          <w:color w:val="auto"/>
          <w:szCs w:val="21"/>
          <w:highlight w:val="none"/>
        </w:rPr>
        <w:t>分（北京时间）前提交（上传）</w:t>
      </w:r>
      <w:r>
        <w:rPr>
          <w:rFonts w:hint="eastAsia" w:ascii="宋体" w:hAnsi="宋体"/>
          <w:color w:val="auto"/>
          <w:szCs w:val="21"/>
          <w:highlight w:val="none"/>
        </w:rPr>
        <w:t>响应</w:t>
      </w:r>
      <w:r>
        <w:rPr>
          <w:rFonts w:hint="eastAsia" w:ascii="宋体" w:hAnsi="宋体"/>
          <w:bCs/>
          <w:color w:val="auto"/>
          <w:szCs w:val="21"/>
          <w:highlight w:val="none"/>
        </w:rPr>
        <w:t>文件</w:t>
      </w:r>
      <w:r>
        <w:rPr>
          <w:rFonts w:hint="eastAsia" w:ascii="宋体" w:hAnsi="宋体"/>
          <w:color w:val="auto"/>
          <w:szCs w:val="21"/>
          <w:highlight w:val="none"/>
        </w:rPr>
        <w:t>。</w:t>
      </w:r>
    </w:p>
    <w:p w14:paraId="414B6101">
      <w:pPr>
        <w:ind w:firstLine="354" w:firstLineChars="147"/>
        <w:rPr>
          <w:rFonts w:ascii="黑体" w:hAnsi="黑体" w:eastAsia="黑体"/>
          <w:b/>
          <w:color w:val="auto"/>
          <w:sz w:val="24"/>
          <w:highlight w:val="none"/>
        </w:rPr>
      </w:pPr>
      <w:bookmarkStart w:id="2" w:name="_Toc44229878"/>
      <w:bookmarkStart w:id="3" w:name="_Toc35393629"/>
      <w:bookmarkStart w:id="4" w:name="_Toc28359012"/>
      <w:bookmarkStart w:id="5" w:name="_Toc28359089"/>
      <w:bookmarkStart w:id="6" w:name="_Toc35393798"/>
      <w:bookmarkStart w:id="7" w:name="_Toc71365905"/>
      <w:r>
        <w:rPr>
          <w:rFonts w:hint="eastAsia" w:ascii="黑体" w:hAnsi="黑体" w:eastAsia="黑体"/>
          <w:b/>
          <w:color w:val="auto"/>
          <w:sz w:val="24"/>
          <w:highlight w:val="none"/>
        </w:rPr>
        <w:t>一、项目基本情况</w:t>
      </w:r>
      <w:bookmarkEnd w:id="2"/>
      <w:bookmarkEnd w:id="3"/>
      <w:bookmarkEnd w:id="4"/>
      <w:bookmarkEnd w:id="5"/>
      <w:bookmarkEnd w:id="6"/>
      <w:bookmarkEnd w:id="7"/>
    </w:p>
    <w:p w14:paraId="182AE83E">
      <w:pPr>
        <w:spacing w:line="360" w:lineRule="auto"/>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GXZC2025-C3-001646-GXCJ</w:t>
      </w:r>
    </w:p>
    <w:p w14:paraId="72AA021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政府采购计划编号：</w:t>
      </w:r>
      <w:r>
        <w:rPr>
          <w:rFonts w:hint="eastAsia" w:ascii="宋体" w:hAnsi="宋体"/>
          <w:color w:val="auto"/>
          <w:szCs w:val="21"/>
          <w:highlight w:val="none"/>
          <w:lang w:eastAsia="zh-CN"/>
        </w:rPr>
        <w:t>广西政采[202</w:t>
      </w: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8217</w:t>
      </w:r>
      <w:r>
        <w:rPr>
          <w:rFonts w:hint="eastAsia" w:ascii="宋体" w:hAnsi="宋体"/>
          <w:color w:val="auto"/>
          <w:szCs w:val="21"/>
          <w:highlight w:val="none"/>
          <w:lang w:eastAsia="zh-CN"/>
        </w:rPr>
        <w:t>号</w:t>
      </w:r>
    </w:p>
    <w:p w14:paraId="08C52F40">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lang w:eastAsia="zh-CN"/>
        </w:rPr>
        <w:t>2025年度服务保障物资（材料购置）供应配送服务</w:t>
      </w:r>
    </w:p>
    <w:p w14:paraId="34A5171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采购方式：竞争性磋商</w:t>
      </w:r>
    </w:p>
    <w:p w14:paraId="52C7BB8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预算金额：</w:t>
      </w:r>
      <w:r>
        <w:rPr>
          <w:rFonts w:hint="eastAsia" w:ascii="宋体" w:hAnsi="宋体"/>
          <w:color w:val="auto"/>
          <w:szCs w:val="21"/>
          <w:highlight w:val="none"/>
          <w:lang w:val="en-US" w:eastAsia="zh-CN"/>
        </w:rPr>
        <w:t>1649236.00</w:t>
      </w:r>
      <w:r>
        <w:rPr>
          <w:rFonts w:hint="eastAsia" w:ascii="宋体" w:hAnsi="宋体"/>
          <w:color w:val="auto"/>
          <w:szCs w:val="21"/>
          <w:highlight w:val="none"/>
        </w:rPr>
        <w:t>元</w:t>
      </w:r>
    </w:p>
    <w:p w14:paraId="029707E9">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采购需求：</w:t>
      </w:r>
    </w:p>
    <w:p w14:paraId="70ED824B">
      <w:pPr>
        <w:spacing w:line="360" w:lineRule="exact"/>
        <w:ind w:left="420" w:leftChars="200"/>
        <w:rPr>
          <w:rFonts w:hint="eastAsia" w:ascii="宋体" w:hAnsi="宋体"/>
          <w:color w:val="auto"/>
          <w:szCs w:val="21"/>
          <w:highlight w:val="none"/>
        </w:rPr>
      </w:pPr>
    </w:p>
    <w:p w14:paraId="5DDAC0AE">
      <w:pPr>
        <w:spacing w:line="360" w:lineRule="exact"/>
        <w:ind w:left="420" w:leftChars="200"/>
        <w:rPr>
          <w:rFonts w:ascii="宋体" w:hAnsi="宋体"/>
          <w:color w:val="auto"/>
          <w:szCs w:val="21"/>
          <w:highlight w:val="none"/>
        </w:rPr>
      </w:pPr>
      <w:bookmarkStart w:id="8" w:name="_Toc71365906"/>
      <w:bookmarkStart w:id="9" w:name="_Toc35393630"/>
      <w:bookmarkStart w:id="10" w:name="_Toc28359013"/>
      <w:bookmarkStart w:id="11" w:name="_Toc28359090"/>
      <w:bookmarkStart w:id="12" w:name="_Toc44229879"/>
      <w:bookmarkStart w:id="13" w:name="_Toc35393799"/>
      <w:r>
        <w:rPr>
          <w:rFonts w:hint="eastAsia" w:ascii="宋体" w:hAnsi="宋体"/>
          <w:color w:val="auto"/>
          <w:szCs w:val="21"/>
          <w:highlight w:val="none"/>
          <w:lang w:val="en-US" w:eastAsia="zh-CN"/>
        </w:rPr>
        <w:t>分标1</w:t>
      </w:r>
      <w:r>
        <w:rPr>
          <w:rFonts w:hint="eastAsia" w:ascii="宋体" w:hAnsi="宋体"/>
          <w:color w:val="auto"/>
          <w:szCs w:val="21"/>
          <w:highlight w:val="none"/>
        </w:rPr>
        <w:br w:type="textWrapping"/>
      </w:r>
      <w:r>
        <w:rPr>
          <w:rFonts w:hint="eastAsia" w:ascii="宋体" w:hAnsi="宋体"/>
          <w:color w:val="auto"/>
          <w:szCs w:val="21"/>
          <w:highlight w:val="none"/>
        </w:rPr>
        <w:t>标项名称:</w:t>
      </w:r>
      <w:r>
        <w:rPr>
          <w:rFonts w:hint="eastAsia" w:ascii="宋体" w:hAnsi="宋体"/>
          <w:color w:val="auto"/>
          <w:szCs w:val="21"/>
          <w:highlight w:val="none"/>
          <w:lang w:eastAsia="zh-CN"/>
        </w:rPr>
        <w:t>卫生用品、餐厨用品及零星用品供应配送服务</w:t>
      </w:r>
      <w:r>
        <w:rPr>
          <w:rFonts w:hint="eastAsia" w:ascii="宋体" w:hAnsi="宋体"/>
          <w:color w:val="auto"/>
          <w:szCs w:val="21"/>
          <w:highlight w:val="none"/>
        </w:rPr>
        <w:br w:type="textWrapping"/>
      </w:r>
      <w:r>
        <w:rPr>
          <w:rFonts w:hint="eastAsia" w:ascii="宋体" w:hAnsi="宋体"/>
          <w:color w:val="auto"/>
          <w:szCs w:val="21"/>
          <w:highlight w:val="none"/>
        </w:rPr>
        <w:t>数量:1</w:t>
      </w:r>
      <w:r>
        <w:rPr>
          <w:rFonts w:hint="eastAsia" w:ascii="宋体" w:hAnsi="宋体"/>
          <w:color w:val="auto"/>
          <w:szCs w:val="21"/>
          <w:highlight w:val="none"/>
        </w:rPr>
        <w:br w:type="textWrapping"/>
      </w:r>
      <w:r>
        <w:rPr>
          <w:rFonts w:hint="eastAsia" w:ascii="宋体" w:hAnsi="宋体"/>
          <w:color w:val="auto"/>
          <w:szCs w:val="21"/>
          <w:highlight w:val="none"/>
        </w:rPr>
        <w:t>预算金额（元）:703756</w:t>
      </w:r>
      <w:r>
        <w:rPr>
          <w:rFonts w:hint="eastAsia" w:ascii="宋体" w:hAnsi="宋体"/>
          <w:color w:val="auto"/>
          <w:szCs w:val="21"/>
          <w:highlight w:val="none"/>
        </w:rPr>
        <w:br w:type="textWrapping"/>
      </w:r>
      <w:r>
        <w:rPr>
          <w:rFonts w:hint="eastAsia" w:ascii="宋体" w:hAnsi="宋体"/>
          <w:color w:val="auto"/>
          <w:szCs w:val="21"/>
          <w:highlight w:val="none"/>
        </w:rPr>
        <w:t>简要规格描述或项目基本概况介绍、用途：</w:t>
      </w:r>
      <w:r>
        <w:rPr>
          <w:rFonts w:hint="eastAsia" w:ascii="宋体" w:hAnsi="宋体"/>
          <w:color w:val="auto"/>
          <w:szCs w:val="21"/>
          <w:highlight w:val="none"/>
          <w:lang w:val="en-US" w:eastAsia="zh-CN"/>
        </w:rPr>
        <w:t>采购1家供应商，提供</w:t>
      </w:r>
      <w:r>
        <w:rPr>
          <w:rFonts w:hint="eastAsia" w:ascii="宋体" w:hAnsi="宋体"/>
          <w:color w:val="auto"/>
          <w:szCs w:val="21"/>
          <w:highlight w:val="none"/>
          <w:lang w:eastAsia="zh-CN"/>
        </w:rPr>
        <w:t>卫生用品、餐厨用品及零星用品</w:t>
      </w:r>
      <w:r>
        <w:rPr>
          <w:rFonts w:hint="eastAsia" w:ascii="宋体" w:hAnsi="宋体"/>
          <w:b w:val="0"/>
          <w:bCs w:val="0"/>
          <w:color w:val="auto"/>
          <w:sz w:val="21"/>
          <w:szCs w:val="21"/>
          <w:highlight w:val="none"/>
          <w:lang w:val="en-US" w:eastAsia="zh-CN"/>
        </w:rPr>
        <w:t>的相关货品及配送服务</w:t>
      </w:r>
      <w:r>
        <w:rPr>
          <w:rFonts w:hint="eastAsia" w:ascii="宋体" w:hAnsi="宋体"/>
          <w:color w:val="auto"/>
          <w:szCs w:val="21"/>
          <w:highlight w:val="none"/>
        </w:rPr>
        <w:t>。具体详见采购文件。</w:t>
      </w:r>
    </w:p>
    <w:p w14:paraId="2DBD1201">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最高限价（如有）：703756</w:t>
      </w:r>
    </w:p>
    <w:p w14:paraId="2BCF90E7">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合同履约期限：</w:t>
      </w:r>
      <w:r>
        <w:rPr>
          <w:rFonts w:hint="eastAsia" w:ascii="宋体" w:hAnsi="宋体"/>
          <w:color w:val="auto"/>
          <w:szCs w:val="21"/>
          <w:highlight w:val="none"/>
          <w:lang w:val="en-US" w:eastAsia="zh-CN"/>
        </w:rPr>
        <w:t>服务期为合同签订之日起至2025年12月31日。采购人订购清单/采购确认表发出之日起20天内送货到指定地点。</w:t>
      </w:r>
    </w:p>
    <w:p w14:paraId="38F6E3A2">
      <w:pPr>
        <w:spacing w:line="360" w:lineRule="exact"/>
        <w:ind w:left="420" w:leftChars="200"/>
        <w:rPr>
          <w:rFonts w:ascii="宋体" w:hAnsi="宋体"/>
          <w:color w:val="auto"/>
          <w:szCs w:val="21"/>
          <w:highlight w:val="none"/>
        </w:rPr>
      </w:pPr>
      <w:r>
        <w:rPr>
          <w:rFonts w:hint="eastAsia" w:ascii="宋体" w:hAnsi="宋体"/>
          <w:color w:val="auto"/>
          <w:szCs w:val="21"/>
          <w:highlight w:val="none"/>
        </w:rPr>
        <w:t>本标项（否）接受联合体投标</w:t>
      </w:r>
      <w:r>
        <w:rPr>
          <w:rFonts w:hint="eastAsia" w:ascii="宋体" w:hAnsi="宋体"/>
          <w:color w:val="auto"/>
          <w:szCs w:val="21"/>
          <w:highlight w:val="none"/>
        </w:rPr>
        <w:br w:type="textWrapping"/>
      </w:r>
      <w:r>
        <w:rPr>
          <w:rFonts w:hint="eastAsia" w:ascii="宋体" w:hAnsi="宋体"/>
          <w:color w:val="auto"/>
          <w:szCs w:val="21"/>
          <w:highlight w:val="none"/>
        </w:rPr>
        <w:t>备注：/</w:t>
      </w:r>
    </w:p>
    <w:p w14:paraId="38EB901E">
      <w:pPr>
        <w:spacing w:line="360" w:lineRule="exact"/>
        <w:ind w:firstLine="420" w:firstLineChars="200"/>
        <w:rPr>
          <w:rFonts w:hint="eastAsia" w:ascii="宋体" w:hAnsi="宋体"/>
          <w:color w:val="auto"/>
          <w:szCs w:val="21"/>
          <w:highlight w:val="none"/>
          <w:lang w:eastAsia="zh-CN"/>
        </w:rPr>
      </w:pPr>
    </w:p>
    <w:p w14:paraId="0CF4E4C7">
      <w:pPr>
        <w:spacing w:line="360" w:lineRule="exact"/>
        <w:ind w:left="420" w:leftChars="200"/>
        <w:rPr>
          <w:rFonts w:ascii="宋体" w:hAnsi="宋体"/>
          <w:color w:val="auto"/>
          <w:szCs w:val="21"/>
          <w:highlight w:val="none"/>
        </w:rPr>
      </w:pPr>
      <w:r>
        <w:rPr>
          <w:rFonts w:hint="eastAsia" w:ascii="宋体" w:hAnsi="宋体"/>
          <w:color w:val="auto"/>
          <w:szCs w:val="21"/>
          <w:highlight w:val="none"/>
          <w:lang w:val="en-US" w:eastAsia="zh-CN"/>
        </w:rPr>
        <w:t>分标2</w:t>
      </w:r>
      <w:r>
        <w:rPr>
          <w:rFonts w:hint="eastAsia" w:ascii="宋体" w:hAnsi="宋体"/>
          <w:color w:val="auto"/>
          <w:szCs w:val="21"/>
          <w:highlight w:val="none"/>
        </w:rPr>
        <w:br w:type="textWrapping"/>
      </w:r>
      <w:r>
        <w:rPr>
          <w:rFonts w:hint="eastAsia" w:ascii="宋体" w:hAnsi="宋体"/>
          <w:color w:val="auto"/>
          <w:szCs w:val="21"/>
          <w:highlight w:val="none"/>
        </w:rPr>
        <w:t>标项名称:</w:t>
      </w:r>
      <w:r>
        <w:rPr>
          <w:rFonts w:hint="eastAsia" w:ascii="宋体" w:hAnsi="宋体"/>
          <w:color w:val="auto"/>
          <w:szCs w:val="21"/>
          <w:highlight w:val="none"/>
          <w:lang w:eastAsia="zh-CN"/>
        </w:rPr>
        <w:t>酒店用品供应配送服务</w:t>
      </w:r>
      <w:r>
        <w:rPr>
          <w:rFonts w:hint="eastAsia" w:ascii="宋体" w:hAnsi="宋体"/>
          <w:color w:val="auto"/>
          <w:szCs w:val="21"/>
          <w:highlight w:val="none"/>
        </w:rPr>
        <w:br w:type="textWrapping"/>
      </w:r>
      <w:r>
        <w:rPr>
          <w:rFonts w:hint="eastAsia" w:ascii="宋体" w:hAnsi="宋体"/>
          <w:color w:val="auto"/>
          <w:szCs w:val="21"/>
          <w:highlight w:val="none"/>
        </w:rPr>
        <w:t>数量:1</w:t>
      </w:r>
      <w:r>
        <w:rPr>
          <w:rFonts w:hint="eastAsia" w:ascii="宋体" w:hAnsi="宋体"/>
          <w:color w:val="auto"/>
          <w:szCs w:val="21"/>
          <w:highlight w:val="none"/>
        </w:rPr>
        <w:br w:type="textWrapping"/>
      </w:r>
      <w:r>
        <w:rPr>
          <w:rFonts w:hint="eastAsia" w:ascii="宋体" w:hAnsi="宋体"/>
          <w:color w:val="auto"/>
          <w:szCs w:val="21"/>
          <w:highlight w:val="none"/>
        </w:rPr>
        <w:t>预算金额（元）:945480</w:t>
      </w:r>
      <w:r>
        <w:rPr>
          <w:rFonts w:hint="eastAsia" w:ascii="宋体" w:hAnsi="宋体"/>
          <w:color w:val="auto"/>
          <w:szCs w:val="21"/>
          <w:highlight w:val="none"/>
        </w:rPr>
        <w:br w:type="textWrapping"/>
      </w:r>
      <w:r>
        <w:rPr>
          <w:rFonts w:hint="eastAsia" w:ascii="宋体" w:hAnsi="宋体"/>
          <w:color w:val="auto"/>
          <w:szCs w:val="21"/>
          <w:highlight w:val="none"/>
        </w:rPr>
        <w:t>简要规格描述或项目基本概况介绍、用途：</w:t>
      </w:r>
      <w:r>
        <w:rPr>
          <w:rFonts w:hint="eastAsia" w:ascii="宋体" w:hAnsi="宋体"/>
          <w:color w:val="auto"/>
          <w:szCs w:val="21"/>
          <w:highlight w:val="none"/>
          <w:lang w:val="en-US" w:eastAsia="zh-CN"/>
        </w:rPr>
        <w:t>采购1家供应商，提供</w:t>
      </w:r>
      <w:r>
        <w:rPr>
          <w:rFonts w:hint="eastAsia" w:ascii="宋体" w:hAnsi="宋体"/>
          <w:color w:val="auto"/>
          <w:szCs w:val="21"/>
          <w:highlight w:val="none"/>
          <w:lang w:eastAsia="zh-CN"/>
        </w:rPr>
        <w:t>酒店用品</w:t>
      </w:r>
      <w:r>
        <w:rPr>
          <w:rFonts w:hint="eastAsia" w:ascii="宋体" w:hAnsi="宋体"/>
          <w:b w:val="0"/>
          <w:bCs w:val="0"/>
          <w:color w:val="auto"/>
          <w:sz w:val="21"/>
          <w:szCs w:val="21"/>
          <w:highlight w:val="none"/>
          <w:lang w:val="en-US" w:eastAsia="zh-CN"/>
        </w:rPr>
        <w:t>的相关货品及配送服务</w:t>
      </w:r>
      <w:r>
        <w:rPr>
          <w:rFonts w:hint="eastAsia" w:ascii="宋体" w:hAnsi="宋体"/>
          <w:color w:val="auto"/>
          <w:szCs w:val="21"/>
          <w:highlight w:val="none"/>
        </w:rPr>
        <w:t>。具体详见采购文件。</w:t>
      </w:r>
    </w:p>
    <w:p w14:paraId="439B7C7E">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最高限价（如有）：945480</w:t>
      </w:r>
    </w:p>
    <w:p w14:paraId="60E8CE47">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合同履约期限：</w:t>
      </w:r>
      <w:r>
        <w:rPr>
          <w:rFonts w:hint="eastAsia" w:ascii="宋体" w:hAnsi="宋体"/>
          <w:color w:val="auto"/>
          <w:szCs w:val="21"/>
          <w:highlight w:val="none"/>
          <w:lang w:val="en-US" w:eastAsia="zh-CN"/>
        </w:rPr>
        <w:t>服务期为合同签订之日起至2025年12月31日。采购人订购清单发出之日起20天内送货到指定地点。</w:t>
      </w:r>
    </w:p>
    <w:p w14:paraId="2A8BFAE3">
      <w:pPr>
        <w:spacing w:line="360" w:lineRule="exact"/>
        <w:ind w:left="420" w:leftChars="200"/>
        <w:rPr>
          <w:rFonts w:ascii="宋体" w:hAnsi="宋体"/>
          <w:color w:val="auto"/>
          <w:szCs w:val="21"/>
          <w:highlight w:val="none"/>
        </w:rPr>
      </w:pPr>
      <w:r>
        <w:rPr>
          <w:rFonts w:hint="eastAsia" w:ascii="宋体" w:hAnsi="宋体"/>
          <w:color w:val="auto"/>
          <w:szCs w:val="21"/>
          <w:highlight w:val="none"/>
        </w:rPr>
        <w:t>本标项（否）接受联合体投标</w:t>
      </w:r>
      <w:r>
        <w:rPr>
          <w:rFonts w:hint="eastAsia" w:ascii="宋体" w:hAnsi="宋体"/>
          <w:color w:val="auto"/>
          <w:szCs w:val="21"/>
          <w:highlight w:val="none"/>
        </w:rPr>
        <w:br w:type="textWrapping"/>
      </w:r>
      <w:r>
        <w:rPr>
          <w:rFonts w:hint="eastAsia" w:ascii="宋体" w:hAnsi="宋体"/>
          <w:color w:val="auto"/>
          <w:szCs w:val="21"/>
          <w:highlight w:val="none"/>
        </w:rPr>
        <w:t>备注：/</w:t>
      </w:r>
    </w:p>
    <w:p w14:paraId="5FB87BBD">
      <w:pPr>
        <w:spacing w:line="360" w:lineRule="exact"/>
        <w:ind w:firstLine="420" w:firstLineChars="200"/>
        <w:rPr>
          <w:rFonts w:hint="eastAsia" w:ascii="宋体" w:hAnsi="宋体"/>
          <w:color w:val="auto"/>
          <w:szCs w:val="21"/>
          <w:highlight w:val="none"/>
          <w:lang w:eastAsia="zh-CN"/>
        </w:rPr>
      </w:pPr>
    </w:p>
    <w:p w14:paraId="3BBF499A">
      <w:pPr>
        <w:spacing w:line="360" w:lineRule="exact"/>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二、申请人的资格条件：</w:t>
      </w:r>
      <w:bookmarkEnd w:id="8"/>
      <w:bookmarkEnd w:id="9"/>
      <w:bookmarkEnd w:id="10"/>
      <w:bookmarkEnd w:id="11"/>
      <w:bookmarkEnd w:id="12"/>
      <w:bookmarkEnd w:id="13"/>
    </w:p>
    <w:p w14:paraId="00F9DA02">
      <w:pPr>
        <w:spacing w:line="360" w:lineRule="exact"/>
        <w:ind w:firstLine="420" w:firstLineChars="200"/>
        <w:rPr>
          <w:rFonts w:ascii="宋体" w:hAnsi="宋体"/>
          <w:color w:val="auto"/>
          <w:szCs w:val="21"/>
          <w:highlight w:val="none"/>
        </w:rPr>
      </w:pPr>
      <w:bookmarkStart w:id="14" w:name="_Toc28359091"/>
      <w:bookmarkStart w:id="15" w:name="_Toc28359014"/>
      <w:bookmarkStart w:id="16" w:name="_Toc35393631"/>
      <w:bookmarkStart w:id="17" w:name="_Toc35393800"/>
      <w:bookmarkStart w:id="18" w:name="_Toc44229880"/>
      <w:r>
        <w:rPr>
          <w:rFonts w:hint="eastAsia" w:ascii="宋体" w:hAnsi="宋体"/>
          <w:color w:val="auto"/>
          <w:szCs w:val="21"/>
          <w:highlight w:val="none"/>
        </w:rPr>
        <w:t>1.满足《中华人民共和国政府采购法》第二十二条规定；</w:t>
      </w:r>
    </w:p>
    <w:p w14:paraId="00922BC4">
      <w:pPr>
        <w:spacing w:line="36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.落实政府采购政策需满足的资格要求：分标1、2：</w:t>
      </w:r>
      <w:r>
        <w:rPr>
          <w:rFonts w:hint="eastAsia" w:ascii="宋体" w:hAnsi="宋体"/>
          <w:color w:val="auto"/>
          <w:szCs w:val="21"/>
          <w:highlight w:val="none"/>
          <w:lang w:val="en-US" w:eastAsia="zh-CN"/>
        </w:rPr>
        <w:t>本标项属于专门面向中小企业采购的项目（供应商应为中小微企业或监狱企业或残疾人福利性单位)；</w:t>
      </w:r>
    </w:p>
    <w:p w14:paraId="45D021CD">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3.本项目的特定资格要求：</w:t>
      </w:r>
      <w:bookmarkStart w:id="19" w:name="_Toc71365907"/>
      <w:r>
        <w:rPr>
          <w:rFonts w:hint="eastAsia" w:ascii="宋体" w:hAnsi="宋体"/>
          <w:color w:val="auto"/>
          <w:szCs w:val="21"/>
          <w:highlight w:val="none"/>
          <w:lang w:val="en-US" w:eastAsia="zh-CN"/>
        </w:rPr>
        <w:t>无</w:t>
      </w:r>
    </w:p>
    <w:p w14:paraId="759DB372">
      <w:pPr>
        <w:spacing w:line="360" w:lineRule="exact"/>
        <w:ind w:firstLine="482" w:firstLineChars="200"/>
        <w:rPr>
          <w:rFonts w:ascii="黑体" w:hAnsi="黑体" w:eastAsia="黑体"/>
          <w:b/>
          <w:color w:val="auto"/>
          <w:sz w:val="24"/>
          <w:highlight w:val="none"/>
        </w:rPr>
      </w:pPr>
      <w:r>
        <w:rPr>
          <w:rFonts w:hint="eastAsia" w:ascii="黑体" w:hAnsi="黑体" w:eastAsia="黑体"/>
          <w:b/>
          <w:color w:val="auto"/>
          <w:sz w:val="24"/>
          <w:highlight w:val="none"/>
        </w:rPr>
        <w:t>三、获取竞争性磋商文件</w:t>
      </w:r>
      <w:bookmarkEnd w:id="14"/>
      <w:bookmarkEnd w:id="15"/>
      <w:bookmarkEnd w:id="16"/>
      <w:bookmarkEnd w:id="17"/>
      <w:bookmarkEnd w:id="18"/>
      <w:bookmarkEnd w:id="19"/>
    </w:p>
    <w:p w14:paraId="2AF35FE1">
      <w:pPr>
        <w:spacing w:line="360" w:lineRule="exact"/>
        <w:ind w:firstLine="420" w:firstLineChars="200"/>
        <w:rPr>
          <w:rFonts w:ascii="宋体" w:hAnsi="宋体" w:cs="宋体"/>
          <w:bCs/>
          <w:color w:val="auto"/>
          <w:kern w:val="0"/>
          <w:szCs w:val="21"/>
          <w:highlight w:val="none"/>
          <w:u w:val="none"/>
        </w:rPr>
      </w:pPr>
      <w:bookmarkStart w:id="20" w:name="_Toc28359015"/>
      <w:bookmarkStart w:id="21" w:name="_Toc35393632"/>
      <w:bookmarkStart w:id="22" w:name="_Toc35393801"/>
      <w:bookmarkStart w:id="23" w:name="_Toc28359092"/>
      <w:bookmarkStart w:id="24" w:name="_Toc44229881"/>
      <w:r>
        <w:rPr>
          <w:rFonts w:hint="eastAsia" w:ascii="宋体" w:hAnsi="宋体" w:cs="宋体"/>
          <w:bCs/>
          <w:color w:val="auto"/>
          <w:kern w:val="0"/>
          <w:szCs w:val="21"/>
          <w:highlight w:val="none"/>
        </w:rPr>
        <w:t>时间：</w:t>
      </w:r>
      <w:r>
        <w:rPr>
          <w:rFonts w:ascii="宋体" w:hAnsi="宋体"/>
          <w:bCs/>
          <w:color w:val="auto"/>
          <w:szCs w:val="21"/>
          <w:highlight w:val="none"/>
          <w:u w:val="single"/>
        </w:rPr>
        <w:t>202</w:t>
      </w:r>
      <w:r>
        <w:rPr>
          <w:rFonts w:hint="eastAsia" w:ascii="宋体" w:hAnsi="宋体"/>
          <w:bCs/>
          <w:color w:val="auto"/>
          <w:szCs w:val="21"/>
          <w:highlight w:val="none"/>
          <w:u w:val="single"/>
          <w:lang w:val="en-US" w:eastAsia="zh-CN"/>
        </w:rPr>
        <w:t>5</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6</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16</w:t>
      </w:r>
      <w:r>
        <w:rPr>
          <w:rFonts w:hint="eastAsia" w:ascii="宋体" w:hAnsi="宋体"/>
          <w:bCs/>
          <w:color w:val="auto"/>
          <w:szCs w:val="21"/>
          <w:highlight w:val="none"/>
          <w:u w:val="single"/>
        </w:rPr>
        <w:t>日</w:t>
      </w:r>
      <w:r>
        <w:rPr>
          <w:rFonts w:hint="eastAsia" w:ascii="宋体" w:hAnsi="宋体" w:cs="宋体"/>
          <w:bCs/>
          <w:color w:val="auto"/>
          <w:kern w:val="0"/>
          <w:szCs w:val="21"/>
          <w:highlight w:val="none"/>
        </w:rPr>
        <w:t>至</w:t>
      </w:r>
      <w:r>
        <w:rPr>
          <w:rFonts w:ascii="宋体" w:hAnsi="宋体"/>
          <w:bCs/>
          <w:color w:val="auto"/>
          <w:szCs w:val="21"/>
          <w:highlight w:val="none"/>
          <w:u w:val="single"/>
        </w:rPr>
        <w:t>202</w:t>
      </w:r>
      <w:r>
        <w:rPr>
          <w:rFonts w:hint="eastAsia" w:ascii="宋体" w:hAnsi="宋体"/>
          <w:bCs/>
          <w:color w:val="auto"/>
          <w:szCs w:val="21"/>
          <w:highlight w:val="none"/>
          <w:u w:val="single"/>
          <w:lang w:val="en-US" w:eastAsia="zh-CN"/>
        </w:rPr>
        <w:t>5</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6</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23</w:t>
      </w:r>
      <w:r>
        <w:rPr>
          <w:rFonts w:hint="eastAsia" w:ascii="宋体" w:hAnsi="宋体"/>
          <w:bCs/>
          <w:color w:val="auto"/>
          <w:szCs w:val="21"/>
          <w:highlight w:val="none"/>
          <w:u w:val="single"/>
        </w:rPr>
        <w:t>日</w:t>
      </w:r>
      <w:r>
        <w:rPr>
          <w:rFonts w:hint="eastAsia" w:ascii="宋体" w:hAnsi="宋体" w:cs="宋体"/>
          <w:bCs/>
          <w:color w:val="auto"/>
          <w:kern w:val="0"/>
          <w:szCs w:val="21"/>
          <w:highlight w:val="none"/>
        </w:rPr>
        <w:t>，每天</w:t>
      </w:r>
      <w:r>
        <w:rPr>
          <w:rFonts w:hint="eastAsia" w:ascii="宋体" w:hAnsi="宋体" w:cs="宋体"/>
          <w:bCs/>
          <w:color w:val="auto"/>
          <w:kern w:val="0"/>
          <w:szCs w:val="21"/>
          <w:highlight w:val="none"/>
          <w:u w:val="none"/>
        </w:rPr>
        <w:t>上午</w:t>
      </w:r>
      <w:r>
        <w:rPr>
          <w:rFonts w:ascii="宋体" w:hAnsi="宋体" w:cs="宋体"/>
          <w:bCs/>
          <w:color w:val="auto"/>
          <w:kern w:val="0"/>
          <w:szCs w:val="21"/>
          <w:highlight w:val="none"/>
          <w:u w:val="none"/>
        </w:rPr>
        <w:t>0</w:t>
      </w:r>
      <w:r>
        <w:rPr>
          <w:rFonts w:hint="eastAsia" w:ascii="宋体" w:hAnsi="宋体" w:cs="宋体"/>
          <w:bCs/>
          <w:color w:val="auto"/>
          <w:kern w:val="0"/>
          <w:szCs w:val="21"/>
          <w:highlight w:val="none"/>
          <w:u w:val="none"/>
        </w:rPr>
        <w:t>：</w:t>
      </w:r>
      <w:r>
        <w:rPr>
          <w:rFonts w:ascii="宋体" w:hAnsi="宋体" w:cs="宋体"/>
          <w:bCs/>
          <w:color w:val="auto"/>
          <w:kern w:val="0"/>
          <w:szCs w:val="21"/>
          <w:highlight w:val="none"/>
          <w:u w:val="none"/>
        </w:rPr>
        <w:t>00</w:t>
      </w:r>
      <w:r>
        <w:rPr>
          <w:rFonts w:hint="eastAsia" w:ascii="宋体" w:hAnsi="宋体" w:cs="宋体"/>
          <w:bCs/>
          <w:color w:val="auto"/>
          <w:kern w:val="0"/>
          <w:szCs w:val="21"/>
          <w:highlight w:val="none"/>
          <w:u w:val="none"/>
        </w:rPr>
        <w:t>至12:0</w:t>
      </w:r>
      <w:r>
        <w:rPr>
          <w:rFonts w:ascii="宋体" w:hAnsi="宋体" w:cs="宋体"/>
          <w:bCs/>
          <w:color w:val="auto"/>
          <w:kern w:val="0"/>
          <w:szCs w:val="21"/>
          <w:highlight w:val="none"/>
          <w:u w:val="none"/>
        </w:rPr>
        <w:t>0</w:t>
      </w:r>
      <w:r>
        <w:rPr>
          <w:rFonts w:hint="eastAsia" w:ascii="宋体" w:hAnsi="宋体" w:cs="宋体"/>
          <w:bCs/>
          <w:color w:val="auto"/>
          <w:kern w:val="0"/>
          <w:szCs w:val="21"/>
          <w:highlight w:val="none"/>
          <w:u w:val="none"/>
        </w:rPr>
        <w:t>，下午</w:t>
      </w:r>
      <w:r>
        <w:rPr>
          <w:rFonts w:ascii="宋体" w:hAnsi="宋体" w:cs="宋体"/>
          <w:bCs/>
          <w:color w:val="auto"/>
          <w:kern w:val="0"/>
          <w:szCs w:val="21"/>
          <w:highlight w:val="none"/>
          <w:u w:val="none"/>
        </w:rPr>
        <w:t>12</w:t>
      </w:r>
      <w:r>
        <w:rPr>
          <w:rFonts w:hint="eastAsia" w:ascii="宋体" w:hAnsi="宋体" w:cs="宋体"/>
          <w:bCs/>
          <w:color w:val="auto"/>
          <w:kern w:val="0"/>
          <w:szCs w:val="21"/>
          <w:highlight w:val="none"/>
          <w:u w:val="none"/>
        </w:rPr>
        <w:t>:0</w:t>
      </w:r>
      <w:r>
        <w:rPr>
          <w:rFonts w:ascii="宋体" w:hAnsi="宋体" w:cs="宋体"/>
          <w:bCs/>
          <w:color w:val="auto"/>
          <w:kern w:val="0"/>
          <w:szCs w:val="21"/>
          <w:highlight w:val="none"/>
          <w:u w:val="none"/>
        </w:rPr>
        <w:t>0</w:t>
      </w:r>
      <w:r>
        <w:rPr>
          <w:rFonts w:hint="eastAsia" w:ascii="宋体" w:hAnsi="宋体" w:cs="宋体"/>
          <w:bCs/>
          <w:color w:val="auto"/>
          <w:kern w:val="0"/>
          <w:szCs w:val="21"/>
          <w:highlight w:val="none"/>
          <w:u w:val="none"/>
        </w:rPr>
        <w:t>至</w:t>
      </w:r>
      <w:r>
        <w:rPr>
          <w:rFonts w:ascii="宋体" w:hAnsi="宋体" w:cs="宋体"/>
          <w:bCs/>
          <w:color w:val="auto"/>
          <w:kern w:val="0"/>
          <w:szCs w:val="21"/>
          <w:highlight w:val="none"/>
          <w:u w:val="none"/>
        </w:rPr>
        <w:t>23</w:t>
      </w:r>
      <w:r>
        <w:rPr>
          <w:rFonts w:hint="eastAsia" w:ascii="宋体" w:hAnsi="宋体" w:cs="宋体"/>
          <w:bCs/>
          <w:color w:val="auto"/>
          <w:kern w:val="0"/>
          <w:szCs w:val="21"/>
          <w:highlight w:val="none"/>
          <w:u w:val="none"/>
        </w:rPr>
        <w:t>:</w:t>
      </w:r>
      <w:r>
        <w:rPr>
          <w:rFonts w:ascii="宋体" w:hAnsi="宋体" w:cs="宋体"/>
          <w:bCs/>
          <w:color w:val="auto"/>
          <w:kern w:val="0"/>
          <w:szCs w:val="21"/>
          <w:highlight w:val="none"/>
          <w:u w:val="none"/>
        </w:rPr>
        <w:t>59</w:t>
      </w:r>
      <w:r>
        <w:rPr>
          <w:rFonts w:hint="eastAsia" w:ascii="宋体" w:hAnsi="宋体" w:cs="宋体"/>
          <w:bCs/>
          <w:color w:val="auto"/>
          <w:kern w:val="0"/>
          <w:szCs w:val="21"/>
          <w:highlight w:val="none"/>
          <w:u w:val="none"/>
        </w:rPr>
        <w:t>（北京时间）</w:t>
      </w:r>
    </w:p>
    <w:p w14:paraId="121B728B">
      <w:pPr>
        <w:spacing w:line="36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地点：广西政府采购云平台（https://www.gcy.zfcg.gxzf.gov.cn/）</w:t>
      </w:r>
    </w:p>
    <w:p w14:paraId="01E59010">
      <w:pPr>
        <w:spacing w:line="360" w:lineRule="exact"/>
        <w:ind w:firstLine="420" w:firstLineChars="200"/>
        <w:rPr>
          <w:rFonts w:ascii="Arial" w:hAnsi="Arial" w:cs="Arial"/>
          <w:color w:val="auto"/>
          <w:kern w:val="0"/>
          <w:szCs w:val="21"/>
          <w:highlight w:val="none"/>
        </w:rPr>
      </w:pPr>
      <w:bookmarkStart w:id="25" w:name="_Toc71365908"/>
      <w:r>
        <w:rPr>
          <w:rFonts w:hint="eastAsia" w:ascii="宋体" w:hAnsi="宋体"/>
          <w:color w:val="auto"/>
          <w:szCs w:val="21"/>
          <w:highlight w:val="none"/>
        </w:rPr>
        <w:t>获取方式:网上下载。本项目不发放纸质采购文件，供应商登录广西政府采购云平台https://www.gcy.zfcg.gxzf.gov.cn/在线申请获取采购文件（进入“项目采购”应用，在获取采购文件菜单中选择项目，申请获取采购文件）。</w:t>
      </w:r>
    </w:p>
    <w:p w14:paraId="3CD21FE4">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采购文件售价：</w:t>
      </w:r>
      <w:r>
        <w:rPr>
          <w:rFonts w:ascii="宋体" w:hAnsi="宋体"/>
          <w:color w:val="auto"/>
          <w:szCs w:val="21"/>
          <w:highlight w:val="none"/>
        </w:rPr>
        <w:t>0</w:t>
      </w:r>
      <w:r>
        <w:rPr>
          <w:rFonts w:hint="eastAsia" w:ascii="宋体" w:hAnsi="宋体"/>
          <w:color w:val="auto"/>
          <w:szCs w:val="21"/>
          <w:highlight w:val="none"/>
        </w:rPr>
        <w:t>元。</w:t>
      </w:r>
    </w:p>
    <w:p w14:paraId="55D9F034">
      <w:pPr>
        <w:spacing w:line="360" w:lineRule="exact"/>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四、响应文件提交</w:t>
      </w:r>
      <w:bookmarkEnd w:id="20"/>
      <w:bookmarkEnd w:id="21"/>
      <w:bookmarkEnd w:id="22"/>
      <w:bookmarkEnd w:id="23"/>
      <w:bookmarkEnd w:id="24"/>
      <w:bookmarkEnd w:id="25"/>
    </w:p>
    <w:p w14:paraId="6227C5E9">
      <w:pPr>
        <w:spacing w:line="360" w:lineRule="exact"/>
        <w:ind w:firstLine="420" w:firstLineChars="200"/>
        <w:rPr>
          <w:rFonts w:ascii="宋体" w:hAnsi="宋体"/>
          <w:bCs/>
          <w:color w:val="auto"/>
          <w:szCs w:val="21"/>
          <w:highlight w:val="none"/>
        </w:rPr>
      </w:pPr>
      <w:bookmarkStart w:id="26" w:name="_Toc28359016"/>
      <w:bookmarkStart w:id="27" w:name="_Toc44229882"/>
      <w:bookmarkStart w:id="28" w:name="_Toc35393802"/>
      <w:bookmarkStart w:id="29" w:name="_Toc35393633"/>
      <w:bookmarkStart w:id="30" w:name="_Toc28359093"/>
      <w:r>
        <w:rPr>
          <w:rFonts w:hint="eastAsia" w:ascii="宋体" w:hAnsi="宋体"/>
          <w:color w:val="auto"/>
          <w:szCs w:val="21"/>
          <w:highlight w:val="none"/>
        </w:rPr>
        <w:t>截止时间：2</w:t>
      </w:r>
      <w:r>
        <w:rPr>
          <w:rFonts w:ascii="宋体" w:hAnsi="宋体"/>
          <w:color w:val="auto"/>
          <w:szCs w:val="21"/>
          <w:highlight w:val="none"/>
        </w:rPr>
        <w:t>02</w:t>
      </w:r>
      <w:r>
        <w:rPr>
          <w:rFonts w:hint="eastAsia" w:ascii="宋体" w:hAnsi="宋体"/>
          <w:color w:val="auto"/>
          <w:szCs w:val="21"/>
          <w:highlight w:val="none"/>
          <w:lang w:val="en-US" w:eastAsia="zh-CN"/>
        </w:rPr>
        <w:t>5</w:t>
      </w:r>
      <w:r>
        <w:rPr>
          <w:rFonts w:hint="eastAsia" w:ascii="宋体" w:hAnsi="宋体"/>
          <w:bCs/>
          <w:color w:val="auto"/>
          <w:szCs w:val="21"/>
          <w:highlight w:val="none"/>
        </w:rPr>
        <w:t>年</w:t>
      </w:r>
      <w:r>
        <w:rPr>
          <w:rFonts w:hint="eastAsia" w:ascii="宋体" w:hAnsi="宋体"/>
          <w:bCs/>
          <w:color w:val="auto"/>
          <w:szCs w:val="21"/>
          <w:highlight w:val="none"/>
          <w:lang w:val="en-US" w:eastAsia="zh-CN"/>
        </w:rPr>
        <w:t>7</w:t>
      </w:r>
      <w:r>
        <w:rPr>
          <w:rFonts w:hint="eastAsia" w:ascii="宋体" w:hAnsi="宋体"/>
          <w:bCs/>
          <w:color w:val="auto"/>
          <w:szCs w:val="21"/>
          <w:highlight w:val="none"/>
        </w:rPr>
        <w:t>月</w:t>
      </w:r>
      <w:r>
        <w:rPr>
          <w:rFonts w:hint="eastAsia" w:ascii="宋体" w:hAnsi="宋体"/>
          <w:bCs/>
          <w:color w:val="auto"/>
          <w:szCs w:val="21"/>
          <w:highlight w:val="none"/>
          <w:lang w:val="en-US" w:eastAsia="zh-CN"/>
        </w:rPr>
        <w:t>1</w:t>
      </w:r>
      <w:r>
        <w:rPr>
          <w:rFonts w:hint="eastAsia" w:ascii="宋体" w:hAnsi="宋体"/>
          <w:bCs/>
          <w:color w:val="auto"/>
          <w:szCs w:val="21"/>
          <w:highlight w:val="none"/>
        </w:rPr>
        <w:t>日</w:t>
      </w:r>
      <w:r>
        <w:rPr>
          <w:rFonts w:hint="eastAsia" w:ascii="宋体" w:hAnsi="宋体"/>
          <w:bCs/>
          <w:color w:val="auto"/>
          <w:szCs w:val="21"/>
          <w:highlight w:val="none"/>
          <w:lang w:val="en-US" w:eastAsia="zh-CN"/>
        </w:rPr>
        <w:t>09</w:t>
      </w:r>
      <w:r>
        <w:rPr>
          <w:rFonts w:hint="eastAsia" w:ascii="宋体" w:hAnsi="宋体"/>
          <w:bCs/>
          <w:color w:val="auto"/>
          <w:szCs w:val="21"/>
          <w:highlight w:val="none"/>
        </w:rPr>
        <w:t>时</w:t>
      </w:r>
      <w:r>
        <w:rPr>
          <w:rFonts w:hint="eastAsia" w:ascii="宋体" w:hAnsi="宋体"/>
          <w:bCs/>
          <w:color w:val="auto"/>
          <w:szCs w:val="21"/>
          <w:highlight w:val="none"/>
          <w:lang w:val="en-US" w:eastAsia="zh-CN"/>
        </w:rPr>
        <w:t>30</w:t>
      </w:r>
      <w:r>
        <w:rPr>
          <w:rFonts w:hint="eastAsia" w:ascii="宋体" w:hAnsi="宋体"/>
          <w:bCs/>
          <w:color w:val="auto"/>
          <w:szCs w:val="21"/>
          <w:highlight w:val="none"/>
        </w:rPr>
        <w:t>分（北京时间）</w:t>
      </w:r>
    </w:p>
    <w:p w14:paraId="4145FADD">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地点：广西政府采购云平台</w:t>
      </w:r>
      <w:r>
        <w:rPr>
          <w:rFonts w:hint="eastAsia" w:ascii="宋体" w:hAnsi="宋体" w:cs="宋体"/>
          <w:bCs/>
          <w:color w:val="auto"/>
          <w:kern w:val="0"/>
          <w:szCs w:val="21"/>
          <w:highlight w:val="none"/>
        </w:rPr>
        <w:t>（https://www.gcy.zfcg.gxzf.gov.cn/）</w:t>
      </w:r>
    </w:p>
    <w:p w14:paraId="55D3CACB">
      <w:pPr>
        <w:spacing w:line="360" w:lineRule="exact"/>
        <w:ind w:firstLine="354" w:firstLineChars="147"/>
        <w:rPr>
          <w:rFonts w:ascii="黑体" w:hAnsi="黑体" w:eastAsia="黑体"/>
          <w:b/>
          <w:color w:val="auto"/>
          <w:sz w:val="24"/>
          <w:highlight w:val="none"/>
        </w:rPr>
      </w:pPr>
      <w:bookmarkStart w:id="31" w:name="_Toc71365909"/>
      <w:r>
        <w:rPr>
          <w:rFonts w:hint="eastAsia" w:ascii="黑体" w:hAnsi="黑体" w:eastAsia="黑体"/>
          <w:b/>
          <w:color w:val="auto"/>
          <w:sz w:val="24"/>
          <w:highlight w:val="none"/>
        </w:rPr>
        <w:t>五、开启</w:t>
      </w:r>
      <w:bookmarkEnd w:id="26"/>
      <w:bookmarkEnd w:id="27"/>
      <w:bookmarkEnd w:id="28"/>
      <w:bookmarkEnd w:id="29"/>
      <w:bookmarkEnd w:id="30"/>
      <w:bookmarkEnd w:id="31"/>
    </w:p>
    <w:p w14:paraId="4998DD31">
      <w:pPr>
        <w:spacing w:line="360" w:lineRule="exact"/>
        <w:ind w:firstLine="420" w:firstLineChars="200"/>
        <w:rPr>
          <w:rFonts w:ascii="宋体" w:hAnsi="宋体"/>
          <w:bCs/>
          <w:color w:val="auto"/>
          <w:szCs w:val="21"/>
          <w:highlight w:val="none"/>
          <w:u w:val="singl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时间：2</w:t>
      </w:r>
      <w:r>
        <w:rPr>
          <w:rFonts w:ascii="宋体" w:hAnsi="宋体"/>
          <w:color w:val="auto"/>
          <w:szCs w:val="21"/>
          <w:highlight w:val="none"/>
        </w:rPr>
        <w:t>02</w:t>
      </w:r>
      <w:r>
        <w:rPr>
          <w:rFonts w:hint="eastAsia" w:ascii="宋体" w:hAnsi="宋体"/>
          <w:color w:val="auto"/>
          <w:szCs w:val="21"/>
          <w:highlight w:val="none"/>
          <w:lang w:val="en-US" w:eastAsia="zh-CN"/>
        </w:rPr>
        <w:t>5</w:t>
      </w:r>
      <w:r>
        <w:rPr>
          <w:rFonts w:hint="eastAsia" w:ascii="宋体" w:hAnsi="宋体"/>
          <w:bCs/>
          <w:color w:val="auto"/>
          <w:szCs w:val="21"/>
          <w:highlight w:val="none"/>
        </w:rPr>
        <w:t>年</w:t>
      </w:r>
      <w:r>
        <w:rPr>
          <w:rFonts w:hint="eastAsia" w:ascii="宋体" w:hAnsi="宋体"/>
          <w:bCs/>
          <w:color w:val="auto"/>
          <w:szCs w:val="21"/>
          <w:highlight w:val="none"/>
          <w:lang w:val="en-US" w:eastAsia="zh-CN"/>
        </w:rPr>
        <w:t>7</w:t>
      </w:r>
      <w:r>
        <w:rPr>
          <w:rFonts w:hint="eastAsia" w:ascii="宋体" w:hAnsi="宋体"/>
          <w:bCs/>
          <w:color w:val="auto"/>
          <w:szCs w:val="21"/>
          <w:highlight w:val="none"/>
        </w:rPr>
        <w:t>月</w:t>
      </w:r>
      <w:r>
        <w:rPr>
          <w:rFonts w:hint="eastAsia" w:ascii="宋体" w:hAnsi="宋体"/>
          <w:bCs/>
          <w:color w:val="auto"/>
          <w:szCs w:val="21"/>
          <w:highlight w:val="none"/>
          <w:lang w:val="en-US" w:eastAsia="zh-CN"/>
        </w:rPr>
        <w:t>1</w:t>
      </w:r>
      <w:r>
        <w:rPr>
          <w:rFonts w:hint="eastAsia" w:ascii="宋体" w:hAnsi="宋体"/>
          <w:bCs/>
          <w:color w:val="auto"/>
          <w:szCs w:val="21"/>
          <w:highlight w:val="none"/>
        </w:rPr>
        <w:t>日</w:t>
      </w:r>
      <w:r>
        <w:rPr>
          <w:rFonts w:hint="eastAsia" w:ascii="宋体" w:hAnsi="宋体"/>
          <w:bCs/>
          <w:color w:val="auto"/>
          <w:szCs w:val="21"/>
          <w:highlight w:val="none"/>
          <w:lang w:val="en-US" w:eastAsia="zh-CN"/>
        </w:rPr>
        <w:t>09</w:t>
      </w:r>
      <w:r>
        <w:rPr>
          <w:rFonts w:hint="eastAsia" w:ascii="宋体" w:hAnsi="宋体"/>
          <w:bCs/>
          <w:color w:val="auto"/>
          <w:szCs w:val="21"/>
          <w:highlight w:val="none"/>
        </w:rPr>
        <w:t>时</w:t>
      </w:r>
      <w:r>
        <w:rPr>
          <w:rFonts w:hint="eastAsia" w:ascii="宋体" w:hAnsi="宋体"/>
          <w:bCs/>
          <w:color w:val="auto"/>
          <w:szCs w:val="21"/>
          <w:highlight w:val="none"/>
          <w:lang w:val="en-US" w:eastAsia="zh-CN"/>
        </w:rPr>
        <w:t>30</w:t>
      </w:r>
      <w:r>
        <w:rPr>
          <w:rFonts w:hint="eastAsia" w:ascii="宋体" w:hAnsi="宋体"/>
          <w:bCs/>
          <w:color w:val="auto"/>
          <w:szCs w:val="21"/>
          <w:highlight w:val="none"/>
        </w:rPr>
        <w:t>分（北京时间）</w:t>
      </w:r>
    </w:p>
    <w:p w14:paraId="504ED5D5">
      <w:pPr>
        <w:spacing w:line="360" w:lineRule="exact"/>
        <w:ind w:firstLine="420" w:firstLineChars="200"/>
        <w:rPr>
          <w:rFonts w:ascii="宋体" w:hAnsi="宋体"/>
          <w:bCs/>
          <w:color w:val="auto"/>
          <w:szCs w:val="21"/>
          <w:highlight w:val="none"/>
          <w:u w:val="singl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地点：广西政府采购云平台</w:t>
      </w:r>
      <w:r>
        <w:rPr>
          <w:rFonts w:hint="eastAsia" w:ascii="宋体" w:hAnsi="宋体" w:cs="宋体"/>
          <w:bCs/>
          <w:color w:val="auto"/>
          <w:kern w:val="0"/>
          <w:szCs w:val="21"/>
          <w:highlight w:val="none"/>
        </w:rPr>
        <w:t>（https://www.gcy.zfcg.gxzf.gov.cn/）</w:t>
      </w:r>
    </w:p>
    <w:p w14:paraId="5E45D8DE">
      <w:pPr>
        <w:spacing w:line="360" w:lineRule="exact"/>
        <w:ind w:firstLine="354" w:firstLineChars="147"/>
        <w:rPr>
          <w:rFonts w:ascii="黑体" w:hAnsi="黑体" w:eastAsia="黑体"/>
          <w:b/>
          <w:color w:val="auto"/>
          <w:sz w:val="24"/>
          <w:highlight w:val="none"/>
        </w:rPr>
      </w:pPr>
      <w:bookmarkStart w:id="32" w:name="_Toc35393634"/>
      <w:bookmarkStart w:id="33" w:name="_Toc71365910"/>
      <w:bookmarkStart w:id="34" w:name="_Toc28359017"/>
      <w:bookmarkStart w:id="35" w:name="_Toc35393803"/>
      <w:bookmarkStart w:id="36" w:name="_Toc28359094"/>
      <w:bookmarkStart w:id="37" w:name="_Toc44229883"/>
      <w:r>
        <w:rPr>
          <w:rFonts w:hint="eastAsia" w:ascii="黑体" w:hAnsi="黑体" w:eastAsia="黑体"/>
          <w:b/>
          <w:color w:val="auto"/>
          <w:sz w:val="24"/>
          <w:highlight w:val="none"/>
        </w:rPr>
        <w:t>六、公告期限</w:t>
      </w:r>
      <w:bookmarkEnd w:id="32"/>
      <w:bookmarkEnd w:id="33"/>
      <w:bookmarkEnd w:id="34"/>
      <w:bookmarkEnd w:id="35"/>
      <w:bookmarkEnd w:id="36"/>
      <w:bookmarkEnd w:id="37"/>
    </w:p>
    <w:p w14:paraId="6F14544C">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个工作日。</w:t>
      </w:r>
    </w:p>
    <w:p w14:paraId="73617C08">
      <w:pPr>
        <w:spacing w:line="360" w:lineRule="exact"/>
        <w:ind w:firstLine="354" w:firstLineChars="147"/>
        <w:rPr>
          <w:rFonts w:ascii="黑体" w:hAnsi="黑体" w:eastAsia="黑体"/>
          <w:b/>
          <w:color w:val="auto"/>
          <w:sz w:val="24"/>
          <w:highlight w:val="none"/>
        </w:rPr>
      </w:pPr>
      <w:bookmarkStart w:id="38" w:name="_Toc71365911"/>
      <w:bookmarkStart w:id="39" w:name="_Toc44229884"/>
      <w:bookmarkStart w:id="40" w:name="_Toc35393804"/>
      <w:bookmarkStart w:id="41" w:name="_Toc35393635"/>
      <w:r>
        <w:rPr>
          <w:rFonts w:hint="eastAsia" w:ascii="黑体" w:hAnsi="黑体" w:eastAsia="黑体"/>
          <w:b/>
          <w:color w:val="auto"/>
          <w:sz w:val="24"/>
          <w:highlight w:val="none"/>
        </w:rPr>
        <w:t>七、其他补充事宜</w:t>
      </w:r>
      <w:bookmarkEnd w:id="38"/>
      <w:bookmarkEnd w:id="39"/>
      <w:bookmarkEnd w:id="40"/>
      <w:bookmarkEnd w:id="41"/>
    </w:p>
    <w:p w14:paraId="5FB5B216">
      <w:pPr>
        <w:spacing w:line="360" w:lineRule="exact"/>
        <w:ind w:firstLine="420" w:firstLineChars="200"/>
        <w:rPr>
          <w:rFonts w:ascii="宋体" w:hAnsi="宋体"/>
          <w:color w:val="auto"/>
          <w:szCs w:val="21"/>
          <w:highlight w:val="none"/>
        </w:rPr>
      </w:pPr>
      <w:bookmarkStart w:id="42" w:name="_Toc28359018"/>
      <w:bookmarkStart w:id="43" w:name="_Toc44229885"/>
      <w:bookmarkStart w:id="44" w:name="_Toc35393805"/>
      <w:bookmarkStart w:id="45" w:name="_Toc35393636"/>
      <w:bookmarkStart w:id="46" w:name="_Toc28359095"/>
      <w:r>
        <w:rPr>
          <w:rFonts w:hint="eastAsia" w:ascii="宋体" w:hAnsi="宋体"/>
          <w:color w:val="auto"/>
          <w:szCs w:val="21"/>
          <w:highlight w:val="none"/>
        </w:rPr>
        <w:t>1、磋商保证金（人民币）：分标1：6000元；分标2：</w:t>
      </w:r>
      <w:r>
        <w:rPr>
          <w:rFonts w:hint="eastAsia" w:ascii="宋体" w:hAnsi="宋体"/>
          <w:color w:val="auto"/>
          <w:szCs w:val="21"/>
          <w:highlight w:val="none"/>
          <w:lang w:val="en-US" w:eastAsia="zh-CN"/>
        </w:rPr>
        <w:t>80</w:t>
      </w:r>
      <w:r>
        <w:rPr>
          <w:rFonts w:hint="eastAsia" w:ascii="宋体" w:hAnsi="宋体"/>
          <w:color w:val="auto"/>
          <w:szCs w:val="21"/>
          <w:highlight w:val="none"/>
        </w:rPr>
        <w:t>00元。</w:t>
      </w:r>
    </w:p>
    <w:p w14:paraId="72F005E5">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磋商保证金的交纳方式：银行转账、支票、汇票、本票或者银行、保险机构出具的保函，禁止采用现钞方式。采用银行转账方式的，在响应文件递交截止时间前交至采购代理机构指定账户并且到账（开户银行：</w:t>
      </w:r>
      <w:r>
        <w:rPr>
          <w:rFonts w:hint="eastAsia" w:ascii="宋体" w:hAnsi="宋体"/>
          <w:color w:val="auto"/>
          <w:szCs w:val="21"/>
          <w:highlight w:val="none"/>
          <w:lang w:eastAsia="zh-CN"/>
        </w:rPr>
        <w:t>建设银行南宁市民族大道东支行</w:t>
      </w:r>
      <w:r>
        <w:rPr>
          <w:rFonts w:hint="eastAsia" w:ascii="宋体" w:hAnsi="宋体"/>
          <w:color w:val="auto"/>
          <w:szCs w:val="21"/>
          <w:highlight w:val="none"/>
        </w:rPr>
        <w:t>，开户名称：广西城建咨询设计有限公司，银行账号：4500 1604 6530 5070 3663）。</w:t>
      </w:r>
    </w:p>
    <w:p w14:paraId="15676A19">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2、发布公告的媒介：中国政府采购网、广西壮族自治区政府采购网。</w:t>
      </w:r>
    </w:p>
    <w:p w14:paraId="6D1EBDF8">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3、本项目需要落实的政府采购政策：</w:t>
      </w:r>
    </w:p>
    <w:p w14:paraId="447DB1C5">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（1）政府采购促进中小企业发展；</w:t>
      </w:r>
    </w:p>
    <w:p w14:paraId="00C53411">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（2）政府采购支持监狱企业发展；</w:t>
      </w:r>
    </w:p>
    <w:p w14:paraId="14D4A123">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（3）政府采购促进残疾人就业政策；</w:t>
      </w:r>
    </w:p>
    <w:p w14:paraId="4A27DC9F">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（4）本项目为服务项目，不涉及强制采购节能产品；</w:t>
      </w:r>
    </w:p>
    <w:p w14:paraId="373EFC72">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（5）政府采购支持采用本国产品的政策；</w:t>
      </w:r>
    </w:p>
    <w:p w14:paraId="3B92F980">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（6）优先采购节能产品、环境标志产品。</w:t>
      </w:r>
    </w:p>
    <w:p w14:paraId="7F3939B3">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4、资格条件特别说明：</w:t>
      </w:r>
    </w:p>
    <w:p w14:paraId="1DF6026E">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2A82F29">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57B4CB5E">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 (3)根据广西壮族自治区财政厅关于贯彻落实政府购买服务管理办法的通知（桂财综[2020]45号），公益一类事业单位、使用事业编制且由财政拨款保障的群团组织，不允许</w:t>
      </w:r>
      <w:r>
        <w:rPr>
          <w:rFonts w:hint="eastAsia" w:ascii="宋体" w:hAnsi="宋体"/>
          <w:color w:val="auto"/>
          <w:szCs w:val="21"/>
          <w:highlight w:val="none"/>
          <w:lang w:val="en-US" w:eastAsia="zh-CN"/>
        </w:rPr>
        <w:t>作为</w:t>
      </w:r>
      <w:r>
        <w:rPr>
          <w:rFonts w:hint="eastAsia" w:ascii="宋体" w:hAnsi="宋体"/>
          <w:color w:val="auto"/>
          <w:szCs w:val="21"/>
          <w:highlight w:val="none"/>
        </w:rPr>
        <w:t>本项目采购活动的供应商。</w:t>
      </w:r>
    </w:p>
    <w:p w14:paraId="64830C50">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5、广西政府采购云平台电子竞标相关事宜：</w:t>
      </w:r>
    </w:p>
    <w:p w14:paraId="3B500907">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（1）本项目为全流程电子化采购项目，通过广西政府采购云平台实行在线电子竞标，供应商应先安装“广西政府采购云平台新版客户端”（请自行前往广西政府采购云平台进行下载），并按照本项目</w:t>
      </w:r>
      <w:r>
        <w:rPr>
          <w:rFonts w:hint="eastAsia" w:ascii="宋体" w:hAnsi="宋体"/>
          <w:color w:val="auto"/>
          <w:szCs w:val="21"/>
          <w:highlight w:val="none"/>
          <w:lang w:val="en-US" w:eastAsia="zh-CN"/>
        </w:rPr>
        <w:t>采购</w:t>
      </w:r>
      <w:r>
        <w:rPr>
          <w:rFonts w:hint="eastAsia" w:ascii="宋体" w:hAnsi="宋体"/>
          <w:color w:val="auto"/>
          <w:szCs w:val="21"/>
          <w:highlight w:val="none"/>
          <w:lang w:eastAsia="zh-CN"/>
        </w:rPr>
        <w:t>文件</w:t>
      </w:r>
      <w:r>
        <w:rPr>
          <w:rFonts w:hint="eastAsia" w:ascii="宋体" w:hAnsi="宋体"/>
          <w:color w:val="auto"/>
          <w:szCs w:val="21"/>
          <w:highlight w:val="none"/>
        </w:rPr>
        <w:t>和广西政府采购云平台的要求编制、加密后在响应截止时间前通过网络上传至广西政府采购云平台。</w:t>
      </w:r>
    </w:p>
    <w:p w14:paraId="50D35A73">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供应商应当在响应截止时间前，完成电子交易平台上的CA数字证书办理及响应文件的提交（供应商可登录“广西政府采购网”，依次进入“办事服务-下载专区”或者登陆广西政府采购云平台，查看CA数字证书办理操作流程。如在操作过程中遇到问题或者需要技术支持，可拨打广西政府采购云平台服务热线获取热线服务帮助）。</w:t>
      </w:r>
    </w:p>
    <w:p w14:paraId="452C204E">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（3）CA证书在线解密：供应商竞标时，需凭制作响应文件时用来加密的有效数字证书（CA认证）登录广西政府采购云平台电子开标大厅现场按规定时间对加密的响应文件进行解密，否则后果自负。</w:t>
      </w:r>
    </w:p>
    <w:p w14:paraId="7936D3CD">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注：1）为确保网上操作合法、有效和安全，请供应商确保在电子竞标过程中能够对相关数据电文进行加密和使用电子签章，妥善保管CA数字证书并使用有效的CA数字证书参与整个</w:t>
      </w:r>
      <w:r>
        <w:rPr>
          <w:rFonts w:hint="eastAsia" w:ascii="宋体" w:hAnsi="宋体"/>
          <w:color w:val="auto"/>
          <w:szCs w:val="21"/>
          <w:highlight w:val="none"/>
          <w:lang w:val="en-US" w:eastAsia="zh-CN"/>
        </w:rPr>
        <w:t>采购</w:t>
      </w:r>
      <w:r>
        <w:rPr>
          <w:rFonts w:hint="eastAsia" w:ascii="宋体" w:hAnsi="宋体"/>
          <w:color w:val="auto"/>
          <w:szCs w:val="21"/>
          <w:highlight w:val="none"/>
        </w:rPr>
        <w:t>活动。2）供应商应当在响应截止时间前完成电子响应文件的上传、提交，响应截止时间前可以补充、修改或者撤回响应文件。补充或者修改响应文件的，应当先行撤回原响应文件，补充、修改后重新上传、提交，响应截止时间前未完成上传、提交的，视为撤回响应文件。响应截止时间以后上传递交的响应文件，广西政府采购云平台将予以拒收。</w:t>
      </w:r>
    </w:p>
    <w:p w14:paraId="109A1B59">
      <w:pPr>
        <w:spacing w:line="360" w:lineRule="exact"/>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八、凡对本次采购提出询问，请按</w:t>
      </w:r>
      <w:r>
        <w:rPr>
          <w:rFonts w:ascii="黑体" w:hAnsi="黑体" w:eastAsia="黑体"/>
          <w:b/>
          <w:color w:val="auto"/>
          <w:sz w:val="24"/>
          <w:highlight w:val="none"/>
        </w:rPr>
        <w:t>以下方式</w:t>
      </w:r>
      <w:r>
        <w:rPr>
          <w:rFonts w:hint="eastAsia" w:ascii="黑体" w:hAnsi="黑体" w:eastAsia="黑体"/>
          <w:b/>
          <w:color w:val="auto"/>
          <w:sz w:val="24"/>
          <w:highlight w:val="none"/>
        </w:rPr>
        <w:t>联系。</w:t>
      </w:r>
      <w:bookmarkEnd w:id="42"/>
      <w:bookmarkEnd w:id="43"/>
      <w:bookmarkEnd w:id="44"/>
      <w:bookmarkEnd w:id="45"/>
      <w:bookmarkEnd w:id="46"/>
    </w:p>
    <w:bookmarkEnd w:id="1"/>
    <w:p w14:paraId="179D4A9F">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1.采购人信息</w:t>
      </w:r>
    </w:p>
    <w:p w14:paraId="29CB1862">
      <w:pPr>
        <w:spacing w:line="360" w:lineRule="exact"/>
        <w:ind w:firstLine="420" w:firstLineChars="200"/>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名    称：</w:t>
      </w:r>
      <w:r>
        <w:rPr>
          <w:rFonts w:hint="eastAsia" w:ascii="宋体" w:hAnsi="宋体" w:cs="宋体"/>
          <w:color w:val="auto"/>
          <w:kern w:val="0"/>
          <w:szCs w:val="21"/>
          <w:highlight w:val="none"/>
          <w:lang w:eastAsia="zh-CN"/>
        </w:rPr>
        <w:t>中国共产党广西壮族自治区委员会党校</w:t>
      </w:r>
    </w:p>
    <w:p w14:paraId="2A092B60">
      <w:pPr>
        <w:spacing w:line="360" w:lineRule="exact"/>
        <w:ind w:firstLine="420" w:firstLineChars="200"/>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地    址：</w:t>
      </w:r>
      <w:r>
        <w:rPr>
          <w:rFonts w:hint="eastAsia" w:ascii="宋体" w:hAnsi="宋体" w:cs="宋体"/>
          <w:color w:val="auto"/>
          <w:kern w:val="0"/>
          <w:szCs w:val="21"/>
          <w:highlight w:val="none"/>
          <w:lang w:eastAsia="zh-CN"/>
        </w:rPr>
        <w:t xml:space="preserve">南宁市青秀区荔滨大道18号  </w:t>
      </w:r>
    </w:p>
    <w:p w14:paraId="388D96C6">
      <w:pPr>
        <w:spacing w:line="360" w:lineRule="exact"/>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联系方式</w:t>
      </w:r>
      <w:r>
        <w:rPr>
          <w:rFonts w:hint="eastAsia" w:ascii="宋体" w:hAnsi="宋体" w:cs="宋体"/>
          <w:color w:val="auto"/>
          <w:kern w:val="0"/>
          <w:szCs w:val="21"/>
          <w:highlight w:val="none"/>
          <w:lang w:val="en-US" w:eastAsia="zh-CN"/>
        </w:rPr>
        <w:t>：李老师；0771-5577659</w:t>
      </w:r>
    </w:p>
    <w:p w14:paraId="3689720F">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2.采购代理机构信息</w:t>
      </w:r>
    </w:p>
    <w:p w14:paraId="34F86F2D">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名    称：广西城建咨询设计有限公司</w:t>
      </w:r>
    </w:p>
    <w:p w14:paraId="575628D2">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地　　址：南宁市青秀区金湖路58号广西建设大厦三楼</w:t>
      </w:r>
    </w:p>
    <w:p w14:paraId="1B4510D7">
      <w:pPr>
        <w:spacing w:line="360" w:lineRule="exact"/>
        <w:ind w:firstLine="420" w:firstLineChars="200"/>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联系方式：廖启迪</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凌良基</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 xml:space="preserve">0771-4352069  </w:t>
      </w:r>
    </w:p>
    <w:p w14:paraId="1D741C3D">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3.项目联系方式</w:t>
      </w:r>
    </w:p>
    <w:p w14:paraId="38E1FC34">
      <w:pPr>
        <w:spacing w:line="360" w:lineRule="exact"/>
        <w:ind w:firstLine="420" w:firstLineChars="200"/>
        <w:rPr>
          <w:rFonts w:hint="default" w:ascii="宋体" w:hAnsi="宋体" w:eastAsia="宋体" w:cs="宋体"/>
          <w:color w:val="auto"/>
          <w:kern w:val="0"/>
          <w:szCs w:val="21"/>
          <w:highlight w:val="none"/>
          <w:lang w:val="en-US" w:eastAsia="zh-CN"/>
        </w:rPr>
      </w:pPr>
      <w:bookmarkStart w:id="47" w:name="_Toc151675537"/>
      <w:r>
        <w:rPr>
          <w:rFonts w:hint="eastAsia" w:ascii="宋体" w:hAnsi="宋体" w:cs="宋体"/>
          <w:color w:val="auto"/>
          <w:kern w:val="0"/>
          <w:szCs w:val="21"/>
          <w:highlight w:val="none"/>
        </w:rPr>
        <w:t>项目联系人：廖启迪</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凌良基</w:t>
      </w:r>
    </w:p>
    <w:p w14:paraId="433EF195">
      <w:pPr>
        <w:spacing w:line="360" w:lineRule="exact"/>
        <w:ind w:firstLine="420" w:firstLineChars="200"/>
        <w:rPr>
          <w:rFonts w:hint="eastAsia" w:ascii="宋体" w:hAnsi="宋体" w:eastAsia="宋体" w:cs="仿宋"/>
          <w:color w:val="auto"/>
          <w:kern w:val="0"/>
          <w:szCs w:val="21"/>
          <w:highlight w:val="none"/>
          <w:lang w:eastAsia="zh-CN"/>
        </w:rPr>
      </w:pPr>
      <w:r>
        <w:rPr>
          <w:rFonts w:hint="eastAsia" w:ascii="宋体" w:hAnsi="宋体" w:cs="宋体"/>
          <w:color w:val="auto"/>
          <w:kern w:val="0"/>
          <w:szCs w:val="21"/>
          <w:highlight w:val="none"/>
        </w:rPr>
        <w:t>电　　话：</w:t>
      </w:r>
      <w:r>
        <w:rPr>
          <w:rFonts w:hint="eastAsia" w:ascii="宋体" w:hAnsi="宋体" w:cs="宋体"/>
          <w:color w:val="auto"/>
          <w:kern w:val="0"/>
          <w:szCs w:val="21"/>
          <w:highlight w:val="none"/>
          <w:lang w:eastAsia="zh-CN"/>
        </w:rPr>
        <w:t xml:space="preserve">0771-4352069  </w:t>
      </w:r>
    </w:p>
    <w:p w14:paraId="0E3D7323">
      <w:pPr>
        <w:pStyle w:val="3"/>
        <w:jc w:val="both"/>
        <w:rPr>
          <w:rFonts w:hint="eastAsia"/>
          <w:color w:val="auto"/>
          <w:highlight w:val="none"/>
        </w:rPr>
        <w:sectPr>
          <w:footerReference r:id="rId8" w:type="first"/>
          <w:footerReference r:id="rId7" w:type="default"/>
          <w:pgSz w:w="11906" w:h="16838"/>
          <w:pgMar w:top="1440" w:right="1080" w:bottom="1440" w:left="1080" w:header="851" w:footer="992" w:gutter="0"/>
          <w:pgNumType w:fmt="decimal" w:start="1"/>
          <w:cols w:space="720" w:num="1"/>
          <w:titlePg/>
          <w:docGrid w:type="lines" w:linePitch="312" w:charSpace="0"/>
        </w:sectPr>
      </w:pPr>
    </w:p>
    <w:p w14:paraId="2F71EC7E">
      <w:pPr>
        <w:pStyle w:val="3"/>
        <w:jc w:val="center"/>
        <w:rPr>
          <w:color w:val="auto"/>
          <w:highlight w:val="none"/>
        </w:rPr>
      </w:pPr>
      <w:r>
        <w:rPr>
          <w:rFonts w:hint="eastAsia"/>
          <w:color w:val="auto"/>
          <w:highlight w:val="none"/>
        </w:rPr>
        <w:t xml:space="preserve">第二章 </w:t>
      </w:r>
      <w:r>
        <w:rPr>
          <w:color w:val="auto"/>
          <w:highlight w:val="none"/>
        </w:rPr>
        <w:t xml:space="preserve"> </w:t>
      </w:r>
      <w:r>
        <w:rPr>
          <w:rFonts w:hint="eastAsia"/>
          <w:color w:val="auto"/>
          <w:highlight w:val="none"/>
        </w:rPr>
        <w:t>供应商须知</w:t>
      </w:r>
      <w:bookmarkEnd w:id="47"/>
    </w:p>
    <w:p w14:paraId="5DD185C5">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供应商须知前附表</w:t>
      </w:r>
    </w:p>
    <w:p w14:paraId="44E989B3">
      <w:pPr>
        <w:spacing w:line="400" w:lineRule="exact"/>
        <w:jc w:val="center"/>
        <w:rPr>
          <w:rFonts w:ascii="宋体" w:hAnsi="宋体"/>
          <w:b/>
          <w:color w:val="auto"/>
          <w:sz w:val="32"/>
          <w:szCs w:val="32"/>
          <w:highlight w:val="none"/>
        </w:rPr>
      </w:pPr>
    </w:p>
    <w:tbl>
      <w:tblPr>
        <w:tblStyle w:val="35"/>
        <w:tblW w:w="94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9"/>
        <w:gridCol w:w="8359"/>
      </w:tblGrid>
      <w:tr w14:paraId="43045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tcPr>
          <w:p w14:paraId="10204733">
            <w:pPr>
              <w:spacing w:line="430" w:lineRule="exact"/>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条款号</w:t>
            </w:r>
          </w:p>
        </w:tc>
        <w:tc>
          <w:tcPr>
            <w:tcW w:w="8359" w:type="dxa"/>
          </w:tcPr>
          <w:p w14:paraId="34976C8B">
            <w:pPr>
              <w:spacing w:line="430" w:lineRule="exact"/>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内容</w:t>
            </w:r>
          </w:p>
        </w:tc>
      </w:tr>
      <w:tr w14:paraId="2FA4A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023A7984">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p>
        </w:tc>
        <w:tc>
          <w:tcPr>
            <w:tcW w:w="8359" w:type="dxa"/>
            <w:vAlign w:val="center"/>
          </w:tcPr>
          <w:p w14:paraId="00D82AC4">
            <w:pPr>
              <w:spacing w:line="430" w:lineRule="exact"/>
              <w:rPr>
                <w:rFonts w:asciiTheme="minorEastAsia" w:hAnsiTheme="minorEastAsia" w:eastAsiaTheme="minorEastAsia"/>
                <w:color w:val="auto"/>
                <w:szCs w:val="21"/>
                <w:highlight w:val="none"/>
              </w:rPr>
            </w:pPr>
            <w:r>
              <w:rPr>
                <w:rFonts w:hint="eastAsia" w:cs="宋体" w:asciiTheme="minorEastAsia" w:hAnsiTheme="minorEastAsia" w:eastAsiaTheme="minorEastAsia"/>
                <w:bCs/>
                <w:color w:val="auto"/>
                <w:szCs w:val="21"/>
                <w:highlight w:val="none"/>
              </w:rPr>
              <w:t>1.供应商的资格条件</w:t>
            </w:r>
            <w:r>
              <w:rPr>
                <w:rFonts w:hint="eastAsia" w:cs="宋体" w:asciiTheme="minorEastAsia" w:hAnsiTheme="minorEastAsia" w:eastAsiaTheme="minorEastAsia"/>
                <w:color w:val="auto"/>
                <w:szCs w:val="21"/>
                <w:highlight w:val="none"/>
              </w:rPr>
              <w:t>：详见竞争性磋商公告</w:t>
            </w:r>
          </w:p>
          <w:p w14:paraId="3A08DCDC">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hint="eastAsia" w:cs="宋体" w:asciiTheme="minorEastAsia" w:hAnsiTheme="minorEastAsia" w:eastAsiaTheme="minorEastAsia"/>
                <w:bCs/>
                <w:color w:val="auto"/>
                <w:szCs w:val="21"/>
                <w:highlight w:val="none"/>
              </w:rPr>
              <w:t>供应商</w:t>
            </w:r>
            <w:r>
              <w:rPr>
                <w:rFonts w:hint="eastAsia" w:cs="宋体" w:asciiTheme="minorEastAsia" w:hAnsiTheme="minorEastAsia" w:eastAsiaTheme="minorEastAsia"/>
                <w:color w:val="auto"/>
                <w:szCs w:val="21"/>
                <w:highlight w:val="none"/>
              </w:rPr>
              <w:t>出现下列情形之一的，不得参加政府采购活动：</w:t>
            </w:r>
          </w:p>
          <w:p w14:paraId="3CC52195">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A38926A">
            <w:pPr>
              <w:spacing w:line="43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2.2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 </w:t>
            </w:r>
          </w:p>
          <w:p w14:paraId="498C97AF">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2.3</w:t>
            </w:r>
            <w:r>
              <w:rPr>
                <w:rFonts w:hint="eastAsia" w:cs="宋体" w:asciiTheme="minorEastAsia" w:hAnsiTheme="minorEastAsia" w:eastAsiaTheme="minorEastAsia"/>
                <w:color w:val="auto"/>
                <w:szCs w:val="21"/>
                <w:highlight w:val="none"/>
              </w:rPr>
              <w:t>根据广西壮族自治区财政厅关于贯彻落实政府购买服务管理办法的通知（桂财综[2020]45号），公益一类事业单位、使用事业编制且由财政拨款保障的群团组织，不允许</w:t>
            </w:r>
            <w:r>
              <w:rPr>
                <w:rFonts w:hint="eastAsia" w:cs="宋体" w:asciiTheme="minorEastAsia" w:hAnsiTheme="minorEastAsia" w:eastAsiaTheme="minorEastAsia"/>
                <w:color w:val="auto"/>
                <w:szCs w:val="21"/>
                <w:highlight w:val="none"/>
                <w:lang w:val="en-US" w:eastAsia="zh-CN"/>
              </w:rPr>
              <w:t>作为</w:t>
            </w:r>
            <w:r>
              <w:rPr>
                <w:rFonts w:hint="eastAsia" w:cs="宋体" w:asciiTheme="minorEastAsia" w:hAnsiTheme="minorEastAsia" w:eastAsiaTheme="minorEastAsia"/>
                <w:color w:val="auto"/>
                <w:szCs w:val="21"/>
                <w:highlight w:val="none"/>
              </w:rPr>
              <w:t>本项目采购活动的供应商。</w:t>
            </w:r>
          </w:p>
        </w:tc>
      </w:tr>
      <w:tr w14:paraId="5A0BA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17B95CC8">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5.1</w:t>
            </w:r>
          </w:p>
        </w:tc>
        <w:tc>
          <w:tcPr>
            <w:tcW w:w="8359" w:type="dxa"/>
            <w:vAlign w:val="center"/>
          </w:tcPr>
          <w:p w14:paraId="502C937A">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是否接受联合体竞标: 详见竞争性磋商公告</w:t>
            </w:r>
          </w:p>
        </w:tc>
      </w:tr>
      <w:tr w14:paraId="1A661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56CA46AE">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w:t>
            </w:r>
            <w:r>
              <w:rPr>
                <w:rFonts w:cs="宋体" w:asciiTheme="minorEastAsia" w:hAnsiTheme="minorEastAsia" w:eastAsiaTheme="minorEastAsia"/>
                <w:color w:val="auto"/>
                <w:szCs w:val="21"/>
                <w:highlight w:val="none"/>
              </w:rPr>
              <w:t>.2</w:t>
            </w:r>
          </w:p>
        </w:tc>
        <w:tc>
          <w:tcPr>
            <w:tcW w:w="8359" w:type="dxa"/>
            <w:vAlign w:val="center"/>
          </w:tcPr>
          <w:p w14:paraId="35DB8B49">
            <w:pPr>
              <w:spacing w:line="430" w:lineRule="exact"/>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如接受联合体磋商，联合体磋商要求如下：</w:t>
            </w:r>
          </w:p>
          <w:p w14:paraId="3A913E45">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两个以上供应商可以组成一个磋商联合体，以一个供应商的身份共同参加磋商。联合体磋商的，须提供《联合体竞标协议书》（格式后附）。</w:t>
            </w:r>
          </w:p>
          <w:p w14:paraId="0ECDB579">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以联合体形式参加磋商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磋商文件规定的特定条件。</w:t>
            </w:r>
          </w:p>
          <w:p w14:paraId="135A68A4">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联合体各方之间必须签订联合磋商协议，协议书必须明确主体方（或者牵头方）并明确约定联合体各方承担的工作和相应的责任（</w:t>
            </w:r>
            <w:r>
              <w:rPr>
                <w:rFonts w:hint="eastAsia" w:cs="宋体" w:asciiTheme="minorEastAsia" w:hAnsiTheme="minorEastAsia" w:eastAsiaTheme="minorEastAsia"/>
                <w:b/>
                <w:color w:val="auto"/>
                <w:szCs w:val="21"/>
                <w:highlight w:val="none"/>
              </w:rPr>
              <w:t>各方承担责任与义务的分工必须符合采购需求，否则，联合体竞标无效</w:t>
            </w:r>
            <w:r>
              <w:rPr>
                <w:rFonts w:hint="eastAsia" w:cs="宋体" w:asciiTheme="minorEastAsia" w:hAnsiTheme="minorEastAsia" w:eastAsiaTheme="minorEastAsia"/>
                <w:color w:val="auto"/>
                <w:szCs w:val="21"/>
                <w:highlight w:val="none"/>
              </w:rPr>
              <w:t>），并将联合竞标协议放入响应文件。联合体各方必须共同与采购人签订采购合同，就采购合同约定的事项对采购人承担连带责任。</w:t>
            </w:r>
          </w:p>
          <w:p w14:paraId="0E79F794">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以联合体形式参加政府采购活动的，联合体各方不得再单独参加或者与其他供应商另外组成联合体参加同一合同项下的政府采购活动。</w:t>
            </w:r>
          </w:p>
          <w:p w14:paraId="104BFF79">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联合体中有同类资质的供应商按照联合体分工承担相同工作的，应当按照资质等级较低的供应商确定资质等级。</w:t>
            </w:r>
          </w:p>
          <w:p w14:paraId="65A839AD">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联合体磋商业绩、履约能力按照联合体各方中较高的一方认定并计算（磋商文件另有规定的除外）。</w:t>
            </w:r>
          </w:p>
          <w:p w14:paraId="1F533576">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7</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供应商为联合体的，可以由联合体中的一方或者多方共同交纳磋商保证金，其交纳的保证金对联合体各方均具有约束力。</w:t>
            </w:r>
          </w:p>
          <w:p w14:paraId="3BFFE140">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8</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联合体各方均应按照磋商文件的规定提交资格证明文件。</w:t>
            </w:r>
          </w:p>
        </w:tc>
      </w:tr>
      <w:tr w14:paraId="57953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6D31FFC0">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6.2</w:t>
            </w:r>
          </w:p>
        </w:tc>
        <w:tc>
          <w:tcPr>
            <w:tcW w:w="8359" w:type="dxa"/>
            <w:vAlign w:val="center"/>
          </w:tcPr>
          <w:p w14:paraId="7D69B0D1">
            <w:pPr>
              <w:pStyle w:val="15"/>
              <w:spacing w:line="430" w:lineRule="exac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√不允许分包</w:t>
            </w:r>
          </w:p>
          <w:p w14:paraId="16C382C4">
            <w:pPr>
              <w:pStyle w:val="15"/>
              <w:spacing w:line="43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□允许分包</w:t>
            </w:r>
          </w:p>
          <w:p w14:paraId="6AFE101C">
            <w:pPr>
              <w:pStyle w:val="15"/>
              <w:spacing w:line="430" w:lineRule="exact"/>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分包内容：</w:t>
            </w:r>
            <w:r>
              <w:rPr>
                <w:rFonts w:hint="eastAsia" w:asciiTheme="minorEastAsia" w:hAnsiTheme="minorEastAsia" w:eastAsiaTheme="minorEastAsia"/>
                <w:color w:val="auto"/>
                <w:szCs w:val="21"/>
                <w:highlight w:val="none"/>
                <w:u w:val="single"/>
              </w:rPr>
              <w:t>/。</w:t>
            </w:r>
          </w:p>
          <w:p w14:paraId="02FBDAE8">
            <w:pPr>
              <w:pStyle w:val="15"/>
              <w:spacing w:line="430" w:lineRule="exact"/>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分包金额或者比例：</w:t>
            </w:r>
            <w:r>
              <w:rPr>
                <w:rFonts w:hint="eastAsia" w:asciiTheme="minorEastAsia" w:hAnsiTheme="minorEastAsia" w:eastAsiaTheme="minorEastAsia"/>
                <w:color w:val="auto"/>
                <w:szCs w:val="21"/>
                <w:highlight w:val="none"/>
                <w:u w:val="single"/>
              </w:rPr>
              <w:t>。</w:t>
            </w:r>
          </w:p>
        </w:tc>
      </w:tr>
      <w:tr w14:paraId="196C8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087B1C83">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12.1.</w:t>
            </w:r>
            <w:r>
              <w:rPr>
                <w:rFonts w:cs="宋体" w:asciiTheme="minorEastAsia" w:hAnsiTheme="minorEastAsia" w:eastAsiaTheme="minorEastAsia"/>
                <w:color w:val="auto"/>
                <w:szCs w:val="21"/>
                <w:highlight w:val="none"/>
              </w:rPr>
              <w:t>1</w:t>
            </w:r>
          </w:p>
        </w:tc>
        <w:tc>
          <w:tcPr>
            <w:tcW w:w="8359" w:type="dxa"/>
            <w:vAlign w:val="center"/>
          </w:tcPr>
          <w:p w14:paraId="13F1D70B">
            <w:pPr>
              <w:snapToGrid w:val="0"/>
              <w:spacing w:line="430" w:lineRule="exact"/>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资格证明文件</w:t>
            </w:r>
          </w:p>
          <w:p w14:paraId="5B48E80E">
            <w:pPr>
              <w:pStyle w:val="15"/>
              <w:spacing w:line="430" w:lineRule="exact"/>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1.供应商为法人或者其他组织的提供其营业执照等证明文件（如营业执照或者事业单位法人证书或者执业许可证或者登记证书等），供应商为自然人的提供其身份证复印件；（</w:t>
            </w:r>
            <w:r>
              <w:rPr>
                <w:rFonts w:hint="eastAsia" w:cs="宋体" w:asciiTheme="minorEastAsia" w:hAnsiTheme="minorEastAsia" w:eastAsiaTheme="minorEastAsia"/>
                <w:b/>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076EE9E6">
            <w:pPr>
              <w:spacing w:line="430" w:lineRule="exact"/>
              <w:contextualSpacing/>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 供应商依法缴纳税收的相关材料（</w:t>
            </w:r>
            <w:r>
              <w:rPr>
                <w:rFonts w:hint="eastAsia" w:ascii="宋体" w:hAnsi="宋体" w:cs="宋体"/>
                <w:color w:val="auto"/>
                <w:szCs w:val="21"/>
                <w:highlight w:val="none"/>
              </w:rPr>
              <w:t>提交响应文件截止时间前半年内任意连续</w:t>
            </w:r>
            <w:r>
              <w:rPr>
                <w:rFonts w:ascii="宋体" w:hAnsi="宋体" w:cs="宋体"/>
                <w:color w:val="auto"/>
                <w:szCs w:val="21"/>
                <w:highlight w:val="none"/>
              </w:rPr>
              <w:t>3</w:t>
            </w:r>
            <w:r>
              <w:rPr>
                <w:rFonts w:hint="eastAsia" w:ascii="宋体" w:hAnsi="宋体" w:cs="宋体"/>
                <w:color w:val="auto"/>
                <w:szCs w:val="21"/>
                <w:highlight w:val="none"/>
              </w:rPr>
              <w:t>个月的</w:t>
            </w:r>
            <w:r>
              <w:rPr>
                <w:rFonts w:hint="eastAsia" w:cs="宋体" w:asciiTheme="minorEastAsia" w:hAnsiTheme="minorEastAsia" w:eastAsiaTheme="minorEastAsia"/>
                <w:color w:val="auto"/>
                <w:szCs w:val="21"/>
                <w:highlight w:val="none"/>
              </w:rPr>
              <w:t>依法缴纳税收的凭据复印件；</w:t>
            </w:r>
            <w:r>
              <w:rPr>
                <w:rFonts w:hint="eastAsia" w:asciiTheme="minorEastAsia" w:hAnsiTheme="minorEastAsia" w:eastAsiaTheme="minorEastAsia"/>
                <w:color w:val="auto"/>
                <w:szCs w:val="21"/>
                <w:highlight w:val="none"/>
              </w:rPr>
              <w:t>依法免税的，必须提供相应文件证明其依法免税。</w:t>
            </w:r>
            <w:r>
              <w:rPr>
                <w:rFonts w:hint="eastAsia" w:cs="宋体" w:asciiTheme="minorEastAsia" w:hAnsiTheme="minorEastAsia" w:eastAsiaTheme="minorEastAsia"/>
                <w:color w:val="auto"/>
                <w:szCs w:val="21"/>
                <w:highlight w:val="none"/>
              </w:rPr>
              <w:t>从</w:t>
            </w:r>
            <w:r>
              <w:rPr>
                <w:rFonts w:asciiTheme="minorEastAsia" w:hAnsiTheme="minorEastAsia" w:eastAsiaTheme="minorEastAsia"/>
                <w:color w:val="auto"/>
                <w:szCs w:val="21"/>
                <w:highlight w:val="none"/>
              </w:rPr>
              <w:t>成立</w:t>
            </w:r>
            <w:r>
              <w:rPr>
                <w:rFonts w:hint="eastAsia" w:asciiTheme="minorEastAsia" w:hAnsiTheme="minorEastAsia" w:eastAsiaTheme="minorEastAsia"/>
                <w:color w:val="auto"/>
                <w:szCs w:val="21"/>
                <w:highlight w:val="none"/>
              </w:rPr>
              <w:t>之日起</w:t>
            </w:r>
            <w:r>
              <w:rPr>
                <w:rFonts w:hint="eastAsia" w:cs="宋体" w:asciiTheme="minorEastAsia" w:hAnsiTheme="minorEastAsia" w:eastAsiaTheme="minorEastAsia"/>
                <w:color w:val="auto"/>
                <w:szCs w:val="21"/>
                <w:highlight w:val="none"/>
              </w:rPr>
              <w:t>到响应文件提交截止时间止不足要求月数的，只需提供从</w:t>
            </w:r>
            <w:r>
              <w:rPr>
                <w:rFonts w:asciiTheme="minorEastAsia" w:hAnsiTheme="minorEastAsia" w:eastAsiaTheme="minorEastAsia"/>
                <w:color w:val="auto"/>
                <w:szCs w:val="21"/>
                <w:highlight w:val="none"/>
              </w:rPr>
              <w:t>成立</w:t>
            </w:r>
            <w:r>
              <w:rPr>
                <w:rFonts w:hint="eastAsia" w:asciiTheme="minorEastAsia" w:hAnsiTheme="minorEastAsia" w:eastAsiaTheme="minorEastAsia"/>
                <w:color w:val="auto"/>
                <w:szCs w:val="21"/>
                <w:highlight w:val="none"/>
              </w:rPr>
              <w:t>之日起</w:t>
            </w:r>
            <w:r>
              <w:rPr>
                <w:rFonts w:hint="eastAsia" w:cs="宋体" w:asciiTheme="minorEastAsia" w:hAnsiTheme="minorEastAsia" w:eastAsiaTheme="minorEastAsia"/>
                <w:color w:val="auto"/>
                <w:szCs w:val="21"/>
                <w:highlight w:val="none"/>
              </w:rPr>
              <w:t>的依法缴纳税收</w:t>
            </w:r>
            <w:r>
              <w:rPr>
                <w:rFonts w:hint="eastAsia" w:asciiTheme="minorEastAsia" w:hAnsiTheme="minorEastAsia" w:eastAsiaTheme="minorEastAsia"/>
                <w:color w:val="auto"/>
                <w:szCs w:val="21"/>
                <w:highlight w:val="none"/>
              </w:rPr>
              <w:t>相应证明文件</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47BC4223">
            <w:pPr>
              <w:spacing w:line="430" w:lineRule="exact"/>
              <w:contextualSpacing/>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 供应商依法缴纳社会保障资金的相关材料</w:t>
            </w:r>
            <w:r>
              <w:rPr>
                <w:rFonts w:hint="eastAsia" w:ascii="宋体" w:hAnsi="宋体" w:cs="宋体"/>
                <w:color w:val="auto"/>
                <w:szCs w:val="21"/>
                <w:highlight w:val="none"/>
              </w:rPr>
              <w:t>[提交响应文件截止时间前半年内任意连续</w:t>
            </w:r>
            <w:r>
              <w:rPr>
                <w:rFonts w:ascii="宋体" w:hAnsi="宋体" w:cs="宋体"/>
                <w:color w:val="auto"/>
                <w:szCs w:val="21"/>
                <w:highlight w:val="none"/>
              </w:rPr>
              <w:t>3</w:t>
            </w:r>
            <w:r>
              <w:rPr>
                <w:rFonts w:hint="eastAsia" w:ascii="宋体" w:hAnsi="宋体" w:cs="宋体"/>
                <w:color w:val="auto"/>
                <w:szCs w:val="21"/>
                <w:highlight w:val="none"/>
              </w:rPr>
              <w:t>个月的</w:t>
            </w:r>
            <w:r>
              <w:rPr>
                <w:rFonts w:hint="eastAsia" w:cs="宋体" w:asciiTheme="minorEastAsia" w:hAnsiTheme="minorEastAsia" w:eastAsiaTheme="minorEastAsia"/>
                <w:color w:val="auto"/>
                <w:szCs w:val="21"/>
                <w:highlight w:val="none"/>
              </w:rPr>
              <w:t>依法缴纳社会保障资金的缴费凭证（专用收据或者社会保险缴纳清单）复印件；</w:t>
            </w:r>
            <w:r>
              <w:rPr>
                <w:rFonts w:hint="eastAsia" w:asciiTheme="minorEastAsia" w:hAnsiTheme="minorEastAsia" w:eastAsiaTheme="minorEastAsia"/>
                <w:color w:val="auto"/>
                <w:szCs w:val="21"/>
                <w:highlight w:val="none"/>
              </w:rPr>
              <w:t>依法不需要缴纳社会保障资金的，必须提供相应文件证明不需要缴纳社会保障资金。</w:t>
            </w:r>
            <w:r>
              <w:rPr>
                <w:rFonts w:hint="eastAsia" w:cs="宋体" w:asciiTheme="minorEastAsia" w:hAnsiTheme="minorEastAsia" w:eastAsiaTheme="minorEastAsia"/>
                <w:color w:val="auto"/>
                <w:szCs w:val="21"/>
                <w:highlight w:val="none"/>
              </w:rPr>
              <w:t>从</w:t>
            </w:r>
            <w:r>
              <w:rPr>
                <w:rFonts w:asciiTheme="minorEastAsia" w:hAnsiTheme="minorEastAsia" w:eastAsiaTheme="minorEastAsia"/>
                <w:color w:val="auto"/>
                <w:szCs w:val="21"/>
                <w:highlight w:val="none"/>
              </w:rPr>
              <w:t>成立</w:t>
            </w:r>
            <w:r>
              <w:rPr>
                <w:rFonts w:hint="eastAsia" w:asciiTheme="minorEastAsia" w:hAnsiTheme="minorEastAsia" w:eastAsiaTheme="minorEastAsia"/>
                <w:color w:val="auto"/>
                <w:szCs w:val="21"/>
                <w:highlight w:val="none"/>
              </w:rPr>
              <w:t>之日起</w:t>
            </w:r>
            <w:r>
              <w:rPr>
                <w:rFonts w:hint="eastAsia" w:cs="宋体" w:asciiTheme="minorEastAsia" w:hAnsiTheme="minorEastAsia" w:eastAsiaTheme="minorEastAsia"/>
                <w:color w:val="auto"/>
                <w:szCs w:val="21"/>
                <w:highlight w:val="none"/>
              </w:rPr>
              <w:t>到响应文件提交截止时间止不足要求月数的只需提供从</w:t>
            </w:r>
            <w:r>
              <w:rPr>
                <w:rFonts w:asciiTheme="minorEastAsia" w:hAnsiTheme="minorEastAsia" w:eastAsiaTheme="minorEastAsia"/>
                <w:color w:val="auto"/>
                <w:szCs w:val="21"/>
                <w:highlight w:val="none"/>
              </w:rPr>
              <w:t>成立</w:t>
            </w:r>
            <w:r>
              <w:rPr>
                <w:rFonts w:hint="eastAsia" w:asciiTheme="minorEastAsia" w:hAnsiTheme="minorEastAsia" w:eastAsiaTheme="minorEastAsia"/>
                <w:color w:val="auto"/>
                <w:szCs w:val="21"/>
                <w:highlight w:val="none"/>
              </w:rPr>
              <w:t>之日起</w:t>
            </w:r>
            <w:r>
              <w:rPr>
                <w:rFonts w:hint="eastAsia" w:cs="宋体" w:asciiTheme="minorEastAsia" w:hAnsiTheme="minorEastAsia" w:eastAsiaTheme="minorEastAsia"/>
                <w:color w:val="auto"/>
                <w:szCs w:val="21"/>
                <w:highlight w:val="none"/>
              </w:rPr>
              <w:t>的依法缴纳社会保障资金的</w:t>
            </w:r>
            <w:r>
              <w:rPr>
                <w:rFonts w:hint="eastAsia" w:asciiTheme="minorEastAsia" w:hAnsiTheme="minorEastAsia" w:eastAsiaTheme="minorEastAsia"/>
                <w:color w:val="auto"/>
                <w:szCs w:val="21"/>
                <w:highlight w:val="none"/>
              </w:rPr>
              <w:t>相应证明文件</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391EFCFC">
            <w:pPr>
              <w:spacing w:line="430" w:lineRule="exact"/>
              <w:contextualSpacing/>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4. 供应商</w:t>
            </w:r>
            <w:r>
              <w:rPr>
                <w:rFonts w:hint="eastAsia" w:asciiTheme="minorEastAsia" w:hAnsiTheme="minorEastAsia" w:eastAsiaTheme="minorEastAsia"/>
                <w:color w:val="auto"/>
                <w:szCs w:val="21"/>
                <w:highlight w:val="none"/>
              </w:rPr>
              <w:t>财务状况报告（</w:t>
            </w:r>
            <w:r>
              <w:rPr>
                <w:rFonts w:hint="eastAsia" w:asciiTheme="minorEastAsia" w:hAnsiTheme="minorEastAsia" w:eastAsiaTheme="minorEastAsia"/>
                <w:color w:val="auto"/>
                <w:szCs w:val="21"/>
                <w:highlight w:val="none"/>
                <w:u w:val="none"/>
              </w:rPr>
              <w:t>2023年</w:t>
            </w:r>
            <w:r>
              <w:rPr>
                <w:rFonts w:hint="eastAsia" w:asciiTheme="minorEastAsia" w:hAnsiTheme="minorEastAsia" w:eastAsiaTheme="minorEastAsia"/>
                <w:color w:val="auto"/>
                <w:szCs w:val="21"/>
                <w:highlight w:val="none"/>
              </w:rPr>
              <w:t>度</w:t>
            </w:r>
            <w:r>
              <w:rPr>
                <w:rFonts w:hint="eastAsia" w:asciiTheme="minorEastAsia" w:hAnsiTheme="minorEastAsia" w:eastAsiaTheme="minorEastAsia"/>
                <w:color w:val="auto"/>
                <w:szCs w:val="21"/>
                <w:highlight w:val="none"/>
                <w:lang w:val="en-US" w:eastAsia="zh-CN"/>
              </w:rPr>
              <w:t>或2024年度</w:t>
            </w:r>
            <w:r>
              <w:rPr>
                <w:rFonts w:hint="eastAsia" w:asciiTheme="minorEastAsia" w:hAnsiTheme="minorEastAsia" w:eastAsiaTheme="minorEastAsia"/>
                <w:color w:val="auto"/>
                <w:szCs w:val="21"/>
                <w:highlight w:val="none"/>
              </w:rPr>
              <w:t>财务报告复印件，或者银行出具的资信证明，或者中国人民银行征信中心出具的信用报告（企业竞标的提供企业信用报告，自然人竞标的提供个人信用报告）；供应商属于成立时间</w:t>
            </w:r>
            <w:r>
              <w:rPr>
                <w:rFonts w:hint="eastAsia" w:asciiTheme="minorEastAsia" w:hAnsiTheme="minorEastAsia" w:eastAsiaTheme="minorEastAsia"/>
                <w:color w:val="auto"/>
                <w:kern w:val="0"/>
                <w:szCs w:val="21"/>
                <w:highlight w:val="none"/>
              </w:rPr>
              <w:t>在规定年度之后</w:t>
            </w:r>
            <w:r>
              <w:rPr>
                <w:rFonts w:hint="eastAsia" w:asciiTheme="minorEastAsia" w:hAnsiTheme="minorEastAsia" w:eastAsiaTheme="minorEastAsia"/>
                <w:color w:val="auto"/>
                <w:szCs w:val="21"/>
                <w:highlight w:val="none"/>
              </w:rPr>
              <w:t>的法人或其他组织，需提供成立之日起至响应文件提交截止时间前的月报表或银行出具的资信证明或者中国人民银行征信中心出具的企业信用报告；资信证明应在有效期内，未注明有效期的，银行出具时间至响应文件提交截止时间不超过一年）</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w:t>
            </w:r>
            <w:r>
              <w:rPr>
                <w:rFonts w:hint="eastAsia" w:asciiTheme="minorEastAsia" w:hAnsiTheme="minorEastAsia" w:eastAsiaTheme="minorEastAsia"/>
                <w:b/>
                <w:color w:val="auto"/>
                <w:szCs w:val="21"/>
                <w:highlight w:val="none"/>
              </w:rPr>
              <w:t>必须提供</w:t>
            </w:r>
            <w:r>
              <w:rPr>
                <w:rFonts w:hint="eastAsia" w:cs="宋体" w:asciiTheme="minorEastAsia" w:hAnsiTheme="minorEastAsia" w:eastAsiaTheme="minorEastAsia"/>
                <w:b/>
                <w:color w:val="auto"/>
                <w:szCs w:val="21"/>
                <w:highlight w:val="none"/>
              </w:rPr>
              <w:t>，否则响应文件按无效响应处理</w:t>
            </w:r>
            <w:r>
              <w:rPr>
                <w:rFonts w:hint="eastAsia" w:cs="宋体" w:asciiTheme="minorEastAsia" w:hAnsiTheme="minorEastAsia" w:eastAsiaTheme="minorEastAsia"/>
                <w:bCs/>
                <w:color w:val="auto"/>
                <w:szCs w:val="21"/>
                <w:highlight w:val="none"/>
              </w:rPr>
              <w:t>）</w:t>
            </w:r>
          </w:p>
          <w:p w14:paraId="6C74E5AF">
            <w:pPr>
              <w:snapToGrid w:val="0"/>
              <w:spacing w:line="430" w:lineRule="exact"/>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5.供应商直接控股、管理关系信息表（格式后附）；（</w:t>
            </w:r>
            <w:r>
              <w:rPr>
                <w:rFonts w:hint="eastAsia" w:cs="宋体" w:asciiTheme="minorEastAsia" w:hAnsiTheme="minorEastAsia" w:eastAsiaTheme="minorEastAsia"/>
                <w:b/>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75CDFB1B">
            <w:pPr>
              <w:snapToGrid w:val="0"/>
              <w:spacing w:line="430" w:lineRule="exact"/>
              <w:jc w:val="left"/>
              <w:rPr>
                <w:color w:val="auto"/>
                <w:highlight w:val="none"/>
              </w:rPr>
            </w:pPr>
            <w:r>
              <w:rPr>
                <w:rFonts w:hint="eastAsia" w:cs="宋体" w:asciiTheme="minorEastAsia" w:hAnsiTheme="minorEastAsia" w:eastAsiaTheme="minorEastAsia"/>
                <w:color w:val="auto"/>
                <w:szCs w:val="21"/>
                <w:highlight w:val="none"/>
              </w:rPr>
              <w:t>6.竞标声明（格式后附）；（</w:t>
            </w:r>
            <w:r>
              <w:rPr>
                <w:rFonts w:hint="eastAsia" w:cs="宋体" w:asciiTheme="minorEastAsia" w:hAnsiTheme="minorEastAsia" w:eastAsiaTheme="minorEastAsia"/>
                <w:b/>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02812DED">
            <w:pPr>
              <w:snapToGrid w:val="0"/>
              <w:spacing w:line="430" w:lineRule="exact"/>
              <w:jc w:val="lef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7.</w:t>
            </w:r>
            <w:r>
              <w:rPr>
                <w:rFonts w:hint="eastAsia" w:cs="宋体" w:asciiTheme="minorEastAsia" w:hAnsiTheme="minorEastAsia" w:eastAsiaTheme="minorEastAsia"/>
                <w:color w:val="auto"/>
                <w:szCs w:val="21"/>
                <w:highlight w:val="none"/>
              </w:rPr>
              <w:t>中小企业声明函或者残疾人福利性单位声明函或者供应商属于监狱企业的需提供由省级以上监狱管理局、戒毒管理局（含新疆生产建设兵团）出具的属于监狱企业的证明文件；（</w:t>
            </w:r>
            <w:r>
              <w:rPr>
                <w:rFonts w:hint="eastAsia" w:cs="宋体" w:asciiTheme="minorEastAsia" w:hAnsiTheme="minorEastAsia" w:eastAsiaTheme="minorEastAsia"/>
                <w:b/>
                <w:bCs/>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72E5F83E">
            <w:pPr>
              <w:snapToGrid w:val="0"/>
              <w:spacing w:line="430" w:lineRule="exact"/>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8</w:t>
            </w:r>
            <w:r>
              <w:rPr>
                <w:rFonts w:hint="eastAsia" w:cs="宋体" w:asciiTheme="minorEastAsia" w:hAnsiTheme="minorEastAsia" w:eastAsiaTheme="minorEastAsia"/>
                <w:color w:val="auto"/>
                <w:szCs w:val="21"/>
                <w:highlight w:val="none"/>
              </w:rPr>
              <w:t>.除磋商文件规定必须提供以外，供应商认为需要提供的其他证明材料。（如有，请提供）</w:t>
            </w:r>
          </w:p>
          <w:p w14:paraId="08715562">
            <w:pPr>
              <w:snapToGrid w:val="0"/>
              <w:spacing w:line="430" w:lineRule="exact"/>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注：</w:t>
            </w:r>
          </w:p>
          <w:p w14:paraId="7810C9AA">
            <w:pPr>
              <w:snapToGrid w:val="0"/>
              <w:spacing w:line="430" w:lineRule="exact"/>
              <w:ind w:firstLine="413" w:firstLineChars="196"/>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1.以上标明“必须提供”的材料属于复印件的，必须加盖供应商</w:t>
            </w:r>
            <w:r>
              <w:rPr>
                <w:rFonts w:hint="eastAsia" w:asciiTheme="minorEastAsia" w:hAnsiTheme="minorEastAsia" w:eastAsiaTheme="minorEastAsia"/>
                <w:b/>
                <w:color w:val="auto"/>
                <w:szCs w:val="21"/>
                <w:highlight w:val="none"/>
              </w:rPr>
              <w:t>电子签章</w:t>
            </w:r>
            <w:r>
              <w:rPr>
                <w:rFonts w:hint="eastAsia" w:cs="宋体" w:asciiTheme="minorEastAsia" w:hAnsiTheme="minorEastAsia" w:eastAsiaTheme="minorEastAsia"/>
                <w:b/>
                <w:color w:val="auto"/>
                <w:szCs w:val="21"/>
                <w:highlight w:val="none"/>
              </w:rPr>
              <w:t>，否则响应文件按无效处理。</w:t>
            </w:r>
          </w:p>
          <w:p w14:paraId="06DE3372">
            <w:pPr>
              <w:pStyle w:val="15"/>
              <w:spacing w:line="430" w:lineRule="exact"/>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2.</w:t>
            </w:r>
            <w:r>
              <w:rPr>
                <w:rFonts w:hint="eastAsia" w:asciiTheme="minorEastAsia" w:hAnsiTheme="minorEastAsia" w:eastAsiaTheme="minorEastAsia"/>
                <w:b/>
                <w:bCs/>
                <w:color w:val="auto"/>
                <w:szCs w:val="21"/>
                <w:highlight w:val="none"/>
              </w:rPr>
              <w:t>分公司参加竞标的，应当取得总公司授权；</w:t>
            </w:r>
          </w:p>
        </w:tc>
      </w:tr>
      <w:tr w14:paraId="01D50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336A0CCA">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12.1.2</w:t>
            </w:r>
          </w:p>
        </w:tc>
        <w:tc>
          <w:tcPr>
            <w:tcW w:w="8359" w:type="dxa"/>
            <w:vAlign w:val="center"/>
          </w:tcPr>
          <w:p w14:paraId="27DF3032">
            <w:pPr>
              <w:spacing w:line="430" w:lineRule="exac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报价文件</w:t>
            </w:r>
          </w:p>
          <w:p w14:paraId="0D38F149">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1.响应函（格式后附）；（</w:t>
            </w:r>
            <w:r>
              <w:rPr>
                <w:rFonts w:hint="eastAsia" w:cs="宋体" w:asciiTheme="minorEastAsia" w:hAnsiTheme="minorEastAsia" w:eastAsiaTheme="minorEastAsia"/>
                <w:b/>
                <w:color w:val="auto"/>
                <w:szCs w:val="21"/>
                <w:highlight w:val="none"/>
              </w:rPr>
              <w:t>必须提供，否则响应文件按无效处理</w:t>
            </w:r>
            <w:r>
              <w:rPr>
                <w:rFonts w:hint="eastAsia" w:cs="宋体" w:asciiTheme="minorEastAsia" w:hAnsiTheme="minorEastAsia" w:eastAsiaTheme="minorEastAsia"/>
                <w:color w:val="auto"/>
                <w:szCs w:val="21"/>
                <w:highlight w:val="none"/>
              </w:rPr>
              <w:t>）</w:t>
            </w:r>
          </w:p>
          <w:p w14:paraId="168D5E3B">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2.磋商报价表（格式后附）；（</w:t>
            </w:r>
            <w:r>
              <w:rPr>
                <w:rFonts w:hint="eastAsia" w:cs="宋体" w:asciiTheme="minorEastAsia" w:hAnsiTheme="minorEastAsia" w:eastAsiaTheme="minorEastAsia"/>
                <w:b/>
                <w:color w:val="auto"/>
                <w:szCs w:val="21"/>
                <w:highlight w:val="none"/>
              </w:rPr>
              <w:t>必须提供，否则响应文件按无效处理</w:t>
            </w:r>
            <w:r>
              <w:rPr>
                <w:rFonts w:hint="eastAsia" w:cs="宋体" w:asciiTheme="minorEastAsia" w:hAnsiTheme="minorEastAsia" w:eastAsiaTheme="minorEastAsia"/>
                <w:color w:val="auto"/>
                <w:szCs w:val="21"/>
                <w:highlight w:val="none"/>
              </w:rPr>
              <w:t>）</w:t>
            </w:r>
          </w:p>
          <w:p w14:paraId="23A854F7">
            <w:pPr>
              <w:spacing w:line="430" w:lineRule="exact"/>
              <w:rPr>
                <w:color w:val="auto"/>
                <w:highlight w:val="none"/>
              </w:rPr>
            </w:pPr>
            <w:r>
              <w:rPr>
                <w:rFonts w:hint="eastAsia" w:cs="宋体" w:asciiTheme="minorEastAsia" w:hAnsiTheme="minorEastAsia" w:eastAsiaTheme="minorEastAsia"/>
                <w:color w:val="auto"/>
                <w:szCs w:val="21"/>
                <w:highlight w:val="none"/>
              </w:rPr>
              <w:t>3.供应商认为需要提供的其他有关资料。</w:t>
            </w:r>
          </w:p>
          <w:p w14:paraId="65728982">
            <w:pPr>
              <w:snapToGrid w:val="0"/>
              <w:spacing w:line="430" w:lineRule="exact"/>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注：</w:t>
            </w:r>
          </w:p>
          <w:p w14:paraId="5558118B">
            <w:pPr>
              <w:snapToGrid w:val="0"/>
              <w:spacing w:line="430" w:lineRule="exact"/>
              <w:ind w:firstLine="413" w:firstLineChars="196"/>
              <w:jc w:val="left"/>
              <w:rPr>
                <w:rFonts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1.以上标明“必须提供”的材料属于复印件的，必须加盖供应商</w:t>
            </w:r>
            <w:r>
              <w:rPr>
                <w:rFonts w:hint="eastAsia" w:asciiTheme="minorEastAsia" w:hAnsiTheme="minorEastAsia" w:eastAsiaTheme="minorEastAsia"/>
                <w:b/>
                <w:color w:val="auto"/>
                <w:szCs w:val="21"/>
                <w:highlight w:val="none"/>
              </w:rPr>
              <w:t>电子签章</w:t>
            </w:r>
            <w:r>
              <w:rPr>
                <w:rFonts w:hint="eastAsia" w:cs="宋体" w:asciiTheme="minorEastAsia" w:hAnsiTheme="minorEastAsia" w:eastAsiaTheme="minorEastAsia"/>
                <w:b/>
                <w:color w:val="auto"/>
                <w:szCs w:val="21"/>
                <w:highlight w:val="none"/>
              </w:rPr>
              <w:t>，否则响应文件按无效处理。</w:t>
            </w:r>
          </w:p>
        </w:tc>
      </w:tr>
      <w:tr w14:paraId="2AA47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476AEEC1">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12.</w:t>
            </w:r>
            <w:r>
              <w:rPr>
                <w:rFonts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rPr>
              <w:t>.3</w:t>
            </w:r>
          </w:p>
        </w:tc>
        <w:tc>
          <w:tcPr>
            <w:tcW w:w="8359" w:type="dxa"/>
            <w:vAlign w:val="center"/>
          </w:tcPr>
          <w:p w14:paraId="499EF246">
            <w:pPr>
              <w:spacing w:line="430" w:lineRule="exact"/>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商务技术文件</w:t>
            </w:r>
          </w:p>
          <w:p w14:paraId="418D8169">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1.无串通竞标行为的承诺函（格式后附）；（</w:t>
            </w:r>
            <w:r>
              <w:rPr>
                <w:rFonts w:hint="eastAsia" w:cs="宋体" w:asciiTheme="minorEastAsia" w:hAnsiTheme="minorEastAsia" w:eastAsiaTheme="minorEastAsia"/>
                <w:b/>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519339F7">
            <w:pPr>
              <w:spacing w:line="430" w:lineRule="exac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2</w:t>
            </w:r>
            <w:r>
              <w:rPr>
                <w:rFonts w:hint="eastAsia" w:cs="宋体" w:asciiTheme="minorEastAsia" w:hAnsiTheme="minorEastAsia" w:eastAsiaTheme="minorEastAsia"/>
                <w:color w:val="auto"/>
                <w:szCs w:val="21"/>
                <w:highlight w:val="none"/>
              </w:rPr>
              <w:t>.法定代表人身份证明书及法定代表人有效身份证正反面复印件（格式后附）；（</w:t>
            </w:r>
            <w:r>
              <w:rPr>
                <w:rFonts w:hint="eastAsia" w:cs="宋体" w:asciiTheme="minorEastAsia" w:hAnsiTheme="minorEastAsia" w:eastAsiaTheme="minorEastAsia"/>
                <w:b/>
                <w:bCs/>
                <w:color w:val="auto"/>
                <w:szCs w:val="21"/>
                <w:highlight w:val="none"/>
              </w:rPr>
              <w:t>除自然人竞标外</w:t>
            </w:r>
            <w:r>
              <w:rPr>
                <w:rFonts w:hint="eastAsia" w:cs="宋体" w:asciiTheme="minorEastAsia" w:hAnsiTheme="minorEastAsia" w:eastAsiaTheme="minorEastAsia"/>
                <w:b/>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39BBC151">
            <w:pPr>
              <w:spacing w:line="430" w:lineRule="exact"/>
              <w:rPr>
                <w:rFonts w:cs="宋体" w:asciiTheme="minorEastAsia" w:hAnsiTheme="minorEastAsia" w:eastAsiaTheme="minorEastAsia"/>
                <w:b/>
                <w:color w:val="auto"/>
                <w:szCs w:val="21"/>
                <w:highlight w:val="none"/>
              </w:rPr>
            </w:pPr>
            <w:r>
              <w:rPr>
                <w:rFonts w:cs="宋体" w:asciiTheme="minorEastAsia" w:hAnsiTheme="minorEastAsia" w:eastAsiaTheme="minorEastAsia"/>
                <w:color w:val="auto"/>
                <w:szCs w:val="21"/>
                <w:highlight w:val="none"/>
              </w:rPr>
              <w:t>3</w:t>
            </w:r>
            <w:r>
              <w:rPr>
                <w:rFonts w:hint="eastAsia" w:cs="宋体" w:asciiTheme="minorEastAsia" w:hAnsiTheme="minorEastAsia" w:eastAsiaTheme="minorEastAsia"/>
                <w:color w:val="auto"/>
                <w:szCs w:val="21"/>
                <w:highlight w:val="none"/>
              </w:rPr>
              <w:t>.授权委托书及委托代理人有效身份证正反面复印件（格式后附）；（</w:t>
            </w:r>
            <w:r>
              <w:rPr>
                <w:rFonts w:hint="eastAsia" w:cs="宋体" w:asciiTheme="minorEastAsia" w:hAnsiTheme="minorEastAsia" w:eastAsiaTheme="minorEastAsia"/>
                <w:b/>
                <w:color w:val="auto"/>
                <w:szCs w:val="21"/>
                <w:highlight w:val="none"/>
              </w:rPr>
              <w:t>委托时必须提供，否则响应文件按无效响应处理</w:t>
            </w:r>
            <w:r>
              <w:rPr>
                <w:rFonts w:hint="eastAsia" w:cs="宋体" w:asciiTheme="minorEastAsia" w:hAnsiTheme="minorEastAsia" w:eastAsiaTheme="minorEastAsia"/>
                <w:color w:val="auto"/>
                <w:szCs w:val="21"/>
                <w:highlight w:val="none"/>
              </w:rPr>
              <w:t>）</w:t>
            </w:r>
          </w:p>
          <w:p w14:paraId="0871D16C">
            <w:pPr>
              <w:spacing w:line="430" w:lineRule="exac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4</w:t>
            </w:r>
            <w:r>
              <w:rPr>
                <w:rFonts w:hint="eastAsia" w:cs="宋体" w:asciiTheme="minorEastAsia" w:hAnsiTheme="minorEastAsia" w:eastAsiaTheme="minorEastAsia"/>
                <w:color w:val="auto"/>
                <w:szCs w:val="21"/>
                <w:highlight w:val="none"/>
              </w:rPr>
              <w:t>.磋商保证金提交凭证；（</w:t>
            </w:r>
            <w:r>
              <w:rPr>
                <w:rFonts w:hint="eastAsia" w:cs="宋体" w:asciiTheme="minorEastAsia" w:hAnsiTheme="minorEastAsia" w:eastAsiaTheme="minorEastAsia"/>
                <w:b/>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32FD8A28">
            <w:pPr>
              <w:spacing w:line="430" w:lineRule="exac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5</w:t>
            </w:r>
            <w:r>
              <w:rPr>
                <w:rFonts w:hint="eastAsia" w:cs="宋体" w:asciiTheme="minorEastAsia" w:hAnsiTheme="minorEastAsia" w:eastAsiaTheme="minorEastAsia"/>
                <w:color w:val="auto"/>
                <w:szCs w:val="21"/>
                <w:highlight w:val="none"/>
              </w:rPr>
              <w:t>.商务要求偏离表（格式后附）；（</w:t>
            </w:r>
            <w:r>
              <w:rPr>
                <w:rFonts w:hint="eastAsia" w:cs="宋体" w:asciiTheme="minorEastAsia" w:hAnsiTheme="minorEastAsia" w:eastAsiaTheme="minorEastAsia"/>
                <w:b/>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5DA90F30">
            <w:pPr>
              <w:spacing w:line="430" w:lineRule="exac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6</w:t>
            </w:r>
            <w:r>
              <w:rPr>
                <w:rFonts w:hint="eastAsia" w:cs="宋体" w:asciiTheme="minorEastAsia" w:hAnsiTheme="minorEastAsia" w:eastAsiaTheme="minorEastAsia"/>
                <w:color w:val="auto"/>
                <w:szCs w:val="21"/>
                <w:highlight w:val="none"/>
              </w:rPr>
              <w:t>.技术要求偏离表（格式后附）；（</w:t>
            </w:r>
            <w:r>
              <w:rPr>
                <w:rFonts w:hint="eastAsia" w:cs="宋体" w:asciiTheme="minorEastAsia" w:hAnsiTheme="minorEastAsia" w:eastAsiaTheme="minorEastAsia"/>
                <w:b/>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3CCF6BE6">
            <w:pPr>
              <w:spacing w:line="43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7</w:t>
            </w:r>
            <w:r>
              <w:rPr>
                <w:rFonts w:hint="eastAsia" w:cs="宋体" w:asciiTheme="minorEastAsia" w:hAnsiTheme="minorEastAsia" w:eastAsiaTheme="minorEastAsia"/>
                <w:color w:val="auto"/>
                <w:szCs w:val="21"/>
                <w:highlight w:val="none"/>
              </w:rPr>
              <w:t>.</w:t>
            </w:r>
            <w:r>
              <w:rPr>
                <w:rFonts w:hint="eastAsia" w:hAnsi="宋体" w:cs="宋体"/>
                <w:bCs/>
                <w:color w:val="auto"/>
                <w:sz w:val="21"/>
                <w:highlight w:val="none"/>
              </w:rPr>
              <w:t>组织实施方案</w:t>
            </w:r>
            <w:r>
              <w:rPr>
                <w:rFonts w:hint="eastAsia" w:cs="宋体" w:asciiTheme="minorEastAsia" w:hAnsiTheme="minorEastAsia" w:eastAsiaTheme="minorEastAsia"/>
                <w:color w:val="auto"/>
                <w:szCs w:val="21"/>
                <w:highlight w:val="none"/>
              </w:rPr>
              <w:t>、</w:t>
            </w:r>
            <w:r>
              <w:rPr>
                <w:rFonts w:hint="eastAsia" w:hAnsi="宋体" w:cs="宋体"/>
                <w:bCs/>
                <w:color w:val="auto"/>
                <w:sz w:val="21"/>
                <w:highlight w:val="none"/>
              </w:rPr>
              <w:t>产品质量控制措施</w:t>
            </w:r>
            <w:r>
              <w:rPr>
                <w:rFonts w:hint="eastAsia" w:cs="宋体" w:asciiTheme="minorEastAsia" w:hAnsiTheme="minorEastAsia" w:eastAsiaTheme="minorEastAsia"/>
                <w:color w:val="auto"/>
                <w:szCs w:val="21"/>
                <w:highlight w:val="none"/>
                <w:lang w:eastAsia="zh-CN"/>
              </w:rPr>
              <w:t>、</w:t>
            </w:r>
            <w:r>
              <w:rPr>
                <w:rFonts w:hint="eastAsia" w:hAnsi="宋体" w:cs="宋体"/>
                <w:bCs/>
                <w:color w:val="auto"/>
                <w:sz w:val="21"/>
                <w:highlight w:val="none"/>
              </w:rPr>
              <w:t>售后服务</w:t>
            </w:r>
            <w:r>
              <w:rPr>
                <w:rFonts w:hint="eastAsia" w:cs="宋体" w:asciiTheme="minorEastAsia" w:hAnsiTheme="minorEastAsia" w:eastAsiaTheme="minorEastAsia"/>
                <w:color w:val="auto"/>
                <w:szCs w:val="21"/>
                <w:highlight w:val="none"/>
              </w:rPr>
              <w:t>（格式自拟）；</w:t>
            </w:r>
          </w:p>
          <w:p w14:paraId="70FE19D4">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8</w:t>
            </w:r>
            <w:r>
              <w:rPr>
                <w:rFonts w:hint="eastAsia" w:cs="宋体" w:asciiTheme="minorEastAsia" w:hAnsiTheme="minorEastAsia" w:eastAsiaTheme="minorEastAsia"/>
                <w:color w:val="auto"/>
                <w:szCs w:val="21"/>
                <w:highlight w:val="none"/>
              </w:rPr>
              <w:t>.项目实施人员一览表（格式自拟）；</w:t>
            </w:r>
          </w:p>
          <w:p w14:paraId="0CA19736">
            <w:pPr>
              <w:spacing w:line="430" w:lineRule="exac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9</w:t>
            </w:r>
            <w:r>
              <w:rPr>
                <w:rFonts w:hint="eastAsia" w:cs="宋体" w:asciiTheme="minorEastAsia" w:hAnsiTheme="minorEastAsia" w:eastAsiaTheme="minorEastAsia"/>
                <w:color w:val="auto"/>
                <w:szCs w:val="21"/>
                <w:highlight w:val="none"/>
              </w:rPr>
              <w:t>.对应采购需求的技术要求、商务要求提供的其他文件资料（格式自拟）；</w:t>
            </w:r>
          </w:p>
          <w:p w14:paraId="7023A2CD">
            <w:pPr>
              <w:spacing w:line="430" w:lineRule="exac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10</w:t>
            </w:r>
            <w:r>
              <w:rPr>
                <w:rFonts w:hint="eastAsia" w:cs="宋体" w:asciiTheme="minorEastAsia" w:hAnsiTheme="minorEastAsia" w:eastAsiaTheme="minorEastAsia"/>
                <w:color w:val="auto"/>
                <w:szCs w:val="21"/>
                <w:highlight w:val="none"/>
              </w:rPr>
              <w:t>.供应商认为需要提供的其他有关资料。</w:t>
            </w:r>
          </w:p>
          <w:p w14:paraId="14BBD4C2">
            <w:pPr>
              <w:snapToGrid w:val="0"/>
              <w:spacing w:line="430" w:lineRule="exact"/>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注：以上标明“必须提供”的材料属于复印件的，必须加盖供应商</w:t>
            </w:r>
            <w:r>
              <w:rPr>
                <w:rFonts w:hint="eastAsia" w:asciiTheme="minorEastAsia" w:hAnsiTheme="minorEastAsia" w:eastAsiaTheme="minorEastAsia"/>
                <w:b/>
                <w:bCs/>
                <w:color w:val="auto"/>
                <w:szCs w:val="21"/>
                <w:highlight w:val="none"/>
              </w:rPr>
              <w:t>电子签章</w:t>
            </w:r>
            <w:r>
              <w:rPr>
                <w:rFonts w:hint="eastAsia" w:cs="宋体" w:asciiTheme="minorEastAsia" w:hAnsiTheme="minorEastAsia" w:eastAsiaTheme="minorEastAsia"/>
                <w:b/>
                <w:color w:val="auto"/>
                <w:szCs w:val="21"/>
                <w:highlight w:val="none"/>
              </w:rPr>
              <w:t>，否则响应文件按无效响应处理。</w:t>
            </w:r>
          </w:p>
        </w:tc>
      </w:tr>
      <w:tr w14:paraId="14C54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727D7152">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15.2</w:t>
            </w:r>
          </w:p>
        </w:tc>
        <w:tc>
          <w:tcPr>
            <w:tcW w:w="8359" w:type="dxa"/>
            <w:vAlign w:val="center"/>
          </w:tcPr>
          <w:p w14:paraId="60E72339">
            <w:pPr>
              <w:spacing w:line="430" w:lineRule="exact"/>
              <w:contextualSpacing/>
              <w:jc w:val="left"/>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磋商报价是供应商完成本项目的全部服务内容及其相关工作所需的全部费用：</w:t>
            </w:r>
            <w:r>
              <w:rPr>
                <w:rFonts w:hint="eastAsia" w:cs="宋体" w:asciiTheme="minorEastAsia" w:hAnsiTheme="minorEastAsia" w:eastAsiaTheme="minorEastAsia"/>
                <w:color w:val="auto"/>
                <w:szCs w:val="21"/>
                <w:highlight w:val="none"/>
              </w:rPr>
              <w:t>应</w:t>
            </w:r>
            <w:r>
              <w:rPr>
                <w:rFonts w:hint="eastAsia" w:asciiTheme="minorEastAsia" w:hAnsiTheme="minorEastAsia" w:eastAsiaTheme="minorEastAsia"/>
                <w:color w:val="auto"/>
                <w:szCs w:val="21"/>
                <w:highlight w:val="none"/>
              </w:rPr>
              <w:t>包括服务价款，备件、技术培训及技术资料和税费等全部费用。</w:t>
            </w:r>
          </w:p>
        </w:tc>
      </w:tr>
      <w:tr w14:paraId="4259D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686D9EDB">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16.</w:t>
            </w:r>
            <w:r>
              <w:rPr>
                <w:rFonts w:cs="宋体" w:asciiTheme="minorEastAsia" w:hAnsiTheme="minorEastAsia" w:eastAsiaTheme="minorEastAsia"/>
                <w:color w:val="auto"/>
                <w:szCs w:val="21"/>
                <w:highlight w:val="none"/>
              </w:rPr>
              <w:t>2</w:t>
            </w:r>
          </w:p>
        </w:tc>
        <w:tc>
          <w:tcPr>
            <w:tcW w:w="8359" w:type="dxa"/>
            <w:vAlign w:val="center"/>
          </w:tcPr>
          <w:p w14:paraId="00156111">
            <w:pPr>
              <w:pStyle w:val="13"/>
              <w:widowControl w:val="0"/>
              <w:tabs>
                <w:tab w:val="clear" w:pos="454"/>
              </w:tabs>
              <w:snapToGrid w:val="0"/>
              <w:spacing w:afterLines="0" w:line="430" w:lineRule="exact"/>
              <w:ind w:left="283" w:hanging="283" w:hangingChars="135"/>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竞标有效期：自首次响应文件提交截止之日起</w:t>
            </w:r>
            <w:r>
              <w:rPr>
                <w:rFonts w:cs="宋体" w:asciiTheme="minorEastAsia" w:hAnsiTheme="minorEastAsia" w:eastAsiaTheme="minorEastAsia"/>
                <w:color w:val="auto"/>
                <w:kern w:val="2"/>
                <w:sz w:val="21"/>
                <w:szCs w:val="21"/>
                <w:highlight w:val="none"/>
                <w:u w:val="single"/>
              </w:rPr>
              <w:t>60</w:t>
            </w:r>
            <w:r>
              <w:rPr>
                <w:rFonts w:hint="eastAsia" w:cs="宋体" w:asciiTheme="minorEastAsia" w:hAnsiTheme="minorEastAsia" w:eastAsiaTheme="minorEastAsia"/>
                <w:color w:val="auto"/>
                <w:kern w:val="2"/>
                <w:sz w:val="21"/>
                <w:szCs w:val="21"/>
                <w:highlight w:val="none"/>
              </w:rPr>
              <w:t>日。</w:t>
            </w:r>
          </w:p>
        </w:tc>
      </w:tr>
      <w:tr w14:paraId="58691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41B716BA">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17.1</w:t>
            </w:r>
          </w:p>
        </w:tc>
        <w:tc>
          <w:tcPr>
            <w:tcW w:w="8359" w:type="dxa"/>
            <w:vAlign w:val="center"/>
          </w:tcPr>
          <w:p w14:paraId="52577399">
            <w:pPr>
              <w:autoSpaceDE w:val="0"/>
              <w:autoSpaceDN w:val="0"/>
              <w:snapToGrid w:val="0"/>
              <w:spacing w:line="430" w:lineRule="exact"/>
              <w:textAlignment w:val="bottom"/>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□本项目不收取磋商保证金。</w:t>
            </w:r>
          </w:p>
          <w:p w14:paraId="6CE44A86">
            <w:pPr>
              <w:autoSpaceDE w:val="0"/>
              <w:autoSpaceDN w:val="0"/>
              <w:snapToGrid w:val="0"/>
              <w:spacing w:line="430" w:lineRule="exact"/>
              <w:textAlignment w:val="bottom"/>
              <w:rPr>
                <w:rFonts w:asciiTheme="minorEastAsia" w:hAnsiTheme="minorEastAsia" w:eastAsiaTheme="minorEastAsia"/>
                <w:color w:val="auto"/>
                <w:szCs w:val="21"/>
                <w:highlight w:val="none"/>
              </w:rPr>
            </w:pPr>
            <w:r>
              <w:rPr>
                <w:rFonts w:ascii="Segoe UI Symbol" w:hAnsi="Segoe UI Symbol" w:cs="Segoe UI Symbol" w:eastAsiaTheme="minorEastAsia"/>
                <w:color w:val="auto"/>
                <w:szCs w:val="21"/>
                <w:highlight w:val="none"/>
              </w:rPr>
              <w:t>☑</w:t>
            </w:r>
            <w:r>
              <w:rPr>
                <w:rFonts w:hint="eastAsia" w:asciiTheme="minorEastAsia" w:hAnsiTheme="minorEastAsia" w:eastAsiaTheme="minorEastAsia"/>
                <w:color w:val="auto"/>
                <w:szCs w:val="21"/>
                <w:highlight w:val="none"/>
              </w:rPr>
              <w:t>本项目收取磋商保证金，具体规定如下：</w:t>
            </w:r>
          </w:p>
          <w:p w14:paraId="073F8FD2">
            <w:pPr>
              <w:autoSpaceDE w:val="0"/>
              <w:autoSpaceDN w:val="0"/>
              <w:snapToGrid w:val="0"/>
              <w:spacing w:line="430" w:lineRule="exact"/>
              <w:textAlignment w:val="bottom"/>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磋商保证金</w:t>
            </w:r>
            <w:r>
              <w:rPr>
                <w:rFonts w:hint="eastAsia" w:cs="宋体" w:asciiTheme="minorEastAsia" w:hAnsiTheme="minorEastAsia" w:eastAsiaTheme="minorEastAsia"/>
                <w:color w:val="auto"/>
                <w:kern w:val="0"/>
                <w:szCs w:val="21"/>
                <w:highlight w:val="none"/>
                <w:lang w:eastAsia="zh-CN"/>
              </w:rPr>
              <w:t>：分标1：6000元；分标2：</w:t>
            </w:r>
            <w:r>
              <w:rPr>
                <w:rFonts w:hint="eastAsia" w:cs="宋体" w:asciiTheme="minorEastAsia" w:hAnsiTheme="minorEastAsia" w:eastAsiaTheme="minorEastAsia"/>
                <w:color w:val="auto"/>
                <w:kern w:val="0"/>
                <w:szCs w:val="21"/>
                <w:highlight w:val="none"/>
                <w:lang w:val="en-US" w:eastAsia="zh-CN"/>
              </w:rPr>
              <w:t>80</w:t>
            </w:r>
            <w:r>
              <w:rPr>
                <w:rFonts w:hint="eastAsia" w:cs="宋体" w:asciiTheme="minorEastAsia" w:hAnsiTheme="minorEastAsia" w:eastAsiaTheme="minorEastAsia"/>
                <w:color w:val="auto"/>
                <w:kern w:val="0"/>
                <w:szCs w:val="21"/>
                <w:highlight w:val="none"/>
                <w:lang w:eastAsia="zh-CN"/>
              </w:rPr>
              <w:t>00元</w:t>
            </w:r>
            <w:r>
              <w:rPr>
                <w:rFonts w:hint="eastAsia" w:cs="宋体" w:asciiTheme="minorEastAsia" w:hAnsiTheme="minorEastAsia" w:eastAsiaTheme="minorEastAsia"/>
                <w:color w:val="auto"/>
                <w:kern w:val="0"/>
                <w:szCs w:val="21"/>
                <w:highlight w:val="none"/>
              </w:rPr>
              <w:t>。</w:t>
            </w:r>
          </w:p>
          <w:p w14:paraId="47826779">
            <w:pPr>
              <w:snapToGrid w:val="0"/>
              <w:spacing w:line="43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磋商保证金的交纳方式：银行转账、支票、汇票、本票或者银行、保险机构出具的保函，禁止采用现钞方式。采用银行转账方式的，在响应文件提交截止时间前交至指定账户并且到账（办理磋商保证金手续时，请务必在银行进账单或电汇单的用途或空白栏上注明项目编号）【开户银行：</w:t>
            </w:r>
            <w:r>
              <w:rPr>
                <w:rFonts w:hint="eastAsia" w:cs="宋体" w:asciiTheme="minorEastAsia" w:hAnsiTheme="minorEastAsia" w:eastAsiaTheme="minorEastAsia"/>
                <w:color w:val="auto"/>
                <w:kern w:val="0"/>
                <w:szCs w:val="21"/>
                <w:highlight w:val="none"/>
                <w:u w:val="single"/>
                <w:lang w:eastAsia="zh-CN"/>
              </w:rPr>
              <w:t>建设银行南宁市民族大道东支行</w:t>
            </w:r>
            <w:r>
              <w:rPr>
                <w:rFonts w:hint="eastAsia" w:cs="宋体" w:asciiTheme="minorEastAsia" w:hAnsiTheme="minorEastAsia" w:eastAsiaTheme="minorEastAsia"/>
                <w:color w:val="auto"/>
                <w:kern w:val="0"/>
                <w:szCs w:val="21"/>
                <w:highlight w:val="none"/>
              </w:rPr>
              <w:t>，开户名称：</w:t>
            </w:r>
            <w:r>
              <w:rPr>
                <w:rFonts w:hint="eastAsia" w:cs="宋体" w:asciiTheme="minorEastAsia" w:hAnsiTheme="minorEastAsia" w:eastAsiaTheme="minorEastAsia"/>
                <w:color w:val="auto"/>
                <w:kern w:val="0"/>
                <w:szCs w:val="21"/>
                <w:highlight w:val="none"/>
                <w:u w:val="single"/>
              </w:rPr>
              <w:t>广西城建咨询设计有限公司</w:t>
            </w:r>
            <w:r>
              <w:rPr>
                <w:rFonts w:hint="eastAsia" w:cs="宋体" w:asciiTheme="minorEastAsia" w:hAnsiTheme="minorEastAsia" w:eastAsiaTheme="minorEastAsia"/>
                <w:color w:val="auto"/>
                <w:kern w:val="0"/>
                <w:szCs w:val="21"/>
                <w:highlight w:val="none"/>
              </w:rPr>
              <w:t>，银行账号：</w:t>
            </w:r>
            <w:r>
              <w:rPr>
                <w:rFonts w:cs="宋体" w:asciiTheme="minorEastAsia" w:hAnsiTheme="minorEastAsia" w:eastAsiaTheme="minorEastAsia"/>
                <w:color w:val="auto"/>
                <w:kern w:val="0"/>
                <w:szCs w:val="21"/>
                <w:highlight w:val="none"/>
                <w:u w:val="single"/>
              </w:rPr>
              <w:t>4500 1604 6530 5070 3663</w:t>
            </w:r>
            <w:r>
              <w:rPr>
                <w:rFonts w:hint="eastAsia" w:cs="宋体" w:asciiTheme="minorEastAsia" w:hAnsiTheme="minorEastAsia" w:eastAsiaTheme="minorEastAsia"/>
                <w:color w:val="auto"/>
                <w:kern w:val="0"/>
                <w:szCs w:val="21"/>
                <w:highlight w:val="none"/>
              </w:rPr>
              <w:t>】；采用支票、汇票、本票或者保函等方式的，在响应文件提交截止时间前，供应商必须提交单独密封的支票、汇票、本票或者保函原件。否则视为无效磋商保证金。</w:t>
            </w:r>
          </w:p>
          <w:p w14:paraId="4671C3E1">
            <w:pPr>
              <w:snapToGrid w:val="0"/>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相关要求：</w:t>
            </w:r>
          </w:p>
          <w:p w14:paraId="52DA5A52">
            <w:pPr>
              <w:snapToGrid w:val="0"/>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1.磋商保证金采用银行转账交纳方式的，在响应文件提交截止时间前交至指定账户并且到账，供应商应将银行转账底单的复印件作为磋商保证金提交凭证，放置于商务技术文件中，</w:t>
            </w:r>
            <w:r>
              <w:rPr>
                <w:rFonts w:hint="eastAsia" w:cs="宋体" w:asciiTheme="minorEastAsia" w:hAnsiTheme="minorEastAsia" w:eastAsiaTheme="minorEastAsia"/>
                <w:b/>
                <w:color w:val="auto"/>
                <w:szCs w:val="21"/>
                <w:highlight w:val="none"/>
              </w:rPr>
              <w:t>否则响应文件按无效响应处理</w:t>
            </w:r>
            <w:r>
              <w:rPr>
                <w:rFonts w:hint="eastAsia" w:cs="宋体" w:asciiTheme="minorEastAsia" w:hAnsiTheme="minorEastAsia" w:eastAsiaTheme="minorEastAsia"/>
                <w:color w:val="auto"/>
                <w:szCs w:val="21"/>
                <w:highlight w:val="none"/>
              </w:rPr>
              <w:t>。</w:t>
            </w:r>
          </w:p>
          <w:p w14:paraId="225743F6">
            <w:pPr>
              <w:snapToGrid w:val="0"/>
              <w:spacing w:line="43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2.磋商保证金采用支票、汇票、本票或者银行、保险机构出具的保函交纳方式的，供应商应将支票、汇票、本票或者银行、保险机构出具的保函的复印件作为磋商保证金提交凭证，放置于</w:t>
            </w:r>
            <w:r>
              <w:rPr>
                <w:rFonts w:hint="eastAsia" w:cs="宋体" w:asciiTheme="minorEastAsia" w:hAnsiTheme="minorEastAsia" w:eastAsiaTheme="minorEastAsia"/>
                <w:color w:val="auto"/>
                <w:szCs w:val="21"/>
                <w:highlight w:val="none"/>
              </w:rPr>
              <w:t>商务技术文件</w:t>
            </w:r>
            <w:r>
              <w:rPr>
                <w:rFonts w:hint="eastAsia" w:asciiTheme="minorEastAsia" w:hAnsiTheme="minorEastAsia" w:eastAsiaTheme="minorEastAsia"/>
                <w:color w:val="auto"/>
                <w:szCs w:val="21"/>
                <w:highlight w:val="none"/>
              </w:rPr>
              <w:t>中，</w:t>
            </w:r>
            <w:r>
              <w:rPr>
                <w:rFonts w:hint="eastAsia" w:cs="宋体" w:asciiTheme="minorEastAsia" w:hAnsiTheme="minorEastAsia" w:eastAsiaTheme="minorEastAsia"/>
                <w:b/>
                <w:color w:val="auto"/>
                <w:szCs w:val="21"/>
                <w:highlight w:val="none"/>
              </w:rPr>
              <w:t>否则响应文件按无效处理</w:t>
            </w:r>
            <w:r>
              <w:rPr>
                <w:rFonts w:hint="eastAsia" w:asciiTheme="minorEastAsia" w:hAnsiTheme="minorEastAsia" w:eastAsiaTheme="minorEastAsia"/>
                <w:color w:val="auto"/>
                <w:szCs w:val="21"/>
                <w:highlight w:val="none"/>
              </w:rPr>
              <w:t>。供应商必须在响应文件提交截止时间前采用现场或邮寄方式（现场提交地址：</w:t>
            </w:r>
            <w:r>
              <w:rPr>
                <w:rFonts w:hint="eastAsia" w:asciiTheme="minorEastAsia" w:hAnsiTheme="minorEastAsia" w:eastAsiaTheme="minorEastAsia"/>
                <w:color w:val="auto"/>
                <w:szCs w:val="21"/>
                <w:highlight w:val="none"/>
                <w:u w:val="single"/>
                <w:lang w:val="en-US" w:eastAsia="zh-CN"/>
              </w:rPr>
              <w:t xml:space="preserve"> </w:t>
            </w:r>
            <w:r>
              <w:rPr>
                <w:rFonts w:hint="eastAsia" w:asciiTheme="minorEastAsia" w:hAnsiTheme="minorEastAsia" w:eastAsiaTheme="minorEastAsia"/>
                <w:color w:val="auto"/>
                <w:szCs w:val="21"/>
                <w:highlight w:val="none"/>
              </w:rPr>
              <w:t>；邮寄地址：</w:t>
            </w:r>
            <w:r>
              <w:rPr>
                <w:rFonts w:hint="eastAsia" w:asciiTheme="minorEastAsia" w:hAnsiTheme="minorEastAsia" w:eastAsiaTheme="minorEastAsia"/>
                <w:color w:val="auto"/>
                <w:szCs w:val="21"/>
                <w:highlight w:val="none"/>
                <w:u w:val="single"/>
                <w:lang w:val="en-US" w:eastAsia="zh-CN"/>
              </w:rPr>
              <w:t xml:space="preserve"> </w:t>
            </w:r>
            <w:r>
              <w:rPr>
                <w:rFonts w:hint="eastAsia" w:asciiTheme="minorEastAsia" w:hAnsiTheme="minorEastAsia" w:eastAsiaTheme="minorEastAsia"/>
                <w:color w:val="auto"/>
                <w:szCs w:val="21"/>
                <w:highlight w:val="none"/>
              </w:rPr>
              <w:t>，收件人：</w:t>
            </w:r>
            <w:r>
              <w:rPr>
                <w:rFonts w:hint="eastAsia" w:asciiTheme="minorEastAsia" w:hAnsiTheme="minorEastAsia" w:eastAsiaTheme="minorEastAsia"/>
                <w:color w:val="auto"/>
                <w:szCs w:val="21"/>
                <w:highlight w:val="none"/>
                <w:u w:val="single"/>
                <w:lang w:val="en-US" w:eastAsia="zh-CN"/>
              </w:rPr>
              <w:t xml:space="preserve"> </w:t>
            </w:r>
            <w:r>
              <w:rPr>
                <w:rFonts w:hint="eastAsia" w:asciiTheme="minorEastAsia" w:hAnsiTheme="minorEastAsia" w:eastAsiaTheme="minorEastAsia"/>
                <w:color w:val="auto"/>
                <w:szCs w:val="21"/>
                <w:highlight w:val="none"/>
              </w:rPr>
              <w:t>，联系方式：</w:t>
            </w:r>
            <w:r>
              <w:rPr>
                <w:rFonts w:hint="eastAsia" w:asciiTheme="minorEastAsia" w:hAnsiTheme="minorEastAsia" w:eastAsiaTheme="minorEastAsia"/>
                <w:color w:val="auto"/>
                <w:szCs w:val="21"/>
                <w:highlight w:val="none"/>
                <w:u w:val="single"/>
                <w:lang w:val="en-US" w:eastAsia="zh-CN"/>
              </w:rPr>
              <w:t xml:space="preserve"> </w:t>
            </w:r>
            <w:r>
              <w:rPr>
                <w:rFonts w:hint="eastAsia" w:asciiTheme="minorEastAsia" w:hAnsiTheme="minorEastAsia" w:eastAsiaTheme="minorEastAsia"/>
                <w:color w:val="auto"/>
                <w:szCs w:val="21"/>
                <w:highlight w:val="none"/>
                <w:u w:val="single"/>
                <w:lang w:eastAsia="zh-CN"/>
              </w:rPr>
              <w:t xml:space="preserve"> </w:t>
            </w:r>
            <w:r>
              <w:rPr>
                <w:rFonts w:hint="eastAsia" w:asciiTheme="minorEastAsia" w:hAnsiTheme="minorEastAsia" w:eastAsiaTheme="minorEastAsia"/>
                <w:color w:val="auto"/>
                <w:szCs w:val="21"/>
                <w:highlight w:val="none"/>
              </w:rPr>
              <w:t>）将</w:t>
            </w:r>
            <w:r>
              <w:rPr>
                <w:rFonts w:hint="eastAsia" w:cs="宋体" w:asciiTheme="minorEastAsia" w:hAnsiTheme="minorEastAsia" w:eastAsiaTheme="minorEastAsia"/>
                <w:color w:val="auto"/>
                <w:kern w:val="0"/>
                <w:szCs w:val="21"/>
                <w:highlight w:val="none"/>
              </w:rPr>
              <w:t>单独密封的</w:t>
            </w:r>
            <w:r>
              <w:rPr>
                <w:rFonts w:hint="eastAsia" w:asciiTheme="minorEastAsia" w:hAnsiTheme="minorEastAsia" w:eastAsiaTheme="minorEastAsia"/>
                <w:color w:val="auto"/>
                <w:szCs w:val="21"/>
                <w:highlight w:val="none"/>
              </w:rPr>
              <w:t>支票、汇票、本票或者银行、保险机构出具的保函原件提交给采购人或者采购代理机构，由采购人或者采购代理机构向供应商出具回执（邮寄方式的除外），并妥善保管。</w:t>
            </w:r>
          </w:p>
          <w:p w14:paraId="699DCC8D">
            <w:pPr>
              <w:snapToGrid w:val="0"/>
              <w:spacing w:line="430" w:lineRule="exac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3.供应商为联合体的，可以由联合体中的一方或者多方共同交纳磋商保证金，其交纳的保证金对联合体各方均具有约束力。</w:t>
            </w:r>
          </w:p>
          <w:p w14:paraId="1271BCCF">
            <w:pPr>
              <w:snapToGrid w:val="0"/>
              <w:spacing w:line="430" w:lineRule="exac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备注：</w:t>
            </w:r>
          </w:p>
          <w:p w14:paraId="7EC2FE7F">
            <w:pPr>
              <w:snapToGrid w:val="0"/>
              <w:spacing w:line="430" w:lineRule="exac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1.磋商保证金在响应文件提交截止时间后提交的，或者不按规定交纳方式交纳的，或者未足额交纳的（包含保函额度不足的），视为无效磋商保证金。</w:t>
            </w:r>
          </w:p>
          <w:p w14:paraId="5CEB568E">
            <w:pPr>
              <w:snapToGrid w:val="0"/>
              <w:spacing w:line="430" w:lineRule="exac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2.供应商采用现钞方式或者从个人账户（自然人竞标除外）转出的磋商保证金，视为无效磋商保证金。</w:t>
            </w:r>
          </w:p>
          <w:p w14:paraId="3F34DE3B">
            <w:pPr>
              <w:snapToGrid w:val="0"/>
              <w:spacing w:line="430" w:lineRule="exac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3.支票、汇票或者本票出现无效或者背书情形的，视为无效磋商保证金。</w:t>
            </w:r>
          </w:p>
          <w:p w14:paraId="5D1DC1AA">
            <w:pPr>
              <w:snapToGrid w:val="0"/>
              <w:spacing w:line="430" w:lineRule="exac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4.保函有效期低于竞标有效期的，视为无效磋商保证金。</w:t>
            </w:r>
          </w:p>
          <w:p w14:paraId="09694F32">
            <w:pPr>
              <w:snapToGrid w:val="0"/>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5.采用银行、保险机构出具保函的，必须为无条件保函，否则视为无效磋商保证金。</w:t>
            </w:r>
          </w:p>
        </w:tc>
      </w:tr>
      <w:tr w14:paraId="65426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38F44325">
            <w:pPr>
              <w:spacing w:line="430" w:lineRule="exact"/>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19</w:t>
            </w:r>
          </w:p>
        </w:tc>
        <w:tc>
          <w:tcPr>
            <w:tcW w:w="8359" w:type="dxa"/>
            <w:vAlign w:val="center"/>
          </w:tcPr>
          <w:p w14:paraId="29EB6B31">
            <w:pPr>
              <w:spacing w:line="430" w:lineRule="exact"/>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本项目不接受电子备份响应文件</w:t>
            </w:r>
          </w:p>
        </w:tc>
      </w:tr>
      <w:tr w14:paraId="19648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13E7404B">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20.1</w:t>
            </w:r>
          </w:p>
        </w:tc>
        <w:tc>
          <w:tcPr>
            <w:tcW w:w="8359" w:type="dxa"/>
            <w:vAlign w:val="center"/>
          </w:tcPr>
          <w:p w14:paraId="03EA5D57">
            <w:pPr>
              <w:spacing w:line="430" w:lineRule="exact"/>
              <w:contextualSpacing/>
              <w:jc w:val="left"/>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响应文件提交截止时间：详见竞争性磋商公告。</w:t>
            </w:r>
          </w:p>
          <w:p w14:paraId="24DF9CC5">
            <w:pPr>
              <w:spacing w:line="430" w:lineRule="exact"/>
              <w:contextualSpacing/>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响应文件提交地点：详见竞争性磋商公告。</w:t>
            </w:r>
          </w:p>
        </w:tc>
      </w:tr>
      <w:tr w14:paraId="5BBEC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06563D62">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24.1</w:t>
            </w:r>
          </w:p>
        </w:tc>
        <w:tc>
          <w:tcPr>
            <w:tcW w:w="8359" w:type="dxa"/>
            <w:vAlign w:val="center"/>
          </w:tcPr>
          <w:p w14:paraId="6ABA0A0F">
            <w:pPr>
              <w:snapToGrid w:val="0"/>
              <w:spacing w:line="430" w:lineRule="exact"/>
              <w:jc w:val="left"/>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磋商小组的人数：</w:t>
            </w:r>
            <w:r>
              <w:rPr>
                <w:rFonts w:cs="宋体" w:asciiTheme="minorEastAsia" w:hAnsiTheme="minorEastAsia" w:eastAsiaTheme="minorEastAsia"/>
                <w:color w:val="auto"/>
                <w:szCs w:val="21"/>
                <w:highlight w:val="none"/>
                <w:u w:val="single"/>
              </w:rPr>
              <w:t>3</w:t>
            </w:r>
            <w:r>
              <w:rPr>
                <w:rFonts w:hint="eastAsia" w:cs="宋体" w:asciiTheme="minorEastAsia" w:hAnsiTheme="minorEastAsia" w:eastAsiaTheme="minorEastAsia"/>
                <w:color w:val="auto"/>
                <w:szCs w:val="21"/>
                <w:highlight w:val="none"/>
              </w:rPr>
              <w:t>人或以上单数。</w:t>
            </w:r>
          </w:p>
        </w:tc>
      </w:tr>
      <w:tr w14:paraId="613B0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5AB62F0C">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cs="宋体" w:asciiTheme="minorEastAsia" w:hAnsiTheme="minorEastAsia" w:eastAsiaTheme="minorEastAsia"/>
                <w:color w:val="auto"/>
                <w:szCs w:val="21"/>
                <w:highlight w:val="none"/>
              </w:rPr>
              <w:t>5</w:t>
            </w:r>
          </w:p>
        </w:tc>
        <w:tc>
          <w:tcPr>
            <w:tcW w:w="8359" w:type="dxa"/>
            <w:vAlign w:val="center"/>
          </w:tcPr>
          <w:p w14:paraId="197DDBB0">
            <w:pPr>
              <w:snapToGrid w:val="0"/>
              <w:spacing w:line="430" w:lineRule="exact"/>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首次响应文件开启时间详见“竞争性磋商公告”</w:t>
            </w:r>
          </w:p>
          <w:p w14:paraId="5D851599">
            <w:pPr>
              <w:snapToGrid w:val="0"/>
              <w:spacing w:line="430" w:lineRule="exact"/>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首次响应文件解密时间：</w:t>
            </w:r>
            <w:r>
              <w:rPr>
                <w:rFonts w:asciiTheme="minorEastAsia" w:hAnsiTheme="minorEastAsia" w:eastAsiaTheme="minorEastAsia"/>
                <w:color w:val="auto"/>
                <w:szCs w:val="21"/>
                <w:highlight w:val="none"/>
                <w:u w:val="single"/>
              </w:rPr>
              <w:t xml:space="preserve">30 </w:t>
            </w:r>
            <w:r>
              <w:rPr>
                <w:rFonts w:hint="eastAsia" w:asciiTheme="minorEastAsia" w:hAnsiTheme="minorEastAsia" w:eastAsiaTheme="minorEastAsia"/>
                <w:color w:val="auto"/>
                <w:szCs w:val="21"/>
                <w:highlight w:val="none"/>
              </w:rPr>
              <w:t>分钟</w:t>
            </w:r>
          </w:p>
        </w:tc>
      </w:tr>
      <w:tr w14:paraId="7B23B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0F284EE1">
            <w:pPr>
              <w:spacing w:line="430" w:lineRule="exact"/>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28.1</w:t>
            </w:r>
          </w:p>
        </w:tc>
        <w:tc>
          <w:tcPr>
            <w:tcW w:w="8359" w:type="dxa"/>
            <w:vAlign w:val="center"/>
          </w:tcPr>
          <w:p w14:paraId="0A4D3135">
            <w:pPr>
              <w:autoSpaceDE w:val="0"/>
              <w:autoSpaceDN w:val="0"/>
              <w:snapToGrid w:val="0"/>
              <w:spacing w:line="430" w:lineRule="exact"/>
              <w:textAlignment w:val="bottom"/>
              <w:rPr>
                <w:rFonts w:asciiTheme="minorEastAsia" w:hAnsiTheme="minorEastAsia" w:eastAsiaTheme="minorEastAsia"/>
                <w:color w:val="auto"/>
                <w:szCs w:val="21"/>
                <w:highlight w:val="none"/>
              </w:rPr>
            </w:pPr>
            <w:r>
              <w:rPr>
                <w:rFonts w:hint="eastAsia" w:cs="Segoe UI Symbol"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本项目不收取履约保证金。</w:t>
            </w:r>
          </w:p>
          <w:p w14:paraId="4D77D8E7">
            <w:pPr>
              <w:autoSpaceDE w:val="0"/>
              <w:autoSpaceDN w:val="0"/>
              <w:snapToGrid w:val="0"/>
              <w:spacing w:line="430" w:lineRule="exact"/>
              <w:textAlignment w:val="bottom"/>
              <w:rPr>
                <w:rFonts w:asciiTheme="minorEastAsia" w:hAnsiTheme="minorEastAsia" w:eastAsiaTheme="minorEastAsia"/>
                <w:color w:val="auto"/>
                <w:szCs w:val="21"/>
                <w:highlight w:val="none"/>
              </w:rPr>
            </w:pPr>
            <w:r>
              <w:rPr>
                <w:rFonts w:hint="eastAsia" w:ascii="Segoe UI Symbol" w:hAnsi="Segoe UI Symbol" w:cs="Segoe UI Symbol" w:eastAsiaTheme="minorEastAsia"/>
                <w:color w:val="auto"/>
                <w:szCs w:val="21"/>
                <w:highlight w:val="none"/>
                <w:lang w:eastAsia="zh-CN"/>
              </w:rPr>
              <w:t>☑</w:t>
            </w:r>
            <w:r>
              <w:rPr>
                <w:rFonts w:hint="eastAsia" w:asciiTheme="minorEastAsia" w:hAnsiTheme="minorEastAsia" w:eastAsiaTheme="minorEastAsia"/>
                <w:color w:val="auto"/>
                <w:szCs w:val="21"/>
                <w:highlight w:val="none"/>
              </w:rPr>
              <w:t>本项目收取履约保证金，具体规定如下：</w:t>
            </w:r>
          </w:p>
          <w:p w14:paraId="05C22DDF">
            <w:pPr>
              <w:autoSpaceDE w:val="0"/>
              <w:autoSpaceDN w:val="0"/>
              <w:snapToGrid w:val="0"/>
              <w:spacing w:line="430" w:lineRule="exact"/>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履约保证金金额：合同金额的</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u w:val="single"/>
                <w:lang w:val="en-US" w:eastAsia="zh-CN"/>
              </w:rPr>
              <w:t xml:space="preserve"> 2 </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w:t>
            </w:r>
          </w:p>
          <w:p w14:paraId="7FF9225F">
            <w:pPr>
              <w:autoSpaceDE w:val="0"/>
              <w:autoSpaceDN w:val="0"/>
              <w:snapToGrid w:val="0"/>
              <w:spacing w:line="430" w:lineRule="exact"/>
              <w:textAlignment w:val="bottom"/>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签订合同前交至采购人指定账户，否则不予签订合同</w:t>
            </w:r>
          </w:p>
          <w:p w14:paraId="78D6C1A7">
            <w:pPr>
              <w:autoSpaceDE w:val="0"/>
              <w:autoSpaceDN w:val="0"/>
              <w:snapToGrid w:val="0"/>
              <w:spacing w:line="38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履约保证金指定账户：</w:t>
            </w:r>
          </w:p>
          <w:p w14:paraId="15748208">
            <w:pPr>
              <w:autoSpaceDE w:val="0"/>
              <w:autoSpaceDN w:val="0"/>
              <w:snapToGrid w:val="0"/>
              <w:spacing w:line="380" w:lineRule="exact"/>
              <w:textAlignment w:val="bottom"/>
              <w:rPr>
                <w:rFonts w:hint="eastAsia" w:ascii="宋体" w:hAnsi="宋体" w:cs="宋体"/>
                <w:color w:val="auto"/>
                <w:szCs w:val="21"/>
                <w:highlight w:val="none"/>
                <w:u w:val="single"/>
              </w:rPr>
            </w:pPr>
            <w:r>
              <w:rPr>
                <w:rFonts w:hint="eastAsia" w:ascii="宋体" w:hAnsi="宋体" w:cs="宋体"/>
                <w:color w:val="auto"/>
                <w:szCs w:val="21"/>
                <w:highlight w:val="none"/>
              </w:rPr>
              <w:t>开户名：</w:t>
            </w:r>
            <w:r>
              <w:rPr>
                <w:rFonts w:hint="eastAsia" w:ascii="宋体" w:hAnsi="宋体" w:cs="宋体"/>
                <w:color w:val="auto"/>
                <w:szCs w:val="21"/>
                <w:highlight w:val="none"/>
                <w:u w:val="none"/>
              </w:rPr>
              <w:t>中国共产党广西壮族自治区委员会党校</w:t>
            </w:r>
          </w:p>
          <w:p w14:paraId="00F7ED56">
            <w:pPr>
              <w:autoSpaceDE w:val="0"/>
              <w:autoSpaceDN w:val="0"/>
              <w:snapToGrid w:val="0"/>
              <w:spacing w:line="38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开户行：中国建设银行南宁市柳沙半岛支行</w:t>
            </w:r>
          </w:p>
          <w:p w14:paraId="37FE4163">
            <w:pPr>
              <w:autoSpaceDE w:val="0"/>
              <w:autoSpaceDN w:val="0"/>
              <w:snapToGrid w:val="0"/>
              <w:spacing w:line="430" w:lineRule="exact"/>
              <w:textAlignment w:val="bottom"/>
              <w:rPr>
                <w:rFonts w:hint="eastAsia" w:asciiTheme="minorEastAsia" w:hAnsiTheme="minorEastAsia" w:eastAsiaTheme="minorEastAsia"/>
                <w:color w:val="auto"/>
                <w:szCs w:val="21"/>
                <w:highlight w:val="none"/>
              </w:rPr>
            </w:pPr>
            <w:r>
              <w:rPr>
                <w:rFonts w:hint="eastAsia" w:ascii="宋体" w:hAnsi="宋体" w:cs="宋体"/>
                <w:color w:val="auto"/>
                <w:szCs w:val="21"/>
                <w:highlight w:val="none"/>
              </w:rPr>
              <w:t>账  号：4500 1604 2540 5050 3711</w:t>
            </w:r>
          </w:p>
          <w:p w14:paraId="28312E11">
            <w:pPr>
              <w:autoSpaceDE w:val="0"/>
              <w:autoSpaceDN w:val="0"/>
              <w:snapToGrid w:val="0"/>
              <w:spacing w:line="430" w:lineRule="exact"/>
              <w:textAlignment w:val="bottom"/>
              <w:rPr>
                <w:rFonts w:hint="eastAsia"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履约保证金递交方式：银行转账、电汇或网上支付、支票、汇票、本票或者银行、保险机构出具的保函等非现金方式</w:t>
            </w:r>
            <w:r>
              <w:rPr>
                <w:rFonts w:hint="eastAsia" w:cs="宋体" w:asciiTheme="minorEastAsia" w:hAnsiTheme="minorEastAsia" w:eastAsiaTheme="minorEastAsia"/>
                <w:color w:val="auto"/>
                <w:szCs w:val="21"/>
                <w:highlight w:val="none"/>
                <w:lang w:eastAsia="zh-CN"/>
              </w:rPr>
              <w:t>。</w:t>
            </w:r>
          </w:p>
          <w:p w14:paraId="4623557C">
            <w:pPr>
              <w:autoSpaceDE w:val="0"/>
              <w:autoSpaceDN w:val="0"/>
              <w:snapToGrid w:val="0"/>
              <w:spacing w:line="430" w:lineRule="exact"/>
              <w:textAlignment w:val="bottom"/>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履约保证金退付方式、时间及条件：试运行期满验收合格后无息退付。</w:t>
            </w:r>
          </w:p>
          <w:p w14:paraId="580A9C16">
            <w:pPr>
              <w:autoSpaceDE w:val="0"/>
              <w:autoSpaceDN w:val="0"/>
              <w:snapToGrid w:val="0"/>
              <w:spacing w:line="430" w:lineRule="exact"/>
              <w:textAlignment w:val="bottom"/>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由成交供应商向履约保证金收取单位提供《广西壮族自治区政府采购项目合同验收书》（详见桂财采〔2015〕22号），保证金收取单位在收到合格材料后5个工作日内办理退还手续（不计利息）。</w:t>
            </w:r>
          </w:p>
          <w:p w14:paraId="1F40D89E">
            <w:pPr>
              <w:autoSpaceDE w:val="0"/>
              <w:autoSpaceDN w:val="0"/>
              <w:snapToGrid w:val="0"/>
              <w:spacing w:line="430" w:lineRule="exact"/>
              <w:textAlignment w:val="bottom"/>
              <w:rPr>
                <w:rFonts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履约保证金收取单位指定账户：由采购人提供</w:t>
            </w:r>
          </w:p>
          <w:p w14:paraId="57783272">
            <w:pPr>
              <w:autoSpaceDE w:val="0"/>
              <w:autoSpaceDN w:val="0"/>
              <w:snapToGrid w:val="0"/>
              <w:spacing w:line="430" w:lineRule="exact"/>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备注：</w:t>
            </w:r>
          </w:p>
          <w:p w14:paraId="09D19F8A">
            <w:pPr>
              <w:autoSpaceDE w:val="0"/>
              <w:autoSpaceDN w:val="0"/>
              <w:snapToGrid w:val="0"/>
              <w:spacing w:line="430" w:lineRule="exact"/>
              <w:textAlignment w:val="bottom"/>
              <w:rPr>
                <w:rFonts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1.</w:t>
            </w:r>
            <w:bookmarkStart w:id="48" w:name="_Hlk54170335"/>
            <w:r>
              <w:rPr>
                <w:rFonts w:hint="eastAsia" w:asciiTheme="minorEastAsia" w:hAnsiTheme="minorEastAsia" w:eastAsiaTheme="minorEastAsia"/>
                <w:b/>
                <w:color w:val="auto"/>
                <w:szCs w:val="21"/>
                <w:highlight w:val="none"/>
              </w:rPr>
              <w:t>根据桂财规〔2022〕8号广西壮族自治区财政厅关于规范政府采购货物和服务项目保证金管理的通知的规定，</w:t>
            </w:r>
            <w:bookmarkEnd w:id="48"/>
            <w:r>
              <w:rPr>
                <w:rFonts w:hint="eastAsia" w:asciiTheme="minorEastAsia" w:hAnsiTheme="minorEastAsia" w:eastAsiaTheme="minorEastAsia"/>
                <w:b/>
                <w:color w:val="auto"/>
                <w:szCs w:val="21"/>
                <w:highlight w:val="none"/>
              </w:rPr>
              <w:t>采购人在采购文件中要求提交履约保证金的，履约保证金数额不得超过政府采购合同金额的5%；政府采购要加大对中小企业发展的扶持力度，对中小企业收取的履约保证金数额不得超过政府采购合同金额的2%。</w:t>
            </w:r>
          </w:p>
          <w:p w14:paraId="11AB8633">
            <w:pPr>
              <w:autoSpaceDE w:val="0"/>
              <w:autoSpaceDN w:val="0"/>
              <w:snapToGrid w:val="0"/>
              <w:spacing w:line="430" w:lineRule="exact"/>
              <w:textAlignment w:val="bottom"/>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2.履约保证金不足额缴纳的，或者银行、保险机构出具的保函额度不足的或者保函有效期低于合同履行期限（即签订采购合同之日起至履行完合同约定的权利及义务之日止）的，不予签订合同。</w:t>
            </w:r>
          </w:p>
          <w:p w14:paraId="1B934B41">
            <w:pPr>
              <w:autoSpaceDE w:val="0"/>
              <w:autoSpaceDN w:val="0"/>
              <w:snapToGrid w:val="0"/>
              <w:spacing w:line="430" w:lineRule="exact"/>
              <w:textAlignment w:val="bottom"/>
              <w:rPr>
                <w:rFonts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3.采用银行、保险机构出具的保函的，必须为无条件保函，否则不予签订合同。</w:t>
            </w:r>
          </w:p>
          <w:p w14:paraId="31CB2914">
            <w:pPr>
              <w:autoSpaceDE w:val="0"/>
              <w:autoSpaceDN w:val="0"/>
              <w:snapToGrid w:val="0"/>
              <w:spacing w:line="430" w:lineRule="exact"/>
              <w:textAlignment w:val="bottom"/>
              <w:rPr>
                <w:rFonts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4.供应商为联合体的，由联合体任意一方按规定提交的履约保证金，视为有效履约保证金。</w:t>
            </w:r>
          </w:p>
        </w:tc>
      </w:tr>
      <w:tr w14:paraId="54378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75953ED8">
            <w:pPr>
              <w:spacing w:line="430" w:lineRule="exact"/>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29.1</w:t>
            </w:r>
          </w:p>
        </w:tc>
        <w:tc>
          <w:tcPr>
            <w:tcW w:w="8359" w:type="dxa"/>
            <w:vAlign w:val="center"/>
          </w:tcPr>
          <w:p w14:paraId="46FF24C6">
            <w:pPr>
              <w:autoSpaceDE w:val="0"/>
              <w:autoSpaceDN w:val="0"/>
              <w:snapToGrid w:val="0"/>
              <w:spacing w:line="430" w:lineRule="exact"/>
              <w:textAlignment w:val="bottom"/>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签订合同携带的证明材料：</w:t>
            </w:r>
          </w:p>
          <w:p w14:paraId="7E876BA8">
            <w:pPr>
              <w:autoSpaceDE w:val="0"/>
              <w:autoSpaceDN w:val="0"/>
              <w:snapToGrid w:val="0"/>
              <w:spacing w:line="430" w:lineRule="exact"/>
              <w:textAlignment w:val="bottom"/>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委托代理人负责签订合同的，须携带授权委托书及委托代理人身份证原件等其他资格证件。</w:t>
            </w:r>
          </w:p>
          <w:p w14:paraId="212FF01B">
            <w:pPr>
              <w:snapToGrid w:val="0"/>
              <w:spacing w:line="430" w:lineRule="exact"/>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法定代表人负责签订合同的，须携带法定代表人</w:t>
            </w:r>
            <w:r>
              <w:rPr>
                <w:rFonts w:asciiTheme="minorEastAsia" w:hAnsiTheme="minorEastAsia" w:eastAsiaTheme="minorEastAsia"/>
                <w:color w:val="auto"/>
                <w:szCs w:val="21"/>
                <w:highlight w:val="none"/>
              </w:rPr>
              <w:t>身份证明原件</w:t>
            </w:r>
            <w:r>
              <w:rPr>
                <w:rFonts w:hint="eastAsia" w:asciiTheme="minorEastAsia" w:hAnsiTheme="minorEastAsia" w:eastAsiaTheme="minorEastAsia"/>
                <w:color w:val="auto"/>
                <w:szCs w:val="21"/>
                <w:highlight w:val="none"/>
              </w:rPr>
              <w:t>及</w:t>
            </w:r>
            <w:r>
              <w:rPr>
                <w:rFonts w:asciiTheme="minorEastAsia" w:hAnsiTheme="minorEastAsia" w:eastAsiaTheme="minorEastAsia"/>
                <w:color w:val="auto"/>
                <w:szCs w:val="21"/>
                <w:highlight w:val="none"/>
              </w:rPr>
              <w:t>身份证原件</w:t>
            </w:r>
            <w:r>
              <w:rPr>
                <w:rFonts w:hint="eastAsia" w:asciiTheme="minorEastAsia" w:hAnsiTheme="minorEastAsia" w:eastAsiaTheme="minorEastAsia"/>
                <w:color w:val="auto"/>
                <w:szCs w:val="21"/>
                <w:highlight w:val="none"/>
              </w:rPr>
              <w:t>等其他证明材料。</w:t>
            </w:r>
          </w:p>
        </w:tc>
      </w:tr>
      <w:tr w14:paraId="0AABA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21AC6303">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r>
              <w:rPr>
                <w:rFonts w:cs="宋体" w:asciiTheme="minorEastAsia" w:hAnsiTheme="minorEastAsia" w:eastAsiaTheme="minorEastAsia"/>
                <w:color w:val="auto"/>
                <w:szCs w:val="21"/>
                <w:highlight w:val="none"/>
              </w:rPr>
              <w:t>1.2</w:t>
            </w:r>
          </w:p>
        </w:tc>
        <w:tc>
          <w:tcPr>
            <w:tcW w:w="8359" w:type="dxa"/>
            <w:vAlign w:val="center"/>
          </w:tcPr>
          <w:p w14:paraId="304912FF">
            <w:pPr>
              <w:snapToGrid w:val="0"/>
              <w:spacing w:line="43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接收质疑函方式：以书面形式。</w:t>
            </w:r>
          </w:p>
          <w:p w14:paraId="5C4574F2">
            <w:pPr>
              <w:snapToGrid w:val="0"/>
              <w:spacing w:line="430" w:lineRule="exact"/>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质疑联系部门及联系方式：</w:t>
            </w:r>
            <w:r>
              <w:rPr>
                <w:rFonts w:hint="eastAsia" w:cs="宋体" w:asciiTheme="minorEastAsia" w:hAnsiTheme="minorEastAsia" w:eastAsiaTheme="minorEastAsia"/>
                <w:color w:val="auto"/>
                <w:szCs w:val="21"/>
                <w:highlight w:val="none"/>
                <w:lang w:val="en-US" w:eastAsia="zh-CN"/>
              </w:rPr>
              <w:t xml:space="preserve"> </w:t>
            </w:r>
          </w:p>
          <w:p w14:paraId="1EF44C58">
            <w:pPr>
              <w:snapToGrid w:val="0"/>
              <w:spacing w:line="430" w:lineRule="exact"/>
              <w:rPr>
                <w:rFonts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联系电话：</w:t>
            </w:r>
            <w:r>
              <w:rPr>
                <w:rFonts w:hint="eastAsia" w:asciiTheme="minorEastAsia" w:hAnsiTheme="minorEastAsia" w:eastAsiaTheme="minorEastAsia"/>
                <w:color w:val="auto"/>
                <w:szCs w:val="21"/>
                <w:highlight w:val="none"/>
                <w:u w:val="single"/>
              </w:rPr>
              <w:t>详见采购公告</w:t>
            </w:r>
          </w:p>
          <w:p w14:paraId="42B98487">
            <w:pPr>
              <w:snapToGrid w:val="0"/>
              <w:spacing w:line="430" w:lineRule="exact"/>
              <w:rPr>
                <w:rFonts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通讯地址：</w:t>
            </w:r>
            <w:r>
              <w:rPr>
                <w:rFonts w:hint="eastAsia" w:asciiTheme="minorEastAsia" w:hAnsiTheme="minorEastAsia" w:eastAsiaTheme="minorEastAsia"/>
                <w:color w:val="auto"/>
                <w:szCs w:val="21"/>
                <w:highlight w:val="none"/>
                <w:u w:val="single"/>
              </w:rPr>
              <w:t>详见采购公告</w:t>
            </w:r>
          </w:p>
          <w:p w14:paraId="756EB5A5">
            <w:pPr>
              <w:snapToGrid w:val="0"/>
              <w:spacing w:line="430" w:lineRule="exact"/>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业务时间：工作日每天上午</w:t>
            </w:r>
            <w:r>
              <w:rPr>
                <w:rFonts w:cs="宋体" w:asciiTheme="minorEastAsia" w:hAnsiTheme="minorEastAsia" w:eastAsiaTheme="minorEastAsia"/>
                <w:color w:val="auto"/>
                <w:szCs w:val="21"/>
                <w:highlight w:val="none"/>
              </w:rPr>
              <w:t>8</w:t>
            </w:r>
            <w:r>
              <w:rPr>
                <w:rFonts w:hint="eastAsia" w:cs="宋体" w:asciiTheme="minorEastAsia" w:hAnsiTheme="minorEastAsia" w:eastAsiaTheme="minorEastAsia"/>
                <w:color w:val="auto"/>
                <w:szCs w:val="21"/>
                <w:highlight w:val="none"/>
              </w:rPr>
              <w:t>时3</w:t>
            </w: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rPr>
              <w:t>分到</w:t>
            </w:r>
            <w:r>
              <w:rPr>
                <w:rFonts w:cs="宋体" w:asciiTheme="minorEastAsia" w:hAnsiTheme="minorEastAsia" w:eastAsiaTheme="minorEastAsia"/>
                <w:color w:val="auto"/>
                <w:szCs w:val="21"/>
                <w:highlight w:val="none"/>
              </w:rPr>
              <w:t>12</w:t>
            </w:r>
            <w:r>
              <w:rPr>
                <w:rFonts w:hint="eastAsia" w:cs="宋体" w:asciiTheme="minorEastAsia" w:hAnsiTheme="minorEastAsia" w:eastAsiaTheme="minorEastAsia"/>
                <w:color w:val="auto"/>
                <w:szCs w:val="21"/>
                <w:highlight w:val="none"/>
              </w:rPr>
              <w:t>时</w:t>
            </w:r>
            <w:r>
              <w:rPr>
                <w:rFonts w:cs="宋体" w:asciiTheme="minorEastAsia" w:hAnsiTheme="minorEastAsia" w:eastAsiaTheme="minorEastAsia"/>
                <w:color w:val="auto"/>
                <w:szCs w:val="21"/>
                <w:highlight w:val="none"/>
              </w:rPr>
              <w:t>00</w:t>
            </w:r>
            <w:r>
              <w:rPr>
                <w:rFonts w:hint="eastAsia" w:cs="宋体" w:asciiTheme="minorEastAsia" w:hAnsiTheme="minorEastAsia" w:eastAsiaTheme="minorEastAsia"/>
                <w:color w:val="auto"/>
                <w:szCs w:val="21"/>
                <w:highlight w:val="none"/>
              </w:rPr>
              <w:t>分，下午</w:t>
            </w:r>
            <w:r>
              <w:rPr>
                <w:rFonts w:cs="宋体" w:asciiTheme="minorEastAsia" w:hAnsiTheme="minorEastAsia" w:eastAsiaTheme="minorEastAsia"/>
                <w:color w:val="auto"/>
                <w:szCs w:val="21"/>
                <w:highlight w:val="none"/>
              </w:rPr>
              <w:t>3</w:t>
            </w:r>
            <w:r>
              <w:rPr>
                <w:rFonts w:hint="eastAsia" w:cs="宋体" w:asciiTheme="minorEastAsia" w:hAnsiTheme="minorEastAsia" w:eastAsiaTheme="minorEastAsia"/>
                <w:color w:val="auto"/>
                <w:szCs w:val="21"/>
                <w:highlight w:val="none"/>
              </w:rPr>
              <w:t>时</w:t>
            </w:r>
            <w:r>
              <w:rPr>
                <w:rFonts w:cs="宋体" w:asciiTheme="minorEastAsia" w:hAnsiTheme="minorEastAsia" w:eastAsiaTheme="minorEastAsia"/>
                <w:color w:val="auto"/>
                <w:szCs w:val="21"/>
                <w:highlight w:val="none"/>
              </w:rPr>
              <w:t>00</w:t>
            </w:r>
            <w:r>
              <w:rPr>
                <w:rFonts w:hint="eastAsia" w:cs="宋体" w:asciiTheme="minorEastAsia" w:hAnsiTheme="minorEastAsia" w:eastAsiaTheme="minorEastAsia"/>
                <w:color w:val="auto"/>
                <w:szCs w:val="21"/>
                <w:highlight w:val="none"/>
              </w:rPr>
              <w:t>分到</w:t>
            </w:r>
            <w:r>
              <w:rPr>
                <w:rFonts w:cs="宋体" w:asciiTheme="minorEastAsia" w:hAnsiTheme="minorEastAsia" w:eastAsiaTheme="minorEastAsia"/>
                <w:color w:val="auto"/>
                <w:szCs w:val="21"/>
                <w:highlight w:val="none"/>
              </w:rPr>
              <w:t>6</w:t>
            </w:r>
            <w:r>
              <w:rPr>
                <w:rFonts w:hint="eastAsia" w:cs="宋体" w:asciiTheme="minorEastAsia" w:hAnsiTheme="minorEastAsia" w:eastAsiaTheme="minorEastAsia"/>
                <w:color w:val="auto"/>
                <w:szCs w:val="21"/>
                <w:highlight w:val="none"/>
              </w:rPr>
              <w:t>时</w:t>
            </w:r>
            <w:r>
              <w:rPr>
                <w:rFonts w:cs="宋体" w:asciiTheme="minorEastAsia" w:hAnsiTheme="minorEastAsia" w:eastAsiaTheme="minorEastAsia"/>
                <w:color w:val="auto"/>
                <w:szCs w:val="21"/>
                <w:highlight w:val="none"/>
              </w:rPr>
              <w:t>00</w:t>
            </w:r>
            <w:r>
              <w:rPr>
                <w:rFonts w:hint="eastAsia" w:cs="宋体" w:asciiTheme="minorEastAsia" w:hAnsiTheme="minorEastAsia" w:eastAsiaTheme="minorEastAsia"/>
                <w:color w:val="auto"/>
                <w:szCs w:val="21"/>
                <w:highlight w:val="none"/>
              </w:rPr>
              <w:t>分，</w:t>
            </w:r>
            <w:r>
              <w:rPr>
                <w:rFonts w:hint="eastAsia" w:asciiTheme="minorEastAsia" w:hAnsiTheme="minorEastAsia" w:eastAsiaTheme="minorEastAsia"/>
                <w:color w:val="auto"/>
                <w:szCs w:val="21"/>
                <w:highlight w:val="none"/>
              </w:rPr>
              <w:t>双休日和法定节假日不办理业务。</w:t>
            </w:r>
          </w:p>
        </w:tc>
      </w:tr>
      <w:tr w14:paraId="4E29C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4255337F">
            <w:pPr>
              <w:spacing w:line="430" w:lineRule="exact"/>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32.1</w:t>
            </w:r>
          </w:p>
        </w:tc>
        <w:tc>
          <w:tcPr>
            <w:tcW w:w="8359" w:type="dxa"/>
            <w:vAlign w:val="center"/>
          </w:tcPr>
          <w:p w14:paraId="1FE16AFE">
            <w:pPr>
              <w:pStyle w:val="23"/>
              <w:snapToGrid w:val="0"/>
              <w:spacing w:line="430" w:lineRule="exact"/>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1.采购代理费支付方式：</w:t>
            </w:r>
          </w:p>
          <w:p w14:paraId="5888B208">
            <w:pPr>
              <w:pStyle w:val="23"/>
              <w:snapToGrid w:val="0"/>
              <w:spacing w:line="430" w:lineRule="exact"/>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本项目代理服务费按如下规定由</w:t>
            </w:r>
            <w:r>
              <w:rPr>
                <w:rFonts w:hint="eastAsia" w:cs="宋体" w:asciiTheme="minorEastAsia" w:hAnsiTheme="minorEastAsia" w:eastAsiaTheme="minorEastAsia"/>
                <w:color w:val="auto"/>
                <w:sz w:val="21"/>
                <w:highlight w:val="none"/>
                <w:u w:val="single"/>
              </w:rPr>
              <w:t>成交供应商</w:t>
            </w:r>
            <w:r>
              <w:rPr>
                <w:rFonts w:hint="eastAsia" w:cs="宋体" w:asciiTheme="minorEastAsia" w:hAnsiTheme="minorEastAsia" w:eastAsiaTheme="minorEastAsia"/>
                <w:color w:val="auto"/>
                <w:sz w:val="21"/>
                <w:highlight w:val="none"/>
              </w:rPr>
              <w:t>在领取成交通知书前，一次性向采购代理机构支付。</w:t>
            </w:r>
          </w:p>
          <w:p w14:paraId="760EC8E1">
            <w:pPr>
              <w:pStyle w:val="23"/>
              <w:snapToGrid w:val="0"/>
              <w:spacing w:line="430" w:lineRule="exact"/>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2.采购代理费收取标准：</w:t>
            </w:r>
          </w:p>
          <w:p w14:paraId="3321ACEB">
            <w:pPr>
              <w:pStyle w:val="23"/>
              <w:snapToGrid w:val="0"/>
              <w:spacing w:line="430" w:lineRule="exact"/>
              <w:rPr>
                <w:rFonts w:cs="宋体" w:asciiTheme="minorEastAsia" w:hAnsiTheme="minorEastAsia" w:eastAsiaTheme="minorEastAsia"/>
                <w:color w:val="auto"/>
                <w:sz w:val="21"/>
                <w:highlight w:val="none"/>
                <w:u w:val="single"/>
              </w:rPr>
            </w:pPr>
            <w:r>
              <w:rPr>
                <w:rFonts w:hint="eastAsia" w:cs="宋体" w:asciiTheme="minorEastAsia" w:hAnsiTheme="minorEastAsia" w:eastAsiaTheme="minorEastAsia"/>
                <w:color w:val="auto"/>
                <w:sz w:val="21"/>
                <w:highlight w:val="none"/>
              </w:rPr>
              <w:t>以成交金额为计费额，按桂价费【2011】55号文收费标准收取。</w:t>
            </w:r>
          </w:p>
          <w:p w14:paraId="5F3179F7">
            <w:pPr>
              <w:pStyle w:val="23"/>
              <w:snapToGrid w:val="0"/>
              <w:spacing w:line="430" w:lineRule="exact"/>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3. 采购代理费收取银行账户</w:t>
            </w:r>
          </w:p>
          <w:p w14:paraId="78FE8051">
            <w:pPr>
              <w:pStyle w:val="23"/>
              <w:snapToGrid w:val="0"/>
              <w:spacing w:line="430" w:lineRule="exact"/>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开户名称：</w:t>
            </w:r>
            <w:r>
              <w:rPr>
                <w:rFonts w:hint="eastAsia" w:cs="宋体" w:asciiTheme="minorEastAsia" w:hAnsiTheme="minorEastAsia" w:eastAsiaTheme="minorEastAsia"/>
                <w:color w:val="auto"/>
                <w:sz w:val="21"/>
                <w:highlight w:val="none"/>
                <w:u w:val="single"/>
              </w:rPr>
              <w:t>广西城建咨询设计有限公司</w:t>
            </w:r>
          </w:p>
          <w:p w14:paraId="77AF0540">
            <w:pPr>
              <w:pStyle w:val="23"/>
              <w:snapToGrid w:val="0"/>
              <w:spacing w:line="430" w:lineRule="exact"/>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开户银行：</w:t>
            </w:r>
            <w:r>
              <w:rPr>
                <w:rFonts w:hint="eastAsia" w:cs="宋体" w:asciiTheme="minorEastAsia" w:hAnsiTheme="minorEastAsia" w:eastAsiaTheme="minorEastAsia"/>
                <w:color w:val="auto"/>
                <w:sz w:val="21"/>
                <w:highlight w:val="none"/>
                <w:u w:val="single"/>
              </w:rPr>
              <w:t>建设银行南宁锦春支行</w:t>
            </w:r>
          </w:p>
          <w:p w14:paraId="695DA381">
            <w:pPr>
              <w:pStyle w:val="23"/>
              <w:snapToGrid w:val="0"/>
              <w:spacing w:line="430" w:lineRule="exact"/>
              <w:rPr>
                <w:rFonts w:cs="宋体" w:asciiTheme="minorEastAsia" w:hAnsiTheme="minorEastAsia" w:eastAsiaTheme="minorEastAsia"/>
                <w:color w:val="auto"/>
                <w:sz w:val="21"/>
                <w:highlight w:val="none"/>
                <w:u w:val="single"/>
              </w:rPr>
            </w:pPr>
            <w:r>
              <w:rPr>
                <w:rFonts w:hint="eastAsia" w:cs="宋体" w:asciiTheme="minorEastAsia" w:hAnsiTheme="minorEastAsia" w:eastAsiaTheme="minorEastAsia"/>
                <w:color w:val="auto"/>
                <w:sz w:val="21"/>
                <w:highlight w:val="none"/>
              </w:rPr>
              <w:t>银行账号：</w:t>
            </w:r>
            <w:r>
              <w:rPr>
                <w:rFonts w:cs="宋体" w:asciiTheme="minorEastAsia" w:hAnsiTheme="minorEastAsia" w:eastAsiaTheme="minorEastAsia"/>
                <w:color w:val="auto"/>
                <w:sz w:val="21"/>
                <w:highlight w:val="none"/>
                <w:u w:val="single"/>
              </w:rPr>
              <w:t>4505 0160 4783 0000 0080</w:t>
            </w:r>
          </w:p>
        </w:tc>
      </w:tr>
      <w:tr w14:paraId="7F582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1063433A">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r>
              <w:rPr>
                <w:rFonts w:cs="宋体" w:asciiTheme="minorEastAsia" w:hAnsiTheme="minorEastAsia" w:eastAsiaTheme="minorEastAsia"/>
                <w:color w:val="auto"/>
                <w:szCs w:val="21"/>
                <w:highlight w:val="none"/>
              </w:rPr>
              <w:t>3.1</w:t>
            </w:r>
          </w:p>
        </w:tc>
        <w:tc>
          <w:tcPr>
            <w:tcW w:w="8359" w:type="dxa"/>
            <w:vAlign w:val="center"/>
          </w:tcPr>
          <w:p w14:paraId="32B68EBE">
            <w:pPr>
              <w:pStyle w:val="23"/>
              <w:snapToGrid w:val="0"/>
              <w:spacing w:line="430" w:lineRule="exact"/>
              <w:rPr>
                <w:rFonts w:cs="宋体" w:asciiTheme="minorEastAsia" w:hAnsiTheme="minorEastAsia" w:eastAsiaTheme="minorEastAsia"/>
                <w:color w:val="auto"/>
                <w:kern w:val="2"/>
                <w:sz w:val="21"/>
                <w:highlight w:val="none"/>
              </w:rPr>
            </w:pPr>
            <w:r>
              <w:rPr>
                <w:rFonts w:hint="eastAsia" w:asciiTheme="minorEastAsia" w:hAnsiTheme="minorEastAsia" w:eastAsiaTheme="minorEastAsia"/>
                <w:color w:val="auto"/>
                <w:sz w:val="21"/>
                <w:highlight w:val="none"/>
              </w:rPr>
              <w:t>解释：</w:t>
            </w:r>
            <w:r>
              <w:rPr>
                <w:rFonts w:asciiTheme="minorEastAsia" w:hAnsiTheme="minorEastAsia" w:eastAsiaTheme="minorEastAsia"/>
                <w:color w:val="auto"/>
                <w:sz w:val="21"/>
                <w:highlight w:val="none"/>
              </w:rPr>
              <w:t>构成本</w:t>
            </w:r>
            <w:r>
              <w:rPr>
                <w:rFonts w:hint="eastAsia" w:asciiTheme="minorEastAsia" w:hAnsiTheme="minorEastAsia" w:eastAsiaTheme="minorEastAsia"/>
                <w:color w:val="auto"/>
                <w:sz w:val="21"/>
                <w:highlight w:val="none"/>
              </w:rPr>
              <w:t>磋商文件</w:t>
            </w:r>
            <w:r>
              <w:rPr>
                <w:rFonts w:asciiTheme="minorEastAsia" w:hAnsiTheme="minorEastAsia" w:eastAsiaTheme="minorEastAsia"/>
                <w:color w:val="auto"/>
                <w:sz w:val="21"/>
                <w:highlight w:val="none"/>
              </w:rPr>
              <w:t>的各个组成文件应互为解释，互为说明；除</w:t>
            </w:r>
            <w:r>
              <w:rPr>
                <w:rFonts w:hint="eastAsia" w:asciiTheme="minorEastAsia" w:hAnsiTheme="minorEastAsia" w:eastAsiaTheme="minorEastAsia"/>
                <w:color w:val="auto"/>
                <w:sz w:val="21"/>
                <w:highlight w:val="none"/>
              </w:rPr>
              <w:t>磋商文件</w:t>
            </w:r>
            <w:r>
              <w:rPr>
                <w:rFonts w:asciiTheme="minorEastAsia" w:hAnsiTheme="minorEastAsia" w:eastAsiaTheme="minorEastAsia"/>
                <w:color w:val="auto"/>
                <w:sz w:val="21"/>
                <w:highlight w:val="none"/>
              </w:rPr>
              <w:t>中有特别规定外，仅适用于</w:t>
            </w:r>
            <w:r>
              <w:rPr>
                <w:rFonts w:hint="eastAsia" w:asciiTheme="minorEastAsia" w:hAnsiTheme="minorEastAsia" w:eastAsiaTheme="minorEastAsia"/>
                <w:color w:val="auto"/>
                <w:sz w:val="21"/>
                <w:highlight w:val="none"/>
              </w:rPr>
              <w:t>竞标</w:t>
            </w:r>
            <w:r>
              <w:rPr>
                <w:rFonts w:asciiTheme="minorEastAsia" w:hAnsiTheme="minorEastAsia" w:eastAsiaTheme="minorEastAsia"/>
                <w:color w:val="auto"/>
                <w:sz w:val="21"/>
                <w:highlight w:val="none"/>
              </w:rPr>
              <w:t>阶段的规定，按</w:t>
            </w:r>
            <w:r>
              <w:rPr>
                <w:rFonts w:hint="eastAsia" w:asciiTheme="minorEastAsia" w:hAnsiTheme="minorEastAsia" w:eastAsiaTheme="minorEastAsia"/>
                <w:color w:val="auto"/>
                <w:sz w:val="21"/>
                <w:highlight w:val="none"/>
              </w:rPr>
              <w:t>更正公告（澄清公告）</w:t>
            </w:r>
            <w:r>
              <w:rPr>
                <w:rFonts w:asciiTheme="minorEastAsia" w:hAnsiTheme="minorEastAsia" w:eastAsiaTheme="minorEastAsia"/>
                <w:color w:val="auto"/>
                <w:sz w:val="21"/>
                <w:highlight w:val="none"/>
              </w:rPr>
              <w:t>、</w:t>
            </w:r>
            <w:r>
              <w:rPr>
                <w:rFonts w:hint="eastAsia" w:asciiTheme="minorEastAsia" w:hAnsiTheme="minorEastAsia" w:eastAsiaTheme="minorEastAsia"/>
                <w:color w:val="auto"/>
                <w:sz w:val="21"/>
                <w:highlight w:val="none"/>
              </w:rPr>
              <w:t>竞争性磋商</w:t>
            </w:r>
            <w:r>
              <w:rPr>
                <w:rFonts w:asciiTheme="minorEastAsia" w:hAnsiTheme="minorEastAsia" w:eastAsiaTheme="minorEastAsia"/>
                <w:color w:val="auto"/>
                <w:sz w:val="21"/>
                <w:highlight w:val="none"/>
              </w:rPr>
              <w:t>公告、</w:t>
            </w:r>
            <w:r>
              <w:rPr>
                <w:rFonts w:hint="eastAsia" w:asciiTheme="minorEastAsia" w:hAnsiTheme="minorEastAsia" w:eastAsiaTheme="minorEastAsia"/>
                <w:color w:val="auto"/>
                <w:sz w:val="21"/>
                <w:highlight w:val="none"/>
              </w:rPr>
              <w:t>供应商</w:t>
            </w:r>
            <w:r>
              <w:rPr>
                <w:rFonts w:asciiTheme="minorEastAsia" w:hAnsiTheme="minorEastAsia" w:eastAsiaTheme="minorEastAsia"/>
                <w:color w:val="auto"/>
                <w:sz w:val="21"/>
                <w:highlight w:val="none"/>
              </w:rPr>
              <w:t>须知</w:t>
            </w:r>
            <w:r>
              <w:rPr>
                <w:rFonts w:hint="eastAsia" w:asciiTheme="minorEastAsia" w:hAnsiTheme="minorEastAsia" w:eastAsiaTheme="minorEastAsia"/>
                <w:color w:val="auto"/>
                <w:sz w:val="21"/>
                <w:highlight w:val="none"/>
              </w:rPr>
              <w:t>、采购需求</w:t>
            </w:r>
            <w:r>
              <w:rPr>
                <w:rFonts w:asciiTheme="minorEastAsia" w:hAnsiTheme="minorEastAsia" w:eastAsiaTheme="minorEastAsia"/>
                <w:color w:val="auto"/>
                <w:sz w:val="21"/>
                <w:highlight w:val="none"/>
              </w:rPr>
              <w:t>、</w:t>
            </w:r>
            <w:r>
              <w:rPr>
                <w:rFonts w:hint="eastAsia" w:asciiTheme="minorEastAsia" w:hAnsiTheme="minorEastAsia" w:eastAsiaTheme="minorEastAsia"/>
                <w:color w:val="auto"/>
                <w:sz w:val="21"/>
                <w:highlight w:val="none"/>
              </w:rPr>
              <w:t>评审程序、评审方法和评审标准</w:t>
            </w:r>
            <w:r>
              <w:rPr>
                <w:rFonts w:asciiTheme="minorEastAsia" w:hAnsiTheme="minorEastAsia" w:eastAsiaTheme="minorEastAsia"/>
                <w:color w:val="auto"/>
                <w:sz w:val="21"/>
                <w:highlight w:val="none"/>
              </w:rPr>
              <w:t>、</w:t>
            </w:r>
            <w:r>
              <w:rPr>
                <w:rFonts w:hint="eastAsia" w:asciiTheme="minorEastAsia" w:hAnsiTheme="minorEastAsia" w:eastAsiaTheme="minorEastAsia"/>
                <w:color w:val="auto"/>
                <w:sz w:val="21"/>
                <w:highlight w:val="none"/>
              </w:rPr>
              <w:t>响应</w:t>
            </w:r>
            <w:r>
              <w:rPr>
                <w:rFonts w:asciiTheme="minorEastAsia" w:hAnsiTheme="minorEastAsia" w:eastAsiaTheme="minorEastAsia"/>
                <w:color w:val="auto"/>
                <w:sz w:val="21"/>
                <w:highlight w:val="none"/>
              </w:rPr>
              <w:t>文件格式</w:t>
            </w:r>
            <w:r>
              <w:rPr>
                <w:rFonts w:hint="eastAsia" w:asciiTheme="minorEastAsia" w:hAnsiTheme="minorEastAsia" w:eastAsiaTheme="minorEastAsia"/>
                <w:color w:val="auto"/>
                <w:sz w:val="21"/>
                <w:highlight w:val="none"/>
              </w:rPr>
              <w:t>、合同文本</w:t>
            </w:r>
            <w:r>
              <w:rPr>
                <w:rFonts w:asciiTheme="minorEastAsia" w:hAnsiTheme="minorEastAsia" w:eastAsiaTheme="minorEastAsia"/>
                <w:color w:val="auto"/>
                <w:sz w:val="21"/>
                <w:highlight w:val="none"/>
              </w:rPr>
              <w:t>的先后顺序解释；同一组成文件中就同一事项的规定或者约定不一致的，以编排顺序在后者为准；同一组成文件不同版本之间有不一致的，以形成时间在后者为准；</w:t>
            </w:r>
            <w:r>
              <w:rPr>
                <w:rFonts w:hint="eastAsia" w:asciiTheme="minorEastAsia" w:hAnsiTheme="minorEastAsia" w:eastAsiaTheme="minorEastAsia"/>
                <w:color w:val="auto"/>
                <w:sz w:val="21"/>
                <w:highlight w:val="none"/>
              </w:rPr>
              <w:t>更正公告（澄清公告）</w:t>
            </w:r>
            <w:r>
              <w:rPr>
                <w:rFonts w:asciiTheme="minorEastAsia" w:hAnsiTheme="minorEastAsia" w:eastAsiaTheme="minorEastAsia"/>
                <w:color w:val="auto"/>
                <w:sz w:val="21"/>
                <w:highlight w:val="none"/>
              </w:rPr>
              <w:t>与同步更新的</w:t>
            </w:r>
            <w:r>
              <w:rPr>
                <w:rFonts w:hint="eastAsia" w:asciiTheme="minorEastAsia" w:hAnsiTheme="minorEastAsia" w:eastAsiaTheme="minorEastAsia"/>
                <w:color w:val="auto"/>
                <w:sz w:val="21"/>
                <w:highlight w:val="none"/>
              </w:rPr>
              <w:t>磋商文件</w:t>
            </w:r>
            <w:r>
              <w:rPr>
                <w:rFonts w:asciiTheme="minorEastAsia" w:hAnsiTheme="minorEastAsia" w:eastAsiaTheme="minorEastAsia"/>
                <w:color w:val="auto"/>
                <w:sz w:val="21"/>
                <w:highlight w:val="none"/>
              </w:rPr>
              <w:t>不一致时以</w:t>
            </w:r>
            <w:r>
              <w:rPr>
                <w:rFonts w:hint="eastAsia" w:asciiTheme="minorEastAsia" w:hAnsiTheme="minorEastAsia" w:eastAsiaTheme="minorEastAsia"/>
                <w:color w:val="auto"/>
                <w:sz w:val="21"/>
                <w:highlight w:val="none"/>
              </w:rPr>
              <w:t>更正公告（澄清公告）</w:t>
            </w:r>
            <w:r>
              <w:rPr>
                <w:rFonts w:asciiTheme="minorEastAsia" w:hAnsiTheme="minorEastAsia" w:eastAsiaTheme="minorEastAsia"/>
                <w:color w:val="auto"/>
                <w:sz w:val="21"/>
                <w:highlight w:val="none"/>
              </w:rPr>
              <w:t>为准。按本款前述规定仍不能形成结论的，由</w:t>
            </w:r>
            <w:r>
              <w:rPr>
                <w:rFonts w:hint="eastAsia" w:asciiTheme="minorEastAsia" w:hAnsiTheme="minorEastAsia" w:eastAsiaTheme="minorEastAsia"/>
                <w:color w:val="auto"/>
                <w:sz w:val="21"/>
                <w:highlight w:val="none"/>
              </w:rPr>
              <w:t>采购</w:t>
            </w:r>
            <w:r>
              <w:rPr>
                <w:rFonts w:asciiTheme="minorEastAsia" w:hAnsiTheme="minorEastAsia" w:eastAsiaTheme="minorEastAsia"/>
                <w:color w:val="auto"/>
                <w:sz w:val="21"/>
                <w:highlight w:val="none"/>
              </w:rPr>
              <w:t>人</w:t>
            </w:r>
            <w:r>
              <w:rPr>
                <w:rFonts w:hint="eastAsia" w:asciiTheme="minorEastAsia" w:hAnsiTheme="minorEastAsia" w:eastAsiaTheme="minorEastAsia"/>
                <w:color w:val="auto"/>
                <w:sz w:val="21"/>
                <w:highlight w:val="none"/>
              </w:rPr>
              <w:t>或者采购代理机构</w:t>
            </w:r>
            <w:r>
              <w:rPr>
                <w:rFonts w:asciiTheme="minorEastAsia" w:hAnsiTheme="minorEastAsia" w:eastAsiaTheme="minorEastAsia"/>
                <w:color w:val="auto"/>
                <w:sz w:val="21"/>
                <w:highlight w:val="none"/>
              </w:rPr>
              <w:t>负责解释。</w:t>
            </w:r>
          </w:p>
        </w:tc>
      </w:tr>
      <w:tr w14:paraId="7AE04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1DC4ACDC">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r>
              <w:rPr>
                <w:rFonts w:cs="宋体" w:asciiTheme="minorEastAsia" w:hAnsiTheme="minorEastAsia" w:eastAsiaTheme="minorEastAsia"/>
                <w:color w:val="auto"/>
                <w:szCs w:val="21"/>
                <w:highlight w:val="none"/>
              </w:rPr>
              <w:t>3.2</w:t>
            </w:r>
          </w:p>
        </w:tc>
        <w:tc>
          <w:tcPr>
            <w:tcW w:w="8359" w:type="dxa"/>
            <w:vAlign w:val="center"/>
          </w:tcPr>
          <w:p w14:paraId="2345A42D">
            <w:pPr>
              <w:pStyle w:val="23"/>
              <w:snapToGrid w:val="0"/>
              <w:spacing w:line="430" w:lineRule="exact"/>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364FBAEA">
            <w:pPr>
              <w:pStyle w:val="23"/>
              <w:snapToGrid w:val="0"/>
              <w:spacing w:line="430" w:lineRule="exact"/>
              <w:rPr>
                <w:rFonts w:cs="宋体" w:asciiTheme="minorEastAsia" w:hAnsiTheme="minorEastAsia" w:eastAsiaTheme="minorEastAsia"/>
                <w:color w:val="auto"/>
                <w:sz w:val="21"/>
                <w:highlight w:val="none"/>
              </w:rPr>
            </w:pPr>
            <w:r>
              <w:rPr>
                <w:rFonts w:hint="eastAsia" w:cs="宋体" w:asciiTheme="minorEastAsia" w:hAnsiTheme="minorEastAsia" w:eastAsiaTheme="minorEastAsia"/>
                <w:bCs/>
                <w:color w:val="auto"/>
                <w:sz w:val="21"/>
                <w:highlight w:val="none"/>
              </w:rPr>
              <w:t>2.本磋商文件所称的“</w:t>
            </w:r>
            <w:r>
              <w:rPr>
                <w:rFonts w:hint="eastAsia" w:asciiTheme="minorEastAsia" w:hAnsiTheme="minorEastAsia" w:eastAsiaTheme="minorEastAsia"/>
                <w:color w:val="auto"/>
                <w:sz w:val="21"/>
                <w:highlight w:val="none"/>
              </w:rPr>
              <w:t>电子签章</w:t>
            </w:r>
            <w:r>
              <w:rPr>
                <w:rFonts w:hint="eastAsia" w:cs="宋体" w:asciiTheme="minorEastAsia" w:hAnsiTheme="minorEastAsia" w:eastAsiaTheme="minorEastAsia"/>
                <w:bCs/>
                <w:color w:val="auto"/>
                <w:sz w:val="21"/>
                <w:highlight w:val="none"/>
              </w:rPr>
              <w:t>”、“电子签名”</w:t>
            </w:r>
            <w:r>
              <w:rPr>
                <w:rFonts w:hint="eastAsia" w:asciiTheme="minorEastAsia" w:hAnsiTheme="minorEastAsia" w:eastAsiaTheme="minorEastAsia"/>
                <w:color w:val="auto"/>
                <w:sz w:val="21"/>
                <w:highlight w:val="none"/>
              </w:rPr>
              <w:t>，是指经广西政府采购云平台认可的CA认证的电子签名数据为表现形式的印章，可用于签署电子响应文件，电子印章与实物印章具有同等法律效力，不因其采用电子化表现形式而否定其法律效力。</w:t>
            </w:r>
          </w:p>
          <w:p w14:paraId="4C22D099">
            <w:pPr>
              <w:pStyle w:val="23"/>
              <w:snapToGrid w:val="0"/>
              <w:spacing w:line="430" w:lineRule="exact"/>
              <w:rPr>
                <w:rFonts w:cs="宋体" w:asciiTheme="minorEastAsia" w:hAnsiTheme="minorEastAsia" w:eastAsiaTheme="minorEastAsia"/>
                <w:bCs/>
                <w:color w:val="auto"/>
                <w:sz w:val="21"/>
                <w:highlight w:val="none"/>
              </w:rPr>
            </w:pPr>
            <w:r>
              <w:rPr>
                <w:rFonts w:cs="宋体" w:asciiTheme="minorEastAsia" w:hAnsiTheme="minorEastAsia" w:eastAsiaTheme="minorEastAsia"/>
                <w:color w:val="auto"/>
                <w:sz w:val="21"/>
                <w:highlight w:val="none"/>
              </w:rPr>
              <w:t>3</w:t>
            </w:r>
            <w:r>
              <w:rPr>
                <w:rFonts w:hint="eastAsia" w:cs="宋体" w:asciiTheme="minorEastAsia" w:hAnsiTheme="minorEastAsia" w:eastAsiaTheme="minorEastAsia"/>
                <w:color w:val="auto"/>
                <w:sz w:val="21"/>
                <w:highlight w:val="none"/>
              </w:rPr>
              <w:t>.供应商为其他组织或者自然人时，本磋商文件规定的法定代表人指负责人或者自然人。本磋商文件所称负责人是指参加竞标的其他组织</w:t>
            </w:r>
            <w:r>
              <w:rPr>
                <w:rFonts w:hint="eastAsia" w:cs="宋体" w:asciiTheme="minorEastAsia" w:hAnsiTheme="minorEastAsia" w:eastAsiaTheme="minorEastAsia"/>
                <w:bCs/>
                <w:color w:val="auto"/>
                <w:sz w:val="21"/>
                <w:highlight w:val="none"/>
              </w:rPr>
              <w:t>营业执照或者执业许可证等证照上的</w:t>
            </w:r>
            <w:r>
              <w:rPr>
                <w:rFonts w:hint="eastAsia" w:cs="宋体" w:asciiTheme="minorEastAsia" w:hAnsiTheme="minorEastAsia" w:eastAsiaTheme="minorEastAsia"/>
                <w:color w:val="auto"/>
                <w:sz w:val="21"/>
                <w:highlight w:val="none"/>
              </w:rPr>
              <w:t>负责人，本磋商文件所称自然人指参与竞标的自然人本人，</w:t>
            </w:r>
            <w:r>
              <w:rPr>
                <w:rFonts w:hint="eastAsia" w:cs="宋体" w:asciiTheme="minorEastAsia" w:hAnsiTheme="minorEastAsia" w:eastAsiaTheme="minorEastAsia"/>
                <w:bCs/>
                <w:color w:val="auto"/>
                <w:sz w:val="21"/>
                <w:highlight w:val="none"/>
              </w:rPr>
              <w:t>且应具备独立承担民事责任能力，自然人应当为年满18岁以上成年人（十六周岁以上的未成年人，以自己的劳动收入为主要生活来源的，视为完全民事行为能力人）。</w:t>
            </w:r>
          </w:p>
          <w:p w14:paraId="047A7184">
            <w:pPr>
              <w:pStyle w:val="23"/>
              <w:snapToGrid w:val="0"/>
              <w:spacing w:line="430" w:lineRule="exact"/>
              <w:rPr>
                <w:rFonts w:cs="宋体" w:asciiTheme="minorEastAsia" w:hAnsiTheme="minorEastAsia" w:eastAsiaTheme="minorEastAsia"/>
                <w:color w:val="auto"/>
                <w:sz w:val="21"/>
                <w:highlight w:val="none"/>
              </w:rPr>
            </w:pPr>
            <w:r>
              <w:rPr>
                <w:rFonts w:cs="宋体" w:asciiTheme="minorEastAsia" w:hAnsiTheme="minorEastAsia" w:eastAsiaTheme="minorEastAsia"/>
                <w:color w:val="auto"/>
                <w:sz w:val="21"/>
                <w:highlight w:val="none"/>
              </w:rPr>
              <w:t>4.</w:t>
            </w:r>
            <w:r>
              <w:rPr>
                <w:rFonts w:hint="eastAsia" w:cs="宋体" w:asciiTheme="minorEastAsia" w:hAnsiTheme="minorEastAsia" w:eastAsiaTheme="minorEastAsia"/>
                <w:color w:val="auto"/>
                <w:sz w:val="21"/>
                <w:highlight w:val="none"/>
              </w:rPr>
              <w:t>本磋商文件中描述供应商的“签字”是指供应商的法定代表人或者委托代理人亲自在文件规定签署处亲笔写上个人的名字的行为，私章、签字章、印鉴、影印等其他形式均不能代替亲笔签字。</w:t>
            </w:r>
          </w:p>
          <w:p w14:paraId="40E97FC0">
            <w:pPr>
              <w:pStyle w:val="23"/>
              <w:snapToGrid w:val="0"/>
              <w:spacing w:line="430" w:lineRule="exact"/>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5</w:t>
            </w:r>
            <w:r>
              <w:rPr>
                <w:rFonts w:cs="宋体" w:asciiTheme="minorEastAsia" w:hAnsiTheme="minorEastAsia" w:eastAsiaTheme="minorEastAsia"/>
                <w:color w:val="auto"/>
                <w:sz w:val="21"/>
                <w:highlight w:val="none"/>
              </w:rPr>
              <w:t>.</w:t>
            </w:r>
            <w:r>
              <w:rPr>
                <w:rFonts w:hint="eastAsia" w:cs="宋体" w:asciiTheme="minorEastAsia" w:hAnsiTheme="minorEastAsia" w:eastAsiaTheme="minorEastAsia"/>
                <w:color w:val="auto"/>
                <w:sz w:val="21"/>
                <w:highlight w:val="none"/>
              </w:rPr>
              <w:t>本磋商文件所称的“以上”“以下”“以内”“届满”，包括本数；所称的“不满”“超过”“以外”，不包括本数。</w:t>
            </w:r>
          </w:p>
        </w:tc>
      </w:tr>
      <w:tr w14:paraId="258E7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1408A727">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特别说明</w:t>
            </w:r>
          </w:p>
        </w:tc>
        <w:tc>
          <w:tcPr>
            <w:tcW w:w="8359" w:type="dxa"/>
            <w:vAlign w:val="center"/>
          </w:tcPr>
          <w:p w14:paraId="72895A90">
            <w:pPr>
              <w:spacing w:line="43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截标后将进行磋商：</w:t>
            </w:r>
          </w:p>
          <w:p w14:paraId="7AE8B437">
            <w:pPr>
              <w:spacing w:line="43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）委托代理人（法定代表人）请注意预留的手机号码中广西政府采购云平台系统发送的短信提示，并按照要求进行响应及报价。</w:t>
            </w:r>
          </w:p>
          <w:p w14:paraId="23130482">
            <w:pPr>
              <w:spacing w:line="43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）进入广西政府采购云平台系统，点击页面右上角的</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待办</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，找到对应的项目，按系统提示操作。</w:t>
            </w:r>
          </w:p>
          <w:p w14:paraId="406D18F4">
            <w:pPr>
              <w:spacing w:line="43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）如仍无法找到，请电话咨询广西城建咨询设计有限公司。</w:t>
            </w:r>
          </w:p>
        </w:tc>
      </w:tr>
    </w:tbl>
    <w:p w14:paraId="1FC18692">
      <w:pPr>
        <w:spacing w:line="400" w:lineRule="exact"/>
        <w:jc w:val="center"/>
        <w:rPr>
          <w:rFonts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供应商须知正文</w:t>
      </w:r>
    </w:p>
    <w:p w14:paraId="2F631EA2">
      <w:pPr>
        <w:spacing w:line="400" w:lineRule="exact"/>
        <w:jc w:val="center"/>
        <w:rPr>
          <w:rFonts w:ascii="宋体" w:hAnsi="宋体"/>
          <w:b/>
          <w:color w:val="auto"/>
          <w:sz w:val="32"/>
          <w:szCs w:val="32"/>
          <w:highlight w:val="none"/>
        </w:rPr>
      </w:pPr>
    </w:p>
    <w:p w14:paraId="561D9540">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一、总则</w:t>
      </w:r>
    </w:p>
    <w:p w14:paraId="751B26D0">
      <w:pPr>
        <w:spacing w:line="400" w:lineRule="exact"/>
        <w:rPr>
          <w:rFonts w:ascii="宋体" w:hAnsi="宋体"/>
          <w:color w:val="auto"/>
          <w:szCs w:val="21"/>
          <w:highlight w:val="none"/>
        </w:rPr>
      </w:pPr>
    </w:p>
    <w:p w14:paraId="6BBA9207">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1.适用范围</w:t>
      </w:r>
    </w:p>
    <w:p w14:paraId="2D1C37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w:t>
      </w:r>
      <w:r>
        <w:rPr>
          <w:rFonts w:hint="eastAsia" w:ascii="宋体" w:hAnsi="宋体"/>
          <w:color w:val="auto"/>
          <w:szCs w:val="21"/>
          <w:highlight w:val="none"/>
        </w:rPr>
        <w:t>《政府采购竞争性磋商采购方式管理暂行办法》《财政部关于政府采购竞争性磋商采购方式管理暂行办法有关问题的补充通知》</w:t>
      </w:r>
      <w:r>
        <w:rPr>
          <w:rFonts w:hint="eastAsia" w:ascii="宋体" w:hAnsi="宋体" w:cs="宋体"/>
          <w:color w:val="auto"/>
          <w:szCs w:val="21"/>
          <w:highlight w:val="none"/>
        </w:rPr>
        <w:t>及本项目本级和上级财政部门政府采购有关规定的约束和保护。</w:t>
      </w:r>
    </w:p>
    <w:p w14:paraId="328261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7598D956">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2.定义</w:t>
      </w:r>
    </w:p>
    <w:p w14:paraId="14F1A26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5C026FF3">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18090C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0D1A5034">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2.4“服务”是指除货物和工程以外的其他政府采购对象。</w:t>
      </w:r>
    </w:p>
    <w:p w14:paraId="29B0B16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r>
        <w:rPr>
          <w:rFonts w:hint="eastAsia" w:ascii="宋体" w:hAnsi="宋体" w:cs="宋体"/>
          <w:color w:val="auto"/>
          <w:szCs w:val="21"/>
          <w:highlight w:val="none"/>
        </w:rPr>
        <w:t>“竞标”是指供应商按照本项目竞争性磋商公告或者邀请函规定的方式获取磋商文件、提交响应文件并希望获得标的的行为。</w:t>
      </w:r>
    </w:p>
    <w:p w14:paraId="69000D27">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2.6“书面形式”是指合同书、信件和数据电文（包括电报、电传、传真、电子数据交换和电子邮件）等可以有形地表现所载内容的形式。</w:t>
      </w:r>
    </w:p>
    <w:p w14:paraId="00DB1722">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2.7“响应文件”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561F088E">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2.8“实质性要求”是指磋商文件中已经指明不满足则响应文件按无效响应处理的条款，或者不能负偏离的条款，或者采购需求中带“▲”的条款。</w:t>
      </w:r>
    </w:p>
    <w:p w14:paraId="4E35034F">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2.9“正偏离”，是指响应文件对磋商文件“采购需求”中有关条款作出的响应优于条款要求并有利于采购人的情形。</w:t>
      </w:r>
    </w:p>
    <w:p w14:paraId="66112921">
      <w:pPr>
        <w:spacing w:line="360" w:lineRule="auto"/>
        <w:ind w:firstLine="420" w:firstLineChars="200"/>
        <w:contextualSpacing/>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10“负偏离”，是指响应文件对磋商文件“采购需求”中有关条款作出的响应不满足条款要求，导致采购人要求不能得到满足的情形。</w:t>
      </w:r>
    </w:p>
    <w:p w14:paraId="13724E0C">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2.11“允许负偏离的条款”是指采购需求中的不属于“实质性要求”的条款。</w:t>
      </w:r>
    </w:p>
    <w:p w14:paraId="7953B3F5">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w:t>
      </w:r>
      <w:r>
        <w:rPr>
          <w:rFonts w:hint="eastAsia" w:ascii="宋体" w:hAnsi="宋体" w:cs="宋体"/>
          <w:color w:val="auto"/>
          <w:szCs w:val="21"/>
          <w:highlight w:val="none"/>
        </w:rPr>
        <w:t>2“首次报价”是指供应商提交的首次响应文件中的报价。</w:t>
      </w:r>
    </w:p>
    <w:p w14:paraId="6B571DA0">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3.供应商的资格条件</w:t>
      </w:r>
    </w:p>
    <w:p w14:paraId="3FE37F4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6D69E330">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4.磋商费用</w:t>
      </w:r>
    </w:p>
    <w:p w14:paraId="1C13E42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6CE3B0E8">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14:paraId="33FF3D3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39B464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olor w:val="auto"/>
          <w:highlight w:val="none"/>
        </w:rPr>
        <w:t>如接受联合体竞标，</w:t>
      </w:r>
      <w:r>
        <w:rPr>
          <w:rFonts w:hint="eastAsia" w:ascii="宋体" w:hAnsi="宋体" w:cs="宋体"/>
          <w:color w:val="auto"/>
          <w:szCs w:val="21"/>
          <w:highlight w:val="none"/>
        </w:rPr>
        <w:t>联合体竞标要求详见“供应商须知前附表”。</w:t>
      </w:r>
    </w:p>
    <w:p w14:paraId="1E333F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w:t>
      </w:r>
      <w:bookmarkStart w:id="49" w:name="_Hlk66782192"/>
      <w:r>
        <w:rPr>
          <w:rFonts w:hint="eastAsia" w:ascii="宋体" w:hAnsi="宋体"/>
          <w:color w:val="auto"/>
          <w:szCs w:val="21"/>
          <w:highlight w:val="none"/>
        </w:rPr>
        <w:t>根据《政府采购促进中小企业发展管理办法》（财库〔2020〕46号）第九条第二款及桂财采〔2022〕30号广西壮族自治区财政厅关于进一步发挥政府采购政策功能促进企业发展的通知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%的扣除，用扣除后的价格参加评审。</w:t>
      </w:r>
      <w:bookmarkEnd w:id="49"/>
    </w:p>
    <w:p w14:paraId="33029CF8">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6.转包与分包</w:t>
      </w:r>
    </w:p>
    <w:p w14:paraId="07778186">
      <w:pPr>
        <w:keepNext w:val="0"/>
        <w:keepLines w:val="0"/>
        <w:spacing w:before="0" w:after="0" w:line="360" w:lineRule="auto"/>
        <w:ind w:left="420" w:leftChars="200"/>
        <w:outlineLvl w:val="9"/>
        <w:rPr>
          <w:rFonts w:ascii="宋体" w:hAnsi="宋体"/>
          <w:b w:val="0"/>
          <w:color w:val="auto"/>
          <w:sz w:val="21"/>
          <w:szCs w:val="21"/>
          <w:highlight w:val="none"/>
        </w:rPr>
      </w:pPr>
      <w:bookmarkStart w:id="50" w:name="_Toc254970532"/>
      <w:bookmarkStart w:id="51" w:name="_Toc254970673"/>
      <w:r>
        <w:rPr>
          <w:rFonts w:hint="eastAsia" w:ascii="宋体" w:hAnsi="宋体"/>
          <w:b w:val="0"/>
          <w:color w:val="auto"/>
          <w:sz w:val="21"/>
          <w:szCs w:val="21"/>
          <w:highlight w:val="none"/>
        </w:rPr>
        <w:t>6.1本项目不允许转包。</w:t>
      </w:r>
    </w:p>
    <w:p w14:paraId="30F9F7F8">
      <w:pPr>
        <w:keepNext w:val="0"/>
        <w:keepLines w:val="0"/>
        <w:spacing w:before="0" w:after="0" w:line="360" w:lineRule="auto"/>
        <w:ind w:firstLine="315" w:firstLineChars="150"/>
        <w:outlineLvl w:val="9"/>
        <w:rPr>
          <w:rFonts w:ascii="宋体" w:hAnsi="宋体"/>
          <w:b w:val="0"/>
          <w:color w:val="auto"/>
          <w:sz w:val="21"/>
          <w:szCs w:val="21"/>
          <w:highlight w:val="none"/>
        </w:rPr>
      </w:pPr>
      <w:r>
        <w:rPr>
          <w:rFonts w:hint="eastAsia" w:ascii="宋体" w:hAnsi="宋体"/>
          <w:b w:val="0"/>
          <w:color w:val="auto"/>
          <w:sz w:val="21"/>
          <w:szCs w:val="21"/>
          <w:highlight w:val="none"/>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6063FC57">
      <w:pPr>
        <w:keepNext w:val="0"/>
        <w:keepLines w:val="0"/>
        <w:spacing w:before="0" w:after="0" w:line="360" w:lineRule="auto"/>
        <w:ind w:firstLine="315" w:firstLineChars="150"/>
        <w:outlineLvl w:val="9"/>
        <w:rPr>
          <w:rFonts w:ascii="宋体" w:hAnsi="宋体"/>
          <w:b w:val="0"/>
          <w:color w:val="auto"/>
          <w:sz w:val="21"/>
          <w:szCs w:val="21"/>
          <w:highlight w:val="none"/>
        </w:rPr>
      </w:pPr>
      <w:r>
        <w:rPr>
          <w:rFonts w:hint="eastAsia" w:ascii="宋体" w:hAnsi="宋体"/>
          <w:b w:val="0"/>
          <w:color w:val="auto"/>
          <w:sz w:val="21"/>
          <w:szCs w:val="21"/>
          <w:highlight w:val="none"/>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581F91E4">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7.特别说明</w:t>
      </w:r>
      <w:bookmarkEnd w:id="50"/>
      <w:bookmarkEnd w:id="51"/>
    </w:p>
    <w:p w14:paraId="5E959583">
      <w:pPr>
        <w:spacing w:line="360" w:lineRule="auto"/>
        <w:ind w:firstLine="420" w:firstLineChars="200"/>
        <w:rPr>
          <w:rFonts w:ascii="宋体" w:hAnsi="宋体" w:cs="宋体"/>
          <w:color w:val="auto"/>
          <w:szCs w:val="21"/>
          <w:highlight w:val="none"/>
        </w:rPr>
      </w:pPr>
      <w:bookmarkStart w:id="52" w:name="_8.1提供相同品牌产品且通过资格审查、符合性审查的不同投标人参加同一合"/>
      <w:bookmarkEnd w:id="52"/>
      <w:r>
        <w:rPr>
          <w:rFonts w:hint="eastAsia" w:ascii="宋体" w:hAnsi="宋体" w:cs="宋体"/>
          <w:color w:val="auto"/>
          <w:szCs w:val="21"/>
          <w:highlight w:val="none"/>
        </w:rPr>
        <w:t>7.</w:t>
      </w:r>
      <w:r>
        <w:rPr>
          <w:rFonts w:ascii="宋体" w:hAnsi="宋体" w:cs="宋体"/>
          <w:color w:val="auto"/>
          <w:szCs w:val="21"/>
          <w:highlight w:val="none"/>
        </w:rPr>
        <w:t>1</w:t>
      </w:r>
      <w:bookmarkStart w:id="53" w:name="_Hlk65832145"/>
      <w:r>
        <w:rPr>
          <w:rFonts w:hint="eastAsia" w:ascii="宋体" w:hAnsi="宋体"/>
          <w:color w:val="auto"/>
          <w:szCs w:val="21"/>
          <w:highlight w:val="none"/>
        </w:rPr>
        <w:t>如果本磋商文件要求提供供应商或制造商的资格、信誉、荣誉、业绩与企业认证等材料的，资格、信誉、荣誉、业绩与企业认证等必须为供应商或者制造商所拥有或自身获得</w:t>
      </w:r>
      <w:r>
        <w:rPr>
          <w:rFonts w:hint="eastAsia" w:ascii="宋体" w:hAnsi="宋体" w:cs="宋体"/>
          <w:color w:val="auto"/>
          <w:szCs w:val="21"/>
          <w:highlight w:val="none"/>
        </w:rPr>
        <w:t>。</w:t>
      </w:r>
    </w:p>
    <w:bookmarkEnd w:id="53"/>
    <w:p w14:paraId="7A8AF71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2</w:t>
      </w:r>
      <w:r>
        <w:rPr>
          <w:rFonts w:hint="eastAsia" w:ascii="宋体" w:hAnsi="宋体" w:cs="宋体"/>
          <w:color w:val="auto"/>
          <w:szCs w:val="21"/>
          <w:highlight w:val="none"/>
        </w:rPr>
        <w:t>供应商应仔细阅读磋商文件的所有内容，按照磋商文件的要求提交响应文件，并对所提供的全部资料的真实性承担法律责任。</w:t>
      </w:r>
    </w:p>
    <w:p w14:paraId="256E50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3</w:t>
      </w:r>
      <w:r>
        <w:rPr>
          <w:rFonts w:hint="eastAsia" w:ascii="宋体" w:hAnsi="宋体" w:cs="宋体"/>
          <w:color w:val="auto"/>
          <w:szCs w:val="21"/>
          <w:highlight w:val="none"/>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746571E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4</w:t>
      </w:r>
      <w:r>
        <w:rPr>
          <w:rFonts w:hint="eastAsia" w:ascii="宋体" w:hAnsi="宋体" w:cs="宋体"/>
          <w:color w:val="auto"/>
          <w:szCs w:val="21"/>
          <w:highlight w:val="none"/>
        </w:rPr>
        <w:t>在政府采购活动中，采购人员及相关人员与供应商有下列利害关系之一的，应当回避：</w:t>
      </w:r>
    </w:p>
    <w:p w14:paraId="4FAB383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69263CE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4FD905C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1550B9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5952A6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60AD28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F98F89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5</w:t>
      </w:r>
      <w:r>
        <w:rPr>
          <w:rFonts w:hint="eastAsia" w:ascii="宋体" w:hAnsi="宋体" w:cs="宋体"/>
          <w:color w:val="auto"/>
          <w:szCs w:val="21"/>
          <w:highlight w:val="none"/>
        </w:rPr>
        <w:t>有下列情形之一的视为供应商相互串通竞标，响应文件将被视为无效：</w:t>
      </w:r>
    </w:p>
    <w:p w14:paraId="3384B1F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w:t>
      </w:r>
    </w:p>
    <w:p w14:paraId="6557F2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76A690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3E99FF6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310605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5948E7D0">
      <w:pPr>
        <w:tabs>
          <w:tab w:val="left" w:pos="693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ascii="宋体" w:hAnsi="宋体" w:cs="宋体"/>
          <w:color w:val="auto"/>
          <w:szCs w:val="21"/>
          <w:highlight w:val="none"/>
        </w:rPr>
        <w:tab/>
      </w:r>
    </w:p>
    <w:p w14:paraId="7B3759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6</w:t>
      </w:r>
      <w:r>
        <w:rPr>
          <w:rFonts w:hint="eastAsia" w:ascii="宋体" w:hAnsi="宋体" w:cs="宋体"/>
          <w:color w:val="auto"/>
          <w:szCs w:val="21"/>
          <w:highlight w:val="none"/>
        </w:rPr>
        <w:t>供应商有下列情形之一的，属于恶意串通行为，将报同级监督管理部门：</w:t>
      </w:r>
    </w:p>
    <w:p w14:paraId="4036CD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3A5C32C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203339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7A10870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72A2AE8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641CBF3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6E8AB6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7BC8B52C">
      <w:pPr>
        <w:spacing w:line="360" w:lineRule="auto"/>
        <w:rPr>
          <w:rFonts w:ascii="宋体" w:hAnsi="宋体"/>
          <w:color w:val="auto"/>
          <w:highlight w:val="none"/>
        </w:rPr>
      </w:pPr>
      <w:bookmarkStart w:id="54" w:name="_Toc254970534"/>
      <w:bookmarkStart w:id="55" w:name="_Toc254970675"/>
    </w:p>
    <w:p w14:paraId="42AAAB79">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二、磋商文件</w:t>
      </w:r>
      <w:bookmarkEnd w:id="54"/>
      <w:bookmarkEnd w:id="55"/>
    </w:p>
    <w:p w14:paraId="501A01A4">
      <w:pPr>
        <w:spacing w:line="360" w:lineRule="auto"/>
        <w:rPr>
          <w:rFonts w:ascii="宋体" w:hAnsi="宋体"/>
          <w:color w:val="auto"/>
          <w:szCs w:val="21"/>
          <w:highlight w:val="none"/>
        </w:rPr>
      </w:pPr>
    </w:p>
    <w:p w14:paraId="0E0D0350">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8.磋商文件的构成</w:t>
      </w:r>
    </w:p>
    <w:p w14:paraId="2E21B38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（1）竞争性磋商公告；</w:t>
      </w:r>
    </w:p>
    <w:p w14:paraId="1933096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（2）供应商须知；</w:t>
      </w:r>
    </w:p>
    <w:p w14:paraId="5846D71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（3）采购需求；</w:t>
      </w:r>
    </w:p>
    <w:p w14:paraId="0216A49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（4）评审程序、评审方法和评审标准；</w:t>
      </w:r>
    </w:p>
    <w:p w14:paraId="7444360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（5）响应文件格式；</w:t>
      </w:r>
    </w:p>
    <w:p w14:paraId="0F5A3E8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（6）合同文本。</w:t>
      </w:r>
    </w:p>
    <w:p w14:paraId="6463A3EE">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14:paraId="485AB1F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供应商应认真阅读磋商文件的采购需求，如供应商对磋商文件有疑问的，如要求采购人作出澄清或者修改的，供应商尽可能在</w:t>
      </w:r>
      <w:r>
        <w:rPr>
          <w:rFonts w:ascii="宋体" w:hAnsi="宋体"/>
          <w:color w:val="auto"/>
          <w:szCs w:val="21"/>
          <w:highlight w:val="none"/>
        </w:rPr>
        <w:t>提交首次响应文件截止之日前</w:t>
      </w:r>
      <w:r>
        <w:rPr>
          <w:rFonts w:hint="eastAsia" w:ascii="宋体" w:hAnsi="宋体"/>
          <w:color w:val="auto"/>
          <w:szCs w:val="21"/>
          <w:highlight w:val="none"/>
        </w:rPr>
        <w:t>，以书面形式向</w:t>
      </w:r>
      <w:r>
        <w:rPr>
          <w:rFonts w:ascii="宋体" w:hAnsi="宋体"/>
          <w:color w:val="auto"/>
          <w:szCs w:val="21"/>
          <w:highlight w:val="none"/>
        </w:rPr>
        <w:t>采购人、采购代理机构</w:t>
      </w:r>
      <w:r>
        <w:rPr>
          <w:rFonts w:hint="eastAsia" w:ascii="宋体" w:hAnsi="宋体"/>
          <w:color w:val="auto"/>
          <w:szCs w:val="21"/>
          <w:highlight w:val="none"/>
        </w:rPr>
        <w:t>提出。</w:t>
      </w:r>
    </w:p>
    <w:p w14:paraId="5041765D">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10.磋商文件的澄清和修改</w:t>
      </w:r>
    </w:p>
    <w:p w14:paraId="620FAEBF">
      <w:pPr>
        <w:spacing w:line="360" w:lineRule="auto"/>
        <w:ind w:firstLine="420" w:firstLineChars="200"/>
        <w:rPr>
          <w:rFonts w:ascii="宋体" w:hAnsi="宋体"/>
          <w:color w:val="auto"/>
          <w:szCs w:val="21"/>
          <w:highlight w:val="none"/>
        </w:rPr>
      </w:pPr>
      <w:r>
        <w:rPr>
          <w:rFonts w:ascii="宋体" w:hAnsi="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w:t>
      </w:r>
      <w:r>
        <w:rPr>
          <w:rFonts w:hint="eastAsia" w:ascii="宋体" w:hAnsi="宋体"/>
          <w:color w:val="auto"/>
          <w:szCs w:val="21"/>
          <w:highlight w:val="none"/>
          <w:lang w:val="en-US" w:eastAsia="zh-CN"/>
        </w:rPr>
        <w:t>3个工作日</w:t>
      </w:r>
      <w:r>
        <w:rPr>
          <w:rFonts w:ascii="宋体" w:hAnsi="宋体"/>
          <w:color w:val="auto"/>
          <w:szCs w:val="21"/>
          <w:highlight w:val="none"/>
        </w:rPr>
        <w:t>前，以书面形式通知所有</w:t>
      </w:r>
      <w:r>
        <w:rPr>
          <w:rFonts w:hint="eastAsia" w:ascii="宋体" w:hAnsi="宋体"/>
          <w:color w:val="auto"/>
          <w:szCs w:val="21"/>
          <w:highlight w:val="none"/>
        </w:rPr>
        <w:t>获取</w:t>
      </w:r>
      <w:r>
        <w:rPr>
          <w:rFonts w:ascii="宋体" w:hAnsi="宋体"/>
          <w:color w:val="auto"/>
          <w:szCs w:val="21"/>
          <w:highlight w:val="none"/>
        </w:rPr>
        <w:t>磋商文件的供应商，不足</w:t>
      </w:r>
      <w:r>
        <w:rPr>
          <w:rFonts w:hint="eastAsia" w:ascii="宋体" w:hAnsi="宋体"/>
          <w:color w:val="auto"/>
          <w:szCs w:val="21"/>
          <w:highlight w:val="none"/>
          <w:lang w:val="en-US" w:eastAsia="zh-CN"/>
        </w:rPr>
        <w:t>3个工作日</w:t>
      </w:r>
      <w:r>
        <w:rPr>
          <w:rFonts w:ascii="宋体" w:hAnsi="宋体"/>
          <w:color w:val="auto"/>
          <w:szCs w:val="21"/>
          <w:highlight w:val="none"/>
        </w:rPr>
        <w:t>的，应当顺延提交首次响应文件截止之日。</w:t>
      </w:r>
    </w:p>
    <w:p w14:paraId="601DA8D2">
      <w:pPr>
        <w:spacing w:line="360" w:lineRule="auto"/>
        <w:rPr>
          <w:rFonts w:ascii="宋体" w:hAnsi="宋体"/>
          <w:color w:val="auto"/>
          <w:szCs w:val="21"/>
          <w:highlight w:val="none"/>
        </w:rPr>
      </w:pPr>
    </w:p>
    <w:p w14:paraId="04819880">
      <w:pPr>
        <w:spacing w:line="360" w:lineRule="auto"/>
        <w:jc w:val="center"/>
        <w:rPr>
          <w:rFonts w:ascii="宋体" w:hAnsi="宋体"/>
          <w:b/>
          <w:bCs/>
          <w:color w:val="auto"/>
          <w:szCs w:val="21"/>
          <w:highlight w:val="none"/>
        </w:rPr>
      </w:pPr>
      <w:r>
        <w:rPr>
          <w:rFonts w:hint="eastAsia" w:ascii="宋体" w:hAnsi="宋体"/>
          <w:b/>
          <w:bCs/>
          <w:color w:val="auto"/>
          <w:sz w:val="32"/>
          <w:szCs w:val="32"/>
          <w:highlight w:val="none"/>
        </w:rPr>
        <w:t>三、响应文件的编制</w:t>
      </w:r>
    </w:p>
    <w:p w14:paraId="1E0B2CC7">
      <w:pPr>
        <w:spacing w:line="360" w:lineRule="auto"/>
        <w:rPr>
          <w:rFonts w:ascii="宋体" w:hAnsi="宋体"/>
          <w:color w:val="auto"/>
          <w:szCs w:val="21"/>
          <w:highlight w:val="none"/>
        </w:rPr>
      </w:pPr>
    </w:p>
    <w:p w14:paraId="647085DD">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14:paraId="4EE8C6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4842901C">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14:paraId="2B699F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12.1响应文件由资格证明文件、报价文件、商务技术文件三部分组成。</w:t>
      </w:r>
    </w:p>
    <w:p w14:paraId="7CA12D6B">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12.1.1资格证明文件：详见“供应商须知前附表”</w:t>
      </w:r>
    </w:p>
    <w:p w14:paraId="003C40B4">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12.1.2报价文件：详见“供应商须知前附表”</w:t>
      </w:r>
    </w:p>
    <w:p w14:paraId="3B176DC1">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12.1.3商务技术文件：详见“供应商须知前附表”</w:t>
      </w:r>
    </w:p>
    <w:p w14:paraId="62FA7178">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14:paraId="0777AF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5947EFC3">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14.磋商的风险</w:t>
      </w:r>
    </w:p>
    <w:p w14:paraId="152BDC9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0B382FF9">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15.磋商报价</w:t>
      </w:r>
    </w:p>
    <w:p w14:paraId="15F787DB">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15.1磋商报价应按磋商文件中“磋商报价表”格式填写。</w:t>
      </w:r>
    </w:p>
    <w:p w14:paraId="3362D128">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15.2磋商报价的内容见“供应商须知前附表”。</w:t>
      </w:r>
    </w:p>
    <w:p w14:paraId="088D1807">
      <w:pPr>
        <w:spacing w:line="360" w:lineRule="auto"/>
        <w:ind w:left="426" w:leftChars="203"/>
        <w:rPr>
          <w:rFonts w:ascii="宋体" w:hAnsi="宋体" w:cs="宋体"/>
          <w:color w:val="auto"/>
          <w:szCs w:val="21"/>
          <w:highlight w:val="none"/>
        </w:rPr>
      </w:pPr>
      <w:r>
        <w:rPr>
          <w:rFonts w:hint="eastAsia" w:ascii="宋体" w:hAnsi="宋体" w:cs="宋体"/>
          <w:color w:val="auto"/>
          <w:szCs w:val="21"/>
          <w:highlight w:val="none"/>
        </w:rPr>
        <w:t>15.3磋商报价要求</w:t>
      </w:r>
    </w:p>
    <w:p w14:paraId="3FA60B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5.3.1</w:t>
      </w:r>
      <w:r>
        <w:rPr>
          <w:rFonts w:hint="eastAsia" w:ascii="宋体" w:hAnsi="宋体" w:cs="宋体"/>
          <w:color w:val="auto"/>
          <w:szCs w:val="21"/>
          <w:highlight w:val="none"/>
        </w:rPr>
        <w:t>供应商的磋商报价应符合以下要求，否则响应文件按无效响应处理：</w:t>
      </w:r>
    </w:p>
    <w:p w14:paraId="77AEDE1B">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w:t>
      </w:r>
    </w:p>
    <w:p w14:paraId="2FD653FE">
      <w:pPr>
        <w:spacing w:line="360" w:lineRule="auto"/>
        <w:rPr>
          <w:rFonts w:ascii="宋体" w:hAnsi="宋体" w:cs="宋体"/>
          <w:color w:val="auto"/>
          <w:szCs w:val="21"/>
          <w:highlight w:val="none"/>
        </w:rPr>
      </w:pPr>
      <w:r>
        <w:rPr>
          <w:rFonts w:hint="eastAsia" w:ascii="宋体" w:hAnsi="宋体" w:cs="宋体"/>
          <w:color w:val="auto"/>
          <w:szCs w:val="21"/>
          <w:highlight w:val="none"/>
        </w:rPr>
        <w:t>不得存在漏项报价；</w:t>
      </w:r>
    </w:p>
    <w:p w14:paraId="44A709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）供应商必须就所竞标的分标的单项内容作唯一报价。</w:t>
      </w:r>
    </w:p>
    <w:p w14:paraId="1CF747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2</w:t>
      </w:r>
      <w:r>
        <w:rPr>
          <w:rFonts w:hint="eastAsia" w:ascii="宋体" w:hAnsi="宋体" w:cs="宋体"/>
          <w:color w:val="auto"/>
          <w:szCs w:val="21"/>
          <w:highlight w:val="none"/>
        </w:rPr>
        <w:t>磋商报价（包含首次报价、最后报价）超过所磋商分标规定的采购预算金额或者最高限价的，其响应文件将按无效处理。</w:t>
      </w:r>
    </w:p>
    <w:p w14:paraId="31E156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3</w:t>
      </w:r>
      <w:bookmarkStart w:id="56" w:name="_Hlk42592874"/>
      <w:r>
        <w:rPr>
          <w:rFonts w:hint="eastAsia" w:ascii="宋体" w:hAnsi="宋体" w:cs="宋体"/>
          <w:color w:val="auto"/>
          <w:szCs w:val="21"/>
          <w:highlight w:val="none"/>
        </w:rPr>
        <w:t>磋商报价（包含首次报价、最后报价）超过分项采购预算金额或者最高限价的，其响应文件将按无效处理。</w:t>
      </w:r>
    </w:p>
    <w:bookmarkEnd w:id="56"/>
    <w:p w14:paraId="1285887A">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16.竞标有效期</w:t>
      </w:r>
    </w:p>
    <w:p w14:paraId="178D522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3F238F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0DCE5E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3A5D9D89">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17.磋商保证金</w:t>
      </w:r>
    </w:p>
    <w:p w14:paraId="1DE3DF68">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14:paraId="499A7CC1">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17.2磋商保证金的退还</w:t>
      </w:r>
    </w:p>
    <w:p w14:paraId="145525B2">
      <w:pPr>
        <w:spacing w:line="360" w:lineRule="auto"/>
        <w:ind w:firstLine="420" w:firstLineChars="200"/>
        <w:rPr>
          <w:rFonts w:ascii="宋体" w:hAnsi="宋体" w:cs="宋体"/>
          <w:color w:val="auto"/>
          <w:szCs w:val="21"/>
          <w:highlight w:val="none"/>
        </w:rPr>
      </w:pPr>
      <w:bookmarkStart w:id="57" w:name="_Hlk66782243"/>
      <w:r>
        <w:rPr>
          <w:rFonts w:hint="eastAsia" w:ascii="宋体" w:hAnsi="宋体" w:cs="宋体"/>
          <w:color w:val="auto"/>
          <w:szCs w:val="21"/>
          <w:highlight w:val="none"/>
        </w:rPr>
        <w:t>未</w:t>
      </w:r>
      <w:r>
        <w:rPr>
          <w:rFonts w:hint="eastAsia" w:ascii="宋体" w:hAnsi="宋体" w:cs="宋体"/>
          <w:color w:val="auto"/>
          <w:spacing w:val="-6"/>
          <w:szCs w:val="21"/>
          <w:highlight w:val="none"/>
        </w:rPr>
        <w:t>成交供应商的竞标保证金自成交通知书发出之日起</w:t>
      </w:r>
      <w:r>
        <w:rPr>
          <w:rFonts w:ascii="宋体" w:hAnsi="宋体" w:cs="宋体"/>
          <w:color w:val="auto"/>
          <w:spacing w:val="-6"/>
          <w:szCs w:val="21"/>
          <w:highlight w:val="none"/>
        </w:rPr>
        <w:t>4</w:t>
      </w:r>
      <w:r>
        <w:rPr>
          <w:rFonts w:hint="eastAsia" w:ascii="宋体" w:hAnsi="宋体" w:cs="宋体"/>
          <w:color w:val="auto"/>
          <w:spacing w:val="-6"/>
          <w:szCs w:val="21"/>
          <w:highlight w:val="none"/>
        </w:rPr>
        <w:t>个工作日内退还；</w:t>
      </w:r>
      <w:r>
        <w:rPr>
          <w:rFonts w:hint="eastAsia" w:ascii="宋体" w:hAnsi="宋体" w:cs="宋体"/>
          <w:color w:val="auto"/>
          <w:szCs w:val="21"/>
          <w:highlight w:val="none"/>
        </w:rPr>
        <w:t>成交供应商的磋商保证金自签订合同之日起</w:t>
      </w:r>
      <w:r>
        <w:rPr>
          <w:rFonts w:ascii="宋体" w:hAnsi="宋体" w:cs="宋体"/>
          <w:color w:val="auto"/>
          <w:szCs w:val="21"/>
          <w:highlight w:val="none"/>
        </w:rPr>
        <w:t>4</w:t>
      </w:r>
      <w:r>
        <w:rPr>
          <w:rFonts w:hint="eastAsia" w:ascii="宋体" w:hAnsi="宋体" w:cs="宋体"/>
          <w:color w:val="auto"/>
          <w:szCs w:val="21"/>
          <w:highlight w:val="none"/>
        </w:rPr>
        <w:t>个工作日内退还。</w:t>
      </w:r>
      <w:bookmarkEnd w:id="57"/>
    </w:p>
    <w:p w14:paraId="3B960D66">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17.3磋商保证金不计息。</w:t>
      </w:r>
    </w:p>
    <w:p w14:paraId="4477861B">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17.4供应商有下列情形之一的，磋商保证金将不予退还：</w:t>
      </w:r>
    </w:p>
    <w:p w14:paraId="7FDAA4DE">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4E96F1C1">
      <w:pPr>
        <w:spacing w:line="360" w:lineRule="auto"/>
        <w:ind w:left="420" w:leftChars="200"/>
        <w:rPr>
          <w:rFonts w:ascii="宋体" w:hAnsi="宋体" w:cs="宋体"/>
          <w:color w:val="auto"/>
          <w:szCs w:val="21"/>
          <w:highlight w:val="none"/>
        </w:rPr>
      </w:pPr>
      <w:r>
        <w:rPr>
          <w:rFonts w:hint="eastAsia" w:ascii="宋体" w:hAnsi="宋体"/>
          <w:color w:val="auto"/>
          <w:szCs w:val="21"/>
          <w:highlight w:val="none"/>
        </w:rPr>
        <w:t>（2）未按规定提交履约保证金的；</w:t>
      </w:r>
    </w:p>
    <w:p w14:paraId="0110D16E">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（3）供应商在响应文件中提供虚假材料的；</w:t>
      </w:r>
    </w:p>
    <w:p w14:paraId="29A9F4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（4）除因不可抗力或者磋商文件认可的情形以外，成交供应商不与采购人签订合同的；</w:t>
      </w:r>
    </w:p>
    <w:p w14:paraId="08AFA813">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（5）供应商与采购人、其他供应商或者采购代理机构恶意串通的；</w:t>
      </w:r>
    </w:p>
    <w:p w14:paraId="1E5F727C">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（6）法律法规规定的其他情形。</w:t>
      </w:r>
    </w:p>
    <w:p w14:paraId="2D2F37A3">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18.响应文件编制的要求</w:t>
      </w:r>
    </w:p>
    <w:p w14:paraId="764F482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供应商应先安装“广西政府采购云平台新版客户端”（请自行前往广西政府采购云平台进行下载），并按照本项目磋商文件规定的格式和顺序和广西政府采购云平台的要求编制并加密。响应文件内容不完整、编排混乱导致响应文件被误读、漏读或者查找不到相关内容的，由此引发的后果由供应商承担。</w:t>
      </w:r>
    </w:p>
    <w:p w14:paraId="7163D59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18.2为确保网上操作合法、有效和安全，供应商应当在提交响应文件截止时间前完成在广西政府采购云平台的身份认证，确保在电子竞标过程中能够对相关数据电文进行加密和使用电子签章。</w:t>
      </w:r>
    </w:p>
    <w:p w14:paraId="63642A1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18.3响应文件须由供应商在规定位置签字、盖章（具体以供应商须知前附表或响应文件格式规定为准），否则按无效响应处理。</w:t>
      </w:r>
    </w:p>
    <w:p w14:paraId="0E1AB3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14:paraId="5BDF26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2F1927EF">
      <w:pPr>
        <w:spacing w:line="360" w:lineRule="auto"/>
        <w:ind w:firstLine="482" w:firstLineChars="200"/>
        <w:rPr>
          <w:rFonts w:ascii="黑体" w:hAnsi="黑体" w:eastAsia="黑体"/>
          <w:color w:val="auto"/>
          <w:sz w:val="24"/>
          <w:highlight w:val="none"/>
        </w:rPr>
      </w:pPr>
      <w:r>
        <w:rPr>
          <w:rFonts w:hint="eastAsia" w:ascii="黑体" w:hAnsi="黑体" w:eastAsia="黑体" w:cs="宋体"/>
          <w:b/>
          <w:bCs/>
          <w:color w:val="auto"/>
          <w:sz w:val="24"/>
          <w:highlight w:val="none"/>
        </w:rPr>
        <w:t>19.电子</w:t>
      </w:r>
      <w:r>
        <w:rPr>
          <w:rFonts w:hint="eastAsia" w:ascii="黑体" w:hAnsi="黑体" w:eastAsia="黑体"/>
          <w:b/>
          <w:color w:val="auto"/>
          <w:sz w:val="24"/>
          <w:highlight w:val="none"/>
        </w:rPr>
        <w:t>备份响应文件</w:t>
      </w:r>
    </w:p>
    <w:p w14:paraId="73C5B321">
      <w:pPr>
        <w:spacing w:line="360" w:lineRule="auto"/>
        <w:ind w:firstLine="420" w:firstLineChars="200"/>
        <w:rPr>
          <w:rFonts w:ascii="宋体" w:hAnsi="宋体" w:cs="宋体"/>
          <w:color w:val="auto"/>
          <w:szCs w:val="21"/>
          <w:highlight w:val="none"/>
        </w:rPr>
      </w:pPr>
      <w:r>
        <w:rPr>
          <w:rFonts w:hint="eastAsia"/>
          <w:color w:val="auto"/>
          <w:highlight w:val="none"/>
        </w:rPr>
        <w:t>电子备份响应文件是指通过“</w:t>
      </w:r>
      <w:r>
        <w:rPr>
          <w:rFonts w:hint="eastAsia" w:ascii="宋体" w:hAnsi="宋体" w:cs="宋体"/>
          <w:color w:val="auto"/>
          <w:szCs w:val="21"/>
          <w:highlight w:val="none"/>
        </w:rPr>
        <w:t>广西政府采购云平台新版客户端</w:t>
      </w:r>
      <w:r>
        <w:rPr>
          <w:rFonts w:hint="eastAsia"/>
          <w:color w:val="auto"/>
          <w:highlight w:val="none"/>
        </w:rPr>
        <w:t>”在线编制生成且后缀名为“</w:t>
      </w:r>
      <w:r>
        <w:rPr>
          <w:color w:val="auto"/>
          <w:highlight w:val="none"/>
        </w:rPr>
        <w:t>bfbs</w:t>
      </w:r>
      <w:r>
        <w:rPr>
          <w:rFonts w:hint="eastAsia"/>
          <w:color w:val="auto"/>
          <w:highlight w:val="none"/>
        </w:rPr>
        <w:t>”的文件，是否接受电子备份响应文件</w:t>
      </w:r>
      <w:r>
        <w:rPr>
          <w:rFonts w:hint="eastAsia" w:hAnsi="宋体"/>
          <w:bCs/>
          <w:color w:val="auto"/>
          <w:szCs w:val="21"/>
          <w:highlight w:val="none"/>
        </w:rPr>
        <w:t>详见在“供应商须知前附表”。</w:t>
      </w:r>
    </w:p>
    <w:p w14:paraId="681D6750">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14:paraId="1FAFC179">
      <w:pPr>
        <w:spacing w:line="360" w:lineRule="auto"/>
        <w:ind w:firstLine="420" w:firstLineChars="200"/>
        <w:rPr>
          <w:rFonts w:hAnsi="宋体"/>
          <w:b/>
          <w:color w:val="auto"/>
          <w:highlight w:val="none"/>
        </w:rPr>
      </w:pPr>
      <w:r>
        <w:rPr>
          <w:rFonts w:hint="eastAsia" w:hAnsi="宋体"/>
          <w:bCs/>
          <w:color w:val="auto"/>
          <w:szCs w:val="21"/>
          <w:highlight w:val="none"/>
        </w:rPr>
        <w:t>20.1供应商必须按“供应商须知前附表”规定的</w:t>
      </w:r>
      <w:r>
        <w:rPr>
          <w:rFonts w:hint="eastAsia" w:ascii="宋体" w:hAnsi="宋体" w:cs="宋体"/>
          <w:color w:val="auto"/>
          <w:szCs w:val="21"/>
          <w:highlight w:val="none"/>
        </w:rPr>
        <w:t>时间</w:t>
      </w:r>
      <w:r>
        <w:rPr>
          <w:rFonts w:hint="eastAsia" w:ascii="宋体" w:hAnsi="宋体"/>
          <w:color w:val="auto"/>
          <w:szCs w:val="21"/>
          <w:highlight w:val="none"/>
        </w:rPr>
        <w:t>及</w:t>
      </w:r>
      <w:r>
        <w:rPr>
          <w:rFonts w:hint="eastAsia" w:hAnsi="宋体"/>
          <w:bCs/>
          <w:color w:val="auto"/>
          <w:szCs w:val="21"/>
          <w:highlight w:val="none"/>
        </w:rPr>
        <w:t>地点提交响应文件。电子响应文件应在制作完成后，</w:t>
      </w:r>
      <w:r>
        <w:rPr>
          <w:rFonts w:hAnsi="宋体"/>
          <w:bCs/>
          <w:color w:val="auto"/>
          <w:szCs w:val="21"/>
          <w:highlight w:val="none"/>
        </w:rPr>
        <w:t>在</w:t>
      </w:r>
      <w:r>
        <w:rPr>
          <w:rFonts w:hint="eastAsia" w:hAnsi="宋体"/>
          <w:bCs/>
          <w:color w:val="auto"/>
          <w:szCs w:val="21"/>
          <w:highlight w:val="none"/>
        </w:rPr>
        <w:t>提交响应文件截止</w:t>
      </w:r>
      <w:r>
        <w:rPr>
          <w:rFonts w:hAnsi="宋体"/>
          <w:bCs/>
          <w:color w:val="auto"/>
          <w:szCs w:val="21"/>
          <w:highlight w:val="none"/>
        </w:rPr>
        <w:t>时间前</w:t>
      </w:r>
      <w:r>
        <w:rPr>
          <w:rFonts w:hint="eastAsia" w:hAnsi="宋体"/>
          <w:bCs/>
          <w:color w:val="auto"/>
          <w:szCs w:val="21"/>
          <w:highlight w:val="none"/>
        </w:rPr>
        <w:t>通过有效数字证书（CA认证锁）进行电子签章、加密，然后通过网络将加密的电子响应文件提交至</w:t>
      </w:r>
      <w:r>
        <w:rPr>
          <w:rFonts w:hint="eastAsia" w:ascii="宋体" w:hAnsi="宋体"/>
          <w:color w:val="auto"/>
          <w:szCs w:val="21"/>
          <w:highlight w:val="none"/>
        </w:rPr>
        <w:t>广西政府采购云平台</w:t>
      </w:r>
      <w:r>
        <w:rPr>
          <w:rFonts w:hint="eastAsia" w:hAnsi="宋体"/>
          <w:bCs/>
          <w:color w:val="auto"/>
          <w:szCs w:val="21"/>
          <w:highlight w:val="none"/>
        </w:rPr>
        <w:t>。</w:t>
      </w:r>
    </w:p>
    <w:p w14:paraId="4000A89A">
      <w:pPr>
        <w:spacing w:line="360" w:lineRule="auto"/>
        <w:ind w:firstLine="422" w:firstLineChars="200"/>
        <w:rPr>
          <w:rFonts w:ascii="宋体" w:hAnsi="宋体" w:cs="宋体"/>
          <w:color w:val="auto"/>
          <w:szCs w:val="21"/>
          <w:highlight w:val="none"/>
        </w:rPr>
      </w:pPr>
      <w:r>
        <w:rPr>
          <w:rFonts w:hint="eastAsia" w:ascii="宋体" w:hAnsi="宋体"/>
          <w:b/>
          <w:color w:val="auto"/>
          <w:szCs w:val="21"/>
          <w:highlight w:val="none"/>
        </w:rPr>
        <w:t>20.</w:t>
      </w:r>
      <w:r>
        <w:rPr>
          <w:rFonts w:ascii="宋体" w:hAnsi="宋体"/>
          <w:b/>
          <w:color w:val="auto"/>
          <w:szCs w:val="21"/>
          <w:highlight w:val="none"/>
        </w:rPr>
        <w:t>2</w:t>
      </w:r>
      <w:r>
        <w:rPr>
          <w:rFonts w:hint="eastAsia" w:ascii="宋体" w:hAnsi="宋体"/>
          <w:b/>
          <w:color w:val="auto"/>
          <w:szCs w:val="21"/>
          <w:highlight w:val="none"/>
        </w:rPr>
        <w:t>未在规定时间内提交或者未按照磋商文件要求加密的电子响应文件，广西政府采购云平台将拒收。</w:t>
      </w:r>
    </w:p>
    <w:p w14:paraId="3E01E5C1">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21.首次响应文件的补充、修改与撤回</w:t>
      </w:r>
    </w:p>
    <w:p w14:paraId="62E09877">
      <w:pPr>
        <w:snapToGrid w:val="0"/>
        <w:spacing w:line="360" w:lineRule="auto"/>
        <w:ind w:firstLine="420"/>
        <w:jc w:val="left"/>
        <w:rPr>
          <w:rFonts w:ascii="宋体" w:hAnsi="宋体"/>
          <w:color w:val="auto"/>
          <w:szCs w:val="21"/>
          <w:highlight w:val="none"/>
        </w:rPr>
      </w:pPr>
      <w:bookmarkStart w:id="58" w:name="_Toc254970543"/>
      <w:bookmarkStart w:id="59" w:name="_Toc254970684"/>
      <w:r>
        <w:rPr>
          <w:rFonts w:ascii="宋体" w:hAnsi="宋体" w:cs="宋体"/>
          <w:color w:val="auto"/>
          <w:szCs w:val="21"/>
          <w:highlight w:val="none"/>
        </w:rPr>
        <w:t>2</w:t>
      </w:r>
      <w:r>
        <w:rPr>
          <w:rFonts w:hint="eastAsia" w:ascii="宋体" w:hAnsi="宋体" w:cs="宋体"/>
          <w:color w:val="auto"/>
          <w:szCs w:val="21"/>
          <w:highlight w:val="none"/>
        </w:rPr>
        <w:t>1.1</w:t>
      </w:r>
      <w:r>
        <w:rPr>
          <w:rFonts w:hint="eastAsia" w:ascii="宋体" w:hAnsi="宋体"/>
          <w:bCs/>
          <w:color w:val="auto"/>
          <w:szCs w:val="21"/>
          <w:highlight w:val="none"/>
        </w:rPr>
        <w:t>供应商应当在</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前完成电子响应文件的提交（上传），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可以补充、修改或者撤回响应文件。补充或者修改响应文件的，应当先行撤回原响应文件，补充、修改后重新提交（上传），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未完成提交（上传）的，视为撤回响应文件。</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以后提交（上传）的响应文件，广西政府采购云平台将予以拒收。</w:t>
      </w:r>
      <w:r>
        <w:rPr>
          <w:rFonts w:hint="eastAsia" w:ascii="宋体" w:hAnsi="宋体" w:cs="宋体"/>
          <w:color w:val="auto"/>
          <w:szCs w:val="21"/>
          <w:highlight w:val="none"/>
        </w:rPr>
        <w:t>（补充、修改或者撤回方式可</w:t>
      </w:r>
      <w:r>
        <w:rPr>
          <w:rFonts w:hint="eastAsia" w:ascii="宋体" w:hAnsi="宋体"/>
          <w:color w:val="auto"/>
          <w:szCs w:val="21"/>
          <w:highlight w:val="none"/>
        </w:rPr>
        <w:t>登录</w:t>
      </w:r>
      <w:r>
        <w:rPr>
          <w:rFonts w:hint="eastAsia" w:ascii="宋体" w:hAnsi="宋体" w:cs="宋体"/>
          <w:color w:val="auto"/>
          <w:kern w:val="0"/>
          <w:szCs w:val="21"/>
          <w:highlight w:val="none"/>
        </w:rPr>
        <w:t>广西政府采购云平台，</w:t>
      </w:r>
      <w:r>
        <w:rPr>
          <w:rFonts w:hint="eastAsia" w:ascii="宋体" w:hAnsi="宋体"/>
          <w:color w:val="auto"/>
          <w:szCs w:val="21"/>
          <w:highlight w:val="none"/>
        </w:rPr>
        <w:t>进入“服务中心”中查看</w:t>
      </w:r>
      <w:r>
        <w:rPr>
          <w:rFonts w:hint="eastAsia" w:ascii="宋体" w:hAnsi="宋体" w:cs="宋体"/>
          <w:color w:val="auto"/>
          <w:szCs w:val="21"/>
          <w:highlight w:val="none"/>
        </w:rPr>
        <w:t>“电子</w:t>
      </w:r>
      <w:r>
        <w:rPr>
          <w:rFonts w:hint="eastAsia" w:ascii="宋体" w:hAnsi="宋体" w:cs="宋体"/>
          <w:color w:val="auto"/>
          <w:szCs w:val="21"/>
          <w:highlight w:val="none"/>
          <w:lang w:eastAsia="zh-CN"/>
        </w:rPr>
        <w:t>投标文件</w:t>
      </w:r>
      <w:r>
        <w:rPr>
          <w:rFonts w:hint="eastAsia" w:ascii="宋体" w:hAnsi="宋体" w:cs="宋体"/>
          <w:color w:val="auto"/>
          <w:szCs w:val="21"/>
          <w:highlight w:val="none"/>
        </w:rPr>
        <w:t>制作与投送教程”）</w:t>
      </w:r>
    </w:p>
    <w:bookmarkEnd w:id="58"/>
    <w:bookmarkEnd w:id="59"/>
    <w:p w14:paraId="6B786EA9">
      <w:pPr>
        <w:pStyle w:val="62"/>
        <w:spacing w:before="0"/>
        <w:ind w:firstLine="420"/>
        <w:rPr>
          <w:rFonts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1</w:t>
      </w:r>
      <w:r>
        <w:rPr>
          <w:rFonts w:ascii="宋体" w:hAnsi="宋体" w:cs="宋体"/>
          <w:color w:val="auto"/>
          <w:sz w:val="21"/>
          <w:szCs w:val="21"/>
          <w:highlight w:val="none"/>
        </w:rPr>
        <w:t>.</w:t>
      </w:r>
      <w:r>
        <w:rPr>
          <w:rFonts w:hint="eastAsia" w:ascii="宋体" w:hAnsi="宋体" w:cs="宋体"/>
          <w:color w:val="auto"/>
          <w:sz w:val="21"/>
          <w:szCs w:val="21"/>
          <w:highlight w:val="none"/>
        </w:rPr>
        <w:t>2在提交响应文件截止时间前，除供应商补充、修改或者撤回响应文件外，任何单位和个人不得解密或提取响应文件。</w:t>
      </w:r>
    </w:p>
    <w:p w14:paraId="7E08D130">
      <w:pPr>
        <w:spacing w:line="360" w:lineRule="auto"/>
        <w:ind w:firstLine="482" w:firstLineChars="200"/>
        <w:rPr>
          <w:rFonts w:ascii="黑体" w:hAnsi="黑体" w:eastAsia="黑体" w:cs="宋体"/>
          <w:b/>
          <w:bCs/>
          <w:color w:val="auto"/>
          <w:sz w:val="24"/>
          <w:highlight w:val="none"/>
        </w:rPr>
      </w:pPr>
      <w:bookmarkStart w:id="60" w:name="_Hlk45702405"/>
      <w:r>
        <w:rPr>
          <w:rFonts w:hint="eastAsia" w:ascii="黑体" w:hAnsi="黑体" w:eastAsia="黑体" w:cs="宋体"/>
          <w:b/>
          <w:bCs/>
          <w:color w:val="auto"/>
          <w:sz w:val="24"/>
          <w:highlight w:val="none"/>
        </w:rPr>
        <w:t>22.响应文件的退回</w:t>
      </w:r>
    </w:p>
    <w:p w14:paraId="491C7C2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采购人和采购代理机构对已提交的响应文件概不退回。</w:t>
      </w:r>
    </w:p>
    <w:p w14:paraId="58AF5B92">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23.截止时间后的撤回</w:t>
      </w:r>
    </w:p>
    <w:p w14:paraId="0A2E5E3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供应商在响应文件提交截止时间后向采购人、采购代理机构书面申请撤回响应文件的，将根据本须知正文17.4的规定不予退还其磋商保证金。</w:t>
      </w:r>
    </w:p>
    <w:bookmarkEnd w:id="60"/>
    <w:p w14:paraId="53161C8C">
      <w:pPr>
        <w:spacing w:line="360" w:lineRule="auto"/>
        <w:rPr>
          <w:rFonts w:ascii="宋体" w:hAnsi="宋体"/>
          <w:color w:val="auto"/>
          <w:szCs w:val="21"/>
          <w:highlight w:val="none"/>
        </w:rPr>
      </w:pPr>
    </w:p>
    <w:p w14:paraId="0E539974">
      <w:pPr>
        <w:spacing w:line="360" w:lineRule="auto"/>
        <w:ind w:left="420" w:firstLine="420"/>
        <w:jc w:val="center"/>
        <w:rPr>
          <w:rFonts w:ascii="宋体" w:hAnsi="宋体"/>
          <w:b/>
          <w:bCs/>
          <w:color w:val="auto"/>
          <w:sz w:val="32"/>
          <w:szCs w:val="32"/>
          <w:highlight w:val="none"/>
        </w:rPr>
      </w:pPr>
      <w:r>
        <w:rPr>
          <w:rFonts w:hint="eastAsia" w:ascii="宋体" w:hAnsi="宋体"/>
          <w:b/>
          <w:bCs/>
          <w:color w:val="auto"/>
          <w:sz w:val="32"/>
          <w:szCs w:val="32"/>
          <w:highlight w:val="none"/>
        </w:rPr>
        <w:t>四、评审及磋商</w:t>
      </w:r>
    </w:p>
    <w:p w14:paraId="36FAA5F1">
      <w:pPr>
        <w:spacing w:line="360" w:lineRule="auto"/>
        <w:ind w:left="420" w:firstLine="420"/>
        <w:rPr>
          <w:rFonts w:ascii="宋体" w:hAnsi="宋体"/>
          <w:color w:val="auto"/>
          <w:szCs w:val="21"/>
          <w:highlight w:val="none"/>
        </w:rPr>
      </w:pPr>
    </w:p>
    <w:p w14:paraId="0669C9AA">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24.磋商小组成立</w:t>
      </w:r>
    </w:p>
    <w:p w14:paraId="00DD2A6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33782F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139316D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24.3</w:t>
      </w:r>
      <w:r>
        <w:rPr>
          <w:rFonts w:hint="eastAsia" w:hAnsi="宋体"/>
          <w:bCs/>
          <w:color w:val="auto"/>
          <w:szCs w:val="21"/>
          <w:highlight w:val="none"/>
        </w:rPr>
        <w:t>采购代理机构</w:t>
      </w:r>
      <w:r>
        <w:rPr>
          <w:rFonts w:hint="eastAsia" w:hAnsi="宋体"/>
          <w:bCs/>
          <w:color w:val="auto"/>
          <w:highlight w:val="none"/>
        </w:rPr>
        <w:t>应当</w:t>
      </w:r>
      <w:r>
        <w:rPr>
          <w:rFonts w:hint="eastAsia" w:hAnsi="宋体"/>
          <w:bCs/>
          <w:color w:val="auto"/>
          <w:szCs w:val="21"/>
          <w:highlight w:val="none"/>
        </w:rPr>
        <w:t>基于广西政府采购云平台</w:t>
      </w:r>
      <w:r>
        <w:rPr>
          <w:rFonts w:hint="eastAsia" w:hAnsi="宋体"/>
          <w:bCs/>
          <w:color w:val="auto"/>
          <w:highlight w:val="none"/>
        </w:rPr>
        <w:t>抽（选）取</w:t>
      </w:r>
      <w:r>
        <w:rPr>
          <w:rFonts w:hint="eastAsia" w:hAnsi="宋体"/>
          <w:bCs/>
          <w:color w:val="auto"/>
          <w:szCs w:val="21"/>
          <w:highlight w:val="none"/>
        </w:rPr>
        <w:t>评审专家。</w:t>
      </w:r>
    </w:p>
    <w:p w14:paraId="463CA91B">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25.</w:t>
      </w:r>
      <w:r>
        <w:rPr>
          <w:rFonts w:hint="eastAsia" w:ascii="黑体" w:hAnsi="黑体" w:eastAsia="黑体" w:cs="宋体"/>
          <w:b/>
          <w:bCs/>
          <w:color w:val="auto"/>
          <w:sz w:val="24"/>
          <w:highlight w:val="none"/>
        </w:rPr>
        <w:t>首次响应文件的开启和解密</w:t>
      </w:r>
    </w:p>
    <w:p w14:paraId="0486965E">
      <w:pPr>
        <w:spacing w:line="360" w:lineRule="auto"/>
        <w:ind w:firstLine="420" w:firstLineChars="200"/>
        <w:rPr>
          <w:rFonts w:ascii="宋体" w:hAnsi="宋体" w:cs="宋体"/>
          <w:color w:val="auto"/>
          <w:szCs w:val="21"/>
          <w:highlight w:val="none"/>
        </w:rPr>
      </w:pPr>
      <w:r>
        <w:rPr>
          <w:rFonts w:hint="eastAsia" w:hAnsi="宋体"/>
          <w:bCs/>
          <w:color w:val="auto"/>
          <w:highlight w:val="none"/>
        </w:rPr>
        <w:t>采购代理机构将在“供应商须知前附表”规定的时</w:t>
      </w:r>
      <w:r>
        <w:rPr>
          <w:rFonts w:hint="eastAsia" w:hAnsi="宋体"/>
          <w:color w:val="auto"/>
          <w:highlight w:val="none"/>
        </w:rPr>
        <w:t>间通过电子交易平台组织响应文件开启，供应商的法定代表人或其委托代理人须携带加密时所用的CA锁，按平台提示和磋商文件的规定登录到广西政府采购云平台电子开标大厅签到，</w:t>
      </w:r>
      <w:r>
        <w:rPr>
          <w:rFonts w:hint="eastAsia"/>
          <w:color w:val="auto"/>
          <w:highlight w:val="none"/>
        </w:rPr>
        <w:t>采购代理机构依托广西政府采购云平台向各供应商发出电子加密响应文件【开始解密】通知，由供应商按</w:t>
      </w:r>
      <w:r>
        <w:rPr>
          <w:rFonts w:hint="eastAsia" w:hAnsi="宋体"/>
          <w:bCs/>
          <w:color w:val="auto"/>
          <w:szCs w:val="21"/>
          <w:highlight w:val="none"/>
        </w:rPr>
        <w:t>“供应商须知前附表”</w:t>
      </w:r>
      <w:r>
        <w:rPr>
          <w:rFonts w:hint="eastAsia"/>
          <w:color w:val="auto"/>
          <w:highlight w:val="none"/>
        </w:rPr>
        <w:t>规定的时间内自行进行响应文件解密</w:t>
      </w:r>
      <w:r>
        <w:rPr>
          <w:rFonts w:hint="eastAsia" w:hAnsi="宋体"/>
          <w:color w:val="auto"/>
          <w:highlight w:val="none"/>
        </w:rPr>
        <w:t>。</w:t>
      </w:r>
      <w:r>
        <w:rPr>
          <w:rFonts w:hint="eastAsia"/>
          <w:b/>
          <w:color w:val="auto"/>
          <w:highlight w:val="none"/>
        </w:rPr>
        <w:t>供应商未在</w:t>
      </w:r>
      <w:r>
        <w:rPr>
          <w:b/>
          <w:color w:val="auto"/>
          <w:highlight w:val="none"/>
        </w:rPr>
        <w:t>规定的时间内解密</w:t>
      </w:r>
      <w:r>
        <w:rPr>
          <w:rFonts w:hint="eastAsia"/>
          <w:b/>
          <w:color w:val="auto"/>
          <w:highlight w:val="none"/>
        </w:rPr>
        <w:t>响应文件</w:t>
      </w:r>
      <w:r>
        <w:rPr>
          <w:b/>
          <w:color w:val="auto"/>
          <w:highlight w:val="none"/>
        </w:rPr>
        <w:t>或</w:t>
      </w:r>
      <w:r>
        <w:rPr>
          <w:rFonts w:hint="eastAsia"/>
          <w:b/>
          <w:color w:val="auto"/>
          <w:highlight w:val="none"/>
        </w:rPr>
        <w:t>者</w:t>
      </w:r>
      <w:r>
        <w:rPr>
          <w:b/>
          <w:color w:val="auto"/>
          <w:highlight w:val="none"/>
        </w:rPr>
        <w:t>解密失败的</w:t>
      </w:r>
      <w:r>
        <w:rPr>
          <w:rFonts w:hint="eastAsia"/>
          <w:b/>
          <w:color w:val="auto"/>
          <w:highlight w:val="none"/>
        </w:rPr>
        <w:t>，供应商</w:t>
      </w:r>
      <w:r>
        <w:rPr>
          <w:rFonts w:hint="eastAsia" w:ascii="宋体" w:hAnsi="宋体"/>
          <w:b/>
          <w:color w:val="auto"/>
          <w:szCs w:val="21"/>
          <w:highlight w:val="none"/>
        </w:rPr>
        <w:t>的响应文件作无效处理</w:t>
      </w:r>
      <w:r>
        <w:rPr>
          <w:b/>
          <w:color w:val="auto"/>
          <w:highlight w:val="none"/>
        </w:rPr>
        <w:t>。</w:t>
      </w:r>
    </w:p>
    <w:p w14:paraId="0A1684BC">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26</w:t>
      </w:r>
      <w:r>
        <w:rPr>
          <w:rFonts w:hint="eastAsia" w:ascii="黑体" w:hAnsi="黑体" w:eastAsia="黑体" w:cs="宋体"/>
          <w:b/>
          <w:bCs/>
          <w:color w:val="auto"/>
          <w:sz w:val="24"/>
          <w:highlight w:val="none"/>
        </w:rPr>
        <w:t>.评审程序、评审方法和评审标准</w:t>
      </w:r>
    </w:p>
    <w:p w14:paraId="74EC01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w:t>
      </w:r>
      <w:r>
        <w:rPr>
          <w:rFonts w:hint="eastAsia" w:ascii="宋体" w:hAnsi="宋体" w:cs="宋体"/>
          <w:color w:val="auto"/>
          <w:szCs w:val="21"/>
          <w:highlight w:val="none"/>
        </w:rPr>
        <w:t>.1本项目的评审方法为综合评分法。</w:t>
      </w:r>
    </w:p>
    <w:p w14:paraId="48BDFFC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26.2</w:t>
      </w:r>
      <w:r>
        <w:rPr>
          <w:rFonts w:hint="eastAsia" w:ascii="宋体" w:hAnsi="宋体" w:cs="宋体"/>
          <w:color w:val="auto"/>
          <w:szCs w:val="21"/>
          <w:highlight w:val="none"/>
        </w:rPr>
        <w:t>磋商小组</w:t>
      </w:r>
      <w:r>
        <w:rPr>
          <w:rFonts w:ascii="宋体" w:hAnsi="宋体" w:cs="宋体"/>
          <w:color w:val="auto"/>
          <w:szCs w:val="21"/>
          <w:highlight w:val="none"/>
        </w:rPr>
        <w:t>按照</w:t>
      </w:r>
      <w:r>
        <w:rPr>
          <w:rFonts w:hint="eastAsia" w:ascii="宋体" w:hAnsi="宋体" w:cs="宋体"/>
          <w:color w:val="auto"/>
          <w:szCs w:val="21"/>
          <w:highlight w:val="none"/>
        </w:rPr>
        <w:t>“第四章评审程序、评审方法和评审标准”</w:t>
      </w:r>
      <w:r>
        <w:rPr>
          <w:rFonts w:ascii="宋体" w:hAnsi="宋体" w:cs="宋体"/>
          <w:color w:val="auto"/>
          <w:szCs w:val="21"/>
          <w:highlight w:val="none"/>
        </w:rPr>
        <w:t>规定的方法、评审因素、标准和程序对</w:t>
      </w:r>
      <w:r>
        <w:rPr>
          <w:rFonts w:hint="eastAsia" w:ascii="宋体" w:hAnsi="宋体" w:cs="宋体"/>
          <w:color w:val="auto"/>
          <w:szCs w:val="21"/>
          <w:highlight w:val="none"/>
        </w:rPr>
        <w:t>响应</w:t>
      </w:r>
      <w:r>
        <w:rPr>
          <w:rFonts w:ascii="宋体" w:hAnsi="宋体" w:cs="宋体"/>
          <w:color w:val="auto"/>
          <w:szCs w:val="21"/>
          <w:highlight w:val="none"/>
        </w:rPr>
        <w:t>文件进行评审。</w:t>
      </w:r>
    </w:p>
    <w:p w14:paraId="489C2A98">
      <w:pPr>
        <w:spacing w:line="360" w:lineRule="auto"/>
        <w:ind w:firstLine="420" w:firstLineChars="200"/>
        <w:rPr>
          <w:rFonts w:ascii="宋体" w:hAnsi="宋体"/>
          <w:color w:val="auto"/>
          <w:szCs w:val="21"/>
          <w:highlight w:val="none"/>
        </w:rPr>
      </w:pPr>
      <w:r>
        <w:rPr>
          <w:rFonts w:hint="eastAsia" w:ascii="宋体" w:hAnsi="宋体" w:cs="宋体"/>
          <w:color w:val="auto"/>
          <w:highlight w:val="none"/>
        </w:rPr>
        <w:t>26.</w:t>
      </w:r>
      <w:r>
        <w:rPr>
          <w:rFonts w:hint="eastAsia" w:ascii="宋体" w:hAnsi="宋体" w:cs="宋体"/>
          <w:color w:val="auto"/>
          <w:highlight w:val="none"/>
          <w:lang w:val="en-US" w:eastAsia="zh-CN"/>
        </w:rPr>
        <w:t>3</w:t>
      </w:r>
      <w:r>
        <w:rPr>
          <w:rFonts w:hint="eastAsia" w:ascii="宋体" w:hAnsi="宋体" w:cs="宋体"/>
          <w:color w:val="auto"/>
          <w:highlight w:val="none"/>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3BBB01BF">
      <w:pPr>
        <w:spacing w:line="360" w:lineRule="auto"/>
        <w:ind w:firstLine="420" w:firstLineChars="200"/>
        <w:rPr>
          <w:rFonts w:hAnsi="宋体"/>
          <w:color w:val="auto"/>
          <w:highlight w:val="none"/>
        </w:rPr>
      </w:pPr>
      <w:r>
        <w:rPr>
          <w:rFonts w:hint="eastAsia" w:ascii="宋体" w:hAnsi="宋体" w:cs="宋体"/>
          <w:color w:val="auto"/>
          <w:highlight w:val="none"/>
        </w:rPr>
        <w:t>2</w:t>
      </w:r>
      <w:r>
        <w:rPr>
          <w:rFonts w:ascii="宋体" w:hAnsi="宋体" w:cs="宋体"/>
          <w:color w:val="auto"/>
          <w:highlight w:val="none"/>
        </w:rPr>
        <w:t>6.</w:t>
      </w:r>
      <w:r>
        <w:rPr>
          <w:rFonts w:hint="eastAsia" w:ascii="宋体" w:hAnsi="宋体" w:cs="宋体"/>
          <w:color w:val="auto"/>
          <w:highlight w:val="none"/>
          <w:lang w:val="en-US" w:eastAsia="zh-CN"/>
        </w:rPr>
        <w:t>4</w:t>
      </w:r>
      <w:r>
        <w:rPr>
          <w:rFonts w:hint="eastAsia" w:hAnsi="宋体"/>
          <w:color w:val="auto"/>
          <w:highlight w:val="none"/>
        </w:rPr>
        <w:t>电子交易活动的中止。采购过程中出现以下情形，导致电子交易平台无法正常运行，或者无法保证电子交易的公平、公正和安全时，采购机构可中止电子交易活动：</w:t>
      </w:r>
    </w:p>
    <w:p w14:paraId="603B9E58">
      <w:pPr>
        <w:spacing w:line="360" w:lineRule="auto"/>
        <w:ind w:firstLine="420" w:firstLineChars="200"/>
        <w:rPr>
          <w:rFonts w:hAnsi="宋体"/>
          <w:color w:val="auto"/>
          <w:highlight w:val="none"/>
        </w:rPr>
      </w:pPr>
      <w:r>
        <w:rPr>
          <w:rFonts w:hint="eastAsia" w:hAnsi="宋体"/>
          <w:color w:val="auto"/>
          <w:highlight w:val="none"/>
        </w:rPr>
        <w:t>（1）电子交易平台发生故障而无法登录访问的；</w:t>
      </w:r>
    </w:p>
    <w:p w14:paraId="00CBDB07">
      <w:pPr>
        <w:spacing w:line="360" w:lineRule="auto"/>
        <w:ind w:firstLine="420" w:firstLineChars="200"/>
        <w:rPr>
          <w:rFonts w:hAnsi="宋体"/>
          <w:color w:val="auto"/>
          <w:highlight w:val="none"/>
        </w:rPr>
      </w:pPr>
      <w:r>
        <w:rPr>
          <w:rFonts w:hint="eastAsia" w:hAnsi="宋体"/>
          <w:color w:val="auto"/>
          <w:highlight w:val="none"/>
        </w:rPr>
        <w:t>（2）电子交易平台应用或数据库出现错误，不能进行正常操作的；</w:t>
      </w:r>
    </w:p>
    <w:p w14:paraId="0B3A5360">
      <w:pPr>
        <w:spacing w:line="360" w:lineRule="auto"/>
        <w:ind w:firstLine="420" w:firstLineChars="200"/>
        <w:rPr>
          <w:rFonts w:hAnsi="宋体"/>
          <w:color w:val="auto"/>
          <w:highlight w:val="none"/>
        </w:rPr>
      </w:pPr>
      <w:r>
        <w:rPr>
          <w:rFonts w:hint="eastAsia" w:hAnsi="宋体"/>
          <w:color w:val="auto"/>
          <w:highlight w:val="none"/>
        </w:rPr>
        <w:t>（3）电子交易平台发现严重安全漏洞，有潜在泄密危险的；</w:t>
      </w:r>
    </w:p>
    <w:p w14:paraId="6396010E">
      <w:pPr>
        <w:spacing w:line="360" w:lineRule="auto"/>
        <w:ind w:firstLine="420" w:firstLineChars="200"/>
        <w:rPr>
          <w:rFonts w:hAnsi="宋体"/>
          <w:color w:val="auto"/>
          <w:highlight w:val="none"/>
        </w:rPr>
      </w:pPr>
      <w:r>
        <w:rPr>
          <w:rFonts w:hint="eastAsia" w:hAnsi="宋体"/>
          <w:color w:val="auto"/>
          <w:highlight w:val="none"/>
        </w:rPr>
        <w:t>（4）病毒发作导致不能进行正常操作的；</w:t>
      </w:r>
    </w:p>
    <w:p w14:paraId="5589692F">
      <w:pPr>
        <w:spacing w:line="360" w:lineRule="auto"/>
        <w:ind w:firstLine="420" w:firstLineChars="200"/>
        <w:rPr>
          <w:rFonts w:hAnsi="宋体"/>
          <w:color w:val="auto"/>
          <w:highlight w:val="none"/>
        </w:rPr>
      </w:pPr>
      <w:r>
        <w:rPr>
          <w:rFonts w:hint="eastAsia" w:hAnsi="宋体"/>
          <w:color w:val="auto"/>
          <w:highlight w:val="none"/>
        </w:rPr>
        <w:t>（5）其他无法保证电子交易的公平、公正和安全的情况。</w:t>
      </w:r>
    </w:p>
    <w:p w14:paraId="09ECE5BA">
      <w:pPr>
        <w:spacing w:line="360" w:lineRule="auto"/>
        <w:ind w:firstLine="420" w:firstLineChars="200"/>
        <w:rPr>
          <w:rFonts w:ascii="宋体" w:hAnsi="宋体" w:cs="宋体"/>
          <w:color w:val="auto"/>
          <w:szCs w:val="21"/>
          <w:highlight w:val="none"/>
        </w:rPr>
      </w:pPr>
      <w:r>
        <w:rPr>
          <w:rFonts w:hint="eastAsia" w:ascii="宋体" w:hAnsi="宋体"/>
          <w:color w:val="auto"/>
          <w:highlight w:val="none"/>
        </w:rPr>
        <w:t>26.</w:t>
      </w:r>
      <w:r>
        <w:rPr>
          <w:rFonts w:hint="eastAsia" w:ascii="宋体" w:hAnsi="宋体"/>
          <w:color w:val="auto"/>
          <w:highlight w:val="none"/>
          <w:lang w:val="en-US" w:eastAsia="zh-CN"/>
        </w:rPr>
        <w:t>5</w:t>
      </w:r>
      <w:r>
        <w:rPr>
          <w:rFonts w:hint="eastAsia" w:hAnsi="宋体"/>
          <w:color w:val="auto"/>
          <w:highlight w:val="none"/>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1D0C9DE3">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27</w:t>
      </w:r>
      <w:r>
        <w:rPr>
          <w:rFonts w:hint="eastAsia" w:ascii="黑体" w:hAnsi="黑体" w:eastAsia="黑体" w:cs="宋体"/>
          <w:b/>
          <w:bCs/>
          <w:color w:val="auto"/>
          <w:sz w:val="24"/>
          <w:highlight w:val="none"/>
        </w:rPr>
        <w:t>.确定成交供应商及结果公告</w:t>
      </w:r>
    </w:p>
    <w:p w14:paraId="1D3DD60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F9447A6">
      <w:pPr>
        <w:spacing w:line="360" w:lineRule="auto"/>
        <w:ind w:firstLine="420" w:firstLineChars="200"/>
        <w:rPr>
          <w:rFonts w:ascii="宋体" w:hAnsi="宋体" w:cs="Courier New"/>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61" w:name="_Hlk66782294"/>
      <w:r>
        <w:rPr>
          <w:rFonts w:hint="eastAsia" w:ascii="宋体" w:hAnsi="宋体" w:cs="Courier New"/>
          <w:color w:val="auto"/>
          <w:szCs w:val="21"/>
          <w:highlight w:val="none"/>
        </w:rPr>
        <w:t>成交供应商享受</w:t>
      </w:r>
      <w:r>
        <w:rPr>
          <w:rFonts w:hint="eastAsia" w:ascii="宋体" w:hAnsi="宋体"/>
          <w:color w:val="auto"/>
          <w:szCs w:val="21"/>
          <w:highlight w:val="none"/>
        </w:rPr>
        <w:t>《政府采购促进中小企业发展管理办法》（财库〔2020〕46号）规定的中小企业扶持</w:t>
      </w:r>
      <w:r>
        <w:rPr>
          <w:rFonts w:hint="eastAsia" w:ascii="宋体" w:hAnsi="宋体" w:cs="Courier New"/>
          <w:color w:val="auto"/>
          <w:szCs w:val="21"/>
          <w:highlight w:val="none"/>
        </w:rPr>
        <w:t>政策的，采购人、采购代理机构应当随成交结果公开成交供应商的《中小企业声明函》。</w:t>
      </w:r>
      <w:bookmarkEnd w:id="61"/>
    </w:p>
    <w:p w14:paraId="5B23021E">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27.3出现下列情形之一的，采购人或者采购代理机构应当终止竞争性磋商采购活动，发布项目终止公告并说明原因，重新开展采购活动：</w:t>
      </w:r>
    </w:p>
    <w:p w14:paraId="2E6BAA86">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（1）因情况变化，不再符合规定的竞争性磋商采购方式适用情形的；</w:t>
      </w:r>
    </w:p>
    <w:p w14:paraId="66F9C4BA">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（2）出现影响采购公正的违法、违规行为的；</w:t>
      </w:r>
    </w:p>
    <w:p w14:paraId="1D343349">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（3）除“第四章评审程序、评审方法和评审标准”第4.3条规定的情形外，在采购过程中符合要求的供应商或者报价未超过采购预算的供应商不足3家的。</w:t>
      </w:r>
    </w:p>
    <w:p w14:paraId="238B5414">
      <w:pPr>
        <w:spacing w:line="360" w:lineRule="auto"/>
        <w:ind w:firstLine="420" w:firstLineChars="200"/>
        <w:rPr>
          <w:rFonts w:ascii="宋体" w:hAnsi="宋体" w:cs="宋体"/>
          <w:color w:val="auto"/>
          <w:szCs w:val="21"/>
          <w:highlight w:val="none"/>
        </w:rPr>
      </w:pPr>
      <w:r>
        <w:rPr>
          <w:rFonts w:hint="eastAsia" w:ascii="宋体" w:hAnsi="宋体" w:cs="Courier New"/>
          <w:color w:val="auto"/>
          <w:szCs w:val="21"/>
          <w:highlight w:val="none"/>
        </w:rPr>
        <w:t>27.4 在采购活动中因重大变故，采购任务取消的，采购人或者采购代理机构应当终止采购活动，通知所有参加采购活动的供应商，并将项目实施情况和采购任务取消原因报送本级财政部门。</w:t>
      </w:r>
    </w:p>
    <w:p w14:paraId="573C96DE">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28</w:t>
      </w:r>
      <w:r>
        <w:rPr>
          <w:rFonts w:hint="eastAsia" w:ascii="黑体" w:hAnsi="黑体" w:eastAsia="黑体" w:cs="宋体"/>
          <w:b/>
          <w:bCs/>
          <w:color w:val="auto"/>
          <w:sz w:val="24"/>
          <w:highlight w:val="none"/>
        </w:rPr>
        <w:t>.履约保证金</w:t>
      </w:r>
    </w:p>
    <w:p w14:paraId="64A6DBD3">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.1履约保证金的金额、提交方式、退付的时间和条件详见“供应商须知前附表”。成交供应商未按规定提交履约保证金的，视为拒绝</w:t>
      </w:r>
      <w:r>
        <w:rPr>
          <w:rFonts w:ascii="宋体" w:hAnsi="宋体"/>
          <w:color w:val="auto"/>
          <w:highlight w:val="none"/>
        </w:rPr>
        <w:t>与采购人</w:t>
      </w:r>
      <w:r>
        <w:rPr>
          <w:rFonts w:hint="eastAsia" w:ascii="宋体" w:hAnsi="宋体" w:cs="宋体"/>
          <w:color w:val="auto"/>
          <w:szCs w:val="21"/>
          <w:highlight w:val="none"/>
        </w:rPr>
        <w:t>签订合同。</w:t>
      </w:r>
    </w:p>
    <w:p w14:paraId="7B5246E1">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.2在履约保证金退还日期前，若成交供应商的开户名称、开户银行、帐号有变动的，请以书面形式通知履约保证金收取单位，否则由此产生的后果由成交供应商自行承担。</w:t>
      </w:r>
    </w:p>
    <w:p w14:paraId="32E518B9">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29</w:t>
      </w:r>
      <w:r>
        <w:rPr>
          <w:rFonts w:hint="eastAsia" w:ascii="黑体" w:hAnsi="黑体" w:eastAsia="黑体" w:cs="宋体"/>
          <w:b/>
          <w:bCs/>
          <w:color w:val="auto"/>
          <w:sz w:val="24"/>
          <w:highlight w:val="none"/>
        </w:rPr>
        <w:t>.签订合同</w:t>
      </w:r>
    </w:p>
    <w:p w14:paraId="3AC2E7FD">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29.1签订电子采购合同：成交供应商领取电子成交通知书后，在</w:t>
      </w:r>
      <w:r>
        <w:rPr>
          <w:rFonts w:hint="eastAsia" w:ascii="宋体" w:hAnsi="宋体" w:cs="宋体"/>
          <w:color w:val="auto"/>
          <w:szCs w:val="21"/>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14:paraId="1CBDF4B4">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线下签订纸质合同：供应商领取成交通知书后，按“供应商须知前附表”规定向采购人出示相关证明材料，经采购人核验合格后方可签订合同。</w:t>
      </w:r>
    </w:p>
    <w:p w14:paraId="245759C9">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29.2签订合同时间：按成交通知书规定的时间与采购人签订合同。</w:t>
      </w:r>
    </w:p>
    <w:p w14:paraId="645072C7">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w:t>
      </w:r>
      <w:r>
        <w:rPr>
          <w:rFonts w:ascii="宋体" w:hAnsi="宋体" w:cs="宋体"/>
          <w:color w:val="auto"/>
          <w:szCs w:val="21"/>
          <w:highlight w:val="none"/>
        </w:rPr>
        <w:t>3</w:t>
      </w:r>
      <w:r>
        <w:rPr>
          <w:rFonts w:hint="eastAsia" w:ascii="宋体" w:hAnsi="宋体" w:cs="宋体"/>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055D87AD">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7B01A41B">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29.5采购人或成交供应商不得单方面向合同另一方提出任何磋商文件没有约定的条件或不合理的要求，作为签订合同的条件；也不得协商另行订立背离磋商文件和合同实质性内容的协议。</w:t>
      </w:r>
    </w:p>
    <w:p w14:paraId="52B60851">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29.6如签订合同并生效后，供应商无故拒绝或延期，除按照合同条款处理外，将承担相应的法律责任。</w:t>
      </w:r>
    </w:p>
    <w:p w14:paraId="2A441D13">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32A56A93">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30</w:t>
      </w:r>
      <w:r>
        <w:rPr>
          <w:rFonts w:hint="eastAsia" w:ascii="黑体" w:hAnsi="黑体" w:eastAsia="黑体" w:cs="宋体"/>
          <w:b/>
          <w:bCs/>
          <w:color w:val="auto"/>
          <w:sz w:val="24"/>
          <w:highlight w:val="none"/>
        </w:rPr>
        <w:t>.政府采购合同公告</w:t>
      </w:r>
    </w:p>
    <w:p w14:paraId="1B0544F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3619BE4C">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31</w:t>
      </w:r>
      <w:r>
        <w:rPr>
          <w:rFonts w:hint="eastAsia" w:ascii="黑体" w:hAnsi="黑体" w:eastAsia="黑体" w:cs="宋体"/>
          <w:b/>
          <w:bCs/>
          <w:color w:val="auto"/>
          <w:sz w:val="24"/>
          <w:highlight w:val="none"/>
        </w:rPr>
        <w:t>. 询问、质疑和投诉</w:t>
      </w:r>
    </w:p>
    <w:p w14:paraId="582BC9F2">
      <w:pPr>
        <w:pStyle w:val="8"/>
        <w:spacing w:line="360" w:lineRule="auto"/>
        <w:rPr>
          <w:rFonts w:ascii="宋体" w:hAnsi="宋体"/>
          <w:color w:val="auto"/>
          <w:szCs w:val="21"/>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highlight w:val="none"/>
        </w:rPr>
        <w:t>但答复的内容不得涉及商业秘密</w:t>
      </w:r>
      <w:r>
        <w:rPr>
          <w:rFonts w:hint="eastAsia" w:ascii="宋体" w:hAnsi="宋体" w:cs="宋体"/>
          <w:color w:val="auto"/>
          <w:highlight w:val="none"/>
        </w:rPr>
        <w:t>。</w:t>
      </w:r>
    </w:p>
    <w:p w14:paraId="61FE096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auto"/>
          <w:highlight w:val="none"/>
        </w:rPr>
        <w:t>接收质疑函的方式、联系部门、联系电话和通讯地址等信息</w:t>
      </w:r>
      <w:r>
        <w:rPr>
          <w:rFonts w:hint="eastAsia" w:ascii="宋体" w:hAnsi="宋体" w:cs="Arial"/>
          <w:color w:val="auto"/>
          <w:highlight w:val="none"/>
        </w:rPr>
        <w:t>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195CC85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（1）对可以质疑的磋商文件提出质疑的，为收到磋商文件之日或者</w:t>
      </w:r>
      <w:r>
        <w:rPr>
          <w:rFonts w:hint="eastAsia" w:ascii="宋体" w:hAnsi="宋体"/>
          <w:color w:val="auto"/>
          <w:highlight w:val="none"/>
        </w:rPr>
        <w:t>竞争性磋商公告期限届满之日</w:t>
      </w:r>
      <w:r>
        <w:rPr>
          <w:rFonts w:hint="eastAsia" w:ascii="宋体" w:hAnsi="宋体" w:cs="宋体"/>
          <w:color w:val="auto"/>
          <w:highlight w:val="none"/>
        </w:rPr>
        <w:t>；</w:t>
      </w:r>
    </w:p>
    <w:p w14:paraId="7FF1595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31FA1D3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644F513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27F84B5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.4 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14:paraId="0A72AB5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624273F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14:paraId="2CFB979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14:paraId="790E3C7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097B1C3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14:paraId="77D5D3E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14:paraId="4D61B06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3B69DE7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168DE5B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045708B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0E6ECB0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24D0F923">
      <w:pPr>
        <w:spacing w:line="360" w:lineRule="auto"/>
        <w:ind w:firstLine="420" w:firstLineChars="200"/>
        <w:rPr>
          <w:rFonts w:ascii="宋体" w:hAnsi="宋体" w:cs="宋体"/>
          <w:color w:val="auto"/>
          <w:szCs w:val="21"/>
          <w:highlight w:val="none"/>
        </w:rPr>
      </w:pPr>
      <w:r>
        <w:rPr>
          <w:rFonts w:ascii="宋体" w:hAnsi="宋体" w:cs="宋体"/>
          <w:color w:val="auto"/>
          <w:highlight w:val="none"/>
        </w:rPr>
        <w:t>31</w:t>
      </w: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60147AB5">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32</w:t>
      </w:r>
      <w:r>
        <w:rPr>
          <w:rFonts w:hint="eastAsia" w:ascii="黑体" w:hAnsi="黑体" w:eastAsia="黑体" w:cs="宋体"/>
          <w:b/>
          <w:bCs/>
          <w:color w:val="auto"/>
          <w:sz w:val="24"/>
          <w:highlight w:val="none"/>
        </w:rPr>
        <w:t>.其他内容</w:t>
      </w:r>
    </w:p>
    <w:p w14:paraId="12600B4F">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.1代理服务收取标准及缴费账户详见“供应商须知前附表”，供应商为联合体的，可以由联合体中的一方或者多方共同交纳代理服务费。</w:t>
      </w:r>
    </w:p>
    <w:p w14:paraId="7EBB94FD">
      <w:pPr>
        <w:spacing w:line="440" w:lineRule="exact"/>
        <w:ind w:firstLine="420" w:firstLineChars="200"/>
        <w:rPr>
          <w:rFonts w:ascii="宋体" w:hAnsi="宋体" w:cs="宋体"/>
          <w:color w:val="auto"/>
          <w:highlight w:val="none"/>
        </w:rPr>
      </w:pPr>
      <w:r>
        <w:rPr>
          <w:rFonts w:ascii="宋体" w:hAnsi="宋体" w:cs="宋体"/>
          <w:color w:val="auto"/>
          <w:szCs w:val="21"/>
          <w:highlight w:val="none"/>
        </w:rPr>
        <w:t>32.2</w:t>
      </w:r>
      <w:r>
        <w:rPr>
          <w:rFonts w:hint="eastAsia" w:ascii="宋体" w:hAnsi="宋体" w:cs="宋体"/>
          <w:color w:val="auto"/>
          <w:szCs w:val="21"/>
          <w:highlight w:val="none"/>
        </w:rPr>
        <w:t>代理服务费收费计算标准：</w:t>
      </w:r>
      <w:r>
        <w:rPr>
          <w:rFonts w:hint="eastAsia" w:ascii="宋体" w:hAnsi="宋体" w:cs="宋体"/>
          <w:color w:val="auto"/>
          <w:highlight w:val="none"/>
        </w:rPr>
        <w:t>详见“供应商须知前附表”</w:t>
      </w:r>
      <w:r>
        <w:rPr>
          <w:rFonts w:hint="eastAsia" w:hAnsi="宋体" w:cs="宋体"/>
          <w:color w:val="auto"/>
          <w:highlight w:val="none"/>
        </w:rPr>
        <w:t>。</w:t>
      </w:r>
    </w:p>
    <w:tbl>
      <w:tblPr>
        <w:tblStyle w:val="35"/>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3"/>
        <w:gridCol w:w="1832"/>
        <w:gridCol w:w="2088"/>
        <w:gridCol w:w="1896"/>
      </w:tblGrid>
      <w:tr w14:paraId="5499F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3663" w:type="dxa"/>
            <w:tcBorders>
              <w:top w:val="single" w:color="auto" w:sz="4" w:space="0"/>
              <w:left w:val="single" w:color="auto" w:sz="4" w:space="0"/>
              <w:bottom w:val="single" w:color="auto" w:sz="4" w:space="0"/>
              <w:right w:val="single" w:color="auto" w:sz="4" w:space="0"/>
            </w:tcBorders>
          </w:tcPr>
          <w:p w14:paraId="7D16E4C8">
            <w:pPr>
              <w:spacing w:line="400" w:lineRule="exact"/>
              <w:ind w:firstLine="1640" w:firstLineChars="781"/>
              <w:rPr>
                <w:rFonts w:ascii="宋体" w:hAnsi="宋体" w:cs="宋体"/>
                <w:b/>
                <w:bCs/>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36195</wp:posOffset>
                      </wp:positionV>
                      <wp:extent cx="2057400" cy="1176655"/>
                      <wp:effectExtent l="2540" t="4445" r="16510" b="1905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H="1" flipV="1">
                                <a:off x="0" y="0"/>
                                <a:ext cx="2057400" cy="117665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 y;margin-left:0.65pt;margin-top:2.85pt;height:92.65pt;width:162pt;z-index:251660288;mso-width-relative:page;mso-height-relative:page;" filled="f" stroked="t" coordsize="21600,21600" o:gfxdata="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Wz+Vj0AAAAAcBAAAPAAAAAAAAAAEAIAAAACIAAABkcnMvZG93bnJldi54bWxQSwECFAAU&#10;AAAACACHTuJAS+NtI/kBAADSAwAADgAAAAAAAAABACAAAAAfAQAAZHJzL2Uyb0RvYy54bWxQSwUG&#10;AAAAAAYABgBZAQAAigUAAAAA&#10;">
                      <v:fill on="f" focussize="0,0"/>
                      <v:stroke color="#000000" joinstyle="round"/>
                      <v:imagedata o:title=""/>
                      <o:lock v:ext="edit" aspectratio="f"/>
                    </v:line>
                  </w:pict>
                </mc:Fallback>
              </mc:AlternateContent>
            </w:r>
            <w:r>
              <w:rPr>
                <w:rFonts w:hint="eastAsia" w:ascii="宋体" w:hAnsi="宋体" w:cs="宋体"/>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-6350</wp:posOffset>
                      </wp:positionV>
                      <wp:extent cx="635" cy="0"/>
                      <wp:effectExtent l="0" t="4445" r="0" b="508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0.5pt;height:0pt;width:0.05pt;z-index:251661312;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rkdN+1QAAAAkB&#10;AAAPAAAAAAAAAAEAIAAAACIAAABkcnMvZG93bnJldi54bWxQSwECFAAUAAAACACHTuJAtIgMBuUB&#10;AAC0AwAADgAAAAAAAAABACAAAAAkAQAAZHJzL2Uyb0RvYy54bWxQSwUGAAAAAAYABgBZAQAAewUA&#10;AAAA&#10;">
                      <v:fill on="f" focussize="0,0"/>
                      <v:stroke color="#000000" joinstyle="round"/>
                      <v:imagedata o:title=""/>
                      <o:lock v:ext="edit" aspectratio="f"/>
                    </v:line>
                  </w:pict>
                </mc:Fallback>
              </mc:AlternateContent>
            </w:r>
            <w:r>
              <w:rPr>
                <w:rFonts w:hint="eastAsia" w:ascii="宋体" w:hAnsi="宋体" w:cs="宋体"/>
                <w:b/>
                <w:bCs/>
                <w:color w:val="auto"/>
                <w:szCs w:val="21"/>
                <w:highlight w:val="none"/>
              </w:rPr>
              <w:t>服</w:t>
            </w:r>
          </w:p>
          <w:p w14:paraId="3C0972B6">
            <w:pPr>
              <w:spacing w:line="400" w:lineRule="exact"/>
              <w:ind w:firstLine="211" w:firstLineChars="100"/>
              <w:rPr>
                <w:rFonts w:ascii="宋体" w:hAnsi="宋体" w:cs="宋体"/>
                <w:b/>
                <w:bCs/>
                <w:color w:val="auto"/>
                <w:szCs w:val="21"/>
                <w:highlight w:val="none"/>
              </w:rPr>
            </w:pPr>
            <w:r>
              <w:rPr>
                <w:rFonts w:hint="eastAsia" w:ascii="宋体" w:hAnsi="宋体" w:cs="宋体"/>
                <w:b/>
                <w:bCs/>
                <w:color w:val="auto"/>
                <w:szCs w:val="21"/>
                <w:highlight w:val="none"/>
              </w:rPr>
              <w:t>费　　　　　      务</w:t>
            </w:r>
          </w:p>
          <w:p w14:paraId="6D64A48D">
            <w:pPr>
              <w:spacing w:line="400" w:lineRule="exact"/>
              <w:ind w:firstLine="1050" w:firstLineChars="500"/>
              <w:rPr>
                <w:rFonts w:ascii="宋体" w:hAnsi="宋体" w:cs="宋体"/>
                <w:b/>
                <w:bCs/>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-48895</wp:posOffset>
                      </wp:positionH>
                      <wp:positionV relativeFrom="paragraph">
                        <wp:posOffset>133350</wp:posOffset>
                      </wp:positionV>
                      <wp:extent cx="2171700" cy="605155"/>
                      <wp:effectExtent l="1270" t="4445" r="17780" b="190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flipH="1" flipV="1">
                                <a:off x="0" y="0"/>
                                <a:ext cx="2171700" cy="60515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 y;margin-left:-3.85pt;margin-top:10.5pt;height:47.65pt;width:171pt;z-index:251662336;mso-width-relative:page;mso-height-relative:page;" filled="f" stroked="t" coordsize="21600,21600" o:gfxdata="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GgfsdQAAAAJAQAADwAAAAAAAAABACAAAAAiAAAAZHJzL2Rvd25yZXYueG1sUEsB&#10;AhQAFAAAAAgAh07iQKiv8fv5AQAA0QMAAA4AAAAAAAAAAQAgAAAAIwEAAGRycy9lMm9Eb2MueG1s&#10;UEsFBgAAAAAGAAYAWQEAAI4FAAAAAA==&#10;">
                      <v:fill on="f" focussize="0,0"/>
                      <v:stroke color="#000000" joinstyle="round"/>
                      <v:imagedata o:title=""/>
                      <o:lock v:ext="edit" aspectratio="f"/>
                    </v:line>
                  </w:pict>
                </mc:Fallback>
              </mc:AlternateContent>
            </w:r>
            <w:r>
              <w:rPr>
                <w:rFonts w:hint="eastAsia" w:ascii="宋体" w:hAnsi="宋体" w:cs="宋体"/>
                <w:b/>
                <w:bCs/>
                <w:color w:val="auto"/>
                <w:szCs w:val="21"/>
                <w:highlight w:val="none"/>
              </w:rPr>
              <w:t>　　   　      类</w:t>
            </w:r>
          </w:p>
          <w:p w14:paraId="670F8206">
            <w:pPr>
              <w:spacing w:line="400" w:lineRule="exact"/>
              <w:ind w:firstLine="1777" w:firstLineChars="843"/>
              <w:rPr>
                <w:rFonts w:ascii="宋体" w:hAnsi="宋体" w:cs="宋体"/>
                <w:b/>
                <w:bCs/>
                <w:color w:val="auto"/>
                <w:szCs w:val="21"/>
                <w:highlight w:val="none"/>
              </w:rPr>
            </w:pPr>
            <w:r>
              <w:rPr>
                <w:rFonts w:hint="eastAsia" w:ascii="宋体" w:hAnsi="宋体" w:cs="宋体"/>
                <w:b/>
                <w:bCs/>
                <w:color w:val="auto"/>
                <w:szCs w:val="21"/>
                <w:highlight w:val="none"/>
              </w:rPr>
              <w:t xml:space="preserve">率　　　   型     </w:t>
            </w:r>
          </w:p>
          <w:p w14:paraId="6F381ABD">
            <w:pPr>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成交金额（万元）</w:t>
            </w:r>
          </w:p>
        </w:tc>
        <w:tc>
          <w:tcPr>
            <w:tcW w:w="1832" w:type="dxa"/>
            <w:tcBorders>
              <w:top w:val="single" w:color="auto" w:sz="4" w:space="0"/>
              <w:left w:val="single" w:color="auto" w:sz="4" w:space="0"/>
              <w:bottom w:val="single" w:color="auto" w:sz="4" w:space="0"/>
              <w:right w:val="single" w:color="auto" w:sz="4" w:space="0"/>
            </w:tcBorders>
            <w:vAlign w:val="center"/>
          </w:tcPr>
          <w:p w14:paraId="2C4AA673">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货物采购</w:t>
            </w:r>
          </w:p>
        </w:tc>
        <w:tc>
          <w:tcPr>
            <w:tcW w:w="2088" w:type="dxa"/>
            <w:tcBorders>
              <w:top w:val="single" w:color="auto" w:sz="4" w:space="0"/>
              <w:left w:val="single" w:color="auto" w:sz="4" w:space="0"/>
              <w:bottom w:val="single" w:color="auto" w:sz="4" w:space="0"/>
              <w:right w:val="single" w:color="auto" w:sz="4" w:space="0"/>
            </w:tcBorders>
            <w:vAlign w:val="center"/>
          </w:tcPr>
          <w:p w14:paraId="70EC01DE">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服务采购</w:t>
            </w:r>
          </w:p>
        </w:tc>
        <w:tc>
          <w:tcPr>
            <w:tcW w:w="1896" w:type="dxa"/>
            <w:tcBorders>
              <w:top w:val="single" w:color="auto" w:sz="4" w:space="0"/>
              <w:left w:val="single" w:color="auto" w:sz="4" w:space="0"/>
              <w:bottom w:val="single" w:color="auto" w:sz="4" w:space="0"/>
              <w:right w:val="single" w:color="auto" w:sz="4" w:space="0"/>
            </w:tcBorders>
            <w:vAlign w:val="center"/>
          </w:tcPr>
          <w:p w14:paraId="4C13396E">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工程采购</w:t>
            </w:r>
          </w:p>
        </w:tc>
      </w:tr>
      <w:tr w14:paraId="636E2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3663" w:type="dxa"/>
            <w:tcBorders>
              <w:top w:val="single" w:color="auto" w:sz="4" w:space="0"/>
              <w:left w:val="single" w:color="auto" w:sz="4" w:space="0"/>
              <w:bottom w:val="single" w:color="auto" w:sz="4" w:space="0"/>
              <w:right w:val="single" w:color="auto" w:sz="4" w:space="0"/>
            </w:tcBorders>
            <w:vAlign w:val="center"/>
          </w:tcPr>
          <w:p w14:paraId="3FD7CFE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100以下</w:t>
            </w:r>
          </w:p>
        </w:tc>
        <w:tc>
          <w:tcPr>
            <w:tcW w:w="1832" w:type="dxa"/>
            <w:tcBorders>
              <w:top w:val="single" w:color="auto" w:sz="4" w:space="0"/>
              <w:left w:val="single" w:color="auto" w:sz="4" w:space="0"/>
              <w:bottom w:val="single" w:color="auto" w:sz="4" w:space="0"/>
              <w:right w:val="single" w:color="auto" w:sz="4" w:space="0"/>
            </w:tcBorders>
            <w:vAlign w:val="center"/>
          </w:tcPr>
          <w:p w14:paraId="0DA5A1C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1.20%</w:t>
            </w:r>
          </w:p>
        </w:tc>
        <w:tc>
          <w:tcPr>
            <w:tcW w:w="2088" w:type="dxa"/>
            <w:tcBorders>
              <w:top w:val="single" w:color="auto" w:sz="4" w:space="0"/>
              <w:left w:val="single" w:color="auto" w:sz="4" w:space="0"/>
              <w:bottom w:val="single" w:color="auto" w:sz="4" w:space="0"/>
              <w:right w:val="single" w:color="auto" w:sz="4" w:space="0"/>
            </w:tcBorders>
            <w:vAlign w:val="center"/>
          </w:tcPr>
          <w:p w14:paraId="672D098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1.20%</w:t>
            </w:r>
          </w:p>
        </w:tc>
        <w:tc>
          <w:tcPr>
            <w:tcW w:w="1896" w:type="dxa"/>
            <w:tcBorders>
              <w:top w:val="single" w:color="auto" w:sz="4" w:space="0"/>
              <w:left w:val="single" w:color="auto" w:sz="4" w:space="0"/>
              <w:bottom w:val="single" w:color="auto" w:sz="4" w:space="0"/>
              <w:right w:val="single" w:color="auto" w:sz="4" w:space="0"/>
            </w:tcBorders>
            <w:vAlign w:val="center"/>
          </w:tcPr>
          <w:p w14:paraId="431B5BE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0.80%</w:t>
            </w:r>
          </w:p>
        </w:tc>
      </w:tr>
      <w:tr w14:paraId="0EA1B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3663" w:type="dxa"/>
            <w:tcBorders>
              <w:top w:val="single" w:color="auto" w:sz="4" w:space="0"/>
              <w:left w:val="single" w:color="auto" w:sz="4" w:space="0"/>
              <w:bottom w:val="single" w:color="auto" w:sz="4" w:space="0"/>
              <w:right w:val="single" w:color="auto" w:sz="4" w:space="0"/>
            </w:tcBorders>
            <w:vAlign w:val="center"/>
          </w:tcPr>
          <w:p w14:paraId="49BC9996">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100-500</w:t>
            </w:r>
          </w:p>
        </w:tc>
        <w:tc>
          <w:tcPr>
            <w:tcW w:w="1832" w:type="dxa"/>
            <w:tcBorders>
              <w:top w:val="single" w:color="auto" w:sz="4" w:space="0"/>
              <w:left w:val="single" w:color="auto" w:sz="4" w:space="0"/>
              <w:bottom w:val="single" w:color="auto" w:sz="4" w:space="0"/>
              <w:right w:val="single" w:color="auto" w:sz="4" w:space="0"/>
            </w:tcBorders>
            <w:vAlign w:val="center"/>
          </w:tcPr>
          <w:p w14:paraId="16BE267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0.88%</w:t>
            </w:r>
          </w:p>
        </w:tc>
        <w:tc>
          <w:tcPr>
            <w:tcW w:w="2088" w:type="dxa"/>
            <w:tcBorders>
              <w:top w:val="single" w:color="auto" w:sz="4" w:space="0"/>
              <w:left w:val="single" w:color="auto" w:sz="4" w:space="0"/>
              <w:bottom w:val="single" w:color="auto" w:sz="4" w:space="0"/>
              <w:right w:val="single" w:color="auto" w:sz="4" w:space="0"/>
            </w:tcBorders>
            <w:vAlign w:val="center"/>
          </w:tcPr>
          <w:p w14:paraId="3725A40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0.64%</w:t>
            </w:r>
          </w:p>
        </w:tc>
        <w:tc>
          <w:tcPr>
            <w:tcW w:w="1896" w:type="dxa"/>
            <w:tcBorders>
              <w:top w:val="single" w:color="auto" w:sz="4" w:space="0"/>
              <w:left w:val="single" w:color="auto" w:sz="4" w:space="0"/>
              <w:bottom w:val="single" w:color="auto" w:sz="4" w:space="0"/>
              <w:right w:val="single" w:color="auto" w:sz="4" w:space="0"/>
            </w:tcBorders>
            <w:vAlign w:val="center"/>
          </w:tcPr>
          <w:p w14:paraId="658D23D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0.56%</w:t>
            </w:r>
          </w:p>
        </w:tc>
      </w:tr>
      <w:tr w14:paraId="366B6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663" w:type="dxa"/>
            <w:tcBorders>
              <w:top w:val="single" w:color="auto" w:sz="4" w:space="0"/>
              <w:left w:val="single" w:color="auto" w:sz="4" w:space="0"/>
              <w:bottom w:val="single" w:color="auto" w:sz="4" w:space="0"/>
              <w:right w:val="single" w:color="auto" w:sz="4" w:space="0"/>
            </w:tcBorders>
            <w:vAlign w:val="center"/>
          </w:tcPr>
          <w:p w14:paraId="2F470388">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500-1000</w:t>
            </w:r>
          </w:p>
        </w:tc>
        <w:tc>
          <w:tcPr>
            <w:tcW w:w="1832" w:type="dxa"/>
            <w:tcBorders>
              <w:top w:val="single" w:color="auto" w:sz="4" w:space="0"/>
              <w:left w:val="single" w:color="auto" w:sz="4" w:space="0"/>
              <w:bottom w:val="single" w:color="auto" w:sz="4" w:space="0"/>
              <w:right w:val="single" w:color="auto" w:sz="4" w:space="0"/>
            </w:tcBorders>
            <w:vAlign w:val="center"/>
          </w:tcPr>
          <w:p w14:paraId="66C6F62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0.64%</w:t>
            </w:r>
          </w:p>
        </w:tc>
        <w:tc>
          <w:tcPr>
            <w:tcW w:w="2088" w:type="dxa"/>
            <w:tcBorders>
              <w:top w:val="single" w:color="auto" w:sz="4" w:space="0"/>
              <w:left w:val="single" w:color="auto" w:sz="4" w:space="0"/>
              <w:bottom w:val="single" w:color="auto" w:sz="4" w:space="0"/>
              <w:right w:val="single" w:color="auto" w:sz="4" w:space="0"/>
            </w:tcBorders>
            <w:vAlign w:val="center"/>
          </w:tcPr>
          <w:p w14:paraId="0432466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0.36%</w:t>
            </w:r>
          </w:p>
        </w:tc>
        <w:tc>
          <w:tcPr>
            <w:tcW w:w="1896" w:type="dxa"/>
            <w:tcBorders>
              <w:top w:val="single" w:color="auto" w:sz="4" w:space="0"/>
              <w:left w:val="single" w:color="auto" w:sz="4" w:space="0"/>
              <w:bottom w:val="single" w:color="auto" w:sz="4" w:space="0"/>
              <w:right w:val="single" w:color="auto" w:sz="4" w:space="0"/>
            </w:tcBorders>
            <w:vAlign w:val="center"/>
          </w:tcPr>
          <w:p w14:paraId="15AD1EA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0.44%</w:t>
            </w:r>
          </w:p>
        </w:tc>
      </w:tr>
      <w:tr w14:paraId="488D6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3663" w:type="dxa"/>
            <w:tcBorders>
              <w:top w:val="single" w:color="auto" w:sz="4" w:space="0"/>
              <w:left w:val="single" w:color="auto" w:sz="4" w:space="0"/>
              <w:bottom w:val="single" w:color="auto" w:sz="4" w:space="0"/>
              <w:right w:val="single" w:color="auto" w:sz="4" w:space="0"/>
            </w:tcBorders>
            <w:vAlign w:val="center"/>
          </w:tcPr>
          <w:p w14:paraId="4C329796">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1000-5000</w:t>
            </w:r>
          </w:p>
        </w:tc>
        <w:tc>
          <w:tcPr>
            <w:tcW w:w="1832" w:type="dxa"/>
            <w:tcBorders>
              <w:top w:val="single" w:color="auto" w:sz="4" w:space="0"/>
              <w:left w:val="single" w:color="auto" w:sz="4" w:space="0"/>
              <w:bottom w:val="single" w:color="auto" w:sz="4" w:space="0"/>
              <w:right w:val="single" w:color="auto" w:sz="4" w:space="0"/>
            </w:tcBorders>
            <w:vAlign w:val="center"/>
          </w:tcPr>
          <w:p w14:paraId="479E475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0.40%</w:t>
            </w:r>
          </w:p>
        </w:tc>
        <w:tc>
          <w:tcPr>
            <w:tcW w:w="2088" w:type="dxa"/>
            <w:tcBorders>
              <w:top w:val="single" w:color="auto" w:sz="4" w:space="0"/>
              <w:left w:val="single" w:color="auto" w:sz="4" w:space="0"/>
              <w:bottom w:val="single" w:color="auto" w:sz="4" w:space="0"/>
              <w:right w:val="single" w:color="auto" w:sz="4" w:space="0"/>
            </w:tcBorders>
            <w:vAlign w:val="center"/>
          </w:tcPr>
          <w:p w14:paraId="038B615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0.20%</w:t>
            </w:r>
          </w:p>
        </w:tc>
        <w:tc>
          <w:tcPr>
            <w:tcW w:w="1896" w:type="dxa"/>
            <w:tcBorders>
              <w:top w:val="single" w:color="auto" w:sz="4" w:space="0"/>
              <w:left w:val="single" w:color="auto" w:sz="4" w:space="0"/>
              <w:bottom w:val="single" w:color="auto" w:sz="4" w:space="0"/>
              <w:right w:val="single" w:color="auto" w:sz="4" w:space="0"/>
            </w:tcBorders>
            <w:vAlign w:val="center"/>
          </w:tcPr>
          <w:p w14:paraId="7FC1ED8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0.28%</w:t>
            </w:r>
          </w:p>
        </w:tc>
      </w:tr>
      <w:tr w14:paraId="1672C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3663" w:type="dxa"/>
            <w:tcBorders>
              <w:top w:val="single" w:color="auto" w:sz="4" w:space="0"/>
              <w:left w:val="single" w:color="auto" w:sz="4" w:space="0"/>
              <w:bottom w:val="single" w:color="auto" w:sz="4" w:space="0"/>
              <w:right w:val="single" w:color="auto" w:sz="4" w:space="0"/>
            </w:tcBorders>
            <w:vAlign w:val="center"/>
          </w:tcPr>
          <w:p w14:paraId="6D0B7785">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5000-10000</w:t>
            </w:r>
          </w:p>
        </w:tc>
        <w:tc>
          <w:tcPr>
            <w:tcW w:w="1832" w:type="dxa"/>
            <w:tcBorders>
              <w:top w:val="single" w:color="auto" w:sz="4" w:space="0"/>
              <w:left w:val="single" w:color="auto" w:sz="4" w:space="0"/>
              <w:bottom w:val="single" w:color="auto" w:sz="4" w:space="0"/>
              <w:right w:val="single" w:color="auto" w:sz="4" w:space="0"/>
            </w:tcBorders>
            <w:vAlign w:val="center"/>
          </w:tcPr>
          <w:p w14:paraId="713BE04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0.20%</w:t>
            </w:r>
          </w:p>
        </w:tc>
        <w:tc>
          <w:tcPr>
            <w:tcW w:w="2088" w:type="dxa"/>
            <w:tcBorders>
              <w:top w:val="single" w:color="auto" w:sz="4" w:space="0"/>
              <w:left w:val="single" w:color="auto" w:sz="4" w:space="0"/>
              <w:bottom w:val="single" w:color="auto" w:sz="4" w:space="0"/>
              <w:right w:val="single" w:color="auto" w:sz="4" w:space="0"/>
            </w:tcBorders>
            <w:vAlign w:val="center"/>
          </w:tcPr>
          <w:p w14:paraId="79208DE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0.08%</w:t>
            </w:r>
          </w:p>
        </w:tc>
        <w:tc>
          <w:tcPr>
            <w:tcW w:w="1896" w:type="dxa"/>
            <w:tcBorders>
              <w:top w:val="single" w:color="auto" w:sz="4" w:space="0"/>
              <w:left w:val="single" w:color="auto" w:sz="4" w:space="0"/>
              <w:bottom w:val="single" w:color="auto" w:sz="4" w:space="0"/>
              <w:right w:val="single" w:color="auto" w:sz="4" w:space="0"/>
            </w:tcBorders>
            <w:vAlign w:val="center"/>
          </w:tcPr>
          <w:p w14:paraId="2292AEC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0.16%</w:t>
            </w:r>
          </w:p>
        </w:tc>
      </w:tr>
      <w:tr w14:paraId="2CA0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663" w:type="dxa"/>
            <w:tcBorders>
              <w:top w:val="single" w:color="auto" w:sz="4" w:space="0"/>
              <w:left w:val="single" w:color="auto" w:sz="4" w:space="0"/>
              <w:bottom w:val="single" w:color="auto" w:sz="4" w:space="0"/>
              <w:right w:val="single" w:color="auto" w:sz="4" w:space="0"/>
            </w:tcBorders>
            <w:vAlign w:val="center"/>
          </w:tcPr>
          <w:p w14:paraId="703ABB61">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10000-100000</w:t>
            </w:r>
          </w:p>
        </w:tc>
        <w:tc>
          <w:tcPr>
            <w:tcW w:w="1832" w:type="dxa"/>
            <w:tcBorders>
              <w:top w:val="single" w:color="auto" w:sz="4" w:space="0"/>
              <w:left w:val="single" w:color="auto" w:sz="4" w:space="0"/>
              <w:bottom w:val="single" w:color="auto" w:sz="4" w:space="0"/>
              <w:right w:val="single" w:color="auto" w:sz="4" w:space="0"/>
            </w:tcBorders>
            <w:vAlign w:val="center"/>
          </w:tcPr>
          <w:p w14:paraId="785E7C4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0.04%</w:t>
            </w:r>
          </w:p>
        </w:tc>
        <w:tc>
          <w:tcPr>
            <w:tcW w:w="2088" w:type="dxa"/>
            <w:tcBorders>
              <w:top w:val="single" w:color="auto" w:sz="4" w:space="0"/>
              <w:left w:val="single" w:color="auto" w:sz="4" w:space="0"/>
              <w:bottom w:val="single" w:color="auto" w:sz="4" w:space="0"/>
              <w:right w:val="single" w:color="auto" w:sz="4" w:space="0"/>
            </w:tcBorders>
            <w:vAlign w:val="center"/>
          </w:tcPr>
          <w:p w14:paraId="453FCB6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0.04%</w:t>
            </w:r>
          </w:p>
        </w:tc>
        <w:tc>
          <w:tcPr>
            <w:tcW w:w="1896" w:type="dxa"/>
            <w:tcBorders>
              <w:top w:val="single" w:color="auto" w:sz="4" w:space="0"/>
              <w:left w:val="single" w:color="auto" w:sz="4" w:space="0"/>
              <w:bottom w:val="single" w:color="auto" w:sz="4" w:space="0"/>
              <w:right w:val="single" w:color="auto" w:sz="4" w:space="0"/>
            </w:tcBorders>
            <w:vAlign w:val="center"/>
          </w:tcPr>
          <w:p w14:paraId="09B3DFA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0.04%</w:t>
            </w:r>
          </w:p>
        </w:tc>
      </w:tr>
    </w:tbl>
    <w:p w14:paraId="3680A0E5">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w:t>
      </w:r>
      <w:r>
        <w:rPr>
          <w:rFonts w:ascii="黑体" w:hAnsi="黑体" w:eastAsia="黑体" w:cs="宋体"/>
          <w:b/>
          <w:bCs/>
          <w:color w:val="auto"/>
          <w:sz w:val="24"/>
          <w:highlight w:val="none"/>
        </w:rPr>
        <w:t>3.需要补充的其他内容</w:t>
      </w:r>
    </w:p>
    <w:p w14:paraId="17402D15">
      <w:pPr>
        <w:pStyle w:val="23"/>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3.1</w:t>
      </w:r>
      <w:r>
        <w:rPr>
          <w:rFonts w:hint="eastAsia" w:hAnsi="宋体" w:cs="宋体"/>
          <w:color w:val="auto"/>
          <w:kern w:val="2"/>
          <w:sz w:val="21"/>
          <w:highlight w:val="none"/>
        </w:rPr>
        <w:t>本磋商文件解释规则详见“供应商须知前附表”。</w:t>
      </w:r>
    </w:p>
    <w:p w14:paraId="33D1535D">
      <w:pPr>
        <w:pStyle w:val="23"/>
        <w:spacing w:line="360" w:lineRule="auto"/>
        <w:ind w:firstLine="420" w:firstLineChars="200"/>
        <w:textAlignment w:val="center"/>
        <w:rPr>
          <w:rFonts w:hAnsi="宋体" w:cs="宋体"/>
          <w:color w:val="auto"/>
          <w:kern w:val="2"/>
          <w:sz w:val="21"/>
          <w:highlight w:val="none"/>
        </w:rPr>
      </w:pPr>
      <w:r>
        <w:rPr>
          <w:rFonts w:hAnsi="宋体" w:cs="宋体"/>
          <w:color w:val="auto"/>
          <w:kern w:val="2"/>
          <w:sz w:val="21"/>
          <w:highlight w:val="none"/>
        </w:rPr>
        <w:t>33.2</w:t>
      </w:r>
      <w:r>
        <w:rPr>
          <w:rFonts w:hint="eastAsia" w:hAnsi="宋体" w:cs="宋体"/>
          <w:color w:val="auto"/>
          <w:kern w:val="2"/>
          <w:sz w:val="21"/>
          <w:highlight w:val="none"/>
        </w:rPr>
        <w:t>其他事项详见“供应商须知前附表”。</w:t>
      </w:r>
    </w:p>
    <w:p w14:paraId="442AD1EF">
      <w:pPr>
        <w:pStyle w:val="23"/>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3.3</w:t>
      </w:r>
      <w:r>
        <w:rPr>
          <w:rFonts w:hint="eastAsia" w:hAnsi="宋体" w:cs="宋体"/>
          <w:color w:val="auto"/>
          <w:kern w:val="2"/>
          <w:sz w:val="21"/>
          <w:highlight w:val="none"/>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2D143150">
      <w:pPr>
        <w:pStyle w:val="23"/>
        <w:spacing w:line="360" w:lineRule="auto"/>
        <w:ind w:firstLine="420" w:firstLineChars="200"/>
        <w:contextualSpacing/>
        <w:rPr>
          <w:rFonts w:hAnsi="宋体"/>
          <w:color w:val="auto"/>
          <w:sz w:val="21"/>
          <w:highlight w:val="none"/>
        </w:rPr>
      </w:pPr>
      <w:r>
        <w:rPr>
          <w:rFonts w:hint="eastAsia" w:hAnsi="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67A3EB92">
      <w:pPr>
        <w:pStyle w:val="23"/>
        <w:spacing w:line="360" w:lineRule="auto"/>
        <w:ind w:firstLine="420" w:firstLineChars="200"/>
        <w:contextualSpacing/>
        <w:rPr>
          <w:rFonts w:hAnsi="宋体"/>
          <w:color w:val="auto"/>
          <w:sz w:val="21"/>
          <w:highlight w:val="none"/>
        </w:rPr>
      </w:pPr>
      <w:r>
        <w:rPr>
          <w:rFonts w:hint="eastAsia" w:hAnsi="宋体"/>
          <w:color w:val="auto"/>
          <w:sz w:val="21"/>
          <w:highlight w:val="none"/>
        </w:rPr>
        <w:t>（2）在工程采购项目中，工程由中小企业承建，即工程施工单位为中小企业，不对其中涉及的货物的制造商和服务的承接商作出要求；</w:t>
      </w:r>
    </w:p>
    <w:p w14:paraId="7AC9CAD9">
      <w:pPr>
        <w:pStyle w:val="23"/>
        <w:spacing w:line="360" w:lineRule="auto"/>
        <w:ind w:firstLine="420" w:firstLineChars="200"/>
        <w:contextualSpacing/>
        <w:rPr>
          <w:rFonts w:hAnsi="宋体"/>
          <w:color w:val="auto"/>
          <w:sz w:val="21"/>
          <w:highlight w:val="none"/>
        </w:rPr>
      </w:pPr>
      <w:r>
        <w:rPr>
          <w:rFonts w:hint="eastAsia" w:hAnsi="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4E01E701">
      <w:pPr>
        <w:pStyle w:val="23"/>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05598BA4">
      <w:pPr>
        <w:pStyle w:val="23"/>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依据本磋商文件规定享受扶持政策获得政府采购合同的，小微企业不得将合同分包给大中型企业，中型企业不得将合同分包给大型企业。</w:t>
      </w:r>
    </w:p>
    <w:p w14:paraId="4FC47488">
      <w:pPr>
        <w:pStyle w:val="20"/>
        <w:ind w:firstLine="1126"/>
        <w:rPr>
          <w:rFonts w:ascii="宋体"/>
          <w:color w:val="auto"/>
          <w:szCs w:val="21"/>
          <w:highlight w:val="none"/>
        </w:rPr>
      </w:pPr>
      <w:r>
        <w:rPr>
          <w:color w:val="auto"/>
          <w:highlight w:val="none"/>
        </w:rPr>
        <w:br w:type="page"/>
      </w:r>
    </w:p>
    <w:p w14:paraId="5ADBFBBA">
      <w:pPr>
        <w:pStyle w:val="23"/>
        <w:snapToGrid w:val="0"/>
        <w:spacing w:line="360" w:lineRule="auto"/>
        <w:ind w:left="840" w:hanging="420"/>
        <w:rPr>
          <w:rFonts w:hAnsi="宋体"/>
          <w:color w:val="auto"/>
          <w:highlight w:val="none"/>
        </w:rPr>
      </w:pPr>
      <w:r>
        <w:rPr>
          <w:rFonts w:hint="eastAsia" w:ascii="黑体" w:hAnsi="黑体" w:eastAsia="黑体" w:cs="黑体"/>
          <w:bCs/>
          <w:color w:val="auto"/>
          <w:sz w:val="32"/>
          <w:szCs w:val="32"/>
          <w:highlight w:val="none"/>
        </w:rPr>
        <w:t>附件1：</w:t>
      </w:r>
    </w:p>
    <w:p w14:paraId="4A55CFCD">
      <w:pPr>
        <w:widowControl/>
        <w:shd w:val="clear" w:color="auto" w:fill="FFFFFF"/>
        <w:spacing w:line="480" w:lineRule="atLeast"/>
        <w:jc w:val="center"/>
        <w:rPr>
          <w:rFonts w:ascii="仿宋" w:hAnsi="仿宋" w:eastAsia="仿宋" w:cs="宋体"/>
          <w:color w:val="auto"/>
          <w:kern w:val="0"/>
          <w:sz w:val="32"/>
          <w:szCs w:val="32"/>
          <w:highlight w:val="none"/>
        </w:rPr>
      </w:pPr>
      <w:r>
        <w:rPr>
          <w:rFonts w:hint="eastAsia" w:ascii="宋体" w:hAnsi="宋体" w:cs="宋体"/>
          <w:b/>
          <w:bCs/>
          <w:color w:val="auto"/>
          <w:kern w:val="0"/>
          <w:sz w:val="32"/>
          <w:szCs w:val="32"/>
          <w:highlight w:val="none"/>
        </w:rPr>
        <w:t>广西壮族自治区政府采购项目合同验收书（格式参考）</w:t>
      </w:r>
    </w:p>
    <w:p w14:paraId="30ADC20B">
      <w:pPr>
        <w:widowControl/>
        <w:shd w:val="clear" w:color="auto" w:fill="FFFFFF"/>
        <w:spacing w:line="480" w:lineRule="atLeast"/>
        <w:jc w:val="center"/>
        <w:rPr>
          <w:rFonts w:ascii="仿宋" w:hAnsi="仿宋" w:eastAsia="仿宋" w:cs="宋体"/>
          <w:color w:val="auto"/>
          <w:kern w:val="0"/>
          <w:sz w:val="32"/>
          <w:szCs w:val="32"/>
          <w:highlight w:val="none"/>
        </w:rPr>
      </w:pPr>
    </w:p>
    <w:p w14:paraId="780DA82F">
      <w:pPr>
        <w:widowControl/>
        <w:shd w:val="clear" w:color="auto" w:fill="FFFFFF"/>
        <w:snapToGrid w:val="0"/>
        <w:spacing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 项目名称 </w:t>
      </w:r>
      <w:r>
        <w:rPr>
          <w:rFonts w:hint="eastAsia" w:ascii="宋体" w:hAnsi="宋体" w:cs="宋体"/>
          <w:color w:val="auto"/>
          <w:kern w:val="0"/>
          <w:szCs w:val="21"/>
          <w:highlight w:val="none"/>
        </w:rPr>
        <w:t>） 政府采购项目成交供应商（</w:t>
      </w:r>
      <w:r>
        <w:rPr>
          <w:rFonts w:hint="eastAsia"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 提供的货物（或者工程、服务）进行了验收，验收情况如下：</w:t>
      </w:r>
    </w:p>
    <w:tbl>
      <w:tblPr>
        <w:tblStyle w:val="35"/>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7A8292AF">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4FA0AD2C">
            <w:pPr>
              <w:widowControl/>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ascii="宋体" w:hAnsi="宋体"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vAlign w:val="center"/>
          </w:tcPr>
          <w:p w14:paraId="75D9C1D0">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ascii="宋体" w:hAnsi="宋体" w:cs="宋体"/>
                <w:color w:val="auto"/>
                <w:kern w:val="0"/>
                <w:szCs w:val="21"/>
                <w:highlight w:val="none"/>
              </w:rPr>
              <w:t>□自行验收 □委托验收</w:t>
            </w:r>
          </w:p>
        </w:tc>
      </w:tr>
      <w:tr w14:paraId="4A31D09F">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074E4ADB">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ascii="宋体" w:hAnsi="宋体"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14:paraId="79FB5C4B">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ascii="宋体" w:hAnsi="宋体"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14:paraId="7D15F032">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ascii="宋体" w:hAnsi="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2BDE958B">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ascii="宋体" w:hAnsi="宋体" w:cs="宋体"/>
                <w:color w:val="auto"/>
                <w:kern w:val="0"/>
                <w:szCs w:val="21"/>
                <w:highlight w:val="none"/>
              </w:rPr>
              <w:t>数量</w:t>
            </w:r>
          </w:p>
        </w:tc>
        <w:tc>
          <w:tcPr>
            <w:tcW w:w="1428" w:type="dxa"/>
            <w:tcBorders>
              <w:top w:val="nil"/>
              <w:left w:val="nil"/>
              <w:bottom w:val="single" w:color="auto" w:sz="8" w:space="0"/>
              <w:right w:val="single" w:color="auto" w:sz="8" w:space="0"/>
            </w:tcBorders>
            <w:vAlign w:val="center"/>
          </w:tcPr>
          <w:p w14:paraId="50BC77E0">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ascii="宋体" w:hAnsi="宋体" w:cs="宋体"/>
                <w:color w:val="auto"/>
                <w:kern w:val="0"/>
                <w:szCs w:val="21"/>
                <w:highlight w:val="none"/>
              </w:rPr>
              <w:t>金额</w:t>
            </w:r>
          </w:p>
        </w:tc>
      </w:tr>
      <w:tr w14:paraId="44820925">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76A451B5">
            <w:pPr>
              <w:widowControl/>
              <w:spacing w:before="100" w:beforeAutospacing="1" w:after="100" w:afterAutospacing="1" w:line="240" w:lineRule="atLeast"/>
              <w:jc w:val="center"/>
              <w:rPr>
                <w:rFonts w:ascii="宋体" w:hAnsi="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73EC9F7B">
            <w:pPr>
              <w:widowControl/>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73FE7ABE">
            <w:pPr>
              <w:widowControl/>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6585A18D">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71DA8815">
            <w:pPr>
              <w:widowControl/>
              <w:spacing w:before="100" w:beforeAutospacing="1" w:after="100" w:afterAutospacing="1" w:line="240" w:lineRule="atLeast"/>
              <w:jc w:val="center"/>
              <w:rPr>
                <w:rFonts w:ascii="宋体" w:hAnsi="宋体" w:cs="宋体"/>
                <w:color w:val="auto"/>
                <w:kern w:val="0"/>
                <w:szCs w:val="21"/>
                <w:highlight w:val="none"/>
              </w:rPr>
            </w:pPr>
          </w:p>
        </w:tc>
      </w:tr>
      <w:tr w14:paraId="3A129B19">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28CA0DB5">
            <w:pPr>
              <w:widowControl/>
              <w:spacing w:before="100" w:beforeAutospacing="1" w:after="100" w:afterAutospacing="1" w:line="240" w:lineRule="atLeast"/>
              <w:jc w:val="center"/>
              <w:rPr>
                <w:rFonts w:ascii="宋体" w:hAnsi="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056C85AA">
            <w:pPr>
              <w:widowControl/>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11C8D3B0">
            <w:pPr>
              <w:widowControl/>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4076B8E4">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79F4AC27">
            <w:pPr>
              <w:widowControl/>
              <w:spacing w:before="100" w:beforeAutospacing="1" w:after="100" w:afterAutospacing="1" w:line="240" w:lineRule="atLeast"/>
              <w:jc w:val="center"/>
              <w:rPr>
                <w:rFonts w:ascii="宋体" w:hAnsi="宋体" w:cs="宋体"/>
                <w:color w:val="auto"/>
                <w:kern w:val="0"/>
                <w:szCs w:val="21"/>
                <w:highlight w:val="none"/>
              </w:rPr>
            </w:pPr>
          </w:p>
        </w:tc>
      </w:tr>
      <w:tr w14:paraId="08C6D05D">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2E7178DC">
            <w:pPr>
              <w:widowControl/>
              <w:spacing w:before="100" w:beforeAutospacing="1" w:after="100" w:afterAutospacing="1" w:line="240" w:lineRule="atLeast"/>
              <w:jc w:val="center"/>
              <w:rPr>
                <w:rFonts w:ascii="宋体" w:hAnsi="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19D2059B">
            <w:pPr>
              <w:widowControl/>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0995AA1A">
            <w:pPr>
              <w:widowControl/>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02AC018B">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349A1072">
            <w:pPr>
              <w:widowControl/>
              <w:spacing w:before="100" w:beforeAutospacing="1" w:after="100" w:afterAutospacing="1" w:line="240" w:lineRule="atLeast"/>
              <w:jc w:val="center"/>
              <w:rPr>
                <w:rFonts w:ascii="宋体" w:hAnsi="宋体" w:cs="宋体"/>
                <w:color w:val="auto"/>
                <w:kern w:val="0"/>
                <w:szCs w:val="21"/>
                <w:highlight w:val="none"/>
              </w:rPr>
            </w:pPr>
          </w:p>
        </w:tc>
      </w:tr>
      <w:tr w14:paraId="471CDA53">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528EF02F">
            <w:pPr>
              <w:widowControl/>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ascii="宋体" w:hAnsi="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14:paraId="3EE261EC">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6CF60078">
            <w:pPr>
              <w:widowControl/>
              <w:spacing w:before="100" w:beforeAutospacing="1" w:after="100" w:afterAutospacing="1" w:line="240" w:lineRule="atLeast"/>
              <w:jc w:val="center"/>
              <w:rPr>
                <w:rFonts w:ascii="宋体" w:hAnsi="宋体" w:cs="宋体"/>
                <w:color w:val="auto"/>
                <w:kern w:val="0"/>
                <w:szCs w:val="21"/>
                <w:highlight w:val="none"/>
              </w:rPr>
            </w:pPr>
          </w:p>
        </w:tc>
      </w:tr>
      <w:tr w14:paraId="376477F0">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14:paraId="03DFB802">
            <w:pPr>
              <w:widowControl/>
              <w:snapToGrid w:val="0"/>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ascii="宋体" w:hAnsi="宋体" w:cs="宋体"/>
                <w:color w:val="auto"/>
                <w:kern w:val="0"/>
                <w:szCs w:val="21"/>
                <w:highlight w:val="none"/>
              </w:rPr>
              <w:t xml:space="preserve">合计大写金额：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仟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佰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拾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万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仟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佰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拾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元</w:t>
            </w:r>
          </w:p>
        </w:tc>
      </w:tr>
      <w:tr w14:paraId="7A99A8CC">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4268FDC3">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ascii="宋体" w:hAnsi="宋体"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14:paraId="4CFDA9C6">
            <w:pPr>
              <w:widowControl/>
              <w:spacing w:before="100" w:beforeAutospacing="1" w:after="100" w:afterAutospacing="1" w:line="240" w:lineRule="atLeast"/>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43F5BBA0">
            <w:pPr>
              <w:widowControl/>
              <w:snapToGrid w:val="0"/>
              <w:spacing w:before="100" w:beforeAutospacing="1" w:after="100" w:afterAutospacing="1" w:line="320" w:lineRule="atLeast"/>
              <w:ind w:firstLine="46"/>
              <w:jc w:val="center"/>
              <w:rPr>
                <w:rFonts w:ascii="宋体" w:hAnsi="宋体" w:cs="宋体"/>
                <w:color w:val="auto"/>
                <w:kern w:val="0"/>
                <w:szCs w:val="21"/>
                <w:highlight w:val="none"/>
              </w:rPr>
            </w:pPr>
            <w:r>
              <w:rPr>
                <w:rFonts w:ascii="宋体" w:hAnsi="宋体"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14:paraId="01016F22">
            <w:pPr>
              <w:widowControl/>
              <w:spacing w:before="100" w:beforeAutospacing="1" w:after="100" w:afterAutospacing="1" w:line="240" w:lineRule="atLeast"/>
              <w:jc w:val="center"/>
              <w:rPr>
                <w:rFonts w:ascii="宋体" w:hAnsi="宋体" w:cs="宋体"/>
                <w:color w:val="auto"/>
                <w:kern w:val="0"/>
                <w:szCs w:val="21"/>
                <w:highlight w:val="none"/>
              </w:rPr>
            </w:pPr>
          </w:p>
        </w:tc>
      </w:tr>
      <w:tr w14:paraId="5753313C">
        <w:tblPrEx>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35157BD5">
            <w:pPr>
              <w:widowControl/>
              <w:spacing w:before="100" w:beforeAutospacing="1" w:after="100" w:afterAutospacing="1" w:line="240" w:lineRule="atLeast"/>
              <w:jc w:val="center"/>
              <w:rPr>
                <w:rFonts w:ascii="宋体" w:hAnsi="宋体" w:cs="宋体"/>
                <w:color w:val="auto"/>
                <w:kern w:val="0"/>
                <w:szCs w:val="21"/>
                <w:highlight w:val="none"/>
              </w:rPr>
            </w:pPr>
          </w:p>
        </w:tc>
        <w:tc>
          <w:tcPr>
            <w:tcW w:w="2421" w:type="dxa"/>
            <w:gridSpan w:val="2"/>
            <w:tcBorders>
              <w:top w:val="nil"/>
              <w:left w:val="nil"/>
              <w:bottom w:val="single" w:color="auto" w:sz="8" w:space="0"/>
              <w:right w:val="single" w:color="auto" w:sz="8" w:space="0"/>
            </w:tcBorders>
            <w:vAlign w:val="center"/>
          </w:tcPr>
          <w:p w14:paraId="06E27782">
            <w:pPr>
              <w:widowControl/>
              <w:spacing w:before="100" w:beforeAutospacing="1" w:after="100" w:afterAutospacing="1" w:line="240" w:lineRule="atLeast"/>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5B434C4B">
            <w:pPr>
              <w:widowControl/>
              <w:spacing w:before="100" w:beforeAutospacing="1" w:after="100" w:afterAutospacing="1" w:line="240" w:lineRule="atLeast"/>
              <w:jc w:val="center"/>
              <w:rPr>
                <w:rFonts w:ascii="宋体" w:hAnsi="宋体" w:cs="宋体"/>
                <w:color w:val="auto"/>
                <w:kern w:val="0"/>
                <w:szCs w:val="21"/>
                <w:highlight w:val="none"/>
              </w:rPr>
            </w:pPr>
          </w:p>
        </w:tc>
        <w:tc>
          <w:tcPr>
            <w:tcW w:w="2113" w:type="dxa"/>
            <w:gridSpan w:val="2"/>
            <w:tcBorders>
              <w:top w:val="nil"/>
              <w:left w:val="nil"/>
              <w:bottom w:val="single" w:color="auto" w:sz="8" w:space="0"/>
              <w:right w:val="single" w:color="auto" w:sz="8" w:space="0"/>
            </w:tcBorders>
            <w:vAlign w:val="center"/>
          </w:tcPr>
          <w:p w14:paraId="54691EE3">
            <w:pPr>
              <w:widowControl/>
              <w:spacing w:before="100" w:beforeAutospacing="1" w:after="100" w:afterAutospacing="1" w:line="240" w:lineRule="atLeast"/>
              <w:jc w:val="center"/>
              <w:rPr>
                <w:rFonts w:ascii="宋体" w:hAnsi="宋体" w:cs="宋体"/>
                <w:color w:val="auto"/>
                <w:kern w:val="0"/>
                <w:szCs w:val="21"/>
                <w:highlight w:val="none"/>
              </w:rPr>
            </w:pPr>
          </w:p>
        </w:tc>
      </w:tr>
      <w:tr w14:paraId="2A863D26">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65D5A0D">
            <w:pPr>
              <w:widowControl/>
              <w:snapToGrid w:val="0"/>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7FE8822A">
            <w:pPr>
              <w:widowControl/>
              <w:snapToGrid w:val="0"/>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应按采购合同、谈判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5267D707">
        <w:tblPrEx>
          <w:tblCellMar>
            <w:top w:w="0" w:type="dxa"/>
            <w:left w:w="0" w:type="dxa"/>
            <w:bottom w:w="0" w:type="dxa"/>
            <w:right w:w="0" w:type="dxa"/>
          </w:tblCellMar>
        </w:tblPrEx>
        <w:trPr>
          <w:trHeight w:val="870"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20F0449">
            <w:pPr>
              <w:widowControl/>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vAlign w:val="center"/>
          </w:tcPr>
          <w:p w14:paraId="2CEA1FB6">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ascii="宋体" w:hAnsi="宋体" w:cs="宋体"/>
                <w:color w:val="auto"/>
                <w:kern w:val="0"/>
                <w:szCs w:val="21"/>
                <w:highlight w:val="none"/>
              </w:rPr>
              <w:t>验收结论性意见：</w:t>
            </w:r>
          </w:p>
        </w:tc>
      </w:tr>
      <w:tr w14:paraId="7B96F918">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383E16D9">
            <w:pPr>
              <w:widowControl/>
              <w:jc w:val="left"/>
              <w:rPr>
                <w:rFonts w:ascii="宋体" w:hAnsi="宋体" w:cs="宋体"/>
                <w:color w:val="auto"/>
                <w:kern w:val="0"/>
                <w:szCs w:val="21"/>
                <w:highlight w:val="none"/>
              </w:rPr>
            </w:pPr>
          </w:p>
        </w:tc>
        <w:tc>
          <w:tcPr>
            <w:tcW w:w="6816" w:type="dxa"/>
            <w:gridSpan w:val="7"/>
            <w:tcBorders>
              <w:top w:val="nil"/>
              <w:left w:val="nil"/>
              <w:bottom w:val="single" w:color="auto" w:sz="8" w:space="0"/>
              <w:right w:val="single" w:color="auto" w:sz="8" w:space="0"/>
            </w:tcBorders>
            <w:vAlign w:val="center"/>
          </w:tcPr>
          <w:p w14:paraId="7EA4D551">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ascii="宋体" w:hAnsi="宋体" w:cs="宋体"/>
                <w:color w:val="auto"/>
                <w:kern w:val="0"/>
                <w:szCs w:val="21"/>
                <w:highlight w:val="none"/>
              </w:rPr>
              <w:t>有异议的意见和说明理由：</w:t>
            </w:r>
          </w:p>
          <w:p w14:paraId="62B44107">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ascii="宋体" w:hAnsi="宋体" w:cs="宋体"/>
                <w:color w:val="auto"/>
                <w:kern w:val="0"/>
                <w:szCs w:val="21"/>
                <w:highlight w:val="none"/>
              </w:rPr>
              <w:t>签字：</w:t>
            </w:r>
          </w:p>
        </w:tc>
      </w:tr>
      <w:tr w14:paraId="592CF399">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FA648FE">
            <w:pPr>
              <w:widowControl/>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验收小组成员签字：</w:t>
            </w:r>
          </w:p>
        </w:tc>
      </w:tr>
      <w:tr w14:paraId="677B1771">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F98BEED">
            <w:pPr>
              <w:widowControl/>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监督人员或者其他相关人员签字：</w:t>
            </w:r>
          </w:p>
          <w:p w14:paraId="5591A866">
            <w:pPr>
              <w:widowControl/>
              <w:spacing w:before="100" w:beforeAutospacing="1" w:after="100" w:afterAutospacing="1" w:line="320" w:lineRule="atLeast"/>
              <w:ind w:firstLine="74"/>
              <w:jc w:val="left"/>
              <w:rPr>
                <w:rFonts w:ascii="宋体" w:hAnsi="宋体" w:cs="宋体"/>
                <w:color w:val="auto"/>
                <w:kern w:val="0"/>
                <w:szCs w:val="21"/>
                <w:highlight w:val="none"/>
              </w:rPr>
            </w:pPr>
            <w:r>
              <w:rPr>
                <w:rFonts w:ascii="宋体" w:hAnsi="宋体" w:cs="宋体"/>
                <w:color w:val="auto"/>
                <w:kern w:val="0"/>
                <w:szCs w:val="21"/>
                <w:highlight w:val="none"/>
              </w:rPr>
              <w:t>或者受邀机构的意见（盖章）：</w:t>
            </w:r>
          </w:p>
        </w:tc>
      </w:tr>
      <w:tr w14:paraId="7C6CFE66">
        <w:tblPrEx>
          <w:tblCellMar>
            <w:top w:w="0" w:type="dxa"/>
            <w:left w:w="0" w:type="dxa"/>
            <w:bottom w:w="0" w:type="dxa"/>
            <w:right w:w="0" w:type="dxa"/>
          </w:tblCellMar>
        </w:tblPrEx>
        <w:trPr>
          <w:trHeight w:val="264"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6AEFC029">
            <w:pPr>
              <w:widowControl/>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成交供应商负责人签字或者盖章：</w:t>
            </w:r>
          </w:p>
          <w:p w14:paraId="31E27345">
            <w:pPr>
              <w:widowControl/>
              <w:spacing w:before="100" w:beforeAutospacing="1" w:after="100" w:afterAutospacing="1" w:line="320" w:lineRule="atLeast"/>
              <w:jc w:val="left"/>
              <w:rPr>
                <w:rFonts w:ascii="宋体" w:hAnsi="宋体" w:cs="宋体"/>
                <w:color w:val="auto"/>
                <w:kern w:val="0"/>
                <w:szCs w:val="21"/>
                <w:highlight w:val="none"/>
              </w:rPr>
            </w:pPr>
          </w:p>
          <w:p w14:paraId="5FBFBE5D">
            <w:pPr>
              <w:widowControl/>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联系电话：</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年</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月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日</w:t>
            </w:r>
          </w:p>
        </w:tc>
        <w:tc>
          <w:tcPr>
            <w:tcW w:w="4293" w:type="dxa"/>
            <w:gridSpan w:val="4"/>
            <w:tcBorders>
              <w:top w:val="nil"/>
              <w:left w:val="nil"/>
              <w:bottom w:val="single" w:color="auto" w:sz="8" w:space="0"/>
              <w:right w:val="single" w:color="auto" w:sz="8" w:space="0"/>
            </w:tcBorders>
            <w:vAlign w:val="center"/>
          </w:tcPr>
          <w:p w14:paraId="455E56FA">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ascii="宋体" w:hAnsi="宋体" w:cs="宋体"/>
                <w:color w:val="auto"/>
                <w:kern w:val="0"/>
                <w:szCs w:val="21"/>
                <w:highlight w:val="none"/>
              </w:rPr>
              <w:t>采购人或者受托机构的意见（盖章）：</w:t>
            </w:r>
          </w:p>
          <w:p w14:paraId="46D39C99">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p>
          <w:p w14:paraId="0F7D4770">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ascii="宋体" w:hAnsi="宋体" w:cs="宋体"/>
                <w:color w:val="auto"/>
                <w:kern w:val="0"/>
                <w:szCs w:val="21"/>
                <w:highlight w:val="none"/>
              </w:rPr>
              <w:t>联系电话：</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年</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月</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日</w:t>
            </w:r>
          </w:p>
        </w:tc>
      </w:tr>
    </w:tbl>
    <w:p w14:paraId="4A0F8A01">
      <w:pPr>
        <w:pStyle w:val="23"/>
        <w:snapToGrid w:val="0"/>
        <w:ind w:left="840" w:hanging="420"/>
        <w:rPr>
          <w:rFonts w:hAnsi="宋体"/>
          <w:color w:val="auto"/>
          <w:highlight w:val="none"/>
        </w:rPr>
      </w:pPr>
      <w:r>
        <w:rPr>
          <w:rFonts w:hAnsi="宋体"/>
          <w:color w:val="auto"/>
          <w:highlight w:val="none"/>
        </w:rPr>
        <w:br w:type="page"/>
      </w:r>
    </w:p>
    <w:p w14:paraId="625D0121">
      <w:pPr>
        <w:pStyle w:val="23"/>
        <w:snapToGrid w:val="0"/>
        <w:ind w:left="1060" w:hanging="640"/>
        <w:rPr>
          <w:rFonts w:ascii="黑体" w:hAnsi="黑体" w:eastAsia="黑体" w:cs="黑体"/>
          <w:color w:val="auto"/>
          <w:sz w:val="32"/>
          <w:szCs w:val="32"/>
          <w:highlight w:val="none"/>
        </w:rPr>
      </w:pPr>
    </w:p>
    <w:p w14:paraId="3F3CBC2A">
      <w:pPr>
        <w:pStyle w:val="23"/>
        <w:snapToGrid w:val="0"/>
        <w:ind w:left="1060" w:hanging="64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附件2：</w:t>
      </w:r>
    </w:p>
    <w:p w14:paraId="428678FE">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政府采购项目履约保证金退付意见书</w:t>
      </w:r>
    </w:p>
    <w:p w14:paraId="45F1D903">
      <w:pPr>
        <w:jc w:val="center"/>
        <w:rPr>
          <w:rFonts w:ascii="黑体" w:hAnsi="黑体" w:eastAsia="黑体"/>
          <w:color w:val="auto"/>
          <w:sz w:val="36"/>
          <w:szCs w:val="36"/>
          <w:highlight w:val="none"/>
        </w:rPr>
      </w:pPr>
      <w:r>
        <w:rPr>
          <w:rFonts w:hint="eastAsia" w:ascii="宋体" w:hAnsi="宋体" w:cs="宋体"/>
          <w:b/>
          <w:bCs/>
          <w:color w:val="auto"/>
          <w:kern w:val="0"/>
          <w:sz w:val="18"/>
          <w:szCs w:val="18"/>
          <w:highlight w:val="none"/>
        </w:rPr>
        <w:t>（本项目如有，可以参考使用）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14:paraId="61D8B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vAlign w:val="center"/>
          </w:tcPr>
          <w:p w14:paraId="2EBE36ED">
            <w:pPr>
              <w:jc w:val="center"/>
              <w:rPr>
                <w:color w:val="auto"/>
                <w:sz w:val="24"/>
                <w:highlight w:val="none"/>
              </w:rPr>
            </w:pPr>
            <w:r>
              <w:rPr>
                <w:rFonts w:hint="eastAsia"/>
                <w:color w:val="auto"/>
                <w:sz w:val="24"/>
                <w:highlight w:val="none"/>
              </w:rPr>
              <w:t>供</w:t>
            </w:r>
          </w:p>
          <w:p w14:paraId="6556EFC3">
            <w:pPr>
              <w:jc w:val="center"/>
              <w:rPr>
                <w:color w:val="auto"/>
                <w:sz w:val="24"/>
                <w:highlight w:val="none"/>
              </w:rPr>
            </w:pPr>
            <w:r>
              <w:rPr>
                <w:rFonts w:hint="eastAsia"/>
                <w:color w:val="auto"/>
                <w:sz w:val="24"/>
                <w:highlight w:val="none"/>
              </w:rPr>
              <w:t>应</w:t>
            </w:r>
          </w:p>
          <w:p w14:paraId="71CA462F">
            <w:pPr>
              <w:jc w:val="center"/>
              <w:rPr>
                <w:color w:val="auto"/>
                <w:sz w:val="24"/>
                <w:highlight w:val="none"/>
              </w:rPr>
            </w:pPr>
            <w:r>
              <w:rPr>
                <w:rFonts w:hint="eastAsia"/>
                <w:color w:val="auto"/>
                <w:sz w:val="24"/>
                <w:highlight w:val="none"/>
              </w:rPr>
              <w:t>商</w:t>
            </w:r>
          </w:p>
          <w:p w14:paraId="65ADA673">
            <w:pPr>
              <w:jc w:val="center"/>
              <w:rPr>
                <w:color w:val="auto"/>
                <w:sz w:val="24"/>
                <w:highlight w:val="none"/>
              </w:rPr>
            </w:pPr>
            <w:r>
              <w:rPr>
                <w:rFonts w:hint="eastAsia"/>
                <w:color w:val="auto"/>
                <w:sz w:val="24"/>
                <w:highlight w:val="none"/>
              </w:rPr>
              <w:t>申</w:t>
            </w:r>
          </w:p>
          <w:p w14:paraId="02667F37">
            <w:pPr>
              <w:jc w:val="center"/>
              <w:rPr>
                <w:color w:val="auto"/>
                <w:sz w:val="24"/>
                <w:highlight w:val="none"/>
              </w:rPr>
            </w:pPr>
            <w:r>
              <w:rPr>
                <w:rFonts w:hint="eastAsia"/>
                <w:color w:val="auto"/>
                <w:sz w:val="24"/>
                <w:highlight w:val="none"/>
              </w:rPr>
              <w:t>请</w:t>
            </w:r>
          </w:p>
        </w:tc>
        <w:tc>
          <w:tcPr>
            <w:tcW w:w="8009" w:type="dxa"/>
            <w:vAlign w:val="center"/>
          </w:tcPr>
          <w:p w14:paraId="7BAF6CF4">
            <w:pPr>
              <w:rPr>
                <w:color w:val="auto"/>
                <w:sz w:val="24"/>
                <w:highlight w:val="none"/>
              </w:rPr>
            </w:pPr>
            <w:r>
              <w:rPr>
                <w:rFonts w:hint="eastAsia"/>
                <w:color w:val="auto"/>
                <w:sz w:val="24"/>
                <w:highlight w:val="none"/>
              </w:rPr>
              <w:t>项目编号：</w:t>
            </w:r>
          </w:p>
        </w:tc>
      </w:tr>
      <w:tr w14:paraId="4B293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vAlign w:val="center"/>
          </w:tcPr>
          <w:p w14:paraId="4796F7C2">
            <w:pPr>
              <w:rPr>
                <w:color w:val="auto"/>
                <w:sz w:val="24"/>
                <w:highlight w:val="none"/>
              </w:rPr>
            </w:pPr>
          </w:p>
        </w:tc>
        <w:tc>
          <w:tcPr>
            <w:tcW w:w="8009" w:type="dxa"/>
            <w:vAlign w:val="center"/>
          </w:tcPr>
          <w:p w14:paraId="521932EB">
            <w:pPr>
              <w:rPr>
                <w:color w:val="auto"/>
                <w:sz w:val="24"/>
                <w:highlight w:val="none"/>
              </w:rPr>
            </w:pPr>
            <w:r>
              <w:rPr>
                <w:rFonts w:hint="eastAsia"/>
                <w:color w:val="auto"/>
                <w:sz w:val="24"/>
                <w:highlight w:val="none"/>
              </w:rPr>
              <w:t>项目名称：</w:t>
            </w:r>
          </w:p>
        </w:tc>
      </w:tr>
      <w:tr w14:paraId="66170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tcPr>
          <w:p w14:paraId="054F9850">
            <w:pPr>
              <w:rPr>
                <w:color w:val="auto"/>
                <w:sz w:val="24"/>
                <w:highlight w:val="none"/>
              </w:rPr>
            </w:pPr>
          </w:p>
        </w:tc>
        <w:tc>
          <w:tcPr>
            <w:tcW w:w="8009" w:type="dxa"/>
          </w:tcPr>
          <w:p w14:paraId="6BCF0916">
            <w:pPr>
              <w:rPr>
                <w:color w:val="auto"/>
                <w:sz w:val="24"/>
                <w:highlight w:val="none"/>
              </w:rPr>
            </w:pPr>
            <w:r>
              <w:rPr>
                <w:rFonts w:hint="eastAsia"/>
                <w:color w:val="auto"/>
                <w:sz w:val="24"/>
                <w:highlight w:val="none"/>
              </w:rPr>
              <w:t xml:space="preserve">  </w:t>
            </w:r>
          </w:p>
          <w:p w14:paraId="6FE48D19">
            <w:pPr>
              <w:ind w:firstLine="480" w:firstLineChars="200"/>
              <w:rPr>
                <w:color w:val="auto"/>
                <w:sz w:val="24"/>
                <w:highlight w:val="none"/>
              </w:rPr>
            </w:pPr>
            <w:r>
              <w:rPr>
                <w:rFonts w:hint="eastAsia"/>
                <w:color w:val="auto"/>
                <w:sz w:val="24"/>
                <w:highlight w:val="none"/>
              </w:rPr>
              <w:t>该项目已于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日验收并交付。根据合同规定，该项目的履约保证金期限于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日已满，请将履约保证金</w:t>
            </w:r>
          </w:p>
          <w:p w14:paraId="23117381">
            <w:pPr>
              <w:rPr>
                <w:color w:val="auto"/>
                <w:sz w:val="24"/>
                <w:highlight w:val="none"/>
              </w:rPr>
            </w:pPr>
            <w:r>
              <w:rPr>
                <w:rFonts w:hint="eastAsia"/>
                <w:color w:val="auto"/>
                <w:sz w:val="24"/>
                <w:highlight w:val="none"/>
                <w:u w:val="single"/>
              </w:rPr>
              <w:t xml:space="preserve">                                      </w:t>
            </w:r>
            <w:r>
              <w:rPr>
                <w:rFonts w:hint="eastAsia"/>
                <w:color w:val="auto"/>
                <w:sz w:val="24"/>
                <w:highlight w:val="none"/>
              </w:rPr>
              <w:t>（大写）¥</w:t>
            </w:r>
            <w:r>
              <w:rPr>
                <w:rFonts w:hint="eastAsia"/>
                <w:color w:val="auto"/>
                <w:sz w:val="24"/>
                <w:highlight w:val="none"/>
                <w:u w:val="single"/>
              </w:rPr>
              <w:t xml:space="preserve">          </w:t>
            </w:r>
            <w:r>
              <w:rPr>
                <w:rFonts w:hint="eastAsia"/>
                <w:color w:val="auto"/>
                <w:sz w:val="24"/>
                <w:highlight w:val="none"/>
              </w:rPr>
              <w:t>（小写）退付到达以下帐户。</w:t>
            </w:r>
          </w:p>
          <w:p w14:paraId="600E2544">
            <w:pPr>
              <w:rPr>
                <w:color w:val="auto"/>
                <w:sz w:val="24"/>
                <w:highlight w:val="none"/>
              </w:rPr>
            </w:pPr>
            <w:r>
              <w:rPr>
                <w:rFonts w:hint="eastAsia"/>
                <w:color w:val="auto"/>
                <w:sz w:val="24"/>
                <w:highlight w:val="none"/>
              </w:rPr>
              <w:t>单位名称：</w:t>
            </w:r>
          </w:p>
          <w:p w14:paraId="46602B89">
            <w:pPr>
              <w:rPr>
                <w:color w:val="auto"/>
                <w:sz w:val="24"/>
                <w:highlight w:val="none"/>
              </w:rPr>
            </w:pPr>
            <w:r>
              <w:rPr>
                <w:rFonts w:hint="eastAsia"/>
                <w:color w:val="auto"/>
                <w:sz w:val="24"/>
                <w:highlight w:val="none"/>
              </w:rPr>
              <w:t>开户银行：</w:t>
            </w:r>
          </w:p>
          <w:p w14:paraId="516A8C48">
            <w:pPr>
              <w:rPr>
                <w:color w:val="auto"/>
                <w:sz w:val="24"/>
                <w:highlight w:val="none"/>
              </w:rPr>
            </w:pPr>
            <w:r>
              <w:rPr>
                <w:rFonts w:hint="eastAsia"/>
                <w:color w:val="auto"/>
                <w:sz w:val="24"/>
                <w:highlight w:val="none"/>
              </w:rPr>
              <w:t>帐    号：</w:t>
            </w:r>
          </w:p>
          <w:p w14:paraId="37D0F99E">
            <w:pPr>
              <w:rPr>
                <w:color w:val="auto"/>
                <w:sz w:val="24"/>
                <w:highlight w:val="none"/>
              </w:rPr>
            </w:pPr>
            <w:r>
              <w:rPr>
                <w:rFonts w:hint="eastAsia"/>
                <w:color w:val="auto"/>
                <w:sz w:val="24"/>
                <w:highlight w:val="none"/>
              </w:rPr>
              <w:t>联系人及电话：</w:t>
            </w:r>
          </w:p>
          <w:p w14:paraId="7A9933BB">
            <w:pPr>
              <w:rPr>
                <w:color w:val="auto"/>
                <w:sz w:val="24"/>
                <w:highlight w:val="none"/>
              </w:rPr>
            </w:pPr>
          </w:p>
          <w:p w14:paraId="55AB597F">
            <w:pPr>
              <w:jc w:val="center"/>
              <w:rPr>
                <w:color w:val="auto"/>
                <w:sz w:val="24"/>
                <w:highlight w:val="none"/>
              </w:rPr>
            </w:pPr>
            <w:r>
              <w:rPr>
                <w:rFonts w:hint="eastAsia"/>
                <w:color w:val="auto"/>
                <w:sz w:val="24"/>
                <w:highlight w:val="none"/>
              </w:rPr>
              <w:t xml:space="preserve">                           供应商公章：</w:t>
            </w:r>
          </w:p>
          <w:p w14:paraId="37D33014">
            <w:pPr>
              <w:jc w:val="center"/>
              <w:rPr>
                <w:color w:val="auto"/>
                <w:sz w:val="24"/>
                <w:highlight w:val="none"/>
              </w:rPr>
            </w:pPr>
            <w:r>
              <w:rPr>
                <w:rFonts w:hint="eastAsia"/>
                <w:color w:val="auto"/>
                <w:sz w:val="24"/>
                <w:highlight w:val="none"/>
              </w:rPr>
              <w:t xml:space="preserve">                                                年    月    日</w:t>
            </w:r>
          </w:p>
        </w:tc>
      </w:tr>
      <w:tr w14:paraId="16DB6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vAlign w:val="center"/>
          </w:tcPr>
          <w:p w14:paraId="34A1CF83">
            <w:pPr>
              <w:jc w:val="center"/>
              <w:rPr>
                <w:color w:val="auto"/>
                <w:sz w:val="24"/>
                <w:highlight w:val="none"/>
              </w:rPr>
            </w:pPr>
            <w:r>
              <w:rPr>
                <w:rFonts w:hint="eastAsia"/>
                <w:color w:val="auto"/>
                <w:sz w:val="24"/>
                <w:highlight w:val="none"/>
              </w:rPr>
              <w:t>采</w:t>
            </w:r>
          </w:p>
          <w:p w14:paraId="159656A4">
            <w:pPr>
              <w:jc w:val="center"/>
              <w:rPr>
                <w:color w:val="auto"/>
                <w:sz w:val="24"/>
                <w:highlight w:val="none"/>
              </w:rPr>
            </w:pPr>
            <w:r>
              <w:rPr>
                <w:rFonts w:hint="eastAsia"/>
                <w:color w:val="auto"/>
                <w:sz w:val="24"/>
                <w:highlight w:val="none"/>
              </w:rPr>
              <w:t>购</w:t>
            </w:r>
          </w:p>
          <w:p w14:paraId="6E9FC5D4">
            <w:pPr>
              <w:jc w:val="center"/>
              <w:rPr>
                <w:color w:val="auto"/>
                <w:sz w:val="24"/>
                <w:highlight w:val="none"/>
              </w:rPr>
            </w:pPr>
            <w:r>
              <w:rPr>
                <w:rFonts w:hint="eastAsia"/>
                <w:color w:val="auto"/>
                <w:sz w:val="24"/>
                <w:highlight w:val="none"/>
              </w:rPr>
              <w:t>单</w:t>
            </w:r>
          </w:p>
          <w:p w14:paraId="1AA0F80E">
            <w:pPr>
              <w:jc w:val="center"/>
              <w:rPr>
                <w:color w:val="auto"/>
                <w:sz w:val="24"/>
                <w:highlight w:val="none"/>
              </w:rPr>
            </w:pPr>
            <w:r>
              <w:rPr>
                <w:rFonts w:hint="eastAsia"/>
                <w:color w:val="auto"/>
                <w:sz w:val="24"/>
                <w:highlight w:val="none"/>
              </w:rPr>
              <w:t>位</w:t>
            </w:r>
          </w:p>
          <w:p w14:paraId="07ABD2C2">
            <w:pPr>
              <w:jc w:val="center"/>
              <w:rPr>
                <w:color w:val="auto"/>
                <w:sz w:val="24"/>
                <w:highlight w:val="none"/>
              </w:rPr>
            </w:pPr>
            <w:r>
              <w:rPr>
                <w:rFonts w:hint="eastAsia"/>
                <w:color w:val="auto"/>
                <w:sz w:val="24"/>
                <w:highlight w:val="none"/>
              </w:rPr>
              <w:t>意</w:t>
            </w:r>
          </w:p>
          <w:p w14:paraId="2B87B885">
            <w:pPr>
              <w:jc w:val="center"/>
              <w:rPr>
                <w:color w:val="auto"/>
                <w:sz w:val="24"/>
                <w:highlight w:val="none"/>
              </w:rPr>
            </w:pPr>
            <w:r>
              <w:rPr>
                <w:rFonts w:hint="eastAsia"/>
                <w:color w:val="auto"/>
                <w:sz w:val="24"/>
                <w:highlight w:val="none"/>
              </w:rPr>
              <w:t>见</w:t>
            </w:r>
          </w:p>
        </w:tc>
        <w:tc>
          <w:tcPr>
            <w:tcW w:w="8009" w:type="dxa"/>
          </w:tcPr>
          <w:p w14:paraId="5FB42197">
            <w:pPr>
              <w:rPr>
                <w:color w:val="auto"/>
                <w:sz w:val="24"/>
                <w:highlight w:val="none"/>
              </w:rPr>
            </w:pPr>
          </w:p>
          <w:p w14:paraId="21D7FAB3">
            <w:pPr>
              <w:rPr>
                <w:color w:val="auto"/>
                <w:sz w:val="24"/>
                <w:highlight w:val="none"/>
              </w:rPr>
            </w:pPr>
            <w:r>
              <w:rPr>
                <w:rFonts w:hint="eastAsia"/>
                <w:color w:val="auto"/>
                <w:sz w:val="24"/>
                <w:highlight w:val="none"/>
              </w:rPr>
              <w:t>退付意见：是否同意退付履约保证金及退付金额：</w:t>
            </w:r>
          </w:p>
          <w:p w14:paraId="5534A1BC">
            <w:pPr>
              <w:rPr>
                <w:color w:val="auto"/>
                <w:sz w:val="24"/>
                <w:highlight w:val="none"/>
              </w:rPr>
            </w:pPr>
          </w:p>
          <w:p w14:paraId="4D0715DC">
            <w:pPr>
              <w:rPr>
                <w:color w:val="auto"/>
                <w:sz w:val="24"/>
                <w:highlight w:val="none"/>
              </w:rPr>
            </w:pPr>
          </w:p>
          <w:p w14:paraId="3F349D96">
            <w:pPr>
              <w:rPr>
                <w:color w:val="auto"/>
                <w:sz w:val="24"/>
                <w:highlight w:val="none"/>
              </w:rPr>
            </w:pPr>
            <w:r>
              <w:rPr>
                <w:rFonts w:hint="eastAsia"/>
                <w:color w:val="auto"/>
                <w:sz w:val="24"/>
                <w:highlight w:val="none"/>
              </w:rPr>
              <w:t xml:space="preserve">联系人及电话：                                </w:t>
            </w:r>
          </w:p>
          <w:p w14:paraId="165F5C24">
            <w:pPr>
              <w:rPr>
                <w:color w:val="auto"/>
                <w:sz w:val="24"/>
                <w:highlight w:val="none"/>
              </w:rPr>
            </w:pPr>
          </w:p>
          <w:p w14:paraId="7DB6A8C4">
            <w:pPr>
              <w:ind w:firstLine="4560" w:firstLineChars="1900"/>
              <w:rPr>
                <w:color w:val="auto"/>
                <w:sz w:val="24"/>
                <w:highlight w:val="none"/>
              </w:rPr>
            </w:pPr>
            <w:r>
              <w:rPr>
                <w:rFonts w:hint="eastAsia"/>
                <w:color w:val="auto"/>
                <w:sz w:val="24"/>
                <w:highlight w:val="none"/>
              </w:rPr>
              <w:t xml:space="preserve"> 采购单位公章：</w:t>
            </w:r>
          </w:p>
          <w:p w14:paraId="024D6134">
            <w:pPr>
              <w:jc w:val="center"/>
              <w:rPr>
                <w:color w:val="auto"/>
                <w:sz w:val="24"/>
                <w:highlight w:val="none"/>
              </w:rPr>
            </w:pPr>
            <w:r>
              <w:rPr>
                <w:rFonts w:hint="eastAsia"/>
                <w:color w:val="auto"/>
                <w:sz w:val="24"/>
                <w:highlight w:val="none"/>
              </w:rPr>
              <w:t xml:space="preserve">                                                年    月    日</w:t>
            </w:r>
          </w:p>
        </w:tc>
      </w:tr>
      <w:tr w14:paraId="2A1A6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vAlign w:val="center"/>
          </w:tcPr>
          <w:p w14:paraId="465DBABE">
            <w:pPr>
              <w:jc w:val="center"/>
              <w:rPr>
                <w:color w:val="auto"/>
                <w:sz w:val="24"/>
                <w:highlight w:val="none"/>
              </w:rPr>
            </w:pPr>
            <w:r>
              <w:rPr>
                <w:rFonts w:hint="eastAsia"/>
                <w:color w:val="auto"/>
                <w:sz w:val="24"/>
                <w:highlight w:val="none"/>
              </w:rPr>
              <w:t>财</w:t>
            </w:r>
          </w:p>
          <w:p w14:paraId="6480EA96">
            <w:pPr>
              <w:jc w:val="center"/>
              <w:rPr>
                <w:color w:val="auto"/>
                <w:sz w:val="24"/>
                <w:highlight w:val="none"/>
              </w:rPr>
            </w:pPr>
            <w:r>
              <w:rPr>
                <w:rFonts w:hint="eastAsia"/>
                <w:color w:val="auto"/>
                <w:sz w:val="24"/>
                <w:highlight w:val="none"/>
              </w:rPr>
              <w:t>务</w:t>
            </w:r>
          </w:p>
          <w:p w14:paraId="1FA7764E">
            <w:pPr>
              <w:jc w:val="center"/>
              <w:rPr>
                <w:color w:val="auto"/>
                <w:sz w:val="24"/>
                <w:highlight w:val="none"/>
              </w:rPr>
            </w:pPr>
            <w:r>
              <w:rPr>
                <w:rFonts w:hint="eastAsia"/>
                <w:color w:val="auto"/>
                <w:sz w:val="24"/>
                <w:highlight w:val="none"/>
              </w:rPr>
              <w:t>部</w:t>
            </w:r>
          </w:p>
          <w:p w14:paraId="79B91F80">
            <w:pPr>
              <w:jc w:val="center"/>
              <w:rPr>
                <w:color w:val="auto"/>
                <w:sz w:val="24"/>
                <w:highlight w:val="none"/>
              </w:rPr>
            </w:pPr>
            <w:r>
              <w:rPr>
                <w:rFonts w:hint="eastAsia"/>
                <w:color w:val="auto"/>
                <w:sz w:val="24"/>
                <w:highlight w:val="none"/>
              </w:rPr>
              <w:t>门</w:t>
            </w:r>
          </w:p>
          <w:p w14:paraId="1744484A">
            <w:pPr>
              <w:jc w:val="center"/>
              <w:rPr>
                <w:color w:val="auto"/>
                <w:sz w:val="24"/>
                <w:highlight w:val="none"/>
              </w:rPr>
            </w:pPr>
            <w:r>
              <w:rPr>
                <w:rFonts w:hint="eastAsia"/>
                <w:color w:val="auto"/>
                <w:sz w:val="24"/>
                <w:highlight w:val="none"/>
              </w:rPr>
              <w:t>意</w:t>
            </w:r>
          </w:p>
          <w:p w14:paraId="517DC385">
            <w:pPr>
              <w:jc w:val="center"/>
              <w:rPr>
                <w:color w:val="auto"/>
                <w:sz w:val="24"/>
                <w:highlight w:val="none"/>
              </w:rPr>
            </w:pPr>
            <w:r>
              <w:rPr>
                <w:rFonts w:hint="eastAsia"/>
                <w:color w:val="auto"/>
                <w:sz w:val="24"/>
                <w:highlight w:val="none"/>
              </w:rPr>
              <w:t>见</w:t>
            </w:r>
          </w:p>
        </w:tc>
        <w:tc>
          <w:tcPr>
            <w:tcW w:w="8009" w:type="dxa"/>
          </w:tcPr>
          <w:p w14:paraId="2C82B56C">
            <w:pPr>
              <w:rPr>
                <w:color w:val="auto"/>
                <w:sz w:val="24"/>
                <w:highlight w:val="none"/>
              </w:rPr>
            </w:pPr>
            <w:r>
              <w:rPr>
                <w:rFonts w:hint="eastAsia"/>
                <w:color w:val="auto"/>
                <w:sz w:val="24"/>
                <w:highlight w:val="none"/>
              </w:rPr>
              <w:t>此表于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日收到。</w:t>
            </w:r>
          </w:p>
          <w:p w14:paraId="5A0AAF73">
            <w:pPr>
              <w:rPr>
                <w:color w:val="auto"/>
                <w:sz w:val="24"/>
                <w:highlight w:val="none"/>
              </w:rPr>
            </w:pPr>
          </w:p>
          <w:p w14:paraId="71750107">
            <w:pPr>
              <w:rPr>
                <w:color w:val="auto"/>
                <w:sz w:val="24"/>
                <w:highlight w:val="none"/>
              </w:rPr>
            </w:pPr>
            <w:r>
              <w:rPr>
                <w:rFonts w:hint="eastAsia"/>
                <w:color w:val="auto"/>
                <w:sz w:val="24"/>
                <w:highlight w:val="none"/>
              </w:rPr>
              <w:t>会计审核：</w:t>
            </w:r>
          </w:p>
          <w:p w14:paraId="244D1794">
            <w:pPr>
              <w:rPr>
                <w:color w:val="auto"/>
                <w:sz w:val="24"/>
                <w:highlight w:val="none"/>
              </w:rPr>
            </w:pPr>
          </w:p>
          <w:p w14:paraId="463F9B31">
            <w:pPr>
              <w:rPr>
                <w:color w:val="auto"/>
                <w:sz w:val="24"/>
                <w:highlight w:val="none"/>
              </w:rPr>
            </w:pPr>
            <w:r>
              <w:rPr>
                <w:rFonts w:hint="eastAsia"/>
                <w:color w:val="auto"/>
                <w:sz w:val="24"/>
                <w:highlight w:val="none"/>
              </w:rPr>
              <w:t>财务负责人审核：</w:t>
            </w:r>
          </w:p>
          <w:p w14:paraId="60853270">
            <w:pPr>
              <w:rPr>
                <w:color w:val="auto"/>
                <w:sz w:val="24"/>
                <w:highlight w:val="none"/>
              </w:rPr>
            </w:pPr>
          </w:p>
          <w:p w14:paraId="2857AA31">
            <w:pPr>
              <w:rPr>
                <w:color w:val="auto"/>
                <w:sz w:val="24"/>
                <w:highlight w:val="none"/>
              </w:rPr>
            </w:pPr>
            <w:r>
              <w:rPr>
                <w:rFonts w:hint="eastAsia"/>
                <w:color w:val="auto"/>
                <w:sz w:val="24"/>
                <w:highlight w:val="none"/>
              </w:rPr>
              <w:t>单位负责人签字：</w:t>
            </w:r>
          </w:p>
          <w:p w14:paraId="50379A53">
            <w:pPr>
              <w:rPr>
                <w:color w:val="auto"/>
                <w:sz w:val="24"/>
                <w:highlight w:val="none"/>
              </w:rPr>
            </w:pPr>
          </w:p>
          <w:p w14:paraId="72F01BE3">
            <w:pPr>
              <w:rPr>
                <w:color w:val="auto"/>
                <w:sz w:val="24"/>
                <w:highlight w:val="none"/>
              </w:rPr>
            </w:pPr>
            <w:r>
              <w:rPr>
                <w:rFonts w:hint="eastAsia"/>
                <w:color w:val="auto"/>
                <w:sz w:val="24"/>
                <w:highlight w:val="none"/>
              </w:rPr>
              <w:t>出纳办理转帐日期：</w:t>
            </w:r>
          </w:p>
        </w:tc>
      </w:tr>
    </w:tbl>
    <w:p w14:paraId="074DB969">
      <w:pPr>
        <w:pStyle w:val="17"/>
        <w:ind w:left="1" w:firstLine="2" w:firstLineChars="1"/>
        <w:rPr>
          <w:rFonts w:ascii="宋体"/>
          <w:b/>
          <w:bCs/>
          <w:color w:val="auto"/>
          <w:sz w:val="18"/>
          <w:szCs w:val="18"/>
          <w:highlight w:val="none"/>
        </w:rPr>
      </w:pPr>
      <w:r>
        <w:rPr>
          <w:rFonts w:hint="eastAsia" w:ascii="宋体"/>
          <w:b/>
          <w:bCs/>
          <w:color w:val="auto"/>
          <w:sz w:val="18"/>
          <w:szCs w:val="18"/>
          <w:highlight w:val="none"/>
        </w:rPr>
        <w:t>注：供应商凭经采购单位审批的退付意见书到履约保证金收取单位财务部门办理履约保证金退付事宜。</w:t>
      </w:r>
    </w:p>
    <w:p w14:paraId="00C81347">
      <w:pPr>
        <w:pStyle w:val="23"/>
        <w:spacing w:line="360" w:lineRule="auto"/>
        <w:ind w:firstLine="402" w:firstLineChars="200"/>
        <w:textAlignment w:val="center"/>
        <w:rPr>
          <w:rFonts w:hAnsi="宋体"/>
          <w:b/>
          <w:color w:val="auto"/>
          <w:sz w:val="32"/>
          <w:szCs w:val="32"/>
          <w:highlight w:val="none"/>
        </w:rPr>
      </w:pPr>
      <w:r>
        <w:rPr>
          <w:rFonts w:hAnsi="宋体"/>
          <w:b/>
          <w:color w:val="auto"/>
          <w:highlight w:val="none"/>
        </w:rPr>
        <w:br w:type="page"/>
      </w:r>
    </w:p>
    <w:p w14:paraId="783A4B79">
      <w:pPr>
        <w:pStyle w:val="3"/>
        <w:jc w:val="center"/>
        <w:rPr>
          <w:color w:val="auto"/>
          <w:highlight w:val="none"/>
        </w:rPr>
      </w:pPr>
      <w:bookmarkStart w:id="62" w:name="_Toc151675538"/>
      <w:r>
        <w:rPr>
          <w:rFonts w:hint="eastAsia"/>
          <w:color w:val="auto"/>
          <w:highlight w:val="none"/>
        </w:rPr>
        <w:t xml:space="preserve">第三章 </w:t>
      </w:r>
      <w:r>
        <w:rPr>
          <w:color w:val="auto"/>
          <w:highlight w:val="none"/>
        </w:rPr>
        <w:t xml:space="preserve"> </w:t>
      </w:r>
      <w:r>
        <w:rPr>
          <w:rFonts w:hint="eastAsia"/>
          <w:color w:val="auto"/>
          <w:highlight w:val="none"/>
        </w:rPr>
        <w:t>采购需求</w:t>
      </w:r>
      <w:bookmarkEnd w:id="62"/>
    </w:p>
    <w:p w14:paraId="1F6495B6">
      <w:pPr>
        <w:spacing w:line="440" w:lineRule="exact"/>
        <w:jc w:val="center"/>
        <w:rPr>
          <w:rFonts w:ascii="宋体" w:hAnsi="宋体"/>
          <w:b/>
          <w:color w:val="auto"/>
          <w:sz w:val="32"/>
          <w:szCs w:val="32"/>
          <w:highlight w:val="none"/>
        </w:rPr>
      </w:pPr>
      <w:r>
        <w:rPr>
          <w:rFonts w:hint="eastAsia" w:ascii="宋体" w:hAnsi="宋体"/>
          <w:b/>
          <w:color w:val="auto"/>
          <w:sz w:val="32"/>
          <w:szCs w:val="32"/>
          <w:highlight w:val="none"/>
        </w:rPr>
        <w:t>采购项目技术规格、参数及要求</w:t>
      </w:r>
    </w:p>
    <w:p w14:paraId="22204030">
      <w:pPr>
        <w:spacing w:line="400" w:lineRule="exact"/>
        <w:rPr>
          <w:rFonts w:hint="eastAsia" w:ascii="宋体"/>
          <w:color w:val="auto"/>
          <w:szCs w:val="21"/>
          <w:highlight w:val="none"/>
        </w:rPr>
      </w:pPr>
      <w:r>
        <w:rPr>
          <w:rFonts w:hint="eastAsia" w:ascii="宋体"/>
          <w:b/>
          <w:color w:val="auto"/>
          <w:szCs w:val="21"/>
          <w:highlight w:val="none"/>
        </w:rPr>
        <w:t>说明：</w:t>
      </w:r>
    </w:p>
    <w:p w14:paraId="50D534FE">
      <w:pPr>
        <w:spacing w:line="400" w:lineRule="exact"/>
        <w:ind w:firstLine="437"/>
        <w:rPr>
          <w:rFonts w:ascii="宋体"/>
          <w:b/>
          <w:color w:val="auto"/>
          <w:szCs w:val="21"/>
          <w:highlight w:val="none"/>
        </w:rPr>
      </w:pPr>
      <w:r>
        <w:rPr>
          <w:rFonts w:hint="eastAsia" w:ascii="宋体"/>
          <w:b/>
          <w:bCs/>
          <w:color w:val="auto"/>
          <w:szCs w:val="21"/>
          <w:highlight w:val="none"/>
        </w:rPr>
        <w:t>一、本需求表</w:t>
      </w:r>
      <w:r>
        <w:rPr>
          <w:rFonts w:hint="eastAsia" w:ascii="宋体" w:hAnsi="宋体"/>
          <w:b/>
          <w:color w:val="auto"/>
          <w:szCs w:val="21"/>
          <w:highlight w:val="none"/>
        </w:rPr>
        <w:t>中</w:t>
      </w:r>
      <w:r>
        <w:rPr>
          <w:rFonts w:hint="eastAsia" w:ascii="宋体"/>
          <w:b/>
          <w:color w:val="auto"/>
          <w:szCs w:val="21"/>
          <w:highlight w:val="none"/>
        </w:rPr>
        <w:t>标注“▲”的条款均为实质性要求或条件，</w:t>
      </w:r>
      <w:r>
        <w:rPr>
          <w:rFonts w:hint="eastAsia" w:ascii="宋体"/>
          <w:b/>
          <w:color w:val="auto"/>
          <w:szCs w:val="21"/>
          <w:highlight w:val="none"/>
          <w:lang w:eastAsia="zh-CN"/>
        </w:rPr>
        <w:t>供应商</w:t>
      </w:r>
      <w:r>
        <w:rPr>
          <w:rFonts w:hint="eastAsia" w:ascii="宋体"/>
          <w:b/>
          <w:color w:val="auto"/>
          <w:szCs w:val="21"/>
          <w:highlight w:val="none"/>
        </w:rPr>
        <w:t>必须作出满足或者优于该要求和条件的承诺</w:t>
      </w:r>
      <w:r>
        <w:rPr>
          <w:rFonts w:hint="eastAsia" w:ascii="宋体" w:hAnsi="宋体"/>
          <w:b/>
          <w:color w:val="auto"/>
          <w:szCs w:val="21"/>
          <w:highlight w:val="none"/>
        </w:rPr>
        <w:t>（另有要求的除外）</w:t>
      </w:r>
      <w:r>
        <w:rPr>
          <w:rFonts w:hint="eastAsia" w:ascii="宋体"/>
          <w:b/>
          <w:color w:val="auto"/>
          <w:szCs w:val="21"/>
          <w:highlight w:val="none"/>
        </w:rPr>
        <w:t>，否则</w:t>
      </w:r>
      <w:r>
        <w:rPr>
          <w:rFonts w:hint="eastAsia" w:ascii="宋体"/>
          <w:b/>
          <w:color w:val="auto"/>
          <w:szCs w:val="21"/>
          <w:highlight w:val="none"/>
          <w:lang w:val="en-US" w:eastAsia="zh-CN"/>
        </w:rPr>
        <w:t>响应</w:t>
      </w:r>
      <w:r>
        <w:rPr>
          <w:rFonts w:hint="eastAsia" w:ascii="宋体"/>
          <w:b/>
          <w:color w:val="auto"/>
          <w:szCs w:val="21"/>
          <w:highlight w:val="none"/>
        </w:rPr>
        <w:t>无效</w:t>
      </w:r>
      <w:r>
        <w:rPr>
          <w:rFonts w:hint="eastAsia" w:ascii="宋体" w:hAnsi="宋体"/>
          <w:b/>
          <w:color w:val="auto"/>
          <w:szCs w:val="21"/>
          <w:highlight w:val="none"/>
        </w:rPr>
        <w:t>。</w:t>
      </w:r>
    </w:p>
    <w:p w14:paraId="698E7841">
      <w:pPr>
        <w:spacing w:line="400" w:lineRule="exact"/>
        <w:ind w:firstLine="437"/>
        <w:rPr>
          <w:rFonts w:hint="eastAsia" w:ascii="宋体"/>
          <w:b/>
          <w:bCs/>
          <w:color w:val="auto"/>
          <w:szCs w:val="21"/>
          <w:highlight w:val="none"/>
        </w:rPr>
      </w:pPr>
      <w:r>
        <w:rPr>
          <w:rFonts w:hint="eastAsia" w:ascii="宋体"/>
          <w:b/>
          <w:color w:val="auto"/>
          <w:szCs w:val="21"/>
          <w:highlight w:val="none"/>
        </w:rPr>
        <w:t>二、</w:t>
      </w:r>
      <w:r>
        <w:rPr>
          <w:rFonts w:hint="eastAsia" w:ascii="宋体"/>
          <w:b/>
          <w:color w:val="auto"/>
          <w:szCs w:val="21"/>
          <w:highlight w:val="none"/>
          <w:lang w:eastAsia="zh-CN"/>
        </w:rPr>
        <w:t>供应商</w:t>
      </w:r>
      <w:r>
        <w:rPr>
          <w:rFonts w:hint="eastAsia" w:ascii="宋体"/>
          <w:b/>
          <w:color w:val="auto"/>
          <w:szCs w:val="21"/>
          <w:highlight w:val="none"/>
        </w:rPr>
        <w:t>所投标货物或服务如国家有强制性要求的按国家规定执行，若执行标准有修改或更新按最新版本执行。</w:t>
      </w:r>
    </w:p>
    <w:p w14:paraId="08EC8417">
      <w:pPr>
        <w:spacing w:line="400" w:lineRule="exact"/>
        <w:ind w:firstLine="437"/>
        <w:rPr>
          <w:rFonts w:hint="eastAsia" w:ascii="宋体"/>
          <w:b/>
          <w:bCs/>
          <w:color w:val="auto"/>
          <w:szCs w:val="21"/>
          <w:highlight w:val="none"/>
        </w:rPr>
      </w:pPr>
      <w:r>
        <w:rPr>
          <w:rFonts w:hint="eastAsia" w:ascii="宋体"/>
          <w:b/>
          <w:bCs/>
          <w:color w:val="auto"/>
          <w:szCs w:val="21"/>
          <w:highlight w:val="none"/>
        </w:rPr>
        <w:t>三、服务项目中伴随货物的，采购需求中出现的品牌、型号或者生产供应商仅起参考作用，不属于指定品牌、型号或者生产供应商的情形。供应商可参照或者选用其他相当</w:t>
      </w:r>
      <w:r>
        <w:rPr>
          <w:rFonts w:hint="eastAsia" w:ascii="宋体"/>
          <w:b/>
          <w:bCs/>
          <w:color w:val="auto"/>
          <w:szCs w:val="21"/>
          <w:highlight w:val="none"/>
          <w:lang w:val="en-US" w:eastAsia="zh-CN"/>
        </w:rPr>
        <w:t>于或优于</w:t>
      </w:r>
      <w:r>
        <w:rPr>
          <w:rFonts w:hint="eastAsia" w:ascii="宋体"/>
          <w:b/>
          <w:bCs/>
          <w:color w:val="auto"/>
          <w:szCs w:val="21"/>
          <w:highlight w:val="none"/>
        </w:rPr>
        <w:t>的品牌、型号或者生产供应商替代。</w:t>
      </w:r>
    </w:p>
    <w:p w14:paraId="47FC5B32">
      <w:pPr>
        <w:spacing w:line="400" w:lineRule="exact"/>
        <w:ind w:firstLine="437"/>
        <w:rPr>
          <w:rFonts w:hint="eastAsia" w:ascii="宋体" w:hAnsi="宋体"/>
          <w:b/>
          <w:color w:val="auto"/>
          <w:szCs w:val="21"/>
          <w:highlight w:val="none"/>
        </w:rPr>
      </w:pPr>
    </w:p>
    <w:tbl>
      <w:tblPr>
        <w:tblStyle w:val="35"/>
        <w:tblW w:w="493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9"/>
        <w:gridCol w:w="1218"/>
        <w:gridCol w:w="1116"/>
        <w:gridCol w:w="2479"/>
        <w:gridCol w:w="2590"/>
        <w:gridCol w:w="1394"/>
      </w:tblGrid>
      <w:tr w14:paraId="213B1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23" w:type="pct"/>
            <w:noWrap w:val="0"/>
            <w:vAlign w:val="center"/>
          </w:tcPr>
          <w:p w14:paraId="3C5B33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cs="宋体"/>
                <w:color w:val="auto"/>
                <w:szCs w:val="21"/>
                <w:highlight w:val="none"/>
              </w:rPr>
            </w:pPr>
            <w:r>
              <w:rPr>
                <w:rFonts w:hint="eastAsia" w:ascii="宋体" w:hAnsi="宋体" w:cs="宋体"/>
                <w:b w:val="0"/>
                <w:bCs w:val="0"/>
                <w:color w:val="auto"/>
                <w:szCs w:val="21"/>
                <w:highlight w:val="none"/>
              </w:rPr>
              <w:t>分标号</w:t>
            </w:r>
          </w:p>
        </w:tc>
        <w:tc>
          <w:tcPr>
            <w:tcW w:w="1187" w:type="pct"/>
            <w:gridSpan w:val="2"/>
            <w:noWrap w:val="0"/>
            <w:vAlign w:val="center"/>
          </w:tcPr>
          <w:p w14:paraId="35821839">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Cs w:val="21"/>
                <w:highlight w:val="none"/>
              </w:rPr>
            </w:pPr>
            <w:r>
              <w:rPr>
                <w:rFonts w:hint="eastAsia" w:ascii="宋体" w:hAnsi="宋体" w:cs="宋体"/>
                <w:b w:val="0"/>
                <w:bCs w:val="0"/>
                <w:color w:val="auto"/>
                <w:szCs w:val="21"/>
                <w:highlight w:val="none"/>
              </w:rPr>
              <w:t>标的的名称</w:t>
            </w:r>
          </w:p>
        </w:tc>
        <w:tc>
          <w:tcPr>
            <w:tcW w:w="1261" w:type="pct"/>
            <w:noWrap w:val="0"/>
            <w:vAlign w:val="center"/>
          </w:tcPr>
          <w:p w14:paraId="15E4D0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cs="宋体"/>
                <w:color w:val="auto"/>
                <w:szCs w:val="21"/>
                <w:highlight w:val="none"/>
              </w:rPr>
            </w:pPr>
            <w:r>
              <w:rPr>
                <w:rFonts w:hint="eastAsia" w:ascii="宋体" w:hAnsi="宋体" w:cs="宋体"/>
                <w:b w:val="0"/>
                <w:bCs w:val="0"/>
                <w:color w:val="auto"/>
                <w:szCs w:val="21"/>
                <w:highlight w:val="none"/>
              </w:rPr>
              <w:t>数量及单位</w:t>
            </w:r>
          </w:p>
        </w:tc>
        <w:tc>
          <w:tcPr>
            <w:tcW w:w="1317" w:type="pct"/>
            <w:noWrap w:val="0"/>
            <w:vAlign w:val="center"/>
          </w:tcPr>
          <w:p w14:paraId="1523E7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本分标所属行业</w:t>
            </w:r>
          </w:p>
        </w:tc>
        <w:tc>
          <w:tcPr>
            <w:tcW w:w="709" w:type="pct"/>
            <w:noWrap w:val="0"/>
            <w:vAlign w:val="center"/>
          </w:tcPr>
          <w:p w14:paraId="0230BF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Cs w:val="21"/>
                <w:highlight w:val="none"/>
                <w:lang w:eastAsia="zh-CN"/>
              </w:rPr>
            </w:pPr>
            <w:r>
              <w:rPr>
                <w:rFonts w:hint="eastAsia" w:ascii="宋体" w:hAnsi="宋体" w:cs="宋体"/>
                <w:b w:val="0"/>
                <w:bCs w:val="0"/>
                <w:color w:val="auto"/>
                <w:szCs w:val="21"/>
                <w:highlight w:val="none"/>
              </w:rPr>
              <w:t>预算金额</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元</w:t>
            </w:r>
            <w:r>
              <w:rPr>
                <w:rFonts w:hint="eastAsia" w:ascii="宋体" w:hAnsi="宋体" w:cs="宋体"/>
                <w:b w:val="0"/>
                <w:bCs w:val="0"/>
                <w:color w:val="auto"/>
                <w:szCs w:val="21"/>
                <w:highlight w:val="none"/>
                <w:lang w:eastAsia="zh-CN"/>
              </w:rPr>
              <w:t>）</w:t>
            </w:r>
          </w:p>
        </w:tc>
      </w:tr>
      <w:tr w14:paraId="35FE2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23" w:type="pct"/>
            <w:noWrap w:val="0"/>
            <w:vAlign w:val="center"/>
          </w:tcPr>
          <w:p w14:paraId="3BBA0E71">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color w:val="auto"/>
                <w:szCs w:val="21"/>
                <w:highlight w:val="none"/>
                <w:lang w:val="en-US" w:eastAsia="zh-CN"/>
              </w:rPr>
            </w:pPr>
            <w:r>
              <w:rPr>
                <w:rFonts w:hint="eastAsia" w:ascii="宋体" w:hAnsi="宋体" w:cs="宋体"/>
                <w:b w:val="0"/>
                <w:bCs w:val="0"/>
                <w:color w:val="auto"/>
                <w:szCs w:val="21"/>
                <w:highlight w:val="none"/>
              </w:rPr>
              <w:t>分标</w:t>
            </w:r>
            <w:r>
              <w:rPr>
                <w:rFonts w:hint="eastAsia" w:ascii="宋体" w:hAnsi="宋体" w:cs="宋体"/>
                <w:b w:val="0"/>
                <w:bCs w:val="0"/>
                <w:color w:val="auto"/>
                <w:szCs w:val="21"/>
                <w:highlight w:val="none"/>
                <w:lang w:val="en-US" w:eastAsia="zh-CN"/>
              </w:rPr>
              <w:t>1</w:t>
            </w:r>
          </w:p>
        </w:tc>
        <w:tc>
          <w:tcPr>
            <w:tcW w:w="1187" w:type="pct"/>
            <w:gridSpan w:val="2"/>
            <w:noWrap w:val="0"/>
            <w:vAlign w:val="center"/>
          </w:tcPr>
          <w:p w14:paraId="1768AE2A">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cs="宋体"/>
                <w:color w:val="auto"/>
                <w:szCs w:val="21"/>
                <w:highlight w:val="none"/>
              </w:rPr>
            </w:pPr>
            <w:r>
              <w:rPr>
                <w:rFonts w:hint="eastAsia" w:ascii="宋体" w:hAnsi="宋体" w:cs="宋体"/>
                <w:b w:val="0"/>
                <w:bCs w:val="0"/>
                <w:color w:val="auto"/>
                <w:szCs w:val="21"/>
                <w:highlight w:val="none"/>
                <w:lang w:val="en-US" w:eastAsia="zh-CN"/>
              </w:rPr>
              <w:t>卫生用品、餐厨用品及零星用品供应配送服务</w:t>
            </w:r>
          </w:p>
        </w:tc>
        <w:tc>
          <w:tcPr>
            <w:tcW w:w="1261" w:type="pct"/>
            <w:noWrap w:val="0"/>
            <w:vAlign w:val="center"/>
          </w:tcPr>
          <w:p w14:paraId="469952C4">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ascii="宋体" w:hAnsi="宋体" w:cs="宋体"/>
                <w:color w:val="auto"/>
                <w:szCs w:val="21"/>
                <w:highlight w:val="none"/>
              </w:rPr>
            </w:pPr>
            <w:r>
              <w:rPr>
                <w:rFonts w:hint="eastAsia" w:ascii="宋体" w:hAnsi="宋体" w:cs="宋体"/>
                <w:b w:val="0"/>
                <w:bCs w:val="0"/>
                <w:color w:val="auto"/>
                <w:szCs w:val="21"/>
                <w:highlight w:val="none"/>
              </w:rPr>
              <w:t>1项</w:t>
            </w:r>
          </w:p>
        </w:tc>
        <w:tc>
          <w:tcPr>
            <w:tcW w:w="1317" w:type="pct"/>
            <w:noWrap w:val="0"/>
            <w:vAlign w:val="center"/>
          </w:tcPr>
          <w:p w14:paraId="4B17F3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批发业</w:t>
            </w:r>
          </w:p>
        </w:tc>
        <w:tc>
          <w:tcPr>
            <w:tcW w:w="709" w:type="pct"/>
            <w:noWrap w:val="0"/>
            <w:vAlign w:val="center"/>
          </w:tcPr>
          <w:p w14:paraId="6AC60D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olor w:val="auto"/>
                <w:szCs w:val="21"/>
                <w:highlight w:val="none"/>
              </w:rPr>
            </w:pPr>
            <w:r>
              <w:rPr>
                <w:rFonts w:hint="eastAsia" w:ascii="宋体" w:hAnsi="宋体"/>
                <w:b w:val="0"/>
                <w:bCs w:val="0"/>
                <w:color w:val="auto"/>
                <w:szCs w:val="21"/>
                <w:highlight w:val="none"/>
                <w:lang w:val="en-US" w:eastAsia="zh-CN"/>
              </w:rPr>
              <w:t>703756</w:t>
            </w:r>
          </w:p>
        </w:tc>
      </w:tr>
      <w:tr w14:paraId="307D7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000" w:type="pct"/>
            <w:gridSpan w:val="6"/>
            <w:noWrap w:val="0"/>
            <w:vAlign w:val="center"/>
          </w:tcPr>
          <w:p w14:paraId="6E2CE1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▲项目要求及技术需求</w:t>
            </w:r>
          </w:p>
        </w:tc>
      </w:tr>
      <w:tr w14:paraId="7D9E9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000" w:type="pct"/>
            <w:gridSpan w:val="6"/>
            <w:noWrap w:val="0"/>
            <w:vAlign w:val="center"/>
          </w:tcPr>
          <w:p w14:paraId="3B05D3E7">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采购1家供应商，在2025年12月31日前提供卫生用品、餐厨用品及零星用品的相关货品及配送服务，预算金额703756.00元。具体种类、数量视实际工作需要确定，以采购人发出的订购清单或采购确认表为准，供应商应自采购人订购清单发出之日起20天内送货到指定地点。供应商按折扣率进行报价，供应商应当对整个采购清单作统一的折扣率报价，供应商所报的折扣率应当适用于每一项货品。折扣率有效范围为0%-100%，实际供货单价=每项货品的参考单价*（1—成交折扣率）。例：某项货品参考单价为100元，供应商报价的折扣率为10%，则该项货品的供货单价为100元*（1-10%）=90元。</w:t>
            </w:r>
          </w:p>
          <w:tbl>
            <w:tblPr>
              <w:tblStyle w:val="35"/>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8"/>
              <w:gridCol w:w="1105"/>
              <w:gridCol w:w="546"/>
              <w:gridCol w:w="2804"/>
              <w:gridCol w:w="1140"/>
              <w:gridCol w:w="780"/>
              <w:gridCol w:w="1381"/>
              <w:gridCol w:w="1427"/>
            </w:tblGrid>
            <w:tr w14:paraId="3146F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4A68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F6F3D">
                  <w:pPr>
                    <w:jc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货品名称</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1B37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5FB0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lang w:val="en-US" w:eastAsia="zh-CN"/>
                    </w:rPr>
                    <w:t>规格参数要求</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704E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单价（元）</w:t>
                  </w:r>
                </w:p>
              </w:tc>
              <w:tc>
                <w:tcPr>
                  <w:tcW w:w="4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159F8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参考数量</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9EAF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参考金额（元）</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A951D">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参考品牌</w:t>
                  </w:r>
                </w:p>
              </w:tc>
            </w:tr>
            <w:tr w14:paraId="419B9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573"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4913E52">
                  <w:pP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厨房专用品</w:t>
                  </w: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D59146">
                  <w:pPr>
                    <w:jc w:val="center"/>
                    <w:rPr>
                      <w:rFonts w:hint="eastAsia" w:ascii="宋体" w:hAnsi="宋体" w:eastAsia="宋体" w:cs="宋体"/>
                      <w:b/>
                      <w:bCs/>
                      <w:i w:val="0"/>
                      <w:iCs w:val="0"/>
                      <w:color w:val="auto"/>
                      <w:sz w:val="21"/>
                      <w:szCs w:val="21"/>
                      <w:highlight w:val="none"/>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FCF88B">
                  <w:pPr>
                    <w:jc w:val="center"/>
                    <w:rPr>
                      <w:rFonts w:hint="eastAsia" w:ascii="宋体" w:hAnsi="宋体" w:eastAsia="宋体" w:cs="宋体"/>
                      <w:b/>
                      <w:bCs/>
                      <w:i w:val="0"/>
                      <w:iCs w:val="0"/>
                      <w:color w:val="auto"/>
                      <w:sz w:val="21"/>
                      <w:szCs w:val="21"/>
                      <w:highlight w:val="none"/>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36073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 xml:space="preserve">58325.00 </w:t>
                  </w:r>
                </w:p>
              </w:tc>
              <w:tc>
                <w:tcPr>
                  <w:tcW w:w="7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C2F153">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r w14:paraId="32CDA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FD6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F726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面布（5.5米电动桌用）</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6C9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439" w:type="pct"/>
                  <w:tcBorders>
                    <w:top w:val="single" w:color="000000" w:sz="4" w:space="0"/>
                    <w:left w:val="single" w:color="000000" w:sz="4" w:space="0"/>
                    <w:bottom w:val="single" w:color="000000" w:sz="4" w:space="0"/>
                    <w:right w:val="nil"/>
                  </w:tcBorders>
                  <w:shd w:val="clear" w:color="auto" w:fill="auto"/>
                  <w:vAlign w:val="center"/>
                </w:tcPr>
                <w:p w14:paraId="711F26E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规格：6.2m（±0.1m）；颜色：香槟金，桌布中间镂空；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成品工艺：超宽幅布料，双针边，克重260克/平（±0.1m）； 原料工艺：100D有光加捻丝，32/2涡流纺;不变形，不褪色，色彩丰满。</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07B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850.00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7F0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DB3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850.00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A5E77">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1C988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63C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6A8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底布（5.5米电动桌用）</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5A3E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439" w:type="pct"/>
                  <w:tcBorders>
                    <w:top w:val="single" w:color="000000" w:sz="4" w:space="0"/>
                    <w:left w:val="single" w:color="000000" w:sz="4" w:space="0"/>
                    <w:bottom w:val="single" w:color="000000" w:sz="4" w:space="0"/>
                    <w:right w:val="nil"/>
                  </w:tcBorders>
                  <w:shd w:val="clear" w:color="auto" w:fill="auto"/>
                  <w:vAlign w:val="center"/>
                </w:tcPr>
                <w:p w14:paraId="49CADE6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规格：7m（±0.1m）；颜色：深绿色 ，桌布中间镂空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成品工艺：超宽幅布料，双针边，克重260克/平（±0.1m）；      原料工艺：100D有光加捻丝，32/2涡流纺；不变形，不褪色，色彩丰满，</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88C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C83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DD0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B3942">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03444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A01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6AE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面布（5.5米电动桌）</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4D3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439" w:type="pct"/>
                  <w:tcBorders>
                    <w:top w:val="single" w:color="000000" w:sz="4" w:space="0"/>
                    <w:left w:val="single" w:color="000000" w:sz="4" w:space="0"/>
                    <w:bottom w:val="single" w:color="000000" w:sz="4" w:space="0"/>
                    <w:right w:val="nil"/>
                  </w:tcBorders>
                  <w:shd w:val="clear" w:color="auto" w:fill="auto"/>
                  <w:vAlign w:val="center"/>
                </w:tcPr>
                <w:p w14:paraId="0D3F995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规格：6.2m（±0.1m）；颜色：浅金色 ，桌布中间镂空；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成品工艺：超宽幅布料，双针边，克重260克/平（±0.1m）； 原料工艺：100D有光加捻丝，32/2涡流纺；，不变形，不褪色，色彩丰满。</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0DD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800.00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8B6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ED11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6F4A5">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0FF22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040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698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底布（5.5米电动桌用）</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1574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439" w:type="pct"/>
                  <w:tcBorders>
                    <w:top w:val="single" w:color="000000" w:sz="4" w:space="0"/>
                    <w:left w:val="single" w:color="000000" w:sz="4" w:space="0"/>
                    <w:bottom w:val="single" w:color="000000" w:sz="4" w:space="0"/>
                    <w:right w:val="nil"/>
                  </w:tcBorders>
                  <w:shd w:val="clear" w:color="auto" w:fill="auto"/>
                  <w:vAlign w:val="center"/>
                </w:tcPr>
                <w:p w14:paraId="572D449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规格：7m（±0.1m）；颜色：深金色 ，桌布中间镂空；成品工艺：超宽幅布料，双针边，克重260克/平（±0.1m）；                                 原料工艺：100D有光加捻丝，32/2涡流纺；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染整工艺：高温高压着色，预定型、定型处理，不变形，不褪色，色彩丰满。</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A1A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6D4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787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6D8C0">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4071A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13B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ABE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面布（1.8米电动桌用）</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A49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439" w:type="pct"/>
                  <w:tcBorders>
                    <w:top w:val="single" w:color="000000" w:sz="4" w:space="0"/>
                    <w:left w:val="single" w:color="000000" w:sz="4" w:space="0"/>
                    <w:bottom w:val="single" w:color="000000" w:sz="4" w:space="0"/>
                    <w:right w:val="nil"/>
                  </w:tcBorders>
                  <w:shd w:val="clear" w:color="auto" w:fill="auto"/>
                  <w:vAlign w:val="center"/>
                </w:tcPr>
                <w:p w14:paraId="2274F12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规格：2.5m（±0.1m）；颜色：香槟金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成品工艺：超宽幅布料，双针边，克重260克/平（±0.1m）； 原料工艺：100D有光加捻丝，32/2涡流纺；不变形，不褪色，色彩丰满。</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D5E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140.00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6EC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8F6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140.00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A7A1B">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68FA1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938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F14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底布（1.8米电动桌用）</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1CE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439" w:type="pct"/>
                  <w:tcBorders>
                    <w:top w:val="single" w:color="000000" w:sz="4" w:space="0"/>
                    <w:left w:val="single" w:color="000000" w:sz="4" w:space="0"/>
                    <w:bottom w:val="single" w:color="000000" w:sz="4" w:space="0"/>
                    <w:right w:val="nil"/>
                  </w:tcBorders>
                  <w:shd w:val="clear" w:color="auto" w:fill="auto"/>
                  <w:vAlign w:val="center"/>
                </w:tcPr>
                <w:p w14:paraId="701E314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规格：3.3m（±0.1m）；颜色：深绿色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成品工艺：超宽幅布料，双针边，克重260克/平（±0.1m） 原料工艺：100D有光加捻丝，32/2涡流纺；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染整工艺：高温高压着色，预定型、定型处理；不变形，不褪色，色彩丰满。</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A5F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230.00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8BF6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776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230.00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D757A">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7421D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265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794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面布（1.8米电动桌用）</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597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439" w:type="pct"/>
                  <w:tcBorders>
                    <w:top w:val="single" w:color="000000" w:sz="4" w:space="0"/>
                    <w:left w:val="single" w:color="000000" w:sz="4" w:space="0"/>
                    <w:bottom w:val="single" w:color="000000" w:sz="4" w:space="0"/>
                    <w:right w:val="nil"/>
                  </w:tcBorders>
                  <w:shd w:val="clear" w:color="auto" w:fill="auto"/>
                  <w:vAlign w:val="center"/>
                </w:tcPr>
                <w:p w14:paraId="153BF0E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规格：2.5m（±0.1m）；颜色：香槟金；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成品工艺：超宽幅布料，双针边，克重260克/平（±0.1m）；   原料工艺：100D有光加捻丝，32/2涡流纺；      染整工艺：高温高压着色，预定型、定型处理；不变形，不褪色，色彩丰满，</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820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140.00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B50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6BB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140.00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C49F1">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7AB66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B16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772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底布（1.8米电动桌用）</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938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439" w:type="pct"/>
                  <w:tcBorders>
                    <w:top w:val="single" w:color="000000" w:sz="4" w:space="0"/>
                    <w:left w:val="single" w:color="000000" w:sz="4" w:space="0"/>
                    <w:bottom w:val="single" w:color="000000" w:sz="4" w:space="0"/>
                    <w:right w:val="nil"/>
                  </w:tcBorders>
                  <w:shd w:val="clear" w:color="auto" w:fill="auto"/>
                  <w:vAlign w:val="center"/>
                </w:tcPr>
                <w:p w14:paraId="76C2FC2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规格：3.3m（±0.1m）；颜色：深金色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；成品工艺：超宽幅布料，双针边，克重260克/平（±0.1m）；                                 原料工艺：100D有光加捻丝，32/2涡流纺； 不变形，不褪色，色彩丰满。</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8B9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230.00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911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C3AE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230.00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6FF61">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642E9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D41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018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口布1</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4FF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439" w:type="pct"/>
                  <w:tcBorders>
                    <w:top w:val="single" w:color="000000" w:sz="4" w:space="0"/>
                    <w:left w:val="single" w:color="000000" w:sz="4" w:space="0"/>
                    <w:bottom w:val="single" w:color="000000" w:sz="4" w:space="0"/>
                    <w:right w:val="nil"/>
                  </w:tcBorders>
                  <w:shd w:val="clear" w:color="auto" w:fill="auto"/>
                  <w:vAlign w:val="center"/>
                </w:tcPr>
                <w:p w14:paraId="65021DB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规格：50*50cm ；；颜色：金色 ；成品工艺：超宽幅布料，双针边，克重260克/平（±0.1m）；                                 原料工艺：100D有光加捻丝，32/2涡流纺，不变形，不褪色，色彩丰满。</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F77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6.50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4A4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 </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1E1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650.00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350E1">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1D4CA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33F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372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口布2</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CDE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439" w:type="pct"/>
                  <w:tcBorders>
                    <w:top w:val="single" w:color="000000" w:sz="4" w:space="0"/>
                    <w:left w:val="single" w:color="000000" w:sz="4" w:space="0"/>
                    <w:bottom w:val="single" w:color="000000" w:sz="4" w:space="0"/>
                    <w:right w:val="nil"/>
                  </w:tcBorders>
                  <w:shd w:val="clear" w:color="auto" w:fill="auto"/>
                  <w:vAlign w:val="center"/>
                </w:tcPr>
                <w:p w14:paraId="72812F6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规格：50*50cm（±0.1m） ；颜色：蓝灰色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；成品工艺：超宽幅布料，双针边，克重260克/平（±0.1m）； 原料工艺：100D有光加捻丝，32/2涡流纺；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染整工艺：高温高压着色，预定型、定型处理； 特点   ：垂感好，易洗涤、熨烫，不变形，不褪色，色彩丰满</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D73E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6.50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5ABB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 </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A3B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650.00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AC58E">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1F7F1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A38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5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0F8C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农药残留检测卡</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0D38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1439" w:type="pct"/>
                  <w:tcBorders>
                    <w:top w:val="single" w:color="000000" w:sz="4" w:space="0"/>
                    <w:left w:val="single" w:color="000000" w:sz="4" w:space="0"/>
                    <w:bottom w:val="single" w:color="000000" w:sz="4" w:space="0"/>
                    <w:right w:val="nil"/>
                  </w:tcBorders>
                  <w:shd w:val="clear" w:color="auto" w:fill="FFFFFF"/>
                  <w:vAlign w:val="center"/>
                </w:tcPr>
                <w:p w14:paraId="3173D46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材质：红、白药片卡；规格： 5cm*5.9cm*1.7cm，20片/盒,1瓶10ml洗脱液。可用于蔬菜、水果等农残测试，保质期：12个月。注明生产厂家.生产日期.使用期限等。</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2D8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18.00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BF7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 </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8BF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270.00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C7D1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参考品牌：力德力诺、朗瑞安、天河绿洲</w:t>
                  </w:r>
                </w:p>
              </w:tc>
            </w:tr>
            <w:tr w14:paraId="52056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A50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5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BB44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餐具表面洁净卡</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3E48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1439" w:type="pct"/>
                  <w:tcBorders>
                    <w:top w:val="single" w:color="000000" w:sz="4" w:space="0"/>
                    <w:left w:val="single" w:color="000000" w:sz="4" w:space="0"/>
                    <w:bottom w:val="single" w:color="000000" w:sz="4" w:space="0"/>
                    <w:right w:val="nil"/>
                  </w:tcBorders>
                  <w:shd w:val="clear" w:color="auto" w:fill="FFFFFF"/>
                  <w:vAlign w:val="center"/>
                </w:tcPr>
                <w:p w14:paraId="6EBB713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规格：50次/包，速测卡50片，湿润剂1瓶，显色剂1瓶，对照色卡1片，保存有效期为18个月。注明生产厂家.生产日期.使用期限等。</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552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180.00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174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05B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180.00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25AF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参考品牌：天河绿洲、达元、朗瑞安</w:t>
                  </w:r>
                </w:p>
              </w:tc>
            </w:tr>
            <w:tr w14:paraId="51586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742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5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E402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瘦肉精三联卡</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9BDB6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1439" w:type="pct"/>
                  <w:tcBorders>
                    <w:top w:val="single" w:color="000000" w:sz="4" w:space="0"/>
                    <w:left w:val="single" w:color="000000" w:sz="4" w:space="0"/>
                    <w:bottom w:val="single" w:color="000000" w:sz="4" w:space="0"/>
                    <w:right w:val="nil"/>
                  </w:tcBorders>
                  <w:shd w:val="clear" w:color="auto" w:fill="FFFFFF"/>
                  <w:vAlign w:val="center"/>
                </w:tcPr>
                <w:p w14:paraId="115A782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规格：50次/包，克伦特罗、莱克多巴胺、沙丁胺醇各1桶，10个试纸条，1卡1袋共10袋，样本提取剂1瓶/7ml，离心管10个，胶体金，保存有效期为12个月。注明生产厂家.生产日期.使用期限等。</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9E6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335.00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EA1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CF8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335.00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14A9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参考品牌：达元、天河绿洲、朗瑞安</w:t>
                  </w:r>
                </w:p>
              </w:tc>
            </w:tr>
            <w:tr w14:paraId="6508A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293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5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3522E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莱克多巴胺盒</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E14A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1439" w:type="pct"/>
                  <w:tcBorders>
                    <w:top w:val="single" w:color="000000" w:sz="4" w:space="0"/>
                    <w:left w:val="single" w:color="000000" w:sz="4" w:space="0"/>
                    <w:bottom w:val="single" w:color="000000" w:sz="4" w:space="0"/>
                    <w:right w:val="nil"/>
                  </w:tcBorders>
                  <w:shd w:val="clear" w:color="auto" w:fill="FFFFFF"/>
                  <w:vAlign w:val="center"/>
                </w:tcPr>
                <w:p w14:paraId="5B3FA40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50张检测纸，肌肉组织（畜禽源性肉类产品）。</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3AA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444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69D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6593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参考品牌：勤邦生物、华心生物、美正生物</w:t>
                  </w:r>
                </w:p>
              </w:tc>
            </w:tr>
            <w:tr w14:paraId="1AD5C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E6D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5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5AED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克伦特罗</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D6E5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1439" w:type="pct"/>
                  <w:tcBorders>
                    <w:top w:val="single" w:color="000000" w:sz="4" w:space="0"/>
                    <w:left w:val="single" w:color="000000" w:sz="4" w:space="0"/>
                    <w:bottom w:val="single" w:color="000000" w:sz="4" w:space="0"/>
                    <w:right w:val="nil"/>
                  </w:tcBorders>
                  <w:shd w:val="clear" w:color="auto" w:fill="FFFFFF"/>
                  <w:vAlign w:val="center"/>
                </w:tcPr>
                <w:p w14:paraId="3F88832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50张检测纸，肌肉组织（畜禽源性肉类产品）。</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ED4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826E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97D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F1BB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参考品牌：勤邦生物、华心生物、美正生物</w:t>
                  </w:r>
                </w:p>
              </w:tc>
            </w:tr>
            <w:tr w14:paraId="7CD56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5CD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5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A299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沙丁胺醇</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8C24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1439" w:type="pct"/>
                  <w:tcBorders>
                    <w:top w:val="single" w:color="000000" w:sz="4" w:space="0"/>
                    <w:left w:val="single" w:color="000000" w:sz="4" w:space="0"/>
                    <w:bottom w:val="single" w:color="000000" w:sz="4" w:space="0"/>
                    <w:right w:val="nil"/>
                  </w:tcBorders>
                  <w:shd w:val="clear" w:color="auto" w:fill="FFFFFF"/>
                  <w:vAlign w:val="center"/>
                </w:tcPr>
                <w:p w14:paraId="23A96E9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50张检测纸，肌肉组织（畜禽源性肉类产品）。</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3400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11F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519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F414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参考品牌：勤邦生物、华心生物、美正生物</w:t>
                  </w:r>
                </w:p>
              </w:tc>
            </w:tr>
            <w:tr w14:paraId="7E93E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1E5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39F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钢化玻璃杯      （茶水杯）</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28A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nil"/>
                  </w:tcBorders>
                  <w:shd w:val="clear" w:color="auto" w:fill="auto"/>
                  <w:vAlign w:val="center"/>
                </w:tcPr>
                <w:p w14:paraId="53DE40E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口径：6.5cm，底径：5.3cm,高：10cm；容量：220ml,形状：斜身（可叠型），安全无铅无毒玻璃。</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E19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CB8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500 </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1DF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6F1B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参考品牌：利比、青苹果、执白</w:t>
                  </w:r>
                </w:p>
              </w:tc>
            </w:tr>
            <w:tr w14:paraId="0EAC8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30D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A68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竹筷子</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A36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w:t>
                  </w:r>
                </w:p>
              </w:tc>
              <w:tc>
                <w:tcPr>
                  <w:tcW w:w="1439" w:type="pct"/>
                  <w:tcBorders>
                    <w:top w:val="single" w:color="000000" w:sz="4" w:space="0"/>
                    <w:left w:val="single" w:color="000000" w:sz="4" w:space="0"/>
                    <w:bottom w:val="single" w:color="000000" w:sz="4" w:space="0"/>
                    <w:right w:val="nil"/>
                  </w:tcBorders>
                  <w:shd w:val="clear" w:color="auto" w:fill="auto"/>
                  <w:vAlign w:val="center"/>
                </w:tcPr>
                <w:p w14:paraId="0DF35D9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规格：24cm，材质：毛竹（食品接触用），无漆无蜡。</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D0D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3E3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2000 </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940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4000.00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3B25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参考品牌：家味佳、双枪、炊大皇</w:t>
                  </w:r>
                </w:p>
              </w:tc>
            </w:tr>
            <w:tr w14:paraId="7C3BA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EFF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459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不锈钢梅花夹</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37AB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nil"/>
                  </w:tcBorders>
                  <w:shd w:val="clear" w:color="auto" w:fill="auto"/>
                  <w:vAlign w:val="center"/>
                </w:tcPr>
                <w:p w14:paraId="2150154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规格：29*4.1cm，12寸，食品级SUS304， 重约72克，加厚，易清洗。</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2748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A9D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 </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F90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3A8B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参考品牌：兴发、万州、泗州</w:t>
                  </w:r>
                </w:p>
              </w:tc>
            </w:tr>
            <w:tr w14:paraId="7B351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F5F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5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F892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多功能刨丝器</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E372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nil"/>
                  </w:tcBorders>
                  <w:shd w:val="clear" w:color="auto" w:fill="FFFFFF"/>
                  <w:vAlign w:val="center"/>
                </w:tcPr>
                <w:p w14:paraId="150FC5A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规格：长*宽28cm、13.5cm；材质：不锈钢刀片。插入式换刀法的配套装置；具有如下功能：可以削皮、切细丝、切条、切块、磨泥等。</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1B3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18.00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10A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 </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CF6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180.00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9C8F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参考品牌：振东 、莱柏顿 、峰成</w:t>
                  </w:r>
                </w:p>
              </w:tc>
            </w:tr>
            <w:tr w14:paraId="59A22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322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5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86F6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油纸</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0F0E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439" w:type="pct"/>
                  <w:tcBorders>
                    <w:top w:val="single" w:color="000000" w:sz="4" w:space="0"/>
                    <w:left w:val="single" w:color="000000" w:sz="4" w:space="0"/>
                    <w:bottom w:val="single" w:color="000000" w:sz="4" w:space="0"/>
                    <w:right w:val="nil"/>
                  </w:tcBorders>
                  <w:shd w:val="clear" w:color="auto" w:fill="FFFFFF"/>
                  <w:vAlign w:val="center"/>
                </w:tcPr>
                <w:p w14:paraId="7095E1A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长：60cm,宽40cm，双面硅加工耐油纸，加厚设计，耐温250°。</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7D2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7C8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5000 </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F4E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39B2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参考品牌：烤乐仕、展艺、易优家</w:t>
                  </w:r>
                </w:p>
              </w:tc>
            </w:tr>
            <w:tr w14:paraId="34F88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B5B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5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EDAB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yellow"/>
                      <w:u w:val="none"/>
                      <w:lang w:val="en-US" w:eastAsia="zh-CN" w:bidi="ar"/>
                    </w:rPr>
                    <w:t>面碗</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4828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nil"/>
                  </w:tcBorders>
                  <w:shd w:val="clear" w:color="auto" w:fill="FFFFFF"/>
                  <w:vAlign w:val="center"/>
                </w:tcPr>
                <w:p w14:paraId="0FF3423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yellow"/>
                      <w:u w:val="none"/>
                      <w:lang w:val="en-US" w:eastAsia="zh-CN" w:bidi="ar"/>
                    </w:rPr>
                    <w:t>定制</w:t>
                  </w:r>
                  <w:r>
                    <w:rPr>
                      <w:rFonts w:hint="eastAsia" w:ascii="宋体" w:hAnsi="宋体" w:eastAsia="宋体" w:cs="宋体"/>
                      <w:i w:val="0"/>
                      <w:iCs w:val="0"/>
                      <w:color w:val="auto"/>
                      <w:kern w:val="0"/>
                      <w:sz w:val="21"/>
                      <w:szCs w:val="21"/>
                      <w:highlight w:val="none"/>
                      <w:u w:val="none"/>
                      <w:lang w:val="en-US" w:eastAsia="zh-CN" w:bidi="ar"/>
                    </w:rPr>
                    <w:t>，规格：19*7.5cm ；食品级A8仿瓷材质，耐用性高，破损低，QS国家质检。</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B6B4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FDB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 </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711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60670">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75715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31B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5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BDD7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yellow"/>
                      <w:u w:val="none"/>
                      <w:lang w:val="en-US" w:eastAsia="zh-CN" w:bidi="ar"/>
                    </w:rPr>
                    <w:t>纳米碗（面碗）</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9B05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nil"/>
                  </w:tcBorders>
                  <w:shd w:val="clear" w:color="auto" w:fill="FFFFFF"/>
                  <w:vAlign w:val="center"/>
                </w:tcPr>
                <w:p w14:paraId="6BB1135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yellow"/>
                      <w:u w:val="none"/>
                      <w:lang w:val="en-US" w:eastAsia="zh-CN" w:bidi="ar"/>
                    </w:rPr>
                    <w:t>定制</w:t>
                  </w:r>
                  <w:r>
                    <w:rPr>
                      <w:rFonts w:hint="eastAsia" w:ascii="宋体" w:hAnsi="宋体" w:eastAsia="宋体" w:cs="宋体"/>
                      <w:i w:val="0"/>
                      <w:iCs w:val="0"/>
                      <w:color w:val="auto"/>
                      <w:kern w:val="0"/>
                      <w:sz w:val="21"/>
                      <w:szCs w:val="21"/>
                      <w:highlight w:val="none"/>
                      <w:u w:val="none"/>
                      <w:lang w:val="en-US" w:eastAsia="zh-CN" w:bidi="ar"/>
                    </w:rPr>
                    <w:t>，规格：直径15.5*高6.5cm ；白色，食品级A8仿瓷材质，耐用性高，破损低，QS国家质检。</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A30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AB4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 </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220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9BE48">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2DC59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7E5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BE3C9">
                  <w:pPr>
                    <w:keepNext w:val="0"/>
                    <w:keepLines w:val="0"/>
                    <w:widowControl/>
                    <w:suppressLineNumbers w:val="0"/>
                    <w:jc w:val="center"/>
                    <w:textAlignment w:val="center"/>
                    <w:rPr>
                      <w:rFonts w:hint="eastAsia" w:ascii="宋体" w:hAnsi="宋体" w:eastAsia="宋体" w:cs="宋体"/>
                      <w:i w:val="0"/>
                      <w:iCs w:val="0"/>
                      <w:color w:val="auto"/>
                      <w:sz w:val="21"/>
                      <w:szCs w:val="21"/>
                      <w:highlight w:val="yellow"/>
                      <w:u w:val="none"/>
                    </w:rPr>
                  </w:pPr>
                  <w:r>
                    <w:rPr>
                      <w:rFonts w:hint="eastAsia" w:ascii="宋体" w:hAnsi="宋体" w:eastAsia="宋体" w:cs="宋体"/>
                      <w:i w:val="0"/>
                      <w:iCs w:val="0"/>
                      <w:color w:val="auto"/>
                      <w:kern w:val="0"/>
                      <w:sz w:val="21"/>
                      <w:szCs w:val="21"/>
                      <w:highlight w:val="yellow"/>
                      <w:u w:val="none"/>
                      <w:lang w:val="en-US" w:eastAsia="zh-CN" w:bidi="ar"/>
                    </w:rPr>
                    <w:t>炖盅</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43E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439" w:type="pct"/>
                  <w:tcBorders>
                    <w:top w:val="single" w:color="000000" w:sz="4" w:space="0"/>
                    <w:left w:val="single" w:color="000000" w:sz="4" w:space="0"/>
                    <w:bottom w:val="single" w:color="000000" w:sz="4" w:space="0"/>
                    <w:right w:val="nil"/>
                  </w:tcBorders>
                  <w:shd w:val="clear" w:color="auto" w:fill="auto"/>
                  <w:vAlign w:val="center"/>
                </w:tcPr>
                <w:p w14:paraId="3B03D1F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yellow"/>
                      <w:u w:val="none"/>
                      <w:lang w:val="en-US" w:eastAsia="zh-CN" w:bidi="ar"/>
                    </w:rPr>
                    <w:t>定制</w:t>
                  </w:r>
                  <w:r>
                    <w:rPr>
                      <w:rFonts w:hint="eastAsia" w:ascii="宋体" w:hAnsi="宋体" w:eastAsia="宋体" w:cs="宋体"/>
                      <w:i w:val="0"/>
                      <w:iCs w:val="0"/>
                      <w:color w:val="auto"/>
                      <w:kern w:val="0"/>
                      <w:sz w:val="21"/>
                      <w:szCs w:val="21"/>
                      <w:highlight w:val="none"/>
                      <w:u w:val="none"/>
                      <w:lang w:val="en-US" w:eastAsia="zh-CN" w:bidi="ar"/>
                    </w:rPr>
                    <w:t>，规格：高8cm*直径11cm，带盖，材质：食品级陶瓷，采用高温工艺高温烧制而成，瓷面细腻，光滑易清洗，无铅釉面，耐划耐冲击，荧光通透</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143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16.00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722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150 </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15B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2400.00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A3773">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188B1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75B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4C661">
                  <w:pPr>
                    <w:keepNext w:val="0"/>
                    <w:keepLines w:val="0"/>
                    <w:widowControl/>
                    <w:suppressLineNumbers w:val="0"/>
                    <w:jc w:val="center"/>
                    <w:textAlignment w:val="center"/>
                    <w:rPr>
                      <w:rFonts w:hint="eastAsia" w:ascii="宋体" w:hAnsi="宋体" w:eastAsia="宋体" w:cs="宋体"/>
                      <w:i w:val="0"/>
                      <w:iCs w:val="0"/>
                      <w:color w:val="auto"/>
                      <w:sz w:val="21"/>
                      <w:szCs w:val="21"/>
                      <w:highlight w:val="yellow"/>
                      <w:u w:val="none"/>
                    </w:rPr>
                  </w:pPr>
                  <w:r>
                    <w:rPr>
                      <w:rFonts w:hint="eastAsia" w:ascii="宋体" w:hAnsi="宋体" w:eastAsia="宋体" w:cs="宋体"/>
                      <w:i w:val="0"/>
                      <w:iCs w:val="0"/>
                      <w:color w:val="auto"/>
                      <w:kern w:val="0"/>
                      <w:sz w:val="21"/>
                      <w:szCs w:val="21"/>
                      <w:highlight w:val="yellow"/>
                      <w:u w:val="none"/>
                      <w:lang w:val="en-US" w:eastAsia="zh-CN" w:bidi="ar"/>
                    </w:rPr>
                    <w:t>蚬木菜板</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142E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nil"/>
                  </w:tcBorders>
                  <w:shd w:val="clear" w:color="auto" w:fill="auto"/>
                  <w:vAlign w:val="center"/>
                </w:tcPr>
                <w:p w14:paraId="42E1AFA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yellow"/>
                      <w:u w:val="none"/>
                      <w:lang w:val="en-US" w:eastAsia="zh-CN" w:bidi="ar"/>
                    </w:rPr>
                    <w:t>定制</w:t>
                  </w:r>
                  <w:r>
                    <w:rPr>
                      <w:rFonts w:hint="eastAsia" w:ascii="宋体" w:hAnsi="宋体" w:eastAsia="宋体" w:cs="宋体"/>
                      <w:i w:val="0"/>
                      <w:iCs w:val="0"/>
                      <w:color w:val="auto"/>
                      <w:kern w:val="0"/>
                      <w:sz w:val="21"/>
                      <w:szCs w:val="21"/>
                      <w:highlight w:val="none"/>
                      <w:u w:val="none"/>
                      <w:lang w:val="en-US" w:eastAsia="zh-CN" w:bidi="ar"/>
                    </w:rPr>
                    <w:t>，规格：直径45×高10cm；材质：无漆无蜡、整块切割、无拼接、正宗全枧木。</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45B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460.00 </w:t>
                  </w:r>
                </w:p>
              </w:tc>
              <w:tc>
                <w:tcPr>
                  <w:tcW w:w="400" w:type="pct"/>
                  <w:tcBorders>
                    <w:top w:val="single" w:color="000000" w:sz="4" w:space="0"/>
                    <w:left w:val="single" w:color="000000" w:sz="4" w:space="0"/>
                    <w:bottom w:val="single" w:color="000000" w:sz="4" w:space="0"/>
                    <w:right w:val="nil"/>
                  </w:tcBorders>
                  <w:shd w:val="clear" w:color="auto" w:fill="auto"/>
                  <w:noWrap/>
                  <w:vAlign w:val="center"/>
                </w:tcPr>
                <w:p w14:paraId="65B64B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 </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94D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6900.00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385C0">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26AA6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5F4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E6F80">
                  <w:pPr>
                    <w:keepNext w:val="0"/>
                    <w:keepLines w:val="0"/>
                    <w:widowControl/>
                    <w:suppressLineNumbers w:val="0"/>
                    <w:jc w:val="center"/>
                    <w:textAlignment w:val="center"/>
                    <w:rPr>
                      <w:rFonts w:hint="eastAsia" w:ascii="宋体" w:hAnsi="宋体" w:eastAsia="宋体" w:cs="宋体"/>
                      <w:i w:val="0"/>
                      <w:iCs w:val="0"/>
                      <w:color w:val="auto"/>
                      <w:sz w:val="21"/>
                      <w:szCs w:val="21"/>
                      <w:highlight w:val="yellow"/>
                      <w:u w:val="none"/>
                    </w:rPr>
                  </w:pPr>
                  <w:r>
                    <w:rPr>
                      <w:rFonts w:hint="eastAsia" w:ascii="宋体" w:hAnsi="宋体" w:eastAsia="宋体" w:cs="宋体"/>
                      <w:i w:val="0"/>
                      <w:iCs w:val="0"/>
                      <w:color w:val="auto"/>
                      <w:kern w:val="0"/>
                      <w:sz w:val="21"/>
                      <w:szCs w:val="21"/>
                      <w:highlight w:val="yellow"/>
                      <w:u w:val="none"/>
                      <w:lang w:val="en-US" w:eastAsia="zh-CN" w:bidi="ar"/>
                    </w:rPr>
                    <w:t>大锅铲</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D18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1439" w:type="pct"/>
                  <w:tcBorders>
                    <w:top w:val="single" w:color="000000" w:sz="4" w:space="0"/>
                    <w:left w:val="single" w:color="000000" w:sz="4" w:space="0"/>
                    <w:bottom w:val="single" w:color="000000" w:sz="4" w:space="0"/>
                    <w:right w:val="nil"/>
                  </w:tcBorders>
                  <w:shd w:val="clear" w:color="auto" w:fill="auto"/>
                  <w:vAlign w:val="center"/>
                </w:tcPr>
                <w:p w14:paraId="56B0033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yellow"/>
                      <w:u w:val="none"/>
                      <w:lang w:val="en-US" w:eastAsia="zh-CN" w:bidi="ar"/>
                    </w:rPr>
                    <w:t>定制</w:t>
                  </w:r>
                  <w:r>
                    <w:rPr>
                      <w:rFonts w:hint="eastAsia" w:ascii="宋体" w:hAnsi="宋体" w:eastAsia="宋体" w:cs="宋体"/>
                      <w:i w:val="0"/>
                      <w:iCs w:val="0"/>
                      <w:color w:val="auto"/>
                      <w:kern w:val="0"/>
                      <w:sz w:val="21"/>
                      <w:szCs w:val="21"/>
                      <w:highlight w:val="none"/>
                      <w:u w:val="none"/>
                      <w:lang w:val="en-US" w:eastAsia="zh-CN" w:bidi="ar"/>
                    </w:rPr>
                    <w:t>，铲头18cm，实木柄长：1.2m,铲头材质: 食品级不锈钢。</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BC7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D9F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 </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8D6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320.00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1A167">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24642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444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FF9F3">
                  <w:pPr>
                    <w:keepNext w:val="0"/>
                    <w:keepLines w:val="0"/>
                    <w:widowControl/>
                    <w:suppressLineNumbers w:val="0"/>
                    <w:jc w:val="center"/>
                    <w:textAlignment w:val="center"/>
                    <w:rPr>
                      <w:rFonts w:hint="eastAsia" w:ascii="宋体" w:hAnsi="宋体" w:eastAsia="宋体" w:cs="宋体"/>
                      <w:i w:val="0"/>
                      <w:iCs w:val="0"/>
                      <w:color w:val="auto"/>
                      <w:sz w:val="21"/>
                      <w:szCs w:val="21"/>
                      <w:highlight w:val="yellow"/>
                      <w:u w:val="none"/>
                    </w:rPr>
                  </w:pPr>
                  <w:r>
                    <w:rPr>
                      <w:rFonts w:hint="eastAsia" w:ascii="宋体" w:hAnsi="宋体" w:eastAsia="宋体" w:cs="宋体"/>
                      <w:i w:val="0"/>
                      <w:iCs w:val="0"/>
                      <w:color w:val="auto"/>
                      <w:kern w:val="0"/>
                      <w:sz w:val="21"/>
                      <w:szCs w:val="21"/>
                      <w:highlight w:val="yellow"/>
                      <w:u w:val="none"/>
                      <w:lang w:val="en-US" w:eastAsia="zh-CN" w:bidi="ar"/>
                    </w:rPr>
                    <w:t>锅铲木柄</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D57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439" w:type="pct"/>
                  <w:tcBorders>
                    <w:top w:val="single" w:color="000000" w:sz="4" w:space="0"/>
                    <w:left w:val="single" w:color="000000" w:sz="4" w:space="0"/>
                    <w:bottom w:val="single" w:color="000000" w:sz="4" w:space="0"/>
                    <w:right w:val="nil"/>
                  </w:tcBorders>
                  <w:shd w:val="clear" w:color="auto" w:fill="auto"/>
                  <w:vAlign w:val="center"/>
                </w:tcPr>
                <w:p w14:paraId="517C089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yellow"/>
                      <w:u w:val="none"/>
                      <w:lang w:val="en-US" w:eastAsia="zh-CN" w:bidi="ar"/>
                    </w:rPr>
                    <w:t>定制</w:t>
                  </w:r>
                  <w:r>
                    <w:rPr>
                      <w:rFonts w:hint="eastAsia" w:ascii="宋体" w:hAnsi="宋体" w:eastAsia="宋体" w:cs="宋体"/>
                      <w:i w:val="0"/>
                      <w:iCs w:val="0"/>
                      <w:color w:val="auto"/>
                      <w:kern w:val="0"/>
                      <w:sz w:val="21"/>
                      <w:szCs w:val="21"/>
                      <w:highlight w:val="none"/>
                      <w:u w:val="none"/>
                      <w:lang w:val="en-US" w:eastAsia="zh-CN" w:bidi="ar"/>
                    </w:rPr>
                    <w:t xml:space="preserve"> ，总长：120 cm，材质: 全实木。</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B79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22.00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833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 </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12D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330.00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6283D">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5A791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064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5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3ADB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不锈钢过滤网筛滤</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66D5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nil"/>
                  </w:tcBorders>
                  <w:shd w:val="clear" w:color="auto" w:fill="FFFFFF"/>
                  <w:vAlign w:val="center"/>
                </w:tcPr>
                <w:p w14:paraId="59E48A4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规格：直径27.5cm、长52cm；材质：加厚304优质食品级不锈钢，双耳漏勺，细密网滤。</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9E94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2B1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 </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C3C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8166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参考品牌：恒利、天鉴、丙丁</w:t>
                  </w:r>
                </w:p>
              </w:tc>
            </w:tr>
            <w:tr w14:paraId="5B0EA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AEB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5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80D70B">
                  <w:pPr>
                    <w:keepNext w:val="0"/>
                    <w:keepLines w:val="0"/>
                    <w:widowControl/>
                    <w:suppressLineNumbers w:val="0"/>
                    <w:jc w:val="center"/>
                    <w:textAlignment w:val="center"/>
                    <w:rPr>
                      <w:rFonts w:hint="eastAsia" w:ascii="宋体" w:hAnsi="宋体" w:eastAsia="宋体" w:cs="宋体"/>
                      <w:i w:val="0"/>
                      <w:iCs w:val="0"/>
                      <w:color w:val="auto"/>
                      <w:sz w:val="21"/>
                      <w:szCs w:val="21"/>
                      <w:highlight w:val="yellow"/>
                      <w:u w:val="none"/>
                    </w:rPr>
                  </w:pPr>
                  <w:r>
                    <w:rPr>
                      <w:rFonts w:hint="eastAsia" w:ascii="宋体" w:hAnsi="宋体" w:eastAsia="宋体" w:cs="宋体"/>
                      <w:i w:val="0"/>
                      <w:iCs w:val="0"/>
                      <w:color w:val="auto"/>
                      <w:kern w:val="0"/>
                      <w:sz w:val="21"/>
                      <w:szCs w:val="21"/>
                      <w:highlight w:val="yellow"/>
                      <w:u w:val="none"/>
                      <w:lang w:val="en-US" w:eastAsia="zh-CN" w:bidi="ar"/>
                    </w:rPr>
                    <w:t>双耳铁炒锅A</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073A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nil"/>
                  </w:tcBorders>
                  <w:shd w:val="clear" w:color="auto" w:fill="FFFFFF"/>
                  <w:vAlign w:val="center"/>
                </w:tcPr>
                <w:p w14:paraId="110A22B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yellow"/>
                      <w:u w:val="none"/>
                      <w:lang w:val="en-US" w:eastAsia="zh-CN" w:bidi="ar"/>
                    </w:rPr>
                    <w:t>定制</w:t>
                  </w:r>
                  <w:r>
                    <w:rPr>
                      <w:rFonts w:hint="eastAsia" w:ascii="宋体" w:hAnsi="宋体" w:eastAsia="宋体" w:cs="宋体"/>
                      <w:i w:val="0"/>
                      <w:iCs w:val="0"/>
                      <w:color w:val="auto"/>
                      <w:kern w:val="0"/>
                      <w:sz w:val="21"/>
                      <w:szCs w:val="21"/>
                      <w:highlight w:val="none"/>
                      <w:u w:val="none"/>
                      <w:lang w:val="en-US" w:eastAsia="zh-CN" w:bidi="ar"/>
                    </w:rPr>
                    <w:t>；材质: 原生态手打熟铁，规格：直径50cm，2.0mm厚，锅深20CM,耐用、结实、无涂层。</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6D1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75.00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6EA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 </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150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2250.00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83EC5">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125E4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360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5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1EE66D">
                  <w:pPr>
                    <w:keepNext w:val="0"/>
                    <w:keepLines w:val="0"/>
                    <w:widowControl/>
                    <w:suppressLineNumbers w:val="0"/>
                    <w:jc w:val="center"/>
                    <w:textAlignment w:val="center"/>
                    <w:rPr>
                      <w:rFonts w:hint="eastAsia" w:ascii="宋体" w:hAnsi="宋体" w:eastAsia="宋体" w:cs="宋体"/>
                      <w:i w:val="0"/>
                      <w:iCs w:val="0"/>
                      <w:color w:val="auto"/>
                      <w:sz w:val="21"/>
                      <w:szCs w:val="21"/>
                      <w:highlight w:val="yellow"/>
                      <w:u w:val="none"/>
                    </w:rPr>
                  </w:pPr>
                  <w:r>
                    <w:rPr>
                      <w:rFonts w:hint="eastAsia" w:ascii="宋体" w:hAnsi="宋体" w:eastAsia="宋体" w:cs="宋体"/>
                      <w:i w:val="0"/>
                      <w:iCs w:val="0"/>
                      <w:color w:val="auto"/>
                      <w:kern w:val="0"/>
                      <w:sz w:val="21"/>
                      <w:szCs w:val="21"/>
                      <w:highlight w:val="yellow"/>
                      <w:u w:val="none"/>
                      <w:lang w:val="en-US" w:eastAsia="zh-CN" w:bidi="ar"/>
                    </w:rPr>
                    <w:t>双耳铁炒锅B</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6D44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nil"/>
                  </w:tcBorders>
                  <w:shd w:val="clear" w:color="auto" w:fill="FFFFFF"/>
                  <w:vAlign w:val="center"/>
                </w:tcPr>
                <w:p w14:paraId="6B4C899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yellow"/>
                      <w:u w:val="none"/>
                      <w:lang w:val="en-US" w:eastAsia="zh-CN" w:bidi="ar"/>
                    </w:rPr>
                    <w:t>定制</w:t>
                  </w:r>
                  <w:r>
                    <w:rPr>
                      <w:rFonts w:hint="eastAsia" w:ascii="宋体" w:hAnsi="宋体" w:eastAsia="宋体" w:cs="宋体"/>
                      <w:i w:val="0"/>
                      <w:iCs w:val="0"/>
                      <w:color w:val="auto"/>
                      <w:kern w:val="0"/>
                      <w:sz w:val="21"/>
                      <w:szCs w:val="21"/>
                      <w:highlight w:val="none"/>
                      <w:u w:val="none"/>
                      <w:lang w:val="en-US" w:eastAsia="zh-CN" w:bidi="ar"/>
                    </w:rPr>
                    <w:t>；材质: 原生态手打熟铁，规格：直径60cm，2.0mm厚，锅深20CM,耐用、结实、无涂层。</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756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90.00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969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 </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1DD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1800.00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1CDCB">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2D7FE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21F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5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CA4EDC">
                  <w:pPr>
                    <w:keepNext w:val="0"/>
                    <w:keepLines w:val="0"/>
                    <w:widowControl/>
                    <w:suppressLineNumbers w:val="0"/>
                    <w:jc w:val="center"/>
                    <w:textAlignment w:val="center"/>
                    <w:rPr>
                      <w:rFonts w:hint="eastAsia" w:ascii="宋体" w:hAnsi="宋体" w:eastAsia="宋体" w:cs="宋体"/>
                      <w:i w:val="0"/>
                      <w:iCs w:val="0"/>
                      <w:color w:val="auto"/>
                      <w:sz w:val="21"/>
                      <w:szCs w:val="21"/>
                      <w:highlight w:val="yellow"/>
                      <w:u w:val="none"/>
                    </w:rPr>
                  </w:pPr>
                  <w:r>
                    <w:rPr>
                      <w:rFonts w:hint="eastAsia" w:ascii="宋体" w:hAnsi="宋体" w:eastAsia="宋体" w:cs="宋体"/>
                      <w:i w:val="0"/>
                      <w:iCs w:val="0"/>
                      <w:color w:val="auto"/>
                      <w:kern w:val="0"/>
                      <w:sz w:val="21"/>
                      <w:szCs w:val="21"/>
                      <w:highlight w:val="yellow"/>
                      <w:u w:val="none"/>
                      <w:lang w:val="en-US" w:eastAsia="zh-CN" w:bidi="ar"/>
                    </w:rPr>
                    <w:t>竹锅刷</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1BA7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nil"/>
                  </w:tcBorders>
                  <w:shd w:val="clear" w:color="auto" w:fill="FFFFFF"/>
                  <w:vAlign w:val="center"/>
                </w:tcPr>
                <w:p w14:paraId="40A58DE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yellow"/>
                      <w:u w:val="none"/>
                      <w:lang w:val="en-US" w:eastAsia="zh-CN" w:bidi="ar"/>
                    </w:rPr>
                    <w:t>定制</w:t>
                  </w:r>
                  <w:r>
                    <w:rPr>
                      <w:rFonts w:hint="eastAsia" w:ascii="宋体" w:hAnsi="宋体" w:eastAsia="宋体" w:cs="宋体"/>
                      <w:i w:val="0"/>
                      <w:iCs w:val="0"/>
                      <w:color w:val="auto"/>
                      <w:kern w:val="0"/>
                      <w:sz w:val="21"/>
                      <w:szCs w:val="21"/>
                      <w:highlight w:val="none"/>
                      <w:u w:val="none"/>
                      <w:lang w:val="en-US" w:eastAsia="zh-CN" w:bidi="ar"/>
                    </w:rPr>
                    <w:t>；长：30cm，直径5cm;材质：天然竹丝、手工编织、实心木柄。</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080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9.00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DDF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80 </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3CA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720.00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FB2B5">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2382D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772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5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5C97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不锈钢锅铲</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7931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1439" w:type="pct"/>
                  <w:tcBorders>
                    <w:top w:val="single" w:color="000000" w:sz="4" w:space="0"/>
                    <w:left w:val="single" w:color="000000" w:sz="4" w:space="0"/>
                    <w:bottom w:val="single" w:color="000000" w:sz="4" w:space="0"/>
                    <w:right w:val="nil"/>
                  </w:tcBorders>
                  <w:shd w:val="clear" w:color="auto" w:fill="FFFFFF"/>
                  <w:vAlign w:val="center"/>
                </w:tcPr>
                <w:p w14:paraId="5792FDB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全长50cm,铲深10cm，铲口宽11cm，不，不锈钢把长：39cm，锈钢+实木柄。</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E41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23.00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913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 </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046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690.00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BCE0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参考品牌：鹤牌、厨贵妃、Mozall</w:t>
                  </w:r>
                </w:p>
              </w:tc>
            </w:tr>
            <w:tr w14:paraId="24501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237B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9C135">
                  <w:pPr>
                    <w:keepNext w:val="0"/>
                    <w:keepLines w:val="0"/>
                    <w:widowControl/>
                    <w:suppressLineNumbers w:val="0"/>
                    <w:jc w:val="center"/>
                    <w:textAlignment w:val="center"/>
                    <w:rPr>
                      <w:rFonts w:hint="eastAsia" w:ascii="宋体" w:hAnsi="宋体" w:eastAsia="宋体" w:cs="宋体"/>
                      <w:i w:val="0"/>
                      <w:iCs w:val="0"/>
                      <w:color w:val="auto"/>
                      <w:sz w:val="21"/>
                      <w:szCs w:val="21"/>
                      <w:highlight w:val="yellow"/>
                      <w:u w:val="none"/>
                    </w:rPr>
                  </w:pPr>
                  <w:r>
                    <w:rPr>
                      <w:rFonts w:hint="eastAsia" w:ascii="宋体" w:hAnsi="宋体" w:eastAsia="宋体" w:cs="宋体"/>
                      <w:i w:val="0"/>
                      <w:iCs w:val="0"/>
                      <w:color w:val="auto"/>
                      <w:kern w:val="0"/>
                      <w:sz w:val="21"/>
                      <w:szCs w:val="21"/>
                      <w:highlight w:val="yellow"/>
                      <w:u w:val="none"/>
                      <w:lang w:val="en-US" w:eastAsia="zh-CN" w:bidi="ar"/>
                    </w:rPr>
                    <w:t>不锈钢蒸饭托</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C602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nil"/>
                  </w:tcBorders>
                  <w:shd w:val="clear" w:color="auto" w:fill="FFFFFF"/>
                  <w:vAlign w:val="center"/>
                </w:tcPr>
                <w:p w14:paraId="0E6A3F9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yellow"/>
                      <w:u w:val="none"/>
                      <w:lang w:val="en-US" w:eastAsia="zh-CN" w:bidi="ar"/>
                    </w:rPr>
                    <w:t>定制</w:t>
                  </w:r>
                  <w:r>
                    <w:rPr>
                      <w:rFonts w:hint="eastAsia" w:ascii="宋体" w:hAnsi="宋体" w:eastAsia="宋体" w:cs="宋体"/>
                      <w:i w:val="0"/>
                      <w:iCs w:val="0"/>
                      <w:color w:val="auto"/>
                      <w:kern w:val="0"/>
                      <w:sz w:val="21"/>
                      <w:szCs w:val="21"/>
                      <w:highlight w:val="none"/>
                      <w:u w:val="none"/>
                      <w:lang w:val="en-US" w:eastAsia="zh-CN" w:bidi="ar"/>
                    </w:rPr>
                    <w:t>；外尺寸：60*40，内存池56*37，高5cm，翻边。</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149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130.00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186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 </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2DD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6500.00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E7ABC">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7D866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E2C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382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方包模A</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580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nil"/>
                  </w:tcBorders>
                  <w:shd w:val="clear" w:color="auto" w:fill="auto"/>
                  <w:vAlign w:val="center"/>
                </w:tcPr>
                <w:p w14:paraId="4F7DEEF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规格：32.5*12*12cm，食品级5a铝材，不沾涂层， 2斤装，带盖，底部排气孔，耐高温，不含有毒物质，耐腐蚀性强，易拓模，易清洗。</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FB5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56.00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038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 </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FB6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280.00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27ED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参考品牌：新麦、三能、米南德</w:t>
                  </w:r>
                </w:p>
              </w:tc>
            </w:tr>
            <w:tr w14:paraId="0CF56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5D4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CE3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一次性锡盏</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14BE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nil"/>
                  </w:tcBorders>
                  <w:shd w:val="clear" w:color="auto" w:fill="auto"/>
                  <w:vAlign w:val="center"/>
                </w:tcPr>
                <w:p w14:paraId="5318E81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规格：上口径约5.5cm，底径：3cm，高1.6cm，加厚锡箔，可进蒸锅、烤箱。</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B74E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0.10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56E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800 </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7AAB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0280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参考品牌：爱焙乐、展艺、ABLPACK</w:t>
                  </w:r>
                </w:p>
              </w:tc>
            </w:tr>
            <w:tr w14:paraId="6F5AF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0E8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2CDB0">
                  <w:pPr>
                    <w:keepNext w:val="0"/>
                    <w:keepLines w:val="0"/>
                    <w:widowControl/>
                    <w:suppressLineNumbers w:val="0"/>
                    <w:jc w:val="center"/>
                    <w:textAlignment w:val="center"/>
                    <w:rPr>
                      <w:rFonts w:hint="eastAsia" w:ascii="宋体" w:hAnsi="宋体" w:eastAsia="宋体" w:cs="宋体"/>
                      <w:i w:val="0"/>
                      <w:iCs w:val="0"/>
                      <w:color w:val="auto"/>
                      <w:sz w:val="21"/>
                      <w:szCs w:val="21"/>
                      <w:highlight w:val="yellow"/>
                      <w:u w:val="none"/>
                    </w:rPr>
                  </w:pPr>
                  <w:r>
                    <w:rPr>
                      <w:rFonts w:hint="eastAsia" w:ascii="宋体" w:hAnsi="宋体" w:eastAsia="宋体" w:cs="宋体"/>
                      <w:i w:val="0"/>
                      <w:iCs w:val="0"/>
                      <w:color w:val="auto"/>
                      <w:kern w:val="0"/>
                      <w:sz w:val="21"/>
                      <w:szCs w:val="21"/>
                      <w:highlight w:val="yellow"/>
                      <w:u w:val="none"/>
                      <w:lang w:val="en-US" w:eastAsia="zh-CN" w:bidi="ar"/>
                    </w:rPr>
                    <w:t>纳米分菜碟</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3B4B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nil"/>
                  </w:tcBorders>
                  <w:shd w:val="clear" w:color="auto" w:fill="auto"/>
                  <w:vAlign w:val="center"/>
                </w:tcPr>
                <w:p w14:paraId="0FBB699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yellow"/>
                      <w:u w:val="none"/>
                      <w:lang w:val="en-US" w:eastAsia="zh-CN" w:bidi="ar"/>
                    </w:rPr>
                    <w:t>定制</w:t>
                  </w:r>
                  <w:r>
                    <w:rPr>
                      <w:rFonts w:hint="eastAsia" w:ascii="宋体" w:hAnsi="宋体" w:eastAsia="宋体" w:cs="宋体"/>
                      <w:i w:val="0"/>
                      <w:iCs w:val="0"/>
                      <w:color w:val="auto"/>
                      <w:kern w:val="0"/>
                      <w:sz w:val="21"/>
                      <w:szCs w:val="21"/>
                      <w:highlight w:val="none"/>
                      <w:u w:val="none"/>
                      <w:lang w:val="en-US" w:eastAsia="zh-CN" w:bidi="ar"/>
                    </w:rPr>
                    <w:t>，直径：15cm，白色</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9F6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4BC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800 </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1DF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6400.00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221C1">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72F85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113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F7244">
                  <w:pPr>
                    <w:keepNext w:val="0"/>
                    <w:keepLines w:val="0"/>
                    <w:widowControl/>
                    <w:suppressLineNumbers w:val="0"/>
                    <w:jc w:val="center"/>
                    <w:textAlignment w:val="center"/>
                    <w:rPr>
                      <w:rFonts w:hint="eastAsia" w:ascii="宋体" w:hAnsi="宋体" w:eastAsia="宋体" w:cs="宋体"/>
                      <w:i w:val="0"/>
                      <w:iCs w:val="0"/>
                      <w:color w:val="auto"/>
                      <w:sz w:val="21"/>
                      <w:szCs w:val="21"/>
                      <w:highlight w:val="yellow"/>
                      <w:u w:val="none"/>
                    </w:rPr>
                  </w:pPr>
                  <w:r>
                    <w:rPr>
                      <w:rFonts w:hint="eastAsia" w:ascii="宋体" w:hAnsi="宋体" w:eastAsia="宋体" w:cs="宋体"/>
                      <w:i w:val="0"/>
                      <w:iCs w:val="0"/>
                      <w:color w:val="auto"/>
                      <w:kern w:val="0"/>
                      <w:sz w:val="21"/>
                      <w:szCs w:val="21"/>
                      <w:highlight w:val="yellow"/>
                      <w:u w:val="none"/>
                      <w:lang w:val="en-US" w:eastAsia="zh-CN" w:bidi="ar"/>
                    </w:rPr>
                    <w:t>一次性豆腐布</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607D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439" w:type="pct"/>
                  <w:tcBorders>
                    <w:top w:val="single" w:color="000000" w:sz="4" w:space="0"/>
                    <w:left w:val="single" w:color="000000" w:sz="4" w:space="0"/>
                    <w:bottom w:val="single" w:color="000000" w:sz="4" w:space="0"/>
                    <w:right w:val="nil"/>
                  </w:tcBorders>
                  <w:shd w:val="clear" w:color="auto" w:fill="FFFFFF"/>
                  <w:vAlign w:val="center"/>
                </w:tcPr>
                <w:p w14:paraId="6ECE1BB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yellow"/>
                      <w:u w:val="none"/>
                      <w:lang w:val="en-US" w:eastAsia="zh-CN" w:bidi="ar"/>
                    </w:rPr>
                    <w:t>定制</w:t>
                  </w:r>
                  <w:r>
                    <w:rPr>
                      <w:rFonts w:hint="eastAsia" w:ascii="宋体" w:hAnsi="宋体" w:eastAsia="宋体" w:cs="宋体"/>
                      <w:i w:val="0"/>
                      <w:iCs w:val="0"/>
                      <w:color w:val="auto"/>
                      <w:kern w:val="0"/>
                      <w:sz w:val="21"/>
                      <w:szCs w:val="21"/>
                      <w:highlight w:val="none"/>
                      <w:u w:val="none"/>
                      <w:lang w:val="en-US" w:eastAsia="zh-CN" w:bidi="ar"/>
                    </w:rPr>
                    <w:t>，规格：85*80cm，材质：食品级加厚无纺布，豆制品专用。</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EB0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0.50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B56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800 </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3D5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B2301">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1138F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118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EEB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长形硅胶蒸笼垫</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F1F6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片</w:t>
                  </w:r>
                </w:p>
              </w:tc>
              <w:tc>
                <w:tcPr>
                  <w:tcW w:w="1439" w:type="pct"/>
                  <w:tcBorders>
                    <w:top w:val="single" w:color="000000" w:sz="4" w:space="0"/>
                    <w:left w:val="single" w:color="000000" w:sz="4" w:space="0"/>
                    <w:bottom w:val="single" w:color="000000" w:sz="4" w:space="0"/>
                    <w:right w:val="nil"/>
                  </w:tcBorders>
                  <w:shd w:val="clear" w:color="auto" w:fill="FFFFFF"/>
                  <w:vAlign w:val="center"/>
                </w:tcPr>
                <w:p w14:paraId="31BD9F1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规格：35*55cm，食品级硅胶，加厚，双面使用，耐高温、无甲醛、无异味、免刷油、不粘。提供产品合格证及检验检测报告。</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D51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84AD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 </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003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BA88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参考品牌：正中、小松家、璟珞</w:t>
                  </w:r>
                </w:p>
              </w:tc>
            </w:tr>
            <w:tr w14:paraId="3C814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D29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8E3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蒸笼垫</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12C2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片</w:t>
                  </w:r>
                </w:p>
              </w:tc>
              <w:tc>
                <w:tcPr>
                  <w:tcW w:w="1439" w:type="pct"/>
                  <w:tcBorders>
                    <w:top w:val="single" w:color="000000" w:sz="4" w:space="0"/>
                    <w:left w:val="single" w:color="000000" w:sz="4" w:space="0"/>
                    <w:bottom w:val="single" w:color="000000" w:sz="4" w:space="0"/>
                    <w:right w:val="nil"/>
                  </w:tcBorders>
                  <w:shd w:val="clear" w:color="auto" w:fill="FFFFFF"/>
                  <w:vAlign w:val="center"/>
                </w:tcPr>
                <w:p w14:paraId="797EB8E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直径：46cm，材质：食品级硅胶，双面使用，耐高温、无甲醛、无异味、免刷油、不粘。提供权产品合格证及检测证书。</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7371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E29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 </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E62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4B53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参考品牌：松正、江盏、璟珞</w:t>
                  </w:r>
                </w:p>
              </w:tc>
            </w:tr>
            <w:tr w14:paraId="68D25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1DB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5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2AFA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筷子消毒机</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BD5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439" w:type="pct"/>
                  <w:tcBorders>
                    <w:top w:val="single" w:color="000000" w:sz="4" w:space="0"/>
                    <w:left w:val="single" w:color="000000" w:sz="4" w:space="0"/>
                    <w:bottom w:val="single" w:color="000000" w:sz="4" w:space="0"/>
                    <w:right w:val="nil"/>
                  </w:tcBorders>
                  <w:shd w:val="clear" w:color="auto" w:fill="auto"/>
                  <w:vAlign w:val="center"/>
                </w:tcPr>
                <w:p w14:paraId="4373CCB1">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305*225*245mm，220V，12W，消毒方式: 臭氧，款式: 立式，容量：200双筷子。</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5107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260.00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BE6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 </w:t>
                  </w:r>
                </w:p>
              </w:tc>
              <w:tc>
                <w:tcPr>
                  <w:tcW w:w="70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084E748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2600.00 </w:t>
                  </w:r>
                </w:p>
              </w:tc>
              <w:tc>
                <w:tcPr>
                  <w:tcW w:w="73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308911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参考品牌：拓玛、筷快净、盛京绿园</w:t>
                  </w:r>
                </w:p>
              </w:tc>
            </w:tr>
            <w:tr w14:paraId="70494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57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65D02">
                  <w:pP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卫生及零星用品类</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301E5">
                  <w:pPr>
                    <w:rPr>
                      <w:rFonts w:hint="eastAsia" w:ascii="宋体" w:hAnsi="宋体" w:eastAsia="宋体" w:cs="宋体"/>
                      <w:i w:val="0"/>
                      <w:iCs w:val="0"/>
                      <w:color w:val="auto"/>
                      <w:sz w:val="21"/>
                      <w:szCs w:val="21"/>
                      <w:highlight w:val="none"/>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2B132">
                  <w:pPr>
                    <w:rPr>
                      <w:rFonts w:hint="eastAsia" w:ascii="宋体" w:hAnsi="宋体" w:eastAsia="宋体" w:cs="宋体"/>
                      <w:i w:val="0"/>
                      <w:iCs w:val="0"/>
                      <w:color w:val="auto"/>
                      <w:sz w:val="21"/>
                      <w:szCs w:val="21"/>
                      <w:highlight w:val="none"/>
                      <w:u w:val="none"/>
                    </w:rPr>
                  </w:pPr>
                </w:p>
              </w:tc>
              <w:tc>
                <w:tcPr>
                  <w:tcW w:w="70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0E722E8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645431.00 </w:t>
                  </w:r>
                </w:p>
              </w:tc>
              <w:tc>
                <w:tcPr>
                  <w:tcW w:w="73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B306056">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8D7D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96F8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2A2A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环保垃圾袋A</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CBAD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扎</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D0DF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规格：40cm*50cm; 手提式，50个/扎。厚度：双面3.0丝，承重约4.5KG,产品材质：可降解材质，无毒环保。断点设计，易撕不易损坏，坚韧抗穿剌，承重力强，抗撕拉，平底恒温封口。符合国家标准（GB/T41010—2021）</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A49A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18.00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D29F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C9AD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108000.00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7B732">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79DD8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73BA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47C9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环保垃圾袋B</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12E6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扎</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1FD8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规格：50cm*60cm; 手提式，50个/扎。厚度：双面3.0丝，承重约4.5KG,产品材质：可降解材质，无毒环保。断点设计，易撕不易损坏，坚韧抗穿剌，承重力强，抗撕拉，平底恒温封口。符合国家标准（GB/T41010—2021）</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0C3E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22.00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D47C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E7CF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7700.00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23BD7">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p w14:paraId="13C06F9F">
                  <w:pPr>
                    <w:bidi w:val="0"/>
                    <w:jc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w:t>
                  </w:r>
                </w:p>
              </w:tc>
            </w:tr>
            <w:tr w14:paraId="3D856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7981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7895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环保垃圾袋C</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1F5F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扎</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7616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规格：70cm*100cm;  手提式，（中间带有4个绑绳），6丝厚；30个/扎，黑色；产品材质：可降解材质，无毒环保，有效防漏，不易刺客，韧性好，承重力强，抗撕拉，平底恒温封口。符合国家标准（GB/T41010—2021）</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B520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35.00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4FCB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8EBA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11200.00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274E2">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50C3F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1CC9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9C0C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环保垃圾袋D</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73DF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扎</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D27D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规格：120cm*140cm; 平口式，6丝厚；30个/扎，黑色；产品材质：可降解材质，无毒环保，有效防漏，不易刺破，韧性好，承重力强，抗撕拉，平底恒温封口。符合国家标准（GB/T41010—2021）</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D852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78.00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6823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CB20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8580.00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CC581">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684B2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F4A5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E77B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环保垃圾袋F</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BB44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扎</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32FD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规格：40cm*60cm，30个/扎。产品符合：国家环境保护总局、卫生部发布的（HJ421-2008）医疗废物专用包装袋、容器和警示标志标准。</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D1D8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B15C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30C2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750.00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1E773">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605AA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56DF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DB13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牙膏</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AD0C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00C9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净含量140克-170克，香型，茉莉花茶清、草本夏桑菊或橙花蒲公英、怡神留兰；成份：碳酸钙.水.山梨醇.水合硅石.纤维素胶等。产品出厂日期不超出六个月                                                                                </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C948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15.00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150C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C7C7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30000.00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6A952">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参考品牌：两面针、中华、高露洁</w:t>
                  </w:r>
                </w:p>
              </w:tc>
            </w:tr>
            <w:tr w14:paraId="79D5A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F053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F5CF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洗手液</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D61C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F6DF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规格：500g/瓶，中性PH值平衡配方，特含抑菌成分、易冲洗、有效抑制金色葡萄球菌和大肠杆菌。产品出厂日期不超出六个月。</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232B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12.00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E2FC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7AA2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3600.00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635A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参考品牌：蓝月亮、卫新、威露士</w:t>
                  </w:r>
                </w:p>
              </w:tc>
            </w:tr>
            <w:tr w14:paraId="5B20C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4F35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FDD6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消毒片</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0882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13BB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规格：100片/瓶。主要原料：TCCA，效氯含量45%±5%，杀菌大于99.99%，保质期36个月，出厂日期不超出六个月。               </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DDE0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15.00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4DE2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56DD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1800.00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95F48">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参考品牌：百消净、利尔康、可孚</w:t>
                  </w:r>
                </w:p>
              </w:tc>
            </w:tr>
            <w:tr w14:paraId="4F047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3CE9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8803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84除菌液</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59BB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D861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规格：5L/桶，主要成分：软化水剂、表面活性剂、香精等。功效：杀菌消毒、清洁除渍，杀灭率99％。保质期36个月，出厂日期不超出六个月。</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C50F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45.00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890A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67B8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9000.00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05E4D">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参考品牌：净佰俐 、威露士、蓝月亮</w:t>
                  </w:r>
                </w:p>
              </w:tc>
            </w:tr>
            <w:tr w14:paraId="23580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69B2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549B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次氯酸消毒液</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8023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54A9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规格：5L/桶，主要成分次氯酸，有效杀菌99％，灭活病毒+杀灭细菌，除菌袪味。保质期24个月，出厂日期不超出六个月。</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2F37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45.00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69F5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C36F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4500.00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D99D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参考品牌：净佰俐 、欣蒙制药、必泰</w:t>
                  </w:r>
                </w:p>
              </w:tc>
            </w:tr>
            <w:tr w14:paraId="5AC6A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BB72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FAAF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洗洁精</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DB14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9A20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规格：2千克/瓶，主要成分：软华水、表面活性剂、香精、无磷。保质期36个月，出厂日期不超出六个月。</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CFEF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23.00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E8CA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F245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34500.00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74A6A">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参考品牌：立白、雕牌、高富丽</w:t>
                  </w:r>
                </w:p>
              </w:tc>
            </w:tr>
            <w:tr w14:paraId="5A76D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DA02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E41E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复合季铵盐清洁消毒液</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B914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E7B2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规格：2L／桶，产品性状：液体，灭活冠状病毒 ，清洁消毒二合一。有效去除污垢 同步快速 消毒 易过水，花香味。使用范围，适用于马桶、浴缸、台盆等洁具，及多种 硬 表面 物体的清洁消毒。配3套自动兑水机。有效期36个月，出厂日期不超出六个月。</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2FB9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165.00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903E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BD00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16500.00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AF5D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参考品牌：艺康、特洁牌、泰华施</w:t>
                  </w:r>
                </w:p>
              </w:tc>
            </w:tr>
            <w:tr w14:paraId="677BE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DA18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703E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无氨玻璃清洁剂 </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19DB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468B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规格：2L／桶，产品性状：液体，使用范围，可用于玻璃、镜子、塑料等表面的清洁。配3套自动兑水机。有效期36个月，出厂日期不超出六个月。</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0A2E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255.00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8C90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D71E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20400.00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2742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参考品牌：艺康、特洁牌、泰华施</w:t>
                  </w:r>
                </w:p>
              </w:tc>
            </w:tr>
            <w:tr w14:paraId="5BC14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F006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AA5F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洗衣粉A</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CA2A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696B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规格：3kg/包，功效及成份：低温易溶解，高效去顽渍粒子、抗污渍再沉积剂、阴离子表面活性剂、非离子表面活性剂、衣物增艳剂、无磷水软化剂、香料，自然清香型，速溶快洁无麟。出厂日期不超出六个月。</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AB24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B05A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4776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4500.00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12616">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参考品牌：汰渍、立白、奥妙</w:t>
                  </w:r>
                </w:p>
              </w:tc>
            </w:tr>
            <w:tr w14:paraId="613DC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53EC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5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251D8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洗衣粉B</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6DA58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4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8A8F1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；规格：240克/包；成分：无磷配方，生物酶，水软化剂，不伤手。出厂日期不超出六个月。</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22C4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2.80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9C68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4DC1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7000.00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9E41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参考品牌：汰渍、立白、碧浪</w:t>
                  </w:r>
                </w:p>
              </w:tc>
            </w:tr>
            <w:tr w14:paraId="53784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0782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9973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毛巾A</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25AD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46AA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规格：34cm*78cm/140克；加厚，全棉，不掉毛，柔软亲肤，蓬松舒适。</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22B8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25.00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AFBF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F0CE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25000.00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DB00A">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参考品牌：洁丽雅、金号、三利</w:t>
                  </w:r>
                </w:p>
              </w:tc>
            </w:tr>
            <w:tr w14:paraId="535D3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A965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CC57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毛巾B</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CFCF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BD8C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规格：45cm*95cm 。原料:100%棉 100%聚酯纤维，一等品。超细纤维，颜色：蓝色</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8A63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B245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7139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E22C1">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参考品牌：洁丽雅，洁仕莲，金号</w:t>
                  </w:r>
                </w:p>
              </w:tc>
            </w:tr>
            <w:tr w14:paraId="477D9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B9D6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5665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毛巾C</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7E2B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BCF7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规格：60cm*160cm 。原料:100%棉 100%聚酯纤维，一等品。超细纤维，颜色：蓝色</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038C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F4EF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6D05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450.00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A1B6C">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参考品牌：洁丽雅，洁仕莲，金号</w:t>
                  </w:r>
                </w:p>
              </w:tc>
            </w:tr>
            <w:tr w14:paraId="31D62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9D29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DA07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yellow"/>
                      <w:u w:val="none"/>
                      <w:lang w:val="en-US" w:eastAsia="zh-CN" w:bidi="ar"/>
                    </w:rPr>
                    <w:t>小毛巾</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61AB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7984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yellow"/>
                      <w:u w:val="none"/>
                      <w:lang w:val="en-US" w:eastAsia="zh-CN" w:bidi="ar"/>
                    </w:rPr>
                    <w:t>订制品</w:t>
                  </w:r>
                  <w:r>
                    <w:rPr>
                      <w:rFonts w:hint="eastAsia" w:ascii="宋体" w:hAnsi="宋体" w:eastAsia="宋体" w:cs="宋体"/>
                      <w:i w:val="0"/>
                      <w:iCs w:val="0"/>
                      <w:color w:val="auto"/>
                      <w:kern w:val="0"/>
                      <w:sz w:val="21"/>
                      <w:szCs w:val="21"/>
                      <w:highlight w:val="none"/>
                      <w:u w:val="none"/>
                      <w:lang w:val="en-US" w:eastAsia="zh-CN" w:bidi="ar"/>
                    </w:rPr>
                    <w:t>，规格：30cm*30cm，颜色：白色，材质：纯棉，70克。</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3C4C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74A4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9A65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9A014">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279A7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F5B7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D6A0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白毛巾</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3CD5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EE47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规格：35cm*75cm；约50克，颜色：净白色；材质：纯棉。薄款，不掉毛。</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854C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8491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1554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1160.00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1B5EF">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59E72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977F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C7A3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抹布</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3348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DAA5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规格：35cm*75cm，材质，超细纤维，珊瑚绒。不掉毛，吸水性好。颜色：红、蓝、紫、粉、咖啡色等。</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E7CF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7.00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A410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209C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7000.00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1AC06">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参考品牌：嘉利洁、洁玉、洁丽雅</w:t>
                  </w:r>
                </w:p>
              </w:tc>
            </w:tr>
            <w:tr w14:paraId="18AC0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5C04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4AA6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茶巾</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FBD9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DAA8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规格：30cm*30cm；材质：优质超细混纺纤维，加厚型。，吸水力强。颜色：棕色</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2CE8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8.00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647D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5037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1200.00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1049E">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参考品牌：云蕾、金灶、福容</w:t>
                  </w:r>
                </w:p>
              </w:tc>
            </w:tr>
            <w:tr w14:paraId="0C4DF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0384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2C88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C9BA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2708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规格：55cm*48cm*95cm，容量:120升/个，4个/组，每组颜色：灰、红、蓝、绿各1个。中间脚踏垃圾桶，塑料加厚材质。</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BB93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800.00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046B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D1AE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4800.00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BEC33">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0CA4C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E6BC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E3D1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花露水</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1F90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BE80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规格：195mL/瓶。薄荷香型</w:t>
                  </w:r>
                  <w:r>
                    <w:rPr>
                      <w:rFonts w:hint="eastAsia" w:ascii="宋体" w:hAnsi="宋体" w:cs="宋体"/>
                      <w:i w:val="0"/>
                      <w:iCs w:val="0"/>
                      <w:color w:val="auto"/>
                      <w:kern w:val="0"/>
                      <w:sz w:val="21"/>
                      <w:szCs w:val="21"/>
                      <w:highlight w:val="none"/>
                      <w:u w:val="none"/>
                      <w:lang w:val="en-US" w:eastAsia="zh-CN" w:bidi="ar"/>
                    </w:rPr>
                    <w:t>主要</w:t>
                  </w:r>
                  <w:r>
                    <w:rPr>
                      <w:rFonts w:hint="eastAsia" w:ascii="宋体" w:hAnsi="宋体" w:eastAsia="宋体" w:cs="宋体"/>
                      <w:i w:val="0"/>
                      <w:iCs w:val="0"/>
                      <w:color w:val="auto"/>
                      <w:kern w:val="0"/>
                      <w:sz w:val="21"/>
                      <w:szCs w:val="21"/>
                      <w:highlight w:val="none"/>
                      <w:u w:val="none"/>
                      <w:lang w:val="en-US" w:eastAsia="zh-CN" w:bidi="ar"/>
                    </w:rPr>
                    <w:t>成分</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驱蚊酯。出厂日期不超出六个月。</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5D77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1EA9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17BD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1200.00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C0A1A">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2B22A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D572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5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CDA6E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棉签</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307F0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4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D3EE4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双头无菌脱脂圆头木棉签，100支/桶。</w:t>
                  </w: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5A5F7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10.00 </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3FBE4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930D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CFA88">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参考品牌：茶花、可孚、海氏海诺</w:t>
                  </w:r>
                </w:p>
              </w:tc>
            </w:tr>
            <w:tr w14:paraId="5685D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5496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5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AE1EA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柠檬酸除垢剂</w:t>
                  </w:r>
                </w:p>
              </w:tc>
              <w:tc>
                <w:tcPr>
                  <w:tcW w:w="2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44ED9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14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7FE69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规格：500克-600克/瓶，食品级原料，深层除垢，安全无残留，清新无异味，有效除菌。适用范围：电热水壶、茶杯、咖啡杯等易产生水垢茶渍、咖啡渍的器具。产品出厂日期不超出六个月。</w:t>
                  </w: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82EC6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15.00 </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8D689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BEC0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04962">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50680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9A1A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2F72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家具护理喷蜡</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342C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9BC9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规格：330ml/瓶。家具清洁养护二合一，清新柠檬香或茉莉香，快捷光亮，使用方便，只需轻喷后擦拭即可。适合范围：木质，保质期3年，出厂日期不超出六个月。</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4E6F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45.00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628F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B059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900.00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9B917">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5B2B3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A925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66DF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木地板蜡</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C0B0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C882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规格：1加仑/桶，适合范围：各种实木复合木地板，直接涂刷、不用抛光，主要成分：树脂聚合物、蜡乳液、PE蜡。</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3337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EAA7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8CF9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15000.00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C0BD3">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参考品牌：德力士、新亮、老管家</w:t>
                  </w:r>
                </w:p>
              </w:tc>
            </w:tr>
            <w:tr w14:paraId="3F059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E34F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2A65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柠檬家私蜡</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78C9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6F54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1加仑/桶 ，可用于真皮、木质家具、石材、金属等材质表面。保质期36个月，出厂日期不超出六个月。</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53A0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FD8F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2772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F1E1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参考品牌：超宝、白云康雅、超洁亮</w:t>
                  </w:r>
                </w:p>
              </w:tc>
            </w:tr>
            <w:tr w14:paraId="31835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4B8E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3FA6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喷香剂</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34F8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CD5A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净含量：300-320ml/支（古龙香水味），按压式喷头，规格与喷香机匹配，使用空间20-40平方米，无毒环保,自然植物萃取香精，不含煤油、碘酊、醇类等有机溶剂。保质期36个月，出厂日期不超出六个月。</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A80C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D490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EFC0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24000.00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BFF2C">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参考品牌：香香公主、亿营、蒂菲森</w:t>
                  </w:r>
                </w:p>
              </w:tc>
            </w:tr>
            <w:tr w14:paraId="2FBE8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A631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5055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固体清新剂</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236C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FA0E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规格：70克/盒，外形尺寸：直径7cm*高4cm。主要成分：天然植物萃取液、水、凝胶剂、高级香精、表面活性炭、及特效海藻胶等，6种香味。保质期36个月，出厂日期不超出六个月。</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51A6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8.00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EEF3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B958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760.00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93793">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参考品牌：西兰、宜家、捷福世</w:t>
                  </w:r>
                </w:p>
              </w:tc>
            </w:tr>
            <w:tr w14:paraId="2F306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663F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7474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低泡地毯除渍剂</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A3EE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446E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3.8升/桶，适用于各种地毯污渍清除，能有效去除地毯上的茶渍，咖啡渍，油渍，饮料渍。保质期36个月，出厂日期不超出六个月。</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3B30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55.00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3074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EC3F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1100.00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E4C91">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参考品牌：超宝、超洁亮、芳菲丽特</w:t>
                  </w:r>
                </w:p>
              </w:tc>
            </w:tr>
            <w:tr w14:paraId="3217E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9CA5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0062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除锈剂</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B470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50A5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规格350ml-500ml/瓶，喷雾型，功能：防锈，除湿、解锈、润滑、清洁。产品出厂日期不超出六个月。</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F50E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97B8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A581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18104">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参考品牌：WD-40、洁升、标榜</w:t>
                  </w:r>
                </w:p>
              </w:tc>
            </w:tr>
            <w:tr w14:paraId="2E4D2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0D2C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6722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除臭剂</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BBD3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BE55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规格：1加仑/桶，除菌去味喷雾，  适用范围：织物深层去味（衣物、沙发、地毯、床上用品。主要原料：天然除臭剂，除菌成分：香料等，香味：柠檬草&amp;生姜、金橘、甘草、去角质成分，72小时长效除菌除臭。保质期3年。出厂日期不超出六个月.</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4879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90.00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97E6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3B49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9000.00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BD7F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参考品牌：百丽、宝洁、老管家</w:t>
                  </w:r>
                </w:p>
              </w:tc>
            </w:tr>
            <w:tr w14:paraId="055DD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DF94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8341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不锈钢光亮剂</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B966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3867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加仑/桶，透明液体，无味，洁净，高效，环保，专用于不锈钢表面清洁保养，能有效去除油污。用后在不锈钢表面形成保护膜，使金属表面保持光洁如新，防尘，防手指印残留。保质期36个月，出厂日期不超出六个月。</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2F13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79BE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57C5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E2E6A">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参考品牌：超宝、白云康雅、超洁亮</w:t>
                  </w:r>
                </w:p>
              </w:tc>
            </w:tr>
            <w:tr w14:paraId="3859E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C759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13E3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晶面处理剂</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CE67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65CC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规格：1加仑/桶，具有二合一增亮、加硬配方，适用范围：用于大理石、水磨石、石灰石等含钙量多的石材。功效：除污垢，护理保养，增亮。保质期36个月，出厂日期不超出六个月。</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F7F9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0A62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F666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51FD7">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参考品牌：NCL、白云康雅、超宝</w:t>
                  </w:r>
                </w:p>
              </w:tc>
            </w:tr>
            <w:tr w14:paraId="20624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3477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4653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消泡剂</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7719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D123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规格：1加仑/桶，能有效消除和抑制清洗或机械操作过程中产生的泡沫。保质期36个月，出厂日期不超出六个月。</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D0B8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8495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05D9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640.00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2CE9C">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参考品牌：百丽、超宝、白云康雅</w:t>
                  </w:r>
                </w:p>
              </w:tc>
            </w:tr>
            <w:tr w14:paraId="1F78C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09D9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4CC3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除胶剂</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090C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167C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规格：300ml/瓶，去除地毯、地板等表面特殊渍垢，含溶胶剂，油渍溶剂，能有效去除各种胶渍、油漆渍等。保质期36个月，出厂日期不超出六个月。</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3AF9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9F50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E70A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480.00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689C9">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参考品牌：百丽、超宝、白云康雅</w:t>
                  </w:r>
                </w:p>
              </w:tc>
            </w:tr>
            <w:tr w14:paraId="51784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6734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E91A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低泡地毯水</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0D45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D436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规格：1加仑/桶，适用于各种地毯清洁，高浓度配方，泡沫少，去污力强。保质期36个月，出厂日期不超出六个月.</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E55E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DE0D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D734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3E68A">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参考品牌：超宝、洁霸、芳菲丽特</w:t>
                  </w:r>
                </w:p>
              </w:tc>
            </w:tr>
            <w:tr w14:paraId="019C0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046B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4EAB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洗石水</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B29F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A0C5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加仑/桶，液体，强力除垢、尿碱、茶垢、洗马赛克、瓷砖等石面，轻松去污，不伤表面，含水盐酸、磷酸等复合酸，添加缓蚀剂，减小腐蚀，保护表面。瓶口铝箔密封，每瓶清洁剂产品瓶盖均有生产日期喷码，有效期：24个月，出厂日期不超出六个月。</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FFA6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BCB9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81B7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120.00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F7ADB">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参考品牌：超宝、白云、特高</w:t>
                  </w:r>
                </w:p>
              </w:tc>
            </w:tr>
            <w:tr w14:paraId="0E095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4DE5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8C37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喷壶</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9E1A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8BB2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材质：加厚塑料、透明、白色，容量1000ml。</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D661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CEE7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BAD1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ABD4">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参考品牌：茶花、优思居、宜家</w:t>
                  </w:r>
                </w:p>
              </w:tc>
            </w:tr>
            <w:tr w14:paraId="2F774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A8BF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E183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分装瓶</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B751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D166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规格：650ML／个，全白色空瓶，手喷枪-喷雾1.2ml，圆式塑瓶 。每一个分装瓶分别配1份标签，撕开标签容易贴到分装瓶上。其中“</w:t>
                  </w:r>
                  <w:r>
                    <w:rPr>
                      <w:rFonts w:hint="eastAsia" w:ascii="宋体" w:hAnsi="宋体" w:eastAsia="宋体" w:cs="宋体"/>
                      <w:i w:val="0"/>
                      <w:iCs w:val="0"/>
                      <w:color w:val="auto"/>
                      <w:kern w:val="0"/>
                      <w:sz w:val="21"/>
                      <w:szCs w:val="21"/>
                      <w:highlight w:val="none"/>
                      <w:u w:val="none"/>
                      <w:shd w:val="clear" w:color="auto" w:fill="auto"/>
                      <w:lang w:val="en-US" w:eastAsia="zh-CN" w:bidi="ar"/>
                    </w:rPr>
                    <w:t>复合季铵盐清洁消毒液</w:t>
                  </w:r>
                  <w:r>
                    <w:rPr>
                      <w:rFonts w:hint="eastAsia" w:ascii="宋体" w:hAnsi="宋体" w:eastAsia="宋体" w:cs="宋体"/>
                      <w:i w:val="0"/>
                      <w:iCs w:val="0"/>
                      <w:color w:val="auto"/>
                      <w:kern w:val="0"/>
                      <w:sz w:val="21"/>
                      <w:szCs w:val="21"/>
                      <w:highlight w:val="none"/>
                      <w:u w:val="none"/>
                      <w:lang w:val="en-US" w:eastAsia="zh-CN" w:bidi="ar"/>
                    </w:rPr>
                    <w:t>“字样标签140份，“无氨玻璃清洁剂”字样标签80份。</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D50C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22.00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6763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A792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4840.00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A3047">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参考品牌：艺康、特洁牌、泰华施</w:t>
                  </w:r>
                </w:p>
              </w:tc>
            </w:tr>
            <w:tr w14:paraId="72714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DF32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BFA5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一次性手套</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DB05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416A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规格：200只/包，透明环保塑料</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28FE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A125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A1CB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FF0B7">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参考品牌：云蕾、振兴、茶花</w:t>
                  </w:r>
                </w:p>
              </w:tc>
            </w:tr>
            <w:tr w14:paraId="1C181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1830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8D1F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一次性乳胶手套</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0446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EBC3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规格：100只/盒，材质：PE，食品级丁晴；规格：M码，加厚，无毒、无异味，耐酸腐。</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1A45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9142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F226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ED4EA">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289B0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1CCC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4D23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橡胶手套A</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5294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5C3A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规格：长度31cm，材质：优质天然乳胶，内附优质绒毛。加厚100克；码数：M、L码，防滑纹路。</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BD2C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5.00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144D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E7E8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8738B">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45964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17D6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89B6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橡胶手套B</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3064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3D14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材质：优质天然乳胶，内附优质绒毛。加厚100克；规格：长度31cm，码数：M码，防滑纹路。；颜色：红色。</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2192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C6CC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F888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6400.00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8863A">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参考品牌：羊城、希艺欧、思高</w:t>
                  </w:r>
                </w:p>
              </w:tc>
            </w:tr>
            <w:tr w14:paraId="64110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4284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0577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白色棉纱手套</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B827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B74A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100%纯棉针织，透气防滑，加厚面料，灵巧舒适，虎口加密，弹力腕口。</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F9C3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2.50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BBCE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78A9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FF27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5236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4059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6CF8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百洁布</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D79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1BC1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规格：10cm*15cm，单面，无海绵层绿色百洁布层。</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4EAB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4.00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9BB0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F6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1200.00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9C1CA">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参数品牌：3M、思高、云蕾、茶花</w:t>
                  </w:r>
                </w:p>
              </w:tc>
            </w:tr>
            <w:tr w14:paraId="35005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DFBA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816B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纳米魔力海绵擦</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57FA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片</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E58C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规格：10*6*2mm，材质：蜜胺泡棉， 只需清水一擦即净。</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523C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0.50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C5C8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4C06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D42CD">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参考品牌：苏诸、余裕、宜之选</w:t>
                  </w:r>
                </w:p>
              </w:tc>
            </w:tr>
            <w:tr w14:paraId="2D2A7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13FD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DF63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洗车海绵</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8B46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B301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洗车工具 汽车用品 绿色。 上光打蜡掌心海绵压边海绵汽车洗车手套 洗车擦玻璃内饰清洁套装。材质，正面80%涤纶，20%锦纶，背面涤纶。聚氨酯，</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847C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7B91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2DF7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4CB58">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参考品牌：雪尼尔、亿力、龟牌、卡饰社</w:t>
                  </w:r>
                </w:p>
              </w:tc>
            </w:tr>
            <w:tr w14:paraId="1347B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0F63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D126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蚊香</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844E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2A37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规格：30-40盘/盒，,每圈净含量155克。每盘燃烧时间8-10小时，味道芳香。</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0422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63EA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E541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3500.00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5CF0B">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参考品牌：榄菊、华力、李字</w:t>
                  </w:r>
                </w:p>
              </w:tc>
            </w:tr>
            <w:tr w14:paraId="1A699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55D2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1B85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檀香型蚊香</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6448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98A1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规格：10盘/盒，檀香型味道芳香。</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CA72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03BA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6FE5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D6B03">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参考品牌：李字、揽菊、华力</w:t>
                  </w:r>
                </w:p>
              </w:tc>
            </w:tr>
            <w:tr w14:paraId="5D516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A7BC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8235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扫把</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7111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6CE4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规格：扫头宽30cm，手柄长100cm。材质：硬毛塑料扫头，木质或竹杆手柄。</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FB4D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15.00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9F2C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EAE7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5FAE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1905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2F8E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BFB9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海绵吸水拖把</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7DCB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54D4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拖把总长：135cm，胶棉头38cm，胶棉头材质：PVA胶棉，杆材质，不锈钢，可伸缩。挤水方式，对折式，一把拖把送一个胶棉头。</w:t>
                  </w: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9A572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60.00 </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10038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4827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1800.00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F5FDD">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参考品牌：好媳妇、美丽雅、大卫</w:t>
                  </w:r>
                </w:p>
              </w:tc>
            </w:tr>
            <w:tr w14:paraId="1AFEF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968A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FA3B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洗车拖把（软毛）</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5048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A5C4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雪尼尔</w:t>
                  </w:r>
                  <w:r>
                    <w:rPr>
                      <w:rFonts w:hint="eastAsia" w:ascii="宋体" w:hAnsi="宋体" w:eastAsia="宋体" w:cs="宋体"/>
                      <w:i w:val="0"/>
                      <w:iCs w:val="0"/>
                      <w:color w:val="auto"/>
                      <w:kern w:val="0"/>
                      <w:sz w:val="21"/>
                      <w:szCs w:val="21"/>
                      <w:highlight w:val="none"/>
                      <w:u w:val="none"/>
                      <w:lang w:val="en-US" w:eastAsia="zh-CN" w:bidi="ar"/>
                    </w:rPr>
                    <w:t>洗车刷专用可伸缩</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弯杆</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软毛不伤车</w:t>
                  </w:r>
                  <w:r>
                    <w:rPr>
                      <w:rFonts w:hint="eastAsia" w:ascii="宋体" w:hAnsi="宋体" w:cs="宋体"/>
                      <w:i w:val="0"/>
                      <w:iCs w:val="0"/>
                      <w:color w:val="auto"/>
                      <w:kern w:val="0"/>
                      <w:sz w:val="21"/>
                      <w:szCs w:val="21"/>
                      <w:highlight w:val="none"/>
                      <w:u w:val="none"/>
                      <w:lang w:val="en-US" w:eastAsia="zh-CN" w:bidi="ar"/>
                    </w:rPr>
                    <w:t>。</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0BDC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CCAE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F492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2CC5B">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 参考品牌：巨木洗车、欧特凯乐洗车、KOOLIFE</w:t>
                  </w:r>
                </w:p>
              </w:tc>
            </w:tr>
            <w:tr w14:paraId="71FE4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2826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2370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软毛扫地套</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793A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F7ED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规格：37*24cm，抽绳卡扣  松紧款。材质，超细纤维。适用于木地板，地板砖，瓷砖地板。</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61A9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8.00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8E19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DA0A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320.00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7F96F">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55C36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A106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A6A7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金属钢丝球</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FAA5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A14E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直径约9cm，材质：不锈钢，重约20g。内螺旋结构  不易松散。</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FC9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2412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B877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A7738">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65450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61F3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w:t>
                  </w:r>
                </w:p>
              </w:tc>
              <w:tc>
                <w:tcPr>
                  <w:tcW w:w="5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BAECA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香薰润肤油</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6C73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5357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规格：730ml/瓶，滋润保湿，适用于各种大理石、观赏石保养。                                                                                                                              </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B65D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6395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231F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900.00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F556B">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2B52E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C9F0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w:t>
                  </w:r>
                </w:p>
              </w:tc>
              <w:tc>
                <w:tcPr>
                  <w:tcW w:w="5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8D46C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防撞粒</w:t>
                  </w:r>
                </w:p>
              </w:tc>
              <w:tc>
                <w:tcPr>
                  <w:tcW w:w="2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B14F2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粒</w:t>
                  </w:r>
                </w:p>
              </w:tc>
              <w:tc>
                <w:tcPr>
                  <w:tcW w:w="14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90625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规格：直径8mm*2.5mm，材质：硅胶，产品颜色：透明，缓冲防撞效果强。</w:t>
                  </w: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7E123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0.20 </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D91B3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FB19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CD853">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4ED21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ACAB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56A3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垃圾铲</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415C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507C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铲头规格25cm*30cm，长度80cm， 不锈钢材质手柄，铲头PP材质，软橡胶条，贴合地面。</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48A8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15.00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A28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7C34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851DF">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03D38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28F4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8EA4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白凡士林</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FB7D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9C8E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规格：500克/瓶；成份：膏状，无色无味，渗透力强。</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45B4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15.00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26DA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30CD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375.00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B0E91">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参考品牌：民联、利尔康、安捷</w:t>
                  </w:r>
                </w:p>
              </w:tc>
            </w:tr>
            <w:tr w14:paraId="14E0E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6970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w:t>
                  </w:r>
                </w:p>
              </w:tc>
              <w:tc>
                <w:tcPr>
                  <w:tcW w:w="5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9B93E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米醋</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C305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003E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规格：约10.5L/桶，配料：水、大米、玉米、食盐、白砂糖、食品添加剂。保质期36个月，出厂日期不超出六个月。</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0C75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45.00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ED79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29B8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1125.00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3D38B">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参考品牌：海天、恒顺、厨邦  </w:t>
                  </w:r>
                </w:p>
              </w:tc>
            </w:tr>
            <w:tr w14:paraId="3360B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E24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A589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除湿盒</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1952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8F66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规格：180克-230克/盒，盒子长度15cm*高度8.5cm*宽度8.7cm：吸湿、除味、防霉、芳香，长效吸收湿气，颗粒圆润饱满，吸水速度快。倒置不漏，不伤害衣物，适用范围：卧室、衣柜、抽屉等。</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B65C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12.00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8F2D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CFFB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330AE">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参考品牌：老管家、能臣、壹念</w:t>
                  </w:r>
                </w:p>
              </w:tc>
            </w:tr>
            <w:tr w14:paraId="2D55C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0D0B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53F8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医用物表消毒湿巾</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830E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CF42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尺寸：20*20CM，80片/包，主要原料：无纺布，RO纯水，复合双链季铵盐含量0.18-0.22%。</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3073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25.00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AEE6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145</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C49A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3625.00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2E0D6">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参考品牌：庆荣，利尔康、海氏海诺</w:t>
                  </w:r>
                </w:p>
              </w:tc>
            </w:tr>
            <w:tr w14:paraId="12BD7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558A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E93A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驱蚊贴</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5ACA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C39C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规格：60片/盒；材质：硅胶、成分：香茅精油、棕叶精油、薰衣草精油、薄荷精油、艾叶精油、茶树精油。</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1A28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25.00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894F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0930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750.00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BB9B2">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参考品牌：叮叮、润本、子初</w:t>
                  </w:r>
                </w:p>
              </w:tc>
            </w:tr>
            <w:tr w14:paraId="1D273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599B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4F0C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yellow"/>
                      <w:u w:val="none"/>
                      <w:lang w:val="en-US" w:eastAsia="zh-CN" w:bidi="ar"/>
                    </w:rPr>
                    <w:t>驱蚊包</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E29A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D6DD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yellow"/>
                      <w:u w:val="none"/>
                      <w:lang w:val="en-US" w:eastAsia="zh-CN" w:bidi="ar"/>
                    </w:rPr>
                    <w:t>定制品</w:t>
                  </w:r>
                  <w:r>
                    <w:rPr>
                      <w:rFonts w:hint="eastAsia" w:ascii="宋体" w:hAnsi="宋体" w:eastAsia="宋体" w:cs="宋体"/>
                      <w:i w:val="0"/>
                      <w:iCs w:val="0"/>
                      <w:color w:val="auto"/>
                      <w:kern w:val="0"/>
                      <w:sz w:val="21"/>
                      <w:szCs w:val="21"/>
                      <w:highlight w:val="none"/>
                      <w:u w:val="none"/>
                      <w:lang w:val="en-US" w:eastAsia="zh-CN" w:bidi="ar"/>
                    </w:rPr>
                    <w:t xml:space="preserve"> 。规格：5g/袋；材质: 设计布料用少数民族特色纹样。含有流苏、彩绳等配件；  工艺：手工织造。（要求到现场测量尺寸。成交人须与采购人对接确定样式后方可生产制作）。 香囊配料成分：丁香、艾叶、细辛、川芎、薄荷、藿香、金银花。</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ABA5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12.00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9661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5DDA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1800.00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43642">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5645E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3168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w:t>
                  </w:r>
                </w:p>
              </w:tc>
              <w:tc>
                <w:tcPr>
                  <w:tcW w:w="5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F7E01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塑料杯托</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9E86C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02B1C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规格：6.6*7.7cm；材质：PE材质，多种颜色可选。</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01196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1.20 </w:t>
                  </w:r>
                </w:p>
              </w:tc>
              <w:tc>
                <w:tcPr>
                  <w:tcW w:w="4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7E346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1810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C2DEC">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参考品牌：清清美、茶花、桔叶</w:t>
                  </w:r>
                </w:p>
              </w:tc>
            </w:tr>
            <w:tr w14:paraId="2669C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EEB1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D5EC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收纳箱</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CAFD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CEA4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规格：45cm*35cm*23cm,PP透明朔料材质，带手柄</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4C46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25.00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091D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2E94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525.00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1AE98">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参考品牌：佳帮手、卡维瑞、茶花</w:t>
                  </w:r>
                </w:p>
              </w:tc>
            </w:tr>
            <w:tr w14:paraId="72320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5E73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54AA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泡茶壶</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606A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6775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容量1600ml，壶身：加厚玻璃，壶盖、手柄、底托，食品级PP，滤网：食品级304不锈钢。</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E7DF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AD8D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0995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1200.00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42FB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参考品牌：金灶、金美莱、紫丁香</w:t>
                  </w:r>
                </w:p>
              </w:tc>
            </w:tr>
            <w:tr w14:paraId="0D92C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132C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5D14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皮革抽纸盒</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2638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E478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规格：24cm*12cm*10cm，外：木质纹皮革，防水防油可擦试，易清理，侧面印广西自治区党校校徽及字体；内：无纺布内衬，防潮透气，自带弹簧易抽取；后面：磁铁吸合。</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CD78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25.00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2565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4E47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750.00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18D2D">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0C5FC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E304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1B35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飘逸杯</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52E3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6ADF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规格： 容量500ml，壶身：高硼硅耐热加厚玻璃，耐高温PC杯盖、耐高温PC内胆，耐高温137°C，耐低温-30°C，304不锈钢滤网，激光打孔，超密滤网，轻松过滤细小茶渣，一键滤茶，鹰嘴壶嘴，弹压式阀门，专利弹压滤茶，出水流畅。</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ADD3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35.00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E540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11B5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350.00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E7ED6">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参考品牌：金灶、金美莱、紫丁香</w:t>
                  </w:r>
                </w:p>
              </w:tc>
            </w:tr>
            <w:tr w14:paraId="66671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300C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A96D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礼堂椅网兜</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8BEF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4D05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订制品，规格：31*21cm，材质：塑料+高弹绳，配钉，按样版供货，负责安装到位。</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7248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55.00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7F38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434D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11000.00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2E172">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CC41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104E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73</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1B18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洁而亮特强清洁乳</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8DFB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3BB9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规格，750ml/瓶，柠檬清香，用途：适用于多种质地的物体表面,陶瓷、不锈钢、铝瓷、塑料及玻璃等表面，保质期36个月，出厂日期不超出六个月。</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54FA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9974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75CF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1100.00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B3874">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465CB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AE85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74</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19B1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扫蜘蛛网神器</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D652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4624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材质：天然棕榈头，合金杆。长7.0米一杆两用高空清洁，金属头，可伸缩，配天然棕榈头1个，长约32cm，宽约22cm；可弯曲掸头1个，长约50cm。加粗加厚铝合金材质杆体，高空直连，金属弹扣。  </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C585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230.00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4B7D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2282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1380.00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AAAAA">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参考品牌：匠艺人、嘉特崴、逸灵</w:t>
                  </w:r>
                </w:p>
              </w:tc>
            </w:tr>
            <w:tr w14:paraId="26933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5234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0518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玻璃涂水器</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AE52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91E4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材质：ABS塑料T架 型号：C-070B， 规格：40公分白色毛头毛套T柄。</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D1BD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18.00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0143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C96A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540.00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A4CC6">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参考品牌：白云、超宝、洁兴晟</w:t>
                  </w:r>
                </w:p>
              </w:tc>
            </w:tr>
            <w:tr w14:paraId="6F982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57C4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76</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C8A9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擦手纸盒</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31D4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A91B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规格：275*100*207mm。材质：塑料。</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EEBB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32.00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F8D4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9832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160.00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F29FC">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参考品牌;瑞沃、北奥、尊沃，</w:t>
                  </w:r>
                </w:p>
              </w:tc>
            </w:tr>
            <w:tr w14:paraId="07922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22A8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77</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40D4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告示牌</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3AA6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3568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材质：优质PC塑料。规格：A字，高60cm，字样（小心地滑）。</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B605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25.00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DEE7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A5DE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750.00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72A4A">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参考品牌：白云、超云、欣东锐</w:t>
                  </w:r>
                </w:p>
              </w:tc>
            </w:tr>
            <w:tr w14:paraId="0FC29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5FC8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D9FA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玻璃门推拉贴</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8834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AE44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亚克力醒目彩色推拉贴，颜色：蓝色，规格：加厚材质，高清防水，强粘背胶，尺寸10*8cm，字样（推、拉）。</w:t>
                  </w: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D793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4.00 </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6B7D7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8E79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983F4">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7B97D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4018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5DCB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伸缩杆</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2E3C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C8B3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规格：四节伸缩，总长9米，材质：铝合金管体+黑色硬塑。</w:t>
                  </w: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7E995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90.00 </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1CD09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1A4C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450.00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9265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参考品牌：白云、超宝、洁丽来</w:t>
                  </w:r>
                </w:p>
              </w:tc>
            </w:tr>
            <w:tr w14:paraId="43A72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31EE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7128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一次性安全警示带</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9D5AC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14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C3F78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规格：宽6.5cm，厚4个丝；材质: PE二次料；红白带“注意安全”，字样； (新料加厚版100米)材质: PE二次料。</w:t>
                  </w: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6D91F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10.00 </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FDFE8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CAD5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8E18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参考品牌:祥品、正晓、佳宝丽</w:t>
                  </w:r>
                </w:p>
              </w:tc>
            </w:tr>
            <w:tr w14:paraId="3F760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5D58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4CDB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尘推罩</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F806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8652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 90cm*16cm，  材质规棉线、加厚铝管、精制不锈钢白色棉纱、黄色布套。</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B5C9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35.00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E27A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8E1C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4200.00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E437C">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参考品牌：超宝 、白云、佳宝</w:t>
                  </w:r>
                </w:p>
              </w:tc>
            </w:tr>
            <w:tr w14:paraId="1B2D1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0413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w:t>
                  </w:r>
                </w:p>
              </w:tc>
              <w:tc>
                <w:tcPr>
                  <w:tcW w:w="5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580F2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尘推替换杆</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771C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4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5D5D3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规格：杆长140cm+夹头，材质：铝合金。</w:t>
                  </w: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221A4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25.00 </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1F29F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2082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7AA5C">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参考品牌：白云、斯洁、超宝</w:t>
                  </w:r>
                </w:p>
              </w:tc>
            </w:tr>
            <w:tr w14:paraId="1CE08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F955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DB87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尘推头支架</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4255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3B2E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规格：长90cm×宽14cm，材质：不锈钢。</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22DD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E334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1DCE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39C2A">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参考品牌：白云、斯洁、超宝</w:t>
                  </w:r>
                </w:p>
              </w:tc>
            </w:tr>
            <w:tr w14:paraId="1B442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BACA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706B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平口泥锹头铲</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5756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D5E2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规格：铲面长30cm，铲面宽18cm，总长161cm，重量0.99KG，铲头材质：50号锰钢，产品硬度：HRC45-50。主体材质：全锰钢锹+硬质木柄，</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DE7E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32.00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ECD0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A1A5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64.00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A3D25">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2827D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D437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A73C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17寸刷地机针座</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DF66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2895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针座直径40CM 适合DF17A型号</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674A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D9C6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4CED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81E04">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参考品牌：威霸、超宝、白云</w:t>
                  </w:r>
                </w:p>
              </w:tc>
            </w:tr>
            <w:tr w14:paraId="3F587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3169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0486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免打孔硅胶门吸</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2883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F41B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材质：优质硅胶，颜色：白色，尺寸：吸盘40mm，长62mm，适合门把手孔：16mm，特点：静音防撞，免打孔。</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2C4D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50C4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7DBE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24220">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627BC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B04A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87</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0A8A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不锈钢小圆孔夹</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177B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68A8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规格：13*3cm，不锈钢材质，按样版供货</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B650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31BD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AB6F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120.00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D7236">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1BF32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EA01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88</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6BAC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不锈钢平底勺</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9539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1E52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规格：15.2*4cm，不锈钢材质，按样版供货</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42AD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D7E6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3CB7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120.00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2D46C">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参考品牌：格格家、DKO、百畅</w:t>
                  </w:r>
                </w:p>
              </w:tc>
            </w:tr>
            <w:tr w14:paraId="3F51D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D9A5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89</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35B1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不锈钢镊子</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7A5E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BD31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不锈钢加厚镊子，直头长30cm,宽1.6cm，材料厚实，弹力强，不锈钢材质，防腐蚀防生锈，防滑设计，不易脱落，圆形头部设计，内侧带有齿音，硬度加强，有效防止夹物品掉落。</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859D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75F6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4576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0A7C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5C2A4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A0E8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2D71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不锈钢挂钩</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495A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F93B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规格：高5cm*宽3cm,  材质：不锈钢，免打孔强粘钩，自粘粘胶。</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A442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2C54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4B4A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4FCB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6655E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F1D2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w:t>
                  </w:r>
                </w:p>
              </w:tc>
              <w:tc>
                <w:tcPr>
                  <w:tcW w:w="5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BC96E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玻璃刮A</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DEF5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14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A3FB9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规格：40cm刮头，材质：橡胶+PP+铝。</w:t>
                  </w: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04ABE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15.00 </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C1438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B041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225.00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5C45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2D599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05AE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w:t>
                  </w:r>
                </w:p>
              </w:tc>
              <w:tc>
                <w:tcPr>
                  <w:tcW w:w="5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CC513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玻璃刮B</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0B5C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9808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规格：套内含1.3-2.4米铝合金伸缩杆、宽35cm玻璃刮、35cm刷布上水器。</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62E2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8FFB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0F63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A7B1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0DA68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9EE1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272B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除尘刷</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91AA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2B33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规格：70*65cm，木柄+ABS+尼龙</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7688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F1C6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82E2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9388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46BB6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3716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6597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缝隙刷</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A319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2C27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尺寸：23*12*2cm，材质：PP，尼龙；硬质刷头、不易变形，尼龙刷毛细密强韧，清洁力强且不易变形，刷洗更省力，细长扁平刷头，轻松深入狭窄、细长凹槽缝隙或曲面，清洁不留死角。颜色：黑色、白色各一半。</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81D9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25.00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E1FD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6D3C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2500.00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1F13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7FCE1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A1FA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5D44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厕所刷</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9213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794F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规格：刷头8cm*5.5cm,总长46cm  ，材质：木质手柄，半圆形PP刷头。</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C813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12.00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960C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CF80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960.00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05DF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5166E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9BE6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1A29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纱窗清洁刷</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4A5B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36D6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规格：46*16cm，PP材质+绒布。</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3765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4287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A196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CEFB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0CFD4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CA62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9FC2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擦鞋机专用鞋油</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09E2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399F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 200mL/瓶，自然色环保型，材质:本产品采用植物蜡、硅油、绵羊油等高级原料精制而成，具有膏体细腻、光泽色度高、重擦性好等优点。特点：去污、保养、防霉、抗尘，防止皮革结硬、龟裂、老化，防表面磨损。</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181D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15.00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E989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3A69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E173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参考品牌：艾久、凯威、五花</w:t>
                  </w:r>
                </w:p>
              </w:tc>
            </w:tr>
            <w:tr w14:paraId="7105F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2F1D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98</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5E08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尿兜垫</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656F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423F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规格尺寸：20cm*16cm，材质：PP料、活性剂、香精油  20片装，椭圆形。</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EF59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32.00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3596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2402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96.00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657B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161C0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B3EB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99</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F276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地板铲刀</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2771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1C7A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规格14cm硬塑手柄，规格：刀口宽度10cm。材质：铸铁夹头，不锈钢刀片。</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8E87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15.00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C283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93A5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A095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1AFA0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7B1E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447A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家具地脚钉</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6996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DC75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规格：平底直径30mm、厚度8mm，圆形。材质：尼龙 </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2EA8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0.30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6285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A173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6FF9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25BF0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A38F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0A42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去污粉</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AC02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5ADA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规格：500g/瓶，柠檬味，成分：表面活性剂、摩擦剂、香精等。</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1FBD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192A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8B94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09F2C">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参考品牌：斧头、采威、白猫</w:t>
                  </w:r>
                </w:p>
              </w:tc>
            </w:tr>
            <w:tr w14:paraId="3453B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E7B8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102</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2C65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大号黄色旗穗</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F704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2EF3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订制品，规格：2个装/一对，穗长100cm。材质：高密度人工丝，颜色：黄色，参照样版供货。</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8695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C25F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1BD1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62C3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6F593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8F7C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103</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2B7F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红旗旗杆枪头</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E586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8285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订制品，材质：铝合金，颜色：钛金色，规格：长30cm-宽8.5cm-内径3cm。按样版供货。</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5725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32D8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601C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7565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2C236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705B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104</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D081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清洁抛光垫</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69E3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FE47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直径17寸，材质：马毛，圆形,红色</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378C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00AA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2183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250.00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F6204">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参考品牌：3A、南方、白云</w:t>
                  </w:r>
                </w:p>
              </w:tc>
            </w:tr>
            <w:tr w14:paraId="176F2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6D8B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CA26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纳米魔力胶带</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A871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5127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规格：厚1mm×宽3cm×长5m,材质：纳米，拆卸不留痕，颜色：透明</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0F2B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A2D6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A4D1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DE0AB">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参考品牌：优勤、反转、沃米</w:t>
                  </w:r>
                </w:p>
              </w:tc>
            </w:tr>
            <w:tr w14:paraId="5337C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0EFF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106</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47FD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防臭地漏芯</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A85A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79DF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材质：ABS+硅胶，适用地漏内径32—45cm，表面工艺电镀，安装方式即插即用。</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99FD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5333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D862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350.00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CD476">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参考品牌：海立、卫贝乐、伟质</w:t>
                  </w:r>
                </w:p>
              </w:tc>
            </w:tr>
            <w:tr w14:paraId="3E0AC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138B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107</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BED8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拖鞋消毒</w:t>
                  </w:r>
                  <w:r>
                    <w:rPr>
                      <w:rFonts w:hint="eastAsia" w:ascii="宋体" w:hAnsi="宋体" w:cs="宋体"/>
                      <w:i w:val="0"/>
                      <w:iCs w:val="0"/>
                      <w:color w:val="auto"/>
                      <w:kern w:val="0"/>
                      <w:sz w:val="21"/>
                      <w:szCs w:val="21"/>
                      <w:highlight w:val="none"/>
                      <w:u w:val="none"/>
                      <w:lang w:val="en-US" w:eastAsia="zh-CN" w:bidi="ar"/>
                    </w:rPr>
                    <w:t>封条</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F8DC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93A3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尺寸：</w:t>
                  </w:r>
                  <w:r>
                    <w:rPr>
                      <w:rFonts w:hint="eastAsia" w:ascii="宋体" w:hAnsi="宋体" w:cs="宋体"/>
                      <w:i w:val="0"/>
                      <w:iCs w:val="0"/>
                      <w:color w:val="auto"/>
                      <w:kern w:val="0"/>
                      <w:sz w:val="21"/>
                      <w:szCs w:val="21"/>
                      <w:highlight w:val="none"/>
                      <w:u w:val="none"/>
                      <w:lang w:val="en-US" w:eastAsia="zh-CN" w:bidi="ar"/>
                    </w:rPr>
                    <w:t>55</w:t>
                  </w:r>
                  <w:r>
                    <w:rPr>
                      <w:rFonts w:hint="eastAsia" w:ascii="宋体" w:hAnsi="宋体" w:eastAsia="宋体" w:cs="宋体"/>
                      <w:i w:val="0"/>
                      <w:iCs w:val="0"/>
                      <w:color w:val="auto"/>
                      <w:kern w:val="0"/>
                      <w:sz w:val="21"/>
                      <w:szCs w:val="21"/>
                      <w:highlight w:val="none"/>
                      <w:u w:val="none"/>
                      <w:lang w:val="en-US" w:eastAsia="zh-CN" w:bidi="ar"/>
                    </w:rPr>
                    <w:t>cm*</w:t>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cm。</w:t>
                  </w:r>
                  <w:r>
                    <w:rPr>
                      <w:rFonts w:hint="eastAsia" w:ascii="宋体" w:hAnsi="宋体" w:cs="宋体"/>
                      <w:i w:val="0"/>
                      <w:iCs w:val="0"/>
                      <w:color w:val="auto"/>
                      <w:kern w:val="0"/>
                      <w:sz w:val="21"/>
                      <w:szCs w:val="21"/>
                      <w:highlight w:val="none"/>
                      <w:u w:val="none"/>
                      <w:lang w:val="en-US" w:eastAsia="zh-CN" w:bidi="ar"/>
                    </w:rPr>
                    <w:t>双胶纸</w:t>
                  </w:r>
                  <w:r>
                    <w:rPr>
                      <w:rFonts w:hint="eastAsia" w:ascii="宋体" w:hAnsi="宋体" w:eastAsia="宋体" w:cs="宋体"/>
                      <w:i w:val="0"/>
                      <w:iCs w:val="0"/>
                      <w:color w:val="auto"/>
                      <w:kern w:val="0"/>
                      <w:sz w:val="21"/>
                      <w:szCs w:val="21"/>
                      <w:highlight w:val="none"/>
                      <w:u w:val="none"/>
                      <w:lang w:val="en-US" w:eastAsia="zh-CN" w:bidi="ar"/>
                    </w:rPr>
                    <w:t>材质，上印有“已消毒”字样</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CF46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 xml:space="preserve">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0D55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24</w:t>
                  </w:r>
                  <w:r>
                    <w:rPr>
                      <w:rFonts w:hint="eastAsia" w:ascii="宋体" w:hAnsi="宋体" w:eastAsia="宋体" w:cs="宋体"/>
                      <w:i w:val="0"/>
                      <w:iCs w:val="0"/>
                      <w:color w:val="auto"/>
                      <w:kern w:val="0"/>
                      <w:sz w:val="21"/>
                      <w:szCs w:val="21"/>
                      <w:highlight w:val="none"/>
                      <w:u w:val="none"/>
                      <w:lang w:val="en-US" w:eastAsia="zh-CN" w:bidi="ar"/>
                    </w:rPr>
                    <w:t>000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3524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2400.00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D564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60486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B1AD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108</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9255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刮水器</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4F2E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539B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规格：45*130cm，空心铝管，塑料胶板+海绵刮头</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7F7B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89CC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D598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84C6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0311A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07B6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109</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0291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玻璃毛头</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5ABA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付</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DDD6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毛头宽35cm，型号：AF06016 规格：加厚橡胶毛头。</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7BD0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CF35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FE11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1648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08809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E35D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76CC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水勺</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A901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8F6D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直径21cm，高度10cm，手柄长度10cm，容量4.7斤。材质：PP塑料。</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C36C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AC70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B489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D554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74DC6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6D62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111</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9D6E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垃圾钳</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1632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1214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规格：长60cm,金属材质。</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DFBF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D77E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D8F3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98A9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0279B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6451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56EE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人体测试打印纸</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4996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4804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适用GXD人体测试仪 型号：57*40*8  规格：57mm*40mm，白色（6卷/包）</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DED7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5.00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D04D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4B61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350.00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F951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6483D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A282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113</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EC0A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yellow"/>
                      <w:u w:val="none"/>
                      <w:lang w:val="en-US" w:eastAsia="zh-CN" w:bidi="ar"/>
                    </w:rPr>
                    <w:t>钢丝清洁布</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8710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F3FB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yellow"/>
                      <w:u w:val="none"/>
                      <w:lang w:val="en-US" w:eastAsia="zh-CN" w:bidi="ar"/>
                    </w:rPr>
                    <w:t>定制</w:t>
                  </w:r>
                  <w:r>
                    <w:rPr>
                      <w:rFonts w:hint="eastAsia" w:ascii="宋体" w:hAnsi="宋体" w:eastAsia="宋体" w:cs="宋体"/>
                      <w:i w:val="0"/>
                      <w:iCs w:val="0"/>
                      <w:color w:val="auto"/>
                      <w:kern w:val="0"/>
                      <w:sz w:val="21"/>
                      <w:szCs w:val="21"/>
                      <w:highlight w:val="none"/>
                      <w:u w:val="none"/>
                      <w:lang w:val="en-US" w:eastAsia="zh-CN" w:bidi="ar"/>
                    </w:rPr>
                    <w:t>；规格：30cm*30cm，材质：涤纶。加厚加大。</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C323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DCE1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1632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D1B6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19274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1341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114</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C2C0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食品袋</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61CB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扎</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9879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规格：17cm*28cm ，50个/扎，材质：全新料聚乙烯HPED，透明绿色食品包装袋。</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0742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3.00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ACE3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F51E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270.00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433F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07877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98F6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16EB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食品包装袋</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9B58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扎</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19DE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规格：60*36cm，厚度0.025mm，手提式，18个/扎，透明色；产品材质：采用全新PE聚乙烯食品级原料，经紫外线杀菌，可直接盛装生熟食，安全无异味，无毒无味。</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1B2D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12.00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824B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7EAA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480.00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CE0A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26E7B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3096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116</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60DB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长方形塑料篮</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821A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8C5F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规格：长44.5×宽33.5×高12cm；底宽：25cm，底长：35cm，3-4mm超厚边框；材质：优质100%全新料；；颜色：绿色；化学稳定性高，无毒无味。</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1E74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B373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AFC6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76F1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参考品牌：兰赞、柔饰、瑞盾</w:t>
                  </w:r>
                </w:p>
              </w:tc>
            </w:tr>
            <w:tr w14:paraId="766EC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1DEF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117</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6607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沥水篮</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FA85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FB26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圆形规格：高14cm直径38cm；；颜色：绿；材质：100%全新优质PP塑料；化学稳定性高，无毒无味。</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BDCC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18.00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3ED7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E709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1800.00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E103E">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参考品牌：茶花、也雅、天生丽质</w:t>
                  </w:r>
                </w:p>
              </w:tc>
            </w:tr>
            <w:tr w14:paraId="5F9F8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4422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118</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7DA7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大长方形塑料篮</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1AD4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749A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规格：长67×宽48×高36.5cm； 带铁耳；材质：优质100%全新料，化学稳定性高，无毒无味；功能：可叠加；颜色：蓝色。</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FCD1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65.00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323E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3132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1950.00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863C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47066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00C4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119</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CC7D8">
                  <w:pPr>
                    <w:keepNext w:val="0"/>
                    <w:keepLines w:val="0"/>
                    <w:widowControl/>
                    <w:suppressLineNumbers w:val="0"/>
                    <w:jc w:val="left"/>
                    <w:textAlignment w:val="center"/>
                    <w:rPr>
                      <w:rFonts w:hint="eastAsia" w:ascii="宋体" w:hAnsi="宋体" w:eastAsia="宋体" w:cs="宋体"/>
                      <w:i w:val="0"/>
                      <w:iCs w:val="0"/>
                      <w:color w:val="auto"/>
                      <w:sz w:val="21"/>
                      <w:szCs w:val="21"/>
                      <w:highlight w:val="yellow"/>
                      <w:u w:val="none"/>
                    </w:rPr>
                  </w:pPr>
                  <w:r>
                    <w:rPr>
                      <w:rFonts w:hint="eastAsia" w:ascii="宋体" w:hAnsi="宋体" w:eastAsia="宋体" w:cs="宋体"/>
                      <w:i w:val="0"/>
                      <w:iCs w:val="0"/>
                      <w:color w:val="auto"/>
                      <w:kern w:val="0"/>
                      <w:sz w:val="21"/>
                      <w:szCs w:val="21"/>
                      <w:highlight w:val="yellow"/>
                      <w:u w:val="none"/>
                      <w:lang w:val="en-US" w:eastAsia="zh-CN" w:bidi="ar"/>
                    </w:rPr>
                    <w:t>pvc防水围裙</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609C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E43A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yellow"/>
                      <w:u w:val="none"/>
                      <w:lang w:val="en-US" w:eastAsia="zh-CN" w:bidi="ar"/>
                    </w:rPr>
                    <w:t>定制</w:t>
                  </w:r>
                  <w:r>
                    <w:rPr>
                      <w:rFonts w:hint="eastAsia" w:ascii="宋体" w:hAnsi="宋体" w:eastAsia="宋体" w:cs="宋体"/>
                      <w:i w:val="0"/>
                      <w:iCs w:val="0"/>
                      <w:color w:val="auto"/>
                      <w:kern w:val="0"/>
                      <w:sz w:val="21"/>
                      <w:szCs w:val="21"/>
                      <w:highlight w:val="none"/>
                      <w:u w:val="none"/>
                      <w:lang w:val="en-US" w:eastAsia="zh-CN" w:bidi="ar"/>
                    </w:rPr>
                    <w:t>；尺寸：身长：98cm，宽74cm 尺码：大、中、小号等，材质：PVC，（具体码数供货前对接）。</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CDEE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13.00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D7CF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FAB2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6500.00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A985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080BD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4E77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926BC">
                  <w:pPr>
                    <w:keepNext w:val="0"/>
                    <w:keepLines w:val="0"/>
                    <w:widowControl/>
                    <w:suppressLineNumbers w:val="0"/>
                    <w:jc w:val="left"/>
                    <w:textAlignment w:val="center"/>
                    <w:rPr>
                      <w:rFonts w:hint="eastAsia" w:ascii="宋体" w:hAnsi="宋体" w:eastAsia="宋体" w:cs="宋体"/>
                      <w:i w:val="0"/>
                      <w:iCs w:val="0"/>
                      <w:color w:val="auto"/>
                      <w:sz w:val="21"/>
                      <w:szCs w:val="21"/>
                      <w:highlight w:val="yellow"/>
                      <w:u w:val="none"/>
                    </w:rPr>
                  </w:pPr>
                  <w:r>
                    <w:rPr>
                      <w:rFonts w:hint="eastAsia" w:ascii="宋体" w:hAnsi="宋体" w:eastAsia="宋体" w:cs="宋体"/>
                      <w:i w:val="0"/>
                      <w:iCs w:val="0"/>
                      <w:color w:val="auto"/>
                      <w:kern w:val="0"/>
                      <w:sz w:val="21"/>
                      <w:szCs w:val="21"/>
                      <w:highlight w:val="yellow"/>
                      <w:u w:val="none"/>
                      <w:lang w:val="en-US" w:eastAsia="zh-CN" w:bidi="ar"/>
                    </w:rPr>
                    <w:t>防水罩衣</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A46F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CDE8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yellow"/>
                      <w:u w:val="none"/>
                      <w:lang w:val="en-US" w:eastAsia="zh-CN" w:bidi="ar"/>
                    </w:rPr>
                    <w:t>定制</w:t>
                  </w:r>
                  <w:r>
                    <w:rPr>
                      <w:rFonts w:hint="eastAsia" w:ascii="宋体" w:hAnsi="宋体" w:eastAsia="宋体" w:cs="宋体"/>
                      <w:i w:val="0"/>
                      <w:iCs w:val="0"/>
                      <w:color w:val="auto"/>
                      <w:kern w:val="0"/>
                      <w:sz w:val="21"/>
                      <w:szCs w:val="21"/>
                      <w:highlight w:val="none"/>
                      <w:u w:val="none"/>
                      <w:lang w:val="en-US" w:eastAsia="zh-CN" w:bidi="ar"/>
                    </w:rPr>
                    <w:t>，材质：PVC面料。尺寸：长袖，衣长：93cm,袖长：71cm,；颜色：蓝色、红色；（具体码数供货前与厨房对接）</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801E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1CCF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802</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BF6F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16040.00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B05E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487AB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5DDF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121</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3487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皂液器</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E417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0FDC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尺寸22.3*12*10cm，材质：ABS、容量：500ml，按压式，挂壁式。</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D418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65.00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E582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5F5B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650.00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570D3">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参考品牌：创点、康馨、ManLQi</w:t>
                  </w:r>
                </w:p>
              </w:tc>
            </w:tr>
            <w:tr w14:paraId="11ADA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BEAA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122</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78F4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烧碱</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5D17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A569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；净重：25公斤，含量98%。</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8C07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160.00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163D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11A7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4800.00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27FF8">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BBD0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A132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123</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E739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牙签</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1417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E3EC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规格：900支/袋，4袋/包，材质：毛竹，密封条封口。</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1B2A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E8DD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26A6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1600.00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8A33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参考品牌：美丽雅、双枪、潘帕斯</w:t>
                  </w:r>
                </w:p>
              </w:tc>
            </w:tr>
            <w:tr w14:paraId="04DA4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07D8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124</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52CA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烟灰缸</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536E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B70A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陶瓷，直径10cm,高度3cm.</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79A1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C3AD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0A5C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9FAA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24E00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A543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F9C6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一次性裱花袋</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3A95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ABE2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宽*高：32*22cm,材质：食品级加厚PE，中号，每袋100只装，不含双酚A。</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35B7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25.00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469B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83EA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C2788">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参考品牌：烤乐仕、展艺、易优家</w:t>
                  </w:r>
                </w:p>
              </w:tc>
            </w:tr>
            <w:tr w14:paraId="56FBB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497D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126</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A985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双层镂空沥水篮</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2A2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FBEF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长形规格：高17cm长39cm宽28cm；颜色：红、绿、蓝；材质：100%全新优质PP塑料；化学稳定性高，无毒无味。</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6F3D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25.00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DADF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503A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A32C3">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参考品牌：茶花、也雅、天生丽质</w:t>
                  </w:r>
                </w:p>
              </w:tc>
            </w:tr>
            <w:tr w14:paraId="33021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39D1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127</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EB8D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塑料凳</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33FC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3D6D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材质：塑料     尺寸：47cm*35cm*39cm</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89E3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4759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CF66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B0D5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参考品牌：茶花 、优思居、宜家</w:t>
                  </w:r>
                </w:p>
              </w:tc>
            </w:tr>
            <w:tr w14:paraId="61DC1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AB19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128</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C98D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水桶</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262A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0E84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直径45cm*高30cm， 材质：pp塑料。</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073A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25.00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B983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31DB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55AF8">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参考品牌：茶花、友好、云蕾</w:t>
                  </w:r>
                </w:p>
              </w:tc>
            </w:tr>
            <w:tr w14:paraId="06D2B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3706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129</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9C45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捆扎绳</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7364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9086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材质：聚丙烯；150g/卷；颜色：红、白、黑。</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67AC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5.00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9C8D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176D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3195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4375C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F72F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DC2D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反渗透直饮机过滤芯</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7E3E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F6F6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适用反渗透直饮机HLBR400A-2L过滤芯，第一级PP滤芯(10寸)。3-6个月左右更换一次。包更换安装到位。</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F033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0B63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E4AE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320.00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4719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5EAE3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2E85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131</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FB6B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反渗透直饮机过滤芯</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FB15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CED3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适用反渗透直饮机HLBR400A-2L过滤芯，第二级UDF颗粒滤芯(10寸)。6-12个月左右更换一次，包更换安装到位。</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0CB0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8D7C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DA00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A133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0A7BB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C600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132</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3124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反渗透直饮机过滤芯</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4E75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9BAE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适用反渗透直饮机HLBR400A-2L过滤芯，第三级PP滤芯(10寸)。3-6个月左右更换一次，包更换安装到位。</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6B8C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DCFF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EE2A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320.00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0188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119AC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2650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0F86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反渗透直饮机过滤芯</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CBF6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BA50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适用反渗透直饮机HLBR400A-2L过滤芯，第四级RO膜滤芯(通用)，12-24个月左右更换一次，包更换安装到位。</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E3CD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850.00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EAB8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DEB3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850.00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C1CE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4CE0E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F6C7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134</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51EC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反渗透直饮机过滤芯</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DE5B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25EA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适用反渗透直饮机HLBR400A-2L过滤芯，第五级CTO碳棒滤芯(10寸通用)。6-12个月左右更换一次，包更换安装到位。</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9ACB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120.00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EE44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10A7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240.00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7FD9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21E93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6E26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3D09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三角台卡</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B388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2DC4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订制品，规格：高约15cm*长18cm,材质：亚克力，厚1cm。产品环保、无毒、无甲醛透明度高，样式：三角形双面插纸式，参照样板供货。  </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0946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25.00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C89B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9854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5B88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75E42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E30E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136</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832D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证件保护套</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36DE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7D5A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规格：长9.3*宽6cm,材质：PVC材质,加厚双透明，纹路：布纹、光面，小插口，防水、耐磨损。</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E607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0.50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75CB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1802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2500.00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61D5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67403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6609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137</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CD6F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证件卡套</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EF5A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7970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规格：7*11cm,内部尺寸5.1*7.6cm。材质：具有良好的耐磨性，竖款，皮套内部结构：双面透明证件窗口，合金挂扣。颜色：棕色。</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8D5C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8.00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0823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97DA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1149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46D08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D5D7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3362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电蚊拍</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5C74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top"/>
                </w:tcPr>
                <w:p w14:paraId="4E13D27E">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宽242mm,高537mm，支持循环充电，额定输入220V-50V,配件：粘捕式充电底座，紫光灯珠数：12颗，灭蚊模式：自动诱蚊、自动捕蚊子，手动灭蚊，高温阻燃材质，诱蚊紫光灯无辐射，充电放电保护。</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0B77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45.00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E327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272A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1125.00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2C7E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参考品牌：雅格、彩虹、奥克斯、榄菊</w:t>
                  </w:r>
                </w:p>
              </w:tc>
            </w:tr>
            <w:tr w14:paraId="129B4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AB0B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139</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2BD6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一次性马桶座垫</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D0DA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B187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规格：15cm*136cm，单片独立包装，单层白色，SMMS无纺布，套入式，双层加厚，隔绝水渍污渍，透气高弹力，阻隔细菌。</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1F39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652C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ACCE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2500.00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1FAE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636C7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A9F2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2A1F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坐垫套罩</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6BA5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2E51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订制品，材质：棉麻混纺+5%氨纶+弹力带固定。规格：宽度范围50-65cm，长度范围50-60cm，厚度15cm，半包底座，颜色待选。</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B1D9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E780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25F8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6000.00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DFE9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7482D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C067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141</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06FF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电吹风布套</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210D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0861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材质：绒布，尺寸：24.5cm*29cm，印有“电吹风”字样在布袋上，抽绳款。颜色：黑色。</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187B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25.00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6059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9590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52A7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1C90A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C084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142</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FE4D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餐饮保鲜膜</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1EEC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95F8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材质：食品级PE，规格：600m*45cm；颜色分类: 透明，不添加塑化剂，带滑刀无毒无异味，可冷藏、冷冻、微波。</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500D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180.00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D686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85EF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55800.00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3906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6971A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3199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143</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9C2A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保鲜膜</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F4F8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CCF2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规格：45cm×300cm，PVC材质,高密度，韧性好，不易破。</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55F0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25.00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94EE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47EF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4F85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6AD6A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1378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144</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4194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装饰遮挡包</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2BE0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74E2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材质：塑料，仿真花、绿植类型，规格以实际现场测量为准。</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C365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1EB1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89A4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900.00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8342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17104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DCAF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9893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双面挂牌</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A848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89DD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材质：磨砂PVC，尺寸：85cm*215cm，印有“请即打扫”。</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100C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753F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7AE3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900.00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881D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784D9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DD1E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146</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E04D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过滤袋</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80B9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27F1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材质：PP无防布，规格5.5cm*7cm，无防布抽线茶包袋，耐高温煎煮。</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20E7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0.10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1F76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CF13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02E9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03E7A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0ECA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147</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8B50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电子计时器</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F401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407C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规格：7cm*6.5cm*2.3cm， 材质;ABS外壳+LCD屏显 。       </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41DF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12.00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13D1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428A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D040D">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参考品牌：得力、晨光、齐心 </w:t>
                  </w:r>
                </w:p>
              </w:tc>
            </w:tr>
            <w:tr w14:paraId="4C513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CDB8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148</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F7AF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电子闹钟</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718B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557E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,规格：14.6cm*4cm*6.5cm。LED屏幕，产品材质：ABS。</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4C4E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F98D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F229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2500.00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EEBEB">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参考品牌：得力、华为、小米</w:t>
                  </w:r>
                </w:p>
              </w:tc>
            </w:tr>
            <w:tr w14:paraId="3A17F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4936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149</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F546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5号电池A</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93A8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粒</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6C8F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有聚能环，无汞碱性电池，持久耐力，适应环境温度变化，耐寒耐热，安全可靠。</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81F7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E69B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517D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3300.00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7B939">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参考品牌：南孚、新华、777牌</w:t>
                  </w:r>
                </w:p>
              </w:tc>
            </w:tr>
            <w:tr w14:paraId="7BA17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3ABB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76EE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5号电池B</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27EC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粒</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BEBE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无镉无汞,环保碳性,防漏防爆,电力稳定,持久耐帮,安全可靠。</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1793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B612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A549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2CD1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参考品牌：南孚、新华、777牌</w:t>
                  </w:r>
                </w:p>
              </w:tc>
            </w:tr>
            <w:tr w14:paraId="156C8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9A0F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151</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08D4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7号电池A</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CF99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粒</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DBA5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有聚能环，无汞碱性电池，持久耐力，耐寒耐热，无汞环保，安全可靠。</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95D2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1C3D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3700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B223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7400.00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50004">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w:t>
                  </w:r>
                  <w:r>
                    <w:rPr>
                      <w:rFonts w:hint="eastAsia" w:ascii="宋体" w:hAnsi="宋体" w:cs="宋体"/>
                      <w:i w:val="0"/>
                      <w:iCs w:val="0"/>
                      <w:color w:val="auto"/>
                      <w:kern w:val="0"/>
                      <w:sz w:val="21"/>
                      <w:szCs w:val="21"/>
                      <w:highlight w:val="none"/>
                      <w:u w:val="none"/>
                      <w:lang w:val="en-US" w:eastAsia="zh-CN" w:bidi="ar"/>
                    </w:rPr>
                    <w:t>777</w:t>
                  </w:r>
                  <w:r>
                    <w:rPr>
                      <w:rFonts w:hint="eastAsia" w:ascii="宋体" w:hAnsi="宋体" w:eastAsia="宋体" w:cs="宋体"/>
                      <w:i w:val="0"/>
                      <w:iCs w:val="0"/>
                      <w:color w:val="auto"/>
                      <w:kern w:val="0"/>
                      <w:sz w:val="21"/>
                      <w:szCs w:val="21"/>
                      <w:highlight w:val="none"/>
                      <w:u w:val="none"/>
                      <w:lang w:val="en-US" w:eastAsia="zh-CN" w:bidi="ar"/>
                    </w:rPr>
                    <w:t>、新华、双鹿</w:t>
                  </w:r>
                </w:p>
              </w:tc>
            </w:tr>
            <w:tr w14:paraId="48142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5ED1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152</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335F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7号电池B</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8521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粒</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491E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无镉无汞,环保碳性,防漏防爆,电力稳定,持久耐帮,安全可靠。</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1B35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5E46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43BE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1100.00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077FE">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参考品牌：新华、</w:t>
                  </w:r>
                  <w:r>
                    <w:rPr>
                      <w:rFonts w:hint="eastAsia" w:ascii="宋体" w:hAnsi="宋体" w:cs="宋体"/>
                      <w:i w:val="0"/>
                      <w:iCs w:val="0"/>
                      <w:color w:val="auto"/>
                      <w:kern w:val="0"/>
                      <w:sz w:val="21"/>
                      <w:szCs w:val="21"/>
                      <w:highlight w:val="none"/>
                      <w:u w:val="none"/>
                      <w:lang w:val="en-US" w:eastAsia="zh-CN" w:bidi="ar"/>
                    </w:rPr>
                    <w:t>777</w:t>
                  </w:r>
                  <w:r>
                    <w:rPr>
                      <w:rFonts w:hint="eastAsia" w:ascii="宋体" w:hAnsi="宋体" w:eastAsia="宋体" w:cs="宋体"/>
                      <w:i w:val="0"/>
                      <w:iCs w:val="0"/>
                      <w:color w:val="auto"/>
                      <w:kern w:val="0"/>
                      <w:sz w:val="21"/>
                      <w:szCs w:val="21"/>
                      <w:highlight w:val="none"/>
                      <w:u w:val="none"/>
                      <w:lang w:val="en-US" w:eastAsia="zh-CN" w:bidi="ar"/>
                    </w:rPr>
                    <w:t>牌</w:t>
                  </w:r>
                  <w:r>
                    <w:rPr>
                      <w:rFonts w:hint="eastAsia" w:ascii="宋体" w:hAnsi="宋体" w:cs="宋体"/>
                      <w:i w:val="0"/>
                      <w:iCs w:val="0"/>
                      <w:color w:val="auto"/>
                      <w:kern w:val="0"/>
                      <w:sz w:val="21"/>
                      <w:szCs w:val="21"/>
                      <w:highlight w:val="none"/>
                      <w:u w:val="none"/>
                      <w:lang w:val="en-US" w:eastAsia="zh-CN" w:bidi="ar"/>
                    </w:rPr>
                    <w:t>、双鹿</w:t>
                  </w:r>
                </w:p>
              </w:tc>
            </w:tr>
            <w:tr w14:paraId="56E20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8291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153</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0DA7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纽扣电池</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71F9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粒</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FBEF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规格：3V，尺寸：直径20mm，厚度3.2mm</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C7B4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7E48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0590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330.00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5FA93">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参考品牌:南孚、松下 、云辉</w:t>
                  </w:r>
                </w:p>
              </w:tc>
            </w:tr>
            <w:tr w14:paraId="4FD00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5F6F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154</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CBCB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防风打火机</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650D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9189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规格：1cm*2.2cm*8cm，材料：高透PC塑料外壳、加厚缸件、防爆、直冲防风火焰、可调档。</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2FA8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87A0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FA7E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D181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2CC04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EC6A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89C0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笔筒</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01AB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71A8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材质：金属，加密网格，方形。尺寸：高10cm*宽7cm。</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74E6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9635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AEE9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330.00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3663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4C9F8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A80A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156</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C18A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多层透明文件夹</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6757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B714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材质：塑料，全透明；规格：22*31cm,标签页宽度1.5cm,标签书写分类明确，3层4页分类文件件，每层可装约1-20张A4纸，加厚防水，高清透明。</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2E94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0E39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C479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A7177">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参考品牌：得力、自言、添典逸</w:t>
                  </w:r>
                </w:p>
              </w:tc>
            </w:tr>
            <w:tr w14:paraId="5DD88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1714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157</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184B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封口胶</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7283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4EFE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规格：6cm*15mm*100Y,透明度高，</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7650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2BB6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AA92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FEDF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参考品牌：3M、思高、得力</w:t>
                  </w:r>
                </w:p>
              </w:tc>
            </w:tr>
            <w:tr w14:paraId="64DCB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C32D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158</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470D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双面胶</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D7DF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1C9D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规格:1.8cm*15Y，白色，高粘性，抗折性佳，粘力性持久，手撕即断。</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B5A5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8A9E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DB96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F25B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参考品牌：可得优、得力、高的</w:t>
                  </w:r>
                </w:p>
              </w:tc>
            </w:tr>
            <w:tr w14:paraId="6ECB0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E023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1BE0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固体胶</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293B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20F6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规格：长*宽：8cm*2cm,净重:21g,质地细润，无甲醛配方，高粘度强力固体胶。</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6AF8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B270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96FA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4EE99">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参考品牌：希睿、齐心、得力</w:t>
                  </w:r>
                </w:p>
              </w:tc>
            </w:tr>
            <w:tr w14:paraId="13DF9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6B95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A858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透明胶</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7B6C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31FF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透明度高，规格：18mm*30Y</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3493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7695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8EEC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BAFF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参考品牌：可得优、得力、高的</w:t>
                  </w:r>
                </w:p>
              </w:tc>
            </w:tr>
            <w:tr w14:paraId="0F56F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2E92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161</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F5D1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白板笔</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5331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0EDC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抗干大于24小时、双层密封，可长期使用、单头、颜色鲜明、易擦、不留痕迹、环保墨水。蓝、黑、红色笔芯均可。</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FA01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22.00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63B0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38DE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1540.00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C0C1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参考品牌：金万年、雅谷、晨光</w:t>
                  </w:r>
                </w:p>
              </w:tc>
            </w:tr>
            <w:tr w14:paraId="48A6E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1676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162</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453C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中性笔A</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84A7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ABF5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规格：0.5mm黑色、红色笔芯,耐光耐水性,记账专用；按动式、盖帽式可选。</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2A66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C383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52F8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717A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参考品牌：晨光、真彩、宝克</w:t>
                  </w:r>
                </w:p>
              </w:tc>
            </w:tr>
            <w:tr w14:paraId="0F806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4E34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163</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240E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中性笔B</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B647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D6D8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规格：0.7mm笔芯,耐光耐水性,记账专用；按动式、盖帽式可选（红笔芯、黑笔芯）</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6BE3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14CF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9378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9A7E1">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参考品牌：晨光、真彩、宝克</w:t>
                  </w:r>
                </w:p>
              </w:tc>
            </w:tr>
            <w:tr w14:paraId="059A0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1639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164</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30E7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中性笔芯</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15A5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221D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规格：0.5mm黑色笔芯.执行标准：K-35。</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11A3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B832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427A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9260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参考品牌：晨光、真彩、宝克</w:t>
                  </w:r>
                </w:p>
              </w:tc>
            </w:tr>
            <w:tr w14:paraId="7951B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E1B0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4308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油性记号笔</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8BD5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72CB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双头极细、笔芯颜色：蓝色.黑色.红色、白色（两笔头粗细按需求供货）。</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CD34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D02C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2CE7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375.00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00686">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参考品牌：得力、晨光、金万年</w:t>
                  </w:r>
                </w:p>
              </w:tc>
            </w:tr>
            <w:tr w14:paraId="236DD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F350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166</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8086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百事贴</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E0F3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CB84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规格：76mm*76mm，100张/本。</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3E7C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688D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A0B0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1260.00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11176">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参考品牌：得力、高的、晨光</w:t>
                  </w:r>
                </w:p>
              </w:tc>
            </w:tr>
            <w:tr w14:paraId="58C69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4EE2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167</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D3D5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标识贴A</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1430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8399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材质：户外防水写真喷绘  规格：29*14.5cm，订制品：绿底黄字，按样板“小心台阶”。</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4F5E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4.50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343D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09B1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2700.00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799A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0C299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4C01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168</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1B2F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标识贴B</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85DB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64D8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订制品，规格：13㎝×70㎝，材质：户外防水写真喷绘，户外地面标识贴，红底黄字“小心台阶”。</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D3B8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4DE1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9CA7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0879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446B6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FE2A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169</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E627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标识</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D085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批</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329C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客房标识，具体内容及规格，按实际需求制作。</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4090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EE49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200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C367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FF8A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33846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967F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F346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便利贴</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CB90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A9FA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规格：76mm*76mm，3mm*3mm四分条，100张/本。                           </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DE2A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FEF1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5DE7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DC463">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参考品牌：得力、高的、晨光</w:t>
                  </w:r>
                </w:p>
              </w:tc>
            </w:tr>
            <w:tr w14:paraId="57874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20E2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171</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AE86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标签贴纸A</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3D40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9EE3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60克铜版纸，可撕型自带不干胶， 56mm* 96mm/枚，4枚/张，100张/包，红边框。         </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B244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12.00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9944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F178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240.00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3623D">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参考品牌：可得优、得力、正彩</w:t>
                  </w:r>
                </w:p>
              </w:tc>
            </w:tr>
            <w:tr w14:paraId="115A3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A69D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172</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5B8F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标签贴纸B</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F4BA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281B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60克铜版纸，可撕型自带不干胶，38mm*25mm/枚，24枚/张，100张/包，红边框。     </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870B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12.00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5A14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742C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180.00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28FB1">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参考品牌：可得优、得力、正彩</w:t>
                  </w:r>
                </w:p>
              </w:tc>
            </w:tr>
            <w:tr w14:paraId="18979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C0C1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173</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EE33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单排标签纸</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2384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筒</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D33F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规格：21.6mm*12mm，10卷/筒，白色。                      </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2D42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1833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2E9E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004AD">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 参考品牌：可得优、得力、正彩</w:t>
                  </w:r>
                </w:p>
              </w:tc>
            </w:tr>
            <w:tr w14:paraId="66341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FEB6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174</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58FE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标价纸</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55F9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C9A2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规格：21.5*12mm</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1F34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3.00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CA6A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9679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90.00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74FBA">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参考品牌：晨光、得力、齐心</w:t>
                  </w:r>
                </w:p>
              </w:tc>
            </w:tr>
            <w:tr w14:paraId="59755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49E6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0B8D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硬皮笔记本</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ED0B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2ED0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规格：B5（18K）,173*247mm，106张，象牙白纸张、加厚纸张，书写流畅、纸张不渗墨。</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99B1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12.00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895C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4D8A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120.00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6AB3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参考品牌：申士、晨光、玛丽</w:t>
                  </w:r>
                </w:p>
              </w:tc>
            </w:tr>
            <w:tr w14:paraId="6145E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51C3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176</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C36D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美工刀</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CC0C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98FB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全刀长度：160mm，刀片长度：100mm，刀片厚度：0.5mm，刀片宽度：18mm，材质：锌合金 银色 刃长90mm,  超强自锁，刀位自带拆刀器。</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BB06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3407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810D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2B23C">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参考品牌：得力、晨光、可得优</w:t>
                  </w:r>
                </w:p>
              </w:tc>
            </w:tr>
            <w:tr w14:paraId="65415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5591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177</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79E2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剪刀A</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B1900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14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C337F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规格：长约19.8cm*宽10cm；剪柄材质：PVC。</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0AD7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4101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E150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5F1E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参考品牌：张小泉、王麻子、十八子作</w:t>
                  </w:r>
                </w:p>
              </w:tc>
            </w:tr>
            <w:tr w14:paraId="454FB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DFD0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178</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C219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剪刀B</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9140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9591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总长19cm；塑料把柄,防粘胶不锈钢剪身,适用于家庭、办公剪纸等。蓝色或黑色；</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B837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15.00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D133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3EB1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450.00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C0506">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参考品牌：可得优、得力、高的</w:t>
                  </w:r>
                </w:p>
              </w:tc>
            </w:tr>
            <w:tr w14:paraId="5C282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4A12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179</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D3B1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回形针</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F029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筒</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DB44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规格：长29mm，200枚/筒，材质: 金属。</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F093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CC8A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111F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660.00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3E48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参考品牌：晨光、得力、齐心</w:t>
                  </w:r>
                </w:p>
              </w:tc>
            </w:tr>
            <w:tr w14:paraId="67EC5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012F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F7A9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计算器</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4A15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E98E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尺寸 103mm×145mm ； 重量 158g，12位数显示；电池类型：纽扣电池+太阳能。颜色：灰色；</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4409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E808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93F5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62272">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参考品牌：卡西欧、夏普、得力</w:t>
                  </w:r>
                </w:p>
              </w:tc>
            </w:tr>
            <w:tr w14:paraId="16BB9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05C0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181</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BE3C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订书机</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13ED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A786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要求：双功能省力型订书机、可旋转型可选，可用书钉规格24/6、23/8。</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BE42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5767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027E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8F3A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参考品牌：可得优、得力、齐心</w:t>
                  </w:r>
                </w:p>
              </w:tc>
            </w:tr>
            <w:tr w14:paraId="0C8E8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A802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182</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8BD7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订书钉</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1D64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71BB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24/6，高强度镀锌丝，硬度高，耐腐蚀，穿透力强。数量：1000枚/盒</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7F17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4CCF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0B10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01C1A">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参考品牌：可得优、得力、齐心</w:t>
                  </w:r>
                </w:p>
              </w:tc>
            </w:tr>
            <w:tr w14:paraId="51A00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E829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183</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E037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大头钉</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1ABD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EF4F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尺寸：26mm,净含量：100g/盒；pvc筒装尺寸：高35mm*直径59mm表面工艺：采用电镀技术，不易生锈、腐蚀，可供长期使用，螺旋护盖，透明塑料设计，方便拿取，</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9115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893D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C476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A12D2">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参考品牌：得力、晨光、齐心</w:t>
                  </w:r>
                </w:p>
              </w:tc>
            </w:tr>
            <w:tr w14:paraId="670C4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F7B0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184</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D0FF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文件袋</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D882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4192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规格：310mm*230mm，按扣式，透明加厚PP材质。</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B693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0326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506F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E9A7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 参考品牌：可得优、得力、正彩</w:t>
                  </w:r>
                </w:p>
              </w:tc>
            </w:tr>
            <w:tr w14:paraId="2D5BE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4AA3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49EF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修正液</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DE90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EFA4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0.8mm笔头，容量：18ML主要成份：甲基环乙烷，钛白粉，用途：修正字体，</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FB1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7AF1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5BE9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175.00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08E21">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参考品名：晨光、得力、派通</w:t>
                  </w:r>
                </w:p>
              </w:tc>
            </w:tr>
            <w:tr w14:paraId="52F5E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9937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186</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A0A2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香糊</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A3AD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6DB0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尺寸：110*70mm/瓶，400克/瓶，送刷子。 香糊手工胶水；</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98ED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D4AF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67BC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35.00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F6BF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30946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573F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187</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4C50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胶水</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47D8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5C66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78克-80克/瓶，带刷子。液体胶水玻璃瓶装  </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E101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B70B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FBA0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9904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42D8D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A8DB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188</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18BF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彩色长尾夹 A</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E445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5F8B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长：32mm,24只/盒；材质：金属，</w:t>
                  </w: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655EE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12.00 </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6CC8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3834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E4187">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参考品牌：得力、晨光、齐心</w:t>
                  </w:r>
                </w:p>
              </w:tc>
            </w:tr>
            <w:tr w14:paraId="14BFD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B0AB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189</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1D2F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彩色长尾夹 B</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4BB2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236F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长：25mm,48只/盒；材质：金属，</w:t>
                  </w: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98E8B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12.00 </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1261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9222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36.00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46D6C">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参考品牌：得力、晨光、齐心</w:t>
                  </w:r>
                </w:p>
              </w:tc>
            </w:tr>
            <w:tr w14:paraId="55FD0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E9D2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EF7F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彩色长尾夹 C</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EC5F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F856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长：15mm,24只/盒；材质：金属，</w:t>
                  </w: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3F967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10.00 </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2E775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263C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B6B21">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参考品牌：得力、晨光、齐心</w:t>
                  </w:r>
                </w:p>
              </w:tc>
            </w:tr>
            <w:tr w14:paraId="1744A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5EDF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191</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AA15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三联文件筐</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9473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428D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规格：252长*257深*275高mm，材质：塑料；</w:t>
                  </w: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D3741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10.00 </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322A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88D4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63F7E">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参考品牌：得力、晨光、、齐心</w:t>
                  </w:r>
                </w:p>
              </w:tc>
            </w:tr>
            <w:tr w14:paraId="4F211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AD4A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192</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4963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三层文件座</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DB5F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3321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规格：A4，产品尺寸：260宽*338长*高260mm</w:t>
                  </w: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D989D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25.00 </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04BE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ABA4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75.00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FB27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15810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0773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193</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3DD8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透蓝钥匙牌</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038B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筒</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C20B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规格：30*45mm；50个/筒，产品材质：PS材质，</w:t>
                  </w: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B8ADE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30.00 </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A6C2C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665F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18BC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588F9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431B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194</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B841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书写板夹</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7929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2A7F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规格：长315*宽225mm；材质：塑料</w:t>
                  </w: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53AA8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10.00 </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43345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552B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1090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6C5D2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6FF7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6761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乳胶圈</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1799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0103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胶圈长度：70mm；100g/桶。材质：乳胶；</w:t>
                  </w: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185DD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10.00 </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77930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9AF3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8D5B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1DAF7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B1EF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196</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9CAC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A4复印纸</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9DC0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08BA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规格：A4，210mm*297mm,  材质：100%原生全纯木浆，80g 500张/包。其中白色150包，粉红色纸50包                  </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AA14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35.00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5861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551C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7000.00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B124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3EFD8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6D19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197</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84E4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A3复印纸</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DEC3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EAE2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规格：A3，297mm*420mm,材质：100%原生全纯木浆，80g；500张/包。其中白色2包，粉红色纸1包                  </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00EB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45.00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8E35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9091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135.00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17F0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5568D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5787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198</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7226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信纸</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C183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145B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尺寸190*265mm；16k方格400格信稿纸；40页</w:t>
                  </w: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D4756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3.00 </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B39C2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5CFF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C9AE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03E29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4ED0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199</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713E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涂改带</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DA44E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89B95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规格：35ml</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7A11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F5E2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798A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1C09B">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参考品牌：得力、可得优、齐心</w:t>
                  </w:r>
                </w:p>
              </w:tc>
            </w:tr>
            <w:tr w14:paraId="069DB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10C3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108C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手工白胶</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1FF80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14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4C1EF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规格：35ml</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61A8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41BD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CABE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225.00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44DD6">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参考品牌：得力、可得优、齐心</w:t>
                  </w:r>
                </w:p>
              </w:tc>
            </w:tr>
            <w:tr w14:paraId="24CBC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EC4C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201</w:t>
                  </w:r>
                </w:p>
              </w:tc>
              <w:tc>
                <w:tcPr>
                  <w:tcW w:w="5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47ADA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光敏印油</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AC3A0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14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AC757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10ml/瓶 ，颜色：红色；颜色鲜艳、印迹清晰、即印即干。</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BF5A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12A1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3E2C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C7ED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61623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C329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6840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印泥</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A9A2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A32D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规格：红色螺旋盖中号，秒干不脏手。</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90DC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8.00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0AF4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64A0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981D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17ACF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329F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203</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8D0C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透明软垫</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94D4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A30D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规格：140*450（cm），材质：透明塑料。</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B084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FA58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C3A0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5BB6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246DA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819B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204</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5004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茶叶夹</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7D01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1255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长度15-20cm.不锈钢材质。</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EBCC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179C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D7A4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01CB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17D68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64AE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205</w:t>
                  </w:r>
                </w:p>
              </w:tc>
              <w:tc>
                <w:tcPr>
                  <w:tcW w:w="5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6E01E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空气循环风扇</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22EF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5C62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产品尺寸30×98cm，交流电机，额定电压220V，档位调节8档，预约定时9小时，净重4.5kg，电源线长度1.5米，功率40W，最大噪音36db，扇叶片数3片，控制类型APP+遥控操控，台地两用，10米远距送风，仰头90°，左右80°。</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7585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350.00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C193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47B4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1050.00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64F42">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参考品牌：格力、美的、艾美特</w:t>
                  </w:r>
                </w:p>
              </w:tc>
            </w:tr>
            <w:tr w14:paraId="5812F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ABD6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206</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5D95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对讲机</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FE89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A9D5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尺寸：1100*52*28mm，通话距离10km以上，输出功率：60W，容量：2000mAh，频率范围：400—480MHZ，支持USB充电，每台机子配一付耳塞。  颜色：黑色， </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2A4C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3B3C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7B26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0B06A">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参考品牌：摩托罗拉、诺基亚、泉盛</w:t>
                  </w:r>
                </w:p>
              </w:tc>
            </w:tr>
            <w:tr w14:paraId="2D29B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E6DD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207</w:t>
                  </w:r>
                </w:p>
              </w:tc>
              <w:tc>
                <w:tcPr>
                  <w:tcW w:w="5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4A430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车载点烟器插头 汽车点烟器转换插头</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77EE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FD27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车载点烟器转换插头</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母座usb（C28）充电器一拖三120W超级快充 钢琴黑+铝合金停车牌。适用苹果华为小米 自带伸缩线</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B545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43FB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1FE7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240.00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2CA13">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参考品牌：古悍、博世、飞利浦</w:t>
                  </w:r>
                </w:p>
              </w:tc>
            </w:tr>
            <w:tr w14:paraId="1D111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93FF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208</w:t>
                  </w:r>
                </w:p>
              </w:tc>
              <w:tc>
                <w:tcPr>
                  <w:tcW w:w="5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1800F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车载吸尘器</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7475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D4B1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车载吸尘器无刷大吸力无线手持汽车用吸尘器小型迷你便携吸吹两用</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F3AA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F25F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9A35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900.00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D2194">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参考品牌：爱图腾、恩柏盛、卡恩欧</w:t>
                  </w:r>
                </w:p>
              </w:tc>
            </w:tr>
            <w:tr w14:paraId="7B7C4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C5C5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209</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1B8E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快充头+充电线</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0A43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D45E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100W超级快充头+2.0米 6A快充线，高品质线芯,双面导电铝箔屏蔽,低温快充，不伤电池，最高支持66W快充，智能芯片自动调整输出功率。</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5C5E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AF48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261C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850F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参考品牌：华为、小米、OPPO</w:t>
                  </w:r>
                </w:p>
              </w:tc>
            </w:tr>
            <w:tr w14:paraId="44BF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375B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0685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多功能车用导航支架</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E30F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87F0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车载无线充电器 汽车手机出风口导航支架15W无线快充 适用【无线充电支架】独立开关断电。</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7FFF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160.00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CA34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947E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480.00 </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6747B">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参考品牌：小米、毕亚兹, 倍思</w:t>
                  </w:r>
                </w:p>
              </w:tc>
            </w:tr>
          </w:tbl>
          <w:p w14:paraId="5321CD1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b w:val="0"/>
                <w:bCs w:val="0"/>
                <w:color w:val="auto"/>
                <w:szCs w:val="21"/>
                <w:highlight w:val="none"/>
                <w:lang w:val="en-US" w:eastAsia="zh-CN"/>
              </w:rPr>
            </w:pPr>
          </w:p>
        </w:tc>
      </w:tr>
      <w:tr w14:paraId="43D12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3E3F95CD">
            <w:pPr>
              <w:rPr>
                <w:rFonts w:hint="eastAsia" w:ascii="新宋体" w:eastAsia="新宋体"/>
                <w:b/>
                <w:color w:val="auto"/>
                <w:szCs w:val="21"/>
                <w:highlight w:val="none"/>
                <w:lang w:eastAsia="zh-CN"/>
              </w:rPr>
            </w:pPr>
            <w:r>
              <w:rPr>
                <w:rFonts w:hint="eastAsia" w:ascii="新宋体" w:eastAsia="新宋体"/>
                <w:b/>
                <w:color w:val="auto"/>
                <w:szCs w:val="21"/>
                <w:highlight w:val="none"/>
              </w:rPr>
              <w:t>商务</w:t>
            </w:r>
            <w:r>
              <w:rPr>
                <w:rFonts w:hint="eastAsia" w:ascii="新宋体" w:eastAsia="新宋体"/>
                <w:b/>
                <w:color w:val="auto"/>
                <w:szCs w:val="21"/>
                <w:highlight w:val="none"/>
                <w:lang w:val="en-US" w:eastAsia="zh-CN"/>
              </w:rPr>
              <w:t>条款</w:t>
            </w:r>
          </w:p>
        </w:tc>
      </w:tr>
      <w:tr w14:paraId="6E3712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43" w:type="pct"/>
            <w:gridSpan w:val="2"/>
            <w:noWrap w:val="0"/>
            <w:vAlign w:val="center"/>
          </w:tcPr>
          <w:p w14:paraId="37E71934">
            <w:pPr>
              <w:widowControl/>
              <w:spacing w:line="360" w:lineRule="exact"/>
              <w:jc w:val="center"/>
              <w:rPr>
                <w:rFonts w:hint="eastAsia" w:ascii="宋体" w:hAnsi="宋体" w:eastAsia="宋体" w:cs="宋体"/>
                <w:bCs/>
                <w:color w:val="auto"/>
                <w:szCs w:val="21"/>
                <w:highlight w:val="none"/>
                <w:lang w:eastAsia="zh-CN"/>
              </w:rPr>
            </w:pPr>
            <w:r>
              <w:rPr>
                <w:rFonts w:hint="eastAsia" w:ascii="宋体" w:hAnsi="宋体" w:cs="宋体"/>
                <w:b/>
                <w:color w:val="auto"/>
                <w:szCs w:val="21"/>
                <w:highlight w:val="none"/>
              </w:rPr>
              <w:t>▲</w:t>
            </w:r>
            <w:r>
              <w:rPr>
                <w:rFonts w:hint="eastAsia" w:ascii="宋体" w:hAnsi="宋体" w:cs="宋体"/>
                <w:color w:val="auto"/>
                <w:kern w:val="0"/>
                <w:szCs w:val="21"/>
                <w:highlight w:val="none"/>
              </w:rPr>
              <w:t>签订合同</w:t>
            </w:r>
            <w:r>
              <w:rPr>
                <w:rFonts w:hint="eastAsia" w:ascii="宋体" w:hAnsi="宋体" w:cs="宋体"/>
                <w:color w:val="auto"/>
                <w:kern w:val="0"/>
                <w:szCs w:val="21"/>
                <w:highlight w:val="none"/>
                <w:lang w:val="en-US" w:eastAsia="zh-CN"/>
              </w:rPr>
              <w:t>期限</w:t>
            </w:r>
          </w:p>
        </w:tc>
        <w:tc>
          <w:tcPr>
            <w:tcW w:w="3856" w:type="pct"/>
            <w:gridSpan w:val="4"/>
            <w:noWrap w:val="0"/>
            <w:vAlign w:val="center"/>
          </w:tcPr>
          <w:p w14:paraId="5E49CC78">
            <w:pPr>
              <w:spacing w:line="360" w:lineRule="exact"/>
              <w:rPr>
                <w:rFonts w:hint="eastAsia" w:ascii="宋体" w:hAnsi="宋体" w:cs="宋体"/>
                <w:b/>
                <w:color w:val="auto"/>
                <w:szCs w:val="21"/>
                <w:highlight w:val="none"/>
              </w:rPr>
            </w:pPr>
            <w:r>
              <w:rPr>
                <w:rFonts w:hint="eastAsia" w:ascii="宋体" w:hAnsi="宋体" w:cs="宋体"/>
                <w:color w:val="auto"/>
                <w:szCs w:val="21"/>
                <w:highlight w:val="none"/>
              </w:rPr>
              <w:t>自</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rPr>
              <w:t>通知书发出之日起</w:t>
            </w:r>
            <w:r>
              <w:rPr>
                <w:rFonts w:hint="eastAsia" w:ascii="宋体" w:hAnsi="宋体" w:cs="宋体"/>
                <w:color w:val="auto"/>
                <w:szCs w:val="21"/>
                <w:highlight w:val="none"/>
                <w:u w:val="single"/>
              </w:rPr>
              <w:t>25</w:t>
            </w:r>
            <w:r>
              <w:rPr>
                <w:rFonts w:hint="eastAsia" w:ascii="宋体" w:hAnsi="宋体" w:cs="宋体"/>
                <w:color w:val="auto"/>
                <w:szCs w:val="21"/>
                <w:highlight w:val="none"/>
              </w:rPr>
              <w:t>日历日内。</w:t>
            </w:r>
          </w:p>
        </w:tc>
      </w:tr>
      <w:tr w14:paraId="3B9F9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43" w:type="pct"/>
            <w:gridSpan w:val="2"/>
            <w:noWrap w:val="0"/>
            <w:vAlign w:val="center"/>
          </w:tcPr>
          <w:p w14:paraId="4BF32B48">
            <w:pPr>
              <w:widowControl/>
              <w:spacing w:line="3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color w:val="auto"/>
                <w:kern w:val="0"/>
                <w:szCs w:val="21"/>
                <w:highlight w:val="none"/>
              </w:rPr>
              <w:t>报价要求</w:t>
            </w:r>
          </w:p>
        </w:tc>
        <w:tc>
          <w:tcPr>
            <w:tcW w:w="3856" w:type="pct"/>
            <w:gridSpan w:val="4"/>
            <w:noWrap w:val="0"/>
            <w:vAlign w:val="center"/>
          </w:tcPr>
          <w:p w14:paraId="516FAD62">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报价应包括：</w:t>
            </w:r>
          </w:p>
          <w:p w14:paraId="01FD8E68">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（1）包括</w:t>
            </w:r>
            <w:r>
              <w:rPr>
                <w:rFonts w:hint="eastAsia" w:ascii="宋体" w:hAnsi="宋体" w:cs="宋体"/>
                <w:color w:val="auto"/>
                <w:kern w:val="0"/>
                <w:szCs w:val="21"/>
                <w:highlight w:val="none"/>
                <w:lang w:val="en-US" w:eastAsia="zh-CN"/>
              </w:rPr>
              <w:t>货品的价格</w:t>
            </w:r>
            <w:r>
              <w:rPr>
                <w:rFonts w:hint="eastAsia" w:ascii="宋体" w:hAnsi="宋体" w:cs="宋体"/>
                <w:color w:val="auto"/>
                <w:kern w:val="0"/>
                <w:szCs w:val="21"/>
                <w:highlight w:val="none"/>
              </w:rPr>
              <w:t>、服务费、供应过程中所产生的各种差旅费、资料费、包装费、运费、验收费；</w:t>
            </w:r>
          </w:p>
          <w:p w14:paraId="1468E092">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（2）货物的标准附件、备品备件、专用工具的价格。</w:t>
            </w:r>
          </w:p>
          <w:p w14:paraId="4D71063D">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（3）装卸、技术支持、售后服务费。</w:t>
            </w:r>
          </w:p>
          <w:p w14:paraId="3DF8F957">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（4）必要的保险费用和各项税费。</w:t>
            </w:r>
          </w:p>
          <w:p w14:paraId="2AAADC60">
            <w:pPr>
              <w:widowControl/>
              <w:spacing w:line="3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注：报价中应包含全部内容，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后采购人不再另行支付额外费用。</w:t>
            </w:r>
          </w:p>
          <w:p w14:paraId="73F0B477">
            <w:pPr>
              <w:widowControl/>
              <w:spacing w:line="360" w:lineRule="exact"/>
              <w:jc w:val="left"/>
              <w:rPr>
                <w:rFonts w:hint="default" w:eastAsia="宋体"/>
                <w:color w:val="auto"/>
                <w:highlight w:val="none"/>
                <w:lang w:val="en-US" w:eastAsia="zh-CN"/>
              </w:rPr>
            </w:pPr>
            <w:r>
              <w:rPr>
                <w:rFonts w:hint="eastAsia" w:ascii="宋体" w:hAnsi="宋体" w:eastAsia="宋体" w:cs="宋体"/>
                <w:color w:val="auto"/>
                <w:kern w:val="0"/>
                <w:szCs w:val="21"/>
                <w:highlight w:val="none"/>
                <w:lang w:val="en-US" w:eastAsia="zh-CN"/>
              </w:rPr>
              <w:t>2.供应商按折扣率进行报价，供应商应当对整个采购清单作统一的折扣率报价，供应商所报的折扣率应当适用于每一项货品。折扣率有效范围为0%-100%，实际供货单价=每项货品的参考单价*（1—成交折扣率）。例：某项货品参考单价为100元，供应商报价的折扣率为10%，则该项货品的供货单价为100元*（1-10%）=90元。</w:t>
            </w:r>
          </w:p>
        </w:tc>
      </w:tr>
      <w:tr w14:paraId="25D7A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43" w:type="pct"/>
            <w:gridSpan w:val="2"/>
            <w:noWrap w:val="0"/>
            <w:vAlign w:val="center"/>
          </w:tcPr>
          <w:p w14:paraId="7CCADA88">
            <w:pPr>
              <w:widowControl/>
              <w:spacing w:line="360" w:lineRule="exact"/>
              <w:jc w:val="center"/>
              <w:rPr>
                <w:rFonts w:hint="eastAsia" w:ascii="宋体" w:hAnsi="宋体" w:cs="宋体"/>
                <w:bCs/>
                <w:color w:val="auto"/>
                <w:szCs w:val="21"/>
                <w:highlight w:val="none"/>
              </w:rPr>
            </w:pPr>
            <w:r>
              <w:rPr>
                <w:rFonts w:hint="eastAsia" w:ascii="宋体" w:hAnsi="宋体" w:cs="宋体"/>
                <w:b/>
                <w:color w:val="auto"/>
                <w:szCs w:val="21"/>
                <w:highlight w:val="none"/>
              </w:rPr>
              <w:t>▲</w:t>
            </w:r>
            <w:r>
              <w:rPr>
                <w:rFonts w:hint="eastAsia" w:ascii="宋体" w:hAnsi="宋体" w:cs="宋体"/>
                <w:color w:val="auto"/>
                <w:kern w:val="0"/>
                <w:szCs w:val="21"/>
                <w:highlight w:val="none"/>
              </w:rPr>
              <w:t>售后服务要求</w:t>
            </w:r>
          </w:p>
        </w:tc>
        <w:tc>
          <w:tcPr>
            <w:tcW w:w="3856" w:type="pct"/>
            <w:gridSpan w:val="4"/>
            <w:noWrap w:val="0"/>
            <w:vAlign w:val="center"/>
          </w:tcPr>
          <w:p w14:paraId="0129E664">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1.供应商</w:t>
            </w:r>
            <w:r>
              <w:rPr>
                <w:rFonts w:hint="eastAsia" w:ascii="宋体" w:hAnsi="宋体" w:cs="宋体"/>
                <w:color w:val="auto"/>
                <w:kern w:val="0"/>
                <w:szCs w:val="21"/>
                <w:highlight w:val="none"/>
              </w:rPr>
              <w:t>供应的</w:t>
            </w:r>
            <w:r>
              <w:rPr>
                <w:rFonts w:hint="eastAsia" w:ascii="宋体" w:hAnsi="宋体" w:cs="宋体"/>
                <w:color w:val="auto"/>
                <w:kern w:val="0"/>
                <w:szCs w:val="21"/>
                <w:highlight w:val="none"/>
                <w:lang w:val="en-US" w:eastAsia="zh-CN"/>
              </w:rPr>
              <w:t>货品</w:t>
            </w:r>
            <w:r>
              <w:rPr>
                <w:rFonts w:hint="eastAsia" w:ascii="宋体" w:hAnsi="宋体" w:cs="宋体"/>
                <w:color w:val="auto"/>
                <w:kern w:val="0"/>
                <w:szCs w:val="21"/>
                <w:highlight w:val="none"/>
              </w:rPr>
              <w:t>必须是全新的、满足本项目要求的产品；符合国家规定的相应要求与标准，没有知识产权纠纷；若出现版权纠纷，合同自动终止，一切后果由</w:t>
            </w:r>
            <w:r>
              <w:rPr>
                <w:rFonts w:hint="eastAsia" w:ascii="宋体" w:hAnsi="宋体" w:cs="宋体"/>
                <w:color w:val="auto"/>
                <w:kern w:val="0"/>
                <w:szCs w:val="21"/>
                <w:highlight w:val="none"/>
                <w:lang w:val="en-US" w:eastAsia="zh-CN"/>
              </w:rPr>
              <w:t>供应商</w:t>
            </w:r>
            <w:r>
              <w:rPr>
                <w:rFonts w:hint="eastAsia" w:ascii="宋体" w:hAnsi="宋体" w:cs="宋体"/>
                <w:color w:val="auto"/>
                <w:kern w:val="0"/>
                <w:szCs w:val="21"/>
                <w:highlight w:val="none"/>
              </w:rPr>
              <w:t>自行负责。</w:t>
            </w:r>
          </w:p>
          <w:p w14:paraId="43348744">
            <w:pPr>
              <w:widowControl/>
              <w:spacing w:line="360" w:lineRule="exact"/>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val="en-US" w:eastAsia="zh-CN"/>
              </w:rPr>
              <w:t>2.供应商</w:t>
            </w:r>
            <w:r>
              <w:rPr>
                <w:rFonts w:hint="eastAsia" w:ascii="宋体" w:hAnsi="宋体" w:cs="宋体"/>
                <w:color w:val="auto"/>
                <w:kern w:val="0"/>
                <w:szCs w:val="21"/>
                <w:highlight w:val="none"/>
              </w:rPr>
              <w:t>须按国家有关规定实行“三包”，</w:t>
            </w:r>
            <w:r>
              <w:rPr>
                <w:rFonts w:hint="eastAsia" w:ascii="宋体" w:hAnsi="宋体" w:cs="宋体"/>
                <w:color w:val="auto"/>
                <w:kern w:val="0"/>
                <w:szCs w:val="21"/>
                <w:highlight w:val="none"/>
                <w:lang w:val="en-US" w:eastAsia="zh-CN"/>
              </w:rPr>
              <w:t>采购需求另有要求的按采购需求执行。</w:t>
            </w:r>
            <w:r>
              <w:rPr>
                <w:rFonts w:hint="eastAsia" w:ascii="宋体" w:hAnsi="宋体" w:cs="宋体"/>
                <w:color w:val="auto"/>
                <w:kern w:val="0"/>
                <w:szCs w:val="21"/>
                <w:highlight w:val="none"/>
              </w:rPr>
              <w:t>免费送货上门到采购人指定的地点</w:t>
            </w:r>
            <w:r>
              <w:rPr>
                <w:rFonts w:hint="eastAsia" w:ascii="宋体" w:hAnsi="宋体" w:cs="宋体"/>
                <w:color w:val="auto"/>
                <w:kern w:val="0"/>
                <w:szCs w:val="21"/>
                <w:highlight w:val="none"/>
                <w:lang w:eastAsia="zh-CN"/>
              </w:rPr>
              <w:t>。</w:t>
            </w:r>
          </w:p>
          <w:p w14:paraId="30F6C7E8">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3.供应商</w:t>
            </w:r>
            <w:r>
              <w:rPr>
                <w:rFonts w:hint="eastAsia" w:ascii="宋体" w:hAnsi="宋体" w:cs="宋体"/>
                <w:color w:val="auto"/>
                <w:kern w:val="0"/>
                <w:szCs w:val="21"/>
                <w:highlight w:val="none"/>
              </w:rPr>
              <w:t>严格依照采购人订单</w:t>
            </w:r>
            <w:r>
              <w:rPr>
                <w:rFonts w:hint="eastAsia" w:ascii="宋体" w:hAnsi="宋体" w:cs="宋体"/>
                <w:color w:val="auto"/>
                <w:kern w:val="0"/>
                <w:szCs w:val="21"/>
                <w:highlight w:val="none"/>
                <w:lang w:val="en-US" w:eastAsia="zh-CN"/>
              </w:rPr>
              <w:t>数量</w:t>
            </w:r>
            <w:r>
              <w:rPr>
                <w:rFonts w:hint="eastAsia" w:ascii="宋体" w:hAnsi="宋体" w:cs="宋体"/>
                <w:color w:val="auto"/>
                <w:kern w:val="0"/>
                <w:szCs w:val="21"/>
                <w:highlight w:val="none"/>
              </w:rPr>
              <w:t>配送</w:t>
            </w:r>
            <w:r>
              <w:rPr>
                <w:rFonts w:hint="eastAsia" w:ascii="宋体" w:hAnsi="宋体" w:cs="宋体"/>
                <w:color w:val="auto"/>
                <w:kern w:val="0"/>
                <w:szCs w:val="21"/>
                <w:highlight w:val="none"/>
                <w:lang w:val="en-US" w:eastAsia="zh-CN"/>
              </w:rPr>
              <w:t>货品</w:t>
            </w:r>
            <w:r>
              <w:rPr>
                <w:rFonts w:hint="eastAsia" w:ascii="宋体" w:hAnsi="宋体" w:cs="宋体"/>
                <w:color w:val="auto"/>
                <w:kern w:val="0"/>
                <w:szCs w:val="21"/>
                <w:highlight w:val="none"/>
              </w:rPr>
              <w:t>，验收不合格的</w:t>
            </w:r>
            <w:r>
              <w:rPr>
                <w:rFonts w:hint="eastAsia" w:ascii="宋体" w:hAnsi="宋体" w:cs="宋体"/>
                <w:color w:val="auto"/>
                <w:kern w:val="0"/>
                <w:szCs w:val="21"/>
                <w:highlight w:val="none"/>
                <w:lang w:val="en-US" w:eastAsia="zh-CN"/>
              </w:rPr>
              <w:t>货品</w:t>
            </w:r>
            <w:r>
              <w:rPr>
                <w:rFonts w:hint="eastAsia" w:ascii="宋体" w:hAnsi="宋体" w:cs="宋体"/>
                <w:color w:val="auto"/>
                <w:kern w:val="0"/>
                <w:szCs w:val="21"/>
                <w:highlight w:val="none"/>
              </w:rPr>
              <w:t>一律予以退货，供应商应无条件进行更换或办理退货手续，由此造成的损失及费用全部由供应商承担。</w:t>
            </w:r>
          </w:p>
          <w:p w14:paraId="2802154C">
            <w:pPr>
              <w:widowControl/>
              <w:spacing w:line="360" w:lineRule="exact"/>
              <w:jc w:val="left"/>
              <w:rPr>
                <w:rFonts w:hint="eastAsia" w:ascii="宋体" w:hAnsi="宋体" w:cs="宋体"/>
                <w:b/>
                <w:color w:val="auto"/>
                <w:szCs w:val="21"/>
                <w:highlight w:val="none"/>
              </w:rPr>
            </w:pPr>
            <w:r>
              <w:rPr>
                <w:rFonts w:hint="eastAsia" w:ascii="宋体" w:hAnsi="宋体" w:cs="宋体"/>
                <w:color w:val="auto"/>
                <w:kern w:val="0"/>
                <w:szCs w:val="21"/>
                <w:highlight w:val="none"/>
                <w:lang w:val="en-US" w:eastAsia="zh-CN"/>
              </w:rPr>
              <w:t>4.供应商</w:t>
            </w:r>
            <w:r>
              <w:rPr>
                <w:rFonts w:hint="eastAsia" w:ascii="宋体" w:hAnsi="宋体" w:cs="宋体"/>
                <w:color w:val="auto"/>
                <w:kern w:val="0"/>
                <w:szCs w:val="21"/>
                <w:highlight w:val="none"/>
                <w:lang w:val="zh-CN"/>
              </w:rPr>
              <w:t>必须全部送货上门，所有退货由</w:t>
            </w:r>
            <w:r>
              <w:rPr>
                <w:rFonts w:hint="eastAsia" w:ascii="宋体" w:hAnsi="宋体" w:cs="宋体"/>
                <w:color w:val="auto"/>
                <w:kern w:val="0"/>
                <w:szCs w:val="21"/>
                <w:highlight w:val="none"/>
                <w:lang w:val="en-US" w:eastAsia="zh-CN"/>
              </w:rPr>
              <w:t>供应商</w:t>
            </w:r>
            <w:r>
              <w:rPr>
                <w:rFonts w:hint="eastAsia" w:ascii="宋体" w:hAnsi="宋体" w:cs="宋体"/>
                <w:color w:val="auto"/>
                <w:kern w:val="0"/>
                <w:szCs w:val="21"/>
                <w:highlight w:val="none"/>
                <w:lang w:val="zh-CN"/>
              </w:rPr>
              <w:t>负责处理，并承担送货、退货的一切费用。</w:t>
            </w:r>
          </w:p>
        </w:tc>
      </w:tr>
      <w:tr w14:paraId="49937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43" w:type="pct"/>
            <w:gridSpan w:val="2"/>
            <w:noWrap w:val="0"/>
            <w:vAlign w:val="center"/>
          </w:tcPr>
          <w:p w14:paraId="23DE43E7">
            <w:pPr>
              <w:widowControl/>
              <w:spacing w:line="360" w:lineRule="exact"/>
              <w:jc w:val="center"/>
              <w:rPr>
                <w:rFonts w:hint="eastAsia" w:ascii="宋体" w:hAnsi="宋体" w:cs="宋体"/>
                <w:bCs/>
                <w:color w:val="auto"/>
                <w:szCs w:val="21"/>
                <w:highlight w:val="none"/>
              </w:rPr>
            </w:pPr>
            <w:r>
              <w:rPr>
                <w:rFonts w:hint="eastAsia" w:ascii="宋体" w:hAnsi="宋体" w:cs="宋体"/>
                <w:b/>
                <w:color w:val="auto"/>
                <w:szCs w:val="21"/>
                <w:highlight w:val="none"/>
              </w:rPr>
              <w:t>▲</w:t>
            </w:r>
            <w:r>
              <w:rPr>
                <w:rFonts w:hint="eastAsia" w:ascii="宋体" w:hAnsi="宋体" w:cs="宋体"/>
                <w:color w:val="auto"/>
                <w:kern w:val="0"/>
                <w:szCs w:val="21"/>
                <w:highlight w:val="none"/>
              </w:rPr>
              <w:t>付款方式</w:t>
            </w:r>
          </w:p>
        </w:tc>
        <w:tc>
          <w:tcPr>
            <w:tcW w:w="3856" w:type="pct"/>
            <w:gridSpan w:val="4"/>
            <w:noWrap w:val="0"/>
            <w:vAlign w:val="center"/>
          </w:tcPr>
          <w:p w14:paraId="4ED97682">
            <w:pPr>
              <w:widowControl/>
              <w:numPr>
                <w:ilvl w:val="0"/>
                <w:numId w:val="0"/>
              </w:numPr>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1.服务期</w:t>
            </w:r>
            <w:r>
              <w:rPr>
                <w:rFonts w:hint="eastAsia" w:ascii="宋体" w:hAnsi="宋体" w:cs="宋体"/>
                <w:color w:val="auto"/>
                <w:kern w:val="0"/>
                <w:szCs w:val="21"/>
                <w:highlight w:val="none"/>
              </w:rPr>
              <w:t>内所有</w:t>
            </w:r>
            <w:r>
              <w:rPr>
                <w:rFonts w:hint="eastAsia" w:ascii="宋体" w:hAnsi="宋体" w:cs="宋体"/>
                <w:color w:val="auto"/>
                <w:kern w:val="0"/>
                <w:szCs w:val="21"/>
                <w:highlight w:val="none"/>
                <w:lang w:val="en-US" w:eastAsia="zh-CN"/>
              </w:rPr>
              <w:t>货品</w:t>
            </w:r>
            <w:r>
              <w:rPr>
                <w:rFonts w:hint="eastAsia" w:ascii="宋体" w:hAnsi="宋体" w:cs="宋体"/>
                <w:color w:val="auto"/>
                <w:kern w:val="0"/>
                <w:szCs w:val="21"/>
                <w:highlight w:val="none"/>
              </w:rPr>
              <w:t>均</w:t>
            </w:r>
            <w:r>
              <w:rPr>
                <w:rFonts w:hint="eastAsia" w:ascii="宋体" w:hAnsi="宋体" w:cs="宋体"/>
                <w:color w:val="auto"/>
                <w:kern w:val="0"/>
                <w:szCs w:val="21"/>
                <w:highlight w:val="none"/>
                <w:lang w:val="en-US" w:eastAsia="zh-CN"/>
              </w:rPr>
              <w:t>按供货单价</w:t>
            </w:r>
            <w:r>
              <w:rPr>
                <w:rFonts w:hint="eastAsia" w:ascii="宋体" w:hAnsi="宋体" w:cs="宋体"/>
                <w:color w:val="auto"/>
                <w:kern w:val="0"/>
                <w:szCs w:val="21"/>
                <w:highlight w:val="none"/>
              </w:rPr>
              <w:t>付款，按照</w:t>
            </w:r>
            <w:r>
              <w:rPr>
                <w:rFonts w:hint="eastAsia" w:ascii="宋体" w:hAnsi="宋体" w:cs="宋体"/>
                <w:color w:val="auto"/>
                <w:kern w:val="0"/>
                <w:szCs w:val="21"/>
                <w:highlight w:val="none"/>
                <w:lang w:val="en-US" w:eastAsia="zh-CN"/>
              </w:rPr>
              <w:t>货品</w:t>
            </w:r>
            <w:r>
              <w:rPr>
                <w:rFonts w:hint="eastAsia" w:ascii="宋体" w:hAnsi="宋体" w:cs="宋体"/>
                <w:color w:val="auto"/>
                <w:kern w:val="0"/>
                <w:szCs w:val="21"/>
                <w:highlight w:val="none"/>
              </w:rPr>
              <w:t>实际批次到货数量验收合格后分批次进行付款，供应商根据采购人每次的订购清单验收确认无误后，供应商5个工作日内开具发票给采购人，采购人</w:t>
            </w:r>
            <w:r>
              <w:rPr>
                <w:rFonts w:hint="eastAsia" w:ascii="宋体" w:hAnsi="宋体" w:cs="宋体"/>
                <w:color w:val="auto"/>
                <w:kern w:val="0"/>
                <w:szCs w:val="21"/>
                <w:highlight w:val="none"/>
                <w:lang w:val="en-US" w:eastAsia="zh-CN"/>
              </w:rPr>
              <w:t>收到发票后原则上1</w:t>
            </w:r>
            <w:r>
              <w:rPr>
                <w:rFonts w:hint="eastAsia" w:ascii="宋体" w:hAnsi="宋体" w:cs="宋体"/>
                <w:color w:val="auto"/>
                <w:kern w:val="0"/>
                <w:szCs w:val="21"/>
                <w:highlight w:val="none"/>
              </w:rPr>
              <w:t>0个工作日内按实际数量通过银行转账方式进行结算。</w:t>
            </w:r>
          </w:p>
          <w:p w14:paraId="1C2A6A3F">
            <w:pPr>
              <w:widowControl/>
              <w:spacing w:line="360" w:lineRule="exact"/>
              <w:jc w:val="left"/>
              <w:rPr>
                <w:rFonts w:hint="eastAsia" w:ascii="宋体" w:hAnsi="宋体" w:cs="宋体"/>
                <w:b/>
                <w:color w:val="auto"/>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 xml:space="preserve">票据要求：供应商必须按照采购人要求提供真实、有效、合法的正式发票。一旦发现供应商提供虚假发票，除须向采购人补开合法发票外，须赔偿采购人发票票面金额一倍的违约金，且采购人有权终止合同，供应商不得提出异议，因终止合同而产生的一切损失均由供应商承担。 </w:t>
            </w:r>
          </w:p>
        </w:tc>
      </w:tr>
      <w:tr w14:paraId="39697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5" w:hRule="atLeast"/>
          <w:jc w:val="center"/>
        </w:trPr>
        <w:tc>
          <w:tcPr>
            <w:tcW w:w="1143" w:type="pct"/>
            <w:gridSpan w:val="2"/>
            <w:noWrap w:val="0"/>
            <w:vAlign w:val="center"/>
          </w:tcPr>
          <w:p w14:paraId="1E4E158D">
            <w:pPr>
              <w:widowControl/>
              <w:spacing w:line="36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▲合同履行期限</w:t>
            </w:r>
            <w:r>
              <w:rPr>
                <w:rFonts w:hint="eastAsia" w:ascii="宋体" w:hAnsi="宋体" w:eastAsia="宋体" w:cs="宋体"/>
                <w:color w:val="auto"/>
                <w:kern w:val="0"/>
                <w:szCs w:val="21"/>
                <w:highlight w:val="none"/>
                <w:lang w:val="en-US" w:eastAsia="zh-CN"/>
              </w:rPr>
              <w:t>及</w:t>
            </w:r>
          </w:p>
          <w:p w14:paraId="1D26765D">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交货</w:t>
            </w:r>
            <w:r>
              <w:rPr>
                <w:rFonts w:hint="eastAsia" w:ascii="宋体" w:hAnsi="宋体" w:eastAsia="宋体" w:cs="宋体"/>
                <w:color w:val="auto"/>
                <w:kern w:val="0"/>
                <w:szCs w:val="21"/>
                <w:highlight w:val="none"/>
              </w:rPr>
              <w:t>地点</w:t>
            </w:r>
          </w:p>
        </w:tc>
        <w:tc>
          <w:tcPr>
            <w:tcW w:w="3856" w:type="pct"/>
            <w:gridSpan w:val="4"/>
            <w:noWrap w:val="0"/>
            <w:vAlign w:val="center"/>
          </w:tcPr>
          <w:p w14:paraId="32E1757C">
            <w:pPr>
              <w:widowControl/>
              <w:numPr>
                <w:ilvl w:val="0"/>
                <w:numId w:val="0"/>
              </w:numPr>
              <w:spacing w:line="360" w:lineRule="exact"/>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1.合同履行期限：服务期为合同签订之日起至2025年12月31日。采购人订购清单/采购确认表发出之日起20天内送货到指定地点。</w:t>
            </w:r>
          </w:p>
          <w:p w14:paraId="552896AE">
            <w:pPr>
              <w:widowControl/>
              <w:numPr>
                <w:ilvl w:val="0"/>
                <w:numId w:val="0"/>
              </w:numPr>
              <w:spacing w:line="360" w:lineRule="exact"/>
              <w:jc w:val="left"/>
              <w:rPr>
                <w:rFonts w:hint="default" w:ascii="宋体" w:hAnsi="宋体" w:eastAsia="宋体" w:cs="宋体"/>
                <w:b/>
                <w:color w:val="auto"/>
                <w:szCs w:val="21"/>
                <w:highlight w:val="none"/>
                <w:lang w:val="en-US" w:eastAsia="zh-CN"/>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交货地点：</w:t>
            </w:r>
            <w:r>
              <w:rPr>
                <w:rFonts w:hint="eastAsia" w:ascii="宋体" w:hAnsi="宋体" w:cs="宋体"/>
                <w:color w:val="auto"/>
                <w:kern w:val="0"/>
                <w:szCs w:val="21"/>
                <w:highlight w:val="none"/>
                <w:lang w:val="en-US" w:eastAsia="zh-CN"/>
              </w:rPr>
              <w:t>采购人指定地点</w:t>
            </w:r>
          </w:p>
        </w:tc>
      </w:tr>
      <w:tr w14:paraId="2F32C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43" w:type="pct"/>
            <w:gridSpan w:val="2"/>
            <w:noWrap w:val="0"/>
            <w:vAlign w:val="center"/>
          </w:tcPr>
          <w:p w14:paraId="7916C132">
            <w:pPr>
              <w:widowControl/>
              <w:spacing w:line="360" w:lineRule="exact"/>
              <w:jc w:val="center"/>
              <w:rPr>
                <w:rFonts w:hint="eastAsia" w:ascii="宋体" w:hAnsi="宋体" w:cs="宋体"/>
                <w:bCs/>
                <w:color w:val="auto"/>
                <w:szCs w:val="21"/>
                <w:highlight w:val="none"/>
              </w:rPr>
            </w:pPr>
            <w:r>
              <w:rPr>
                <w:rFonts w:hint="eastAsia" w:ascii="宋体" w:hAnsi="宋体" w:cs="宋体"/>
                <w:b/>
                <w:color w:val="auto"/>
                <w:szCs w:val="21"/>
                <w:highlight w:val="none"/>
              </w:rPr>
              <w:t>▲</w:t>
            </w:r>
            <w:r>
              <w:rPr>
                <w:rFonts w:hint="eastAsia" w:ascii="宋体" w:hAnsi="宋体" w:cs="宋体"/>
                <w:color w:val="auto"/>
                <w:kern w:val="0"/>
                <w:szCs w:val="21"/>
                <w:highlight w:val="none"/>
              </w:rPr>
              <w:t>其他要求</w:t>
            </w:r>
          </w:p>
        </w:tc>
        <w:tc>
          <w:tcPr>
            <w:tcW w:w="3856" w:type="pct"/>
            <w:gridSpan w:val="4"/>
            <w:noWrap w:val="0"/>
            <w:vAlign w:val="center"/>
          </w:tcPr>
          <w:p w14:paraId="2D2D9FAF">
            <w:pPr>
              <w:spacing w:line="360" w:lineRule="exact"/>
              <w:rPr>
                <w:color w:val="auto"/>
                <w:szCs w:val="21"/>
                <w:highlight w:val="none"/>
              </w:rPr>
            </w:pPr>
            <w:r>
              <w:rPr>
                <w:rFonts w:hint="eastAsia"/>
                <w:color w:val="auto"/>
                <w:szCs w:val="21"/>
                <w:highlight w:val="none"/>
                <w:lang w:val="en-US" w:eastAsia="zh-CN"/>
              </w:rPr>
              <w:t>1.</w:t>
            </w:r>
            <w:r>
              <w:rPr>
                <w:rFonts w:hint="eastAsia"/>
                <w:color w:val="auto"/>
                <w:szCs w:val="21"/>
                <w:highlight w:val="none"/>
              </w:rPr>
              <w:t>对未能达到采购人提出的</w:t>
            </w:r>
            <w:r>
              <w:rPr>
                <w:rFonts w:hint="eastAsia"/>
                <w:color w:val="auto"/>
                <w:szCs w:val="21"/>
                <w:highlight w:val="none"/>
                <w:lang w:val="en-US" w:eastAsia="zh-CN"/>
              </w:rPr>
              <w:t>到货</w:t>
            </w:r>
            <w:r>
              <w:rPr>
                <w:rFonts w:hint="eastAsia"/>
                <w:color w:val="auto"/>
                <w:szCs w:val="21"/>
                <w:highlight w:val="none"/>
              </w:rPr>
              <w:t>要求，并在采购人发出通知后</w:t>
            </w:r>
            <w:r>
              <w:rPr>
                <w:rFonts w:hint="eastAsia"/>
                <w:color w:val="auto"/>
                <w:szCs w:val="21"/>
                <w:highlight w:val="none"/>
                <w:lang w:val="en-US" w:eastAsia="zh-CN"/>
              </w:rPr>
              <w:t>2</w:t>
            </w:r>
            <w:r>
              <w:rPr>
                <w:rFonts w:hint="eastAsia"/>
                <w:color w:val="auto"/>
                <w:szCs w:val="21"/>
                <w:highlight w:val="none"/>
              </w:rPr>
              <w:t>0天内，</w:t>
            </w:r>
            <w:r>
              <w:rPr>
                <w:rFonts w:hint="eastAsia"/>
                <w:color w:val="auto"/>
                <w:szCs w:val="21"/>
                <w:highlight w:val="none"/>
                <w:lang w:val="en-US" w:eastAsia="zh-CN"/>
              </w:rPr>
              <w:t>供应商</w:t>
            </w:r>
            <w:r>
              <w:rPr>
                <w:rFonts w:hint="eastAsia"/>
                <w:color w:val="auto"/>
                <w:szCs w:val="21"/>
                <w:highlight w:val="none"/>
              </w:rPr>
              <w:t>仍不能交货的，采购人可解除双方的供货协议。造成采购人损失的，</w:t>
            </w:r>
            <w:r>
              <w:rPr>
                <w:rFonts w:hint="eastAsia"/>
                <w:color w:val="auto"/>
                <w:szCs w:val="21"/>
                <w:highlight w:val="none"/>
                <w:lang w:val="en-US" w:eastAsia="zh-CN"/>
              </w:rPr>
              <w:t>供应商</w:t>
            </w:r>
            <w:r>
              <w:rPr>
                <w:rFonts w:hint="eastAsia"/>
                <w:color w:val="auto"/>
                <w:szCs w:val="21"/>
                <w:highlight w:val="none"/>
              </w:rPr>
              <w:t>负责赔偿。属严重违约的，采购人有权取消</w:t>
            </w:r>
            <w:r>
              <w:rPr>
                <w:rFonts w:hint="eastAsia"/>
                <w:color w:val="auto"/>
                <w:szCs w:val="21"/>
                <w:highlight w:val="none"/>
                <w:lang w:val="en-US" w:eastAsia="zh-CN"/>
              </w:rPr>
              <w:t>供应商</w:t>
            </w:r>
            <w:r>
              <w:rPr>
                <w:rFonts w:hint="eastAsia"/>
                <w:color w:val="auto"/>
                <w:szCs w:val="21"/>
                <w:highlight w:val="none"/>
              </w:rPr>
              <w:t>的供货资格，由此造成的损失由</w:t>
            </w:r>
            <w:r>
              <w:rPr>
                <w:rFonts w:hint="eastAsia"/>
                <w:color w:val="auto"/>
                <w:szCs w:val="21"/>
                <w:highlight w:val="none"/>
                <w:lang w:val="en-US" w:eastAsia="zh-CN"/>
              </w:rPr>
              <w:t>供应商</w:t>
            </w:r>
            <w:r>
              <w:rPr>
                <w:rFonts w:hint="eastAsia"/>
                <w:color w:val="auto"/>
                <w:szCs w:val="21"/>
                <w:highlight w:val="none"/>
              </w:rPr>
              <w:t>承担。</w:t>
            </w:r>
          </w:p>
          <w:p w14:paraId="4E4ACAF3">
            <w:pPr>
              <w:spacing w:line="360" w:lineRule="exact"/>
              <w:rPr>
                <w:color w:val="auto"/>
                <w:szCs w:val="21"/>
                <w:highlight w:val="none"/>
              </w:rPr>
            </w:pPr>
            <w:r>
              <w:rPr>
                <w:rFonts w:hint="eastAsia"/>
                <w:color w:val="auto"/>
                <w:szCs w:val="21"/>
                <w:highlight w:val="none"/>
                <w:lang w:val="en-US" w:eastAsia="zh-CN"/>
              </w:rPr>
              <w:t>2.</w:t>
            </w:r>
            <w:r>
              <w:rPr>
                <w:rFonts w:hint="eastAsia"/>
                <w:color w:val="auto"/>
                <w:szCs w:val="21"/>
                <w:highlight w:val="none"/>
              </w:rPr>
              <w:t>如</w:t>
            </w:r>
            <w:r>
              <w:rPr>
                <w:rFonts w:hint="eastAsia"/>
                <w:color w:val="auto"/>
                <w:szCs w:val="21"/>
                <w:highlight w:val="none"/>
                <w:lang w:val="en-US" w:eastAsia="zh-CN"/>
              </w:rPr>
              <w:t>供应商</w:t>
            </w:r>
            <w:r>
              <w:rPr>
                <w:rFonts w:hint="eastAsia"/>
                <w:color w:val="auto"/>
                <w:szCs w:val="21"/>
                <w:highlight w:val="none"/>
              </w:rPr>
              <w:t>不履行服务承诺，在合同执行期间，采购人有权减少</w:t>
            </w:r>
            <w:r>
              <w:rPr>
                <w:rFonts w:hint="eastAsia"/>
                <w:color w:val="auto"/>
                <w:szCs w:val="21"/>
                <w:highlight w:val="none"/>
                <w:lang w:val="en-US" w:eastAsia="zh-CN"/>
              </w:rPr>
              <w:t>订购数量</w:t>
            </w:r>
            <w:r>
              <w:rPr>
                <w:rFonts w:hint="eastAsia"/>
                <w:color w:val="auto"/>
                <w:szCs w:val="21"/>
                <w:highlight w:val="none"/>
              </w:rPr>
              <w:t>或停止其</w:t>
            </w:r>
            <w:r>
              <w:rPr>
                <w:rFonts w:hint="eastAsia"/>
                <w:color w:val="auto"/>
                <w:szCs w:val="21"/>
                <w:highlight w:val="none"/>
                <w:lang w:val="en-US" w:eastAsia="zh-CN"/>
              </w:rPr>
              <w:t>供应</w:t>
            </w:r>
            <w:r>
              <w:rPr>
                <w:rFonts w:hint="eastAsia"/>
                <w:color w:val="auto"/>
                <w:szCs w:val="21"/>
                <w:highlight w:val="none"/>
              </w:rPr>
              <w:t>资格。</w:t>
            </w:r>
          </w:p>
          <w:p w14:paraId="20B7996B">
            <w:pPr>
              <w:spacing w:line="360" w:lineRule="exact"/>
              <w:rPr>
                <w:rFonts w:hint="eastAsia" w:ascii="宋体" w:hAnsi="宋体" w:eastAsia="宋体" w:cs="宋体"/>
                <w:b/>
                <w:color w:val="auto"/>
                <w:szCs w:val="21"/>
                <w:highlight w:val="none"/>
                <w:lang w:eastAsia="zh-CN"/>
              </w:rPr>
            </w:pPr>
            <w:r>
              <w:rPr>
                <w:rFonts w:hint="eastAsia"/>
                <w:color w:val="auto"/>
                <w:szCs w:val="21"/>
                <w:highlight w:val="none"/>
                <w:lang w:val="en-US" w:eastAsia="zh-CN"/>
              </w:rPr>
              <w:t>3.供应商</w:t>
            </w:r>
            <w:r>
              <w:rPr>
                <w:rFonts w:hint="eastAsia"/>
                <w:color w:val="auto"/>
                <w:szCs w:val="21"/>
                <w:highlight w:val="none"/>
              </w:rPr>
              <w:t>确保提供</w:t>
            </w:r>
            <w:r>
              <w:rPr>
                <w:rFonts w:hint="eastAsia"/>
                <w:color w:val="auto"/>
                <w:szCs w:val="21"/>
                <w:highlight w:val="none"/>
                <w:lang w:val="en-US" w:eastAsia="zh-CN"/>
              </w:rPr>
              <w:t>给</w:t>
            </w:r>
            <w:r>
              <w:rPr>
                <w:rFonts w:hint="eastAsia"/>
                <w:color w:val="auto"/>
                <w:szCs w:val="21"/>
                <w:highlight w:val="none"/>
              </w:rPr>
              <w:t>采购人的</w:t>
            </w:r>
            <w:r>
              <w:rPr>
                <w:rFonts w:hint="eastAsia"/>
                <w:color w:val="auto"/>
                <w:szCs w:val="21"/>
                <w:highlight w:val="none"/>
                <w:lang w:val="en-US" w:eastAsia="zh-CN"/>
              </w:rPr>
              <w:t>货品</w:t>
            </w:r>
            <w:r>
              <w:rPr>
                <w:rFonts w:hint="eastAsia"/>
                <w:color w:val="auto"/>
                <w:szCs w:val="21"/>
                <w:highlight w:val="none"/>
              </w:rPr>
              <w:t>是</w:t>
            </w:r>
            <w:r>
              <w:rPr>
                <w:rFonts w:hint="eastAsia"/>
                <w:color w:val="auto"/>
                <w:szCs w:val="21"/>
                <w:highlight w:val="none"/>
                <w:lang w:val="en-US" w:eastAsia="zh-CN"/>
              </w:rPr>
              <w:t>全新正版的</w:t>
            </w:r>
            <w:r>
              <w:rPr>
                <w:rFonts w:hint="eastAsia"/>
                <w:color w:val="auto"/>
                <w:szCs w:val="21"/>
                <w:highlight w:val="none"/>
              </w:rPr>
              <w:t>。</w:t>
            </w:r>
            <w:r>
              <w:rPr>
                <w:rFonts w:hint="eastAsia"/>
                <w:color w:val="auto"/>
                <w:szCs w:val="21"/>
                <w:highlight w:val="none"/>
                <w:lang w:val="en-US" w:eastAsia="zh-CN"/>
              </w:rPr>
              <w:t>盗版货品</w:t>
            </w:r>
            <w:r>
              <w:rPr>
                <w:rFonts w:hint="eastAsia"/>
                <w:color w:val="auto"/>
                <w:szCs w:val="21"/>
                <w:highlight w:val="none"/>
              </w:rPr>
              <w:t>一经发现，还须承担由此造成的一切后果，并按严重违约处理，双方解除合同，造成采购人损失的，</w:t>
            </w:r>
            <w:r>
              <w:rPr>
                <w:rFonts w:hint="eastAsia"/>
                <w:color w:val="auto"/>
                <w:szCs w:val="21"/>
                <w:highlight w:val="none"/>
                <w:lang w:val="en-US" w:eastAsia="zh-CN"/>
              </w:rPr>
              <w:t>供应商</w:t>
            </w:r>
            <w:r>
              <w:rPr>
                <w:rFonts w:hint="eastAsia"/>
                <w:color w:val="auto"/>
                <w:szCs w:val="21"/>
                <w:highlight w:val="none"/>
              </w:rPr>
              <w:t>负责双倍赔偿</w:t>
            </w:r>
            <w:r>
              <w:rPr>
                <w:rFonts w:hint="eastAsia"/>
                <w:color w:val="auto"/>
                <w:szCs w:val="21"/>
                <w:highlight w:val="none"/>
                <w:lang w:eastAsia="zh-CN"/>
              </w:rPr>
              <w:t>。</w:t>
            </w:r>
          </w:p>
        </w:tc>
      </w:tr>
    </w:tbl>
    <w:p w14:paraId="73A79194">
      <w:pPr>
        <w:pStyle w:val="20"/>
        <w:rPr>
          <w:color w:val="auto"/>
          <w:highlight w:val="none"/>
        </w:rPr>
      </w:pPr>
      <w:r>
        <w:rPr>
          <w:color w:val="auto"/>
          <w:highlight w:val="none"/>
        </w:rPr>
        <w:br w:type="page"/>
      </w:r>
    </w:p>
    <w:tbl>
      <w:tblPr>
        <w:tblStyle w:val="35"/>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1"/>
        <w:gridCol w:w="1217"/>
        <w:gridCol w:w="1117"/>
        <w:gridCol w:w="2479"/>
        <w:gridCol w:w="2290"/>
        <w:gridCol w:w="1822"/>
      </w:tblGrid>
      <w:tr w14:paraId="07452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18" w:type="pct"/>
            <w:noWrap w:val="0"/>
            <w:vAlign w:val="center"/>
          </w:tcPr>
          <w:p w14:paraId="169F73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cs="宋体"/>
                <w:color w:val="auto"/>
                <w:szCs w:val="21"/>
                <w:highlight w:val="none"/>
              </w:rPr>
            </w:pPr>
            <w:r>
              <w:rPr>
                <w:rFonts w:hint="eastAsia" w:ascii="宋体" w:hAnsi="宋体" w:cs="宋体"/>
                <w:b w:val="0"/>
                <w:bCs w:val="0"/>
                <w:color w:val="auto"/>
                <w:szCs w:val="21"/>
                <w:highlight w:val="none"/>
              </w:rPr>
              <w:t>分标号</w:t>
            </w:r>
          </w:p>
        </w:tc>
        <w:tc>
          <w:tcPr>
            <w:tcW w:w="1172" w:type="pct"/>
            <w:gridSpan w:val="2"/>
            <w:noWrap w:val="0"/>
            <w:vAlign w:val="center"/>
          </w:tcPr>
          <w:p w14:paraId="3A5F3A0D">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Cs w:val="21"/>
                <w:highlight w:val="none"/>
              </w:rPr>
            </w:pPr>
            <w:r>
              <w:rPr>
                <w:rFonts w:hint="eastAsia" w:ascii="宋体" w:hAnsi="宋体" w:cs="宋体"/>
                <w:b w:val="0"/>
                <w:bCs w:val="0"/>
                <w:color w:val="auto"/>
                <w:szCs w:val="21"/>
                <w:highlight w:val="none"/>
              </w:rPr>
              <w:t>标的的名称</w:t>
            </w:r>
          </w:p>
        </w:tc>
        <w:tc>
          <w:tcPr>
            <w:tcW w:w="1245" w:type="pct"/>
            <w:noWrap w:val="0"/>
            <w:vAlign w:val="center"/>
          </w:tcPr>
          <w:p w14:paraId="627650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cs="宋体"/>
                <w:color w:val="auto"/>
                <w:szCs w:val="21"/>
                <w:highlight w:val="none"/>
              </w:rPr>
            </w:pPr>
            <w:r>
              <w:rPr>
                <w:rFonts w:hint="eastAsia" w:ascii="宋体" w:hAnsi="宋体" w:cs="宋体"/>
                <w:b w:val="0"/>
                <w:bCs w:val="0"/>
                <w:color w:val="auto"/>
                <w:szCs w:val="21"/>
                <w:highlight w:val="none"/>
              </w:rPr>
              <w:t>数量及单位</w:t>
            </w:r>
          </w:p>
        </w:tc>
        <w:tc>
          <w:tcPr>
            <w:tcW w:w="1150" w:type="pct"/>
            <w:noWrap w:val="0"/>
            <w:vAlign w:val="center"/>
          </w:tcPr>
          <w:p w14:paraId="2F1B53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本分标所属行业</w:t>
            </w:r>
          </w:p>
        </w:tc>
        <w:tc>
          <w:tcPr>
            <w:tcW w:w="912" w:type="pct"/>
            <w:noWrap w:val="0"/>
            <w:vAlign w:val="center"/>
          </w:tcPr>
          <w:p w14:paraId="481B2A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Cs w:val="21"/>
                <w:highlight w:val="none"/>
                <w:lang w:eastAsia="zh-CN"/>
              </w:rPr>
            </w:pPr>
            <w:r>
              <w:rPr>
                <w:rFonts w:hint="eastAsia" w:ascii="宋体" w:hAnsi="宋体" w:cs="宋体"/>
                <w:b w:val="0"/>
                <w:bCs w:val="0"/>
                <w:color w:val="auto"/>
                <w:szCs w:val="21"/>
                <w:highlight w:val="none"/>
              </w:rPr>
              <w:t>预算金额</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元</w:t>
            </w:r>
            <w:r>
              <w:rPr>
                <w:rFonts w:hint="eastAsia" w:ascii="宋体" w:hAnsi="宋体" w:cs="宋体"/>
                <w:b w:val="0"/>
                <w:bCs w:val="0"/>
                <w:color w:val="auto"/>
                <w:szCs w:val="21"/>
                <w:highlight w:val="none"/>
                <w:lang w:eastAsia="zh-CN"/>
              </w:rPr>
              <w:t>）</w:t>
            </w:r>
          </w:p>
        </w:tc>
      </w:tr>
      <w:tr w14:paraId="23954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18" w:type="pct"/>
            <w:noWrap w:val="0"/>
            <w:vAlign w:val="center"/>
          </w:tcPr>
          <w:p w14:paraId="611C1D87">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color w:val="auto"/>
                <w:szCs w:val="21"/>
                <w:highlight w:val="none"/>
                <w:lang w:val="en-US" w:eastAsia="zh-CN"/>
              </w:rPr>
            </w:pPr>
            <w:r>
              <w:rPr>
                <w:rFonts w:hint="eastAsia" w:ascii="宋体" w:hAnsi="宋体" w:cs="宋体"/>
                <w:b w:val="0"/>
                <w:bCs w:val="0"/>
                <w:color w:val="auto"/>
                <w:szCs w:val="21"/>
                <w:highlight w:val="none"/>
              </w:rPr>
              <w:t>分标</w:t>
            </w:r>
            <w:r>
              <w:rPr>
                <w:rFonts w:hint="eastAsia" w:ascii="宋体" w:hAnsi="宋体" w:cs="宋体"/>
                <w:b w:val="0"/>
                <w:bCs w:val="0"/>
                <w:color w:val="auto"/>
                <w:szCs w:val="21"/>
                <w:highlight w:val="none"/>
                <w:lang w:val="en-US" w:eastAsia="zh-CN"/>
              </w:rPr>
              <w:t>2</w:t>
            </w:r>
          </w:p>
        </w:tc>
        <w:tc>
          <w:tcPr>
            <w:tcW w:w="1172" w:type="pct"/>
            <w:gridSpan w:val="2"/>
            <w:noWrap w:val="0"/>
            <w:vAlign w:val="center"/>
          </w:tcPr>
          <w:p w14:paraId="4A5736D6">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color w:val="auto"/>
                <w:szCs w:val="21"/>
                <w:highlight w:val="none"/>
                <w:lang w:eastAsia="zh-CN"/>
              </w:rPr>
            </w:pPr>
            <w:r>
              <w:rPr>
                <w:rFonts w:hint="eastAsia" w:ascii="宋体" w:hAnsi="宋体"/>
                <w:color w:val="auto"/>
                <w:szCs w:val="21"/>
                <w:highlight w:val="none"/>
                <w:lang w:eastAsia="zh-CN"/>
              </w:rPr>
              <w:t>酒店用品供应配送服务</w:t>
            </w:r>
          </w:p>
        </w:tc>
        <w:tc>
          <w:tcPr>
            <w:tcW w:w="1245" w:type="pct"/>
            <w:noWrap w:val="0"/>
            <w:vAlign w:val="center"/>
          </w:tcPr>
          <w:p w14:paraId="53859D78">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ascii="宋体" w:hAnsi="宋体" w:cs="宋体"/>
                <w:color w:val="auto"/>
                <w:szCs w:val="21"/>
                <w:highlight w:val="none"/>
              </w:rPr>
            </w:pPr>
            <w:r>
              <w:rPr>
                <w:rFonts w:hint="eastAsia" w:ascii="宋体" w:hAnsi="宋体" w:cs="宋体"/>
                <w:b w:val="0"/>
                <w:bCs w:val="0"/>
                <w:color w:val="auto"/>
                <w:szCs w:val="21"/>
                <w:highlight w:val="none"/>
              </w:rPr>
              <w:t>1项</w:t>
            </w:r>
          </w:p>
        </w:tc>
        <w:tc>
          <w:tcPr>
            <w:tcW w:w="1150" w:type="pct"/>
            <w:noWrap w:val="0"/>
            <w:vAlign w:val="center"/>
          </w:tcPr>
          <w:p w14:paraId="7EB03D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批发业</w:t>
            </w:r>
          </w:p>
        </w:tc>
        <w:tc>
          <w:tcPr>
            <w:tcW w:w="912" w:type="pct"/>
            <w:noWrap w:val="0"/>
            <w:vAlign w:val="center"/>
          </w:tcPr>
          <w:p w14:paraId="790AB0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olor w:val="auto"/>
                <w:szCs w:val="21"/>
                <w:highlight w:val="none"/>
              </w:rPr>
            </w:pPr>
            <w:r>
              <w:rPr>
                <w:rFonts w:hint="eastAsia" w:ascii="宋体" w:hAnsi="宋体"/>
                <w:color w:val="auto"/>
                <w:szCs w:val="21"/>
                <w:highlight w:val="none"/>
              </w:rPr>
              <w:t>945480</w:t>
            </w:r>
          </w:p>
        </w:tc>
      </w:tr>
      <w:tr w14:paraId="7CA96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000" w:type="pct"/>
            <w:gridSpan w:val="6"/>
            <w:noWrap w:val="0"/>
            <w:vAlign w:val="center"/>
          </w:tcPr>
          <w:p w14:paraId="75F2FE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▲项目要求及技术需求</w:t>
            </w:r>
          </w:p>
        </w:tc>
      </w:tr>
      <w:tr w14:paraId="7F8C7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000" w:type="pct"/>
            <w:gridSpan w:val="6"/>
            <w:noWrap w:val="0"/>
            <w:vAlign w:val="center"/>
          </w:tcPr>
          <w:p w14:paraId="72637C10">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采购1家供应商，在2025年12月31日前提供酒店用品的相关货品及配送服务，预算金额945480.00元。具体种类、数量视实际工作需要确定，以采购人发出的订购清单或采购确认表为准，供应商应自采购人订购清单发出之日起20天内送货到指定地点。供应商按折扣率进行报价，供应商应当对整个采购清单作统一的折扣率报价，供应商所报的折扣率应当适用于每一项货品。折扣率有效范围为0%-100%，实际供货单价=每项货品的参考单价*（1—成交折扣率）。例：某项货品参考单价为100元，供应商报价的折扣率为10%，则该项货品的供货单价为100元*（1-10%）=90元。</w:t>
            </w:r>
          </w:p>
          <w:tbl>
            <w:tblPr>
              <w:tblStyle w:val="35"/>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3"/>
              <w:gridCol w:w="964"/>
              <w:gridCol w:w="516"/>
              <w:gridCol w:w="3155"/>
              <w:gridCol w:w="1065"/>
              <w:gridCol w:w="750"/>
              <w:gridCol w:w="1109"/>
              <w:gridCol w:w="1519"/>
            </w:tblGrid>
            <w:tr w14:paraId="5509D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0195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15EEA">
                  <w:pPr>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lang w:val="en-US" w:eastAsia="zh-CN"/>
                    </w:rPr>
                    <w:t>货品名称</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8CAC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58B7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lang w:val="en-US" w:eastAsia="zh-CN"/>
                    </w:rPr>
                    <w:t>规格参数要求</w:t>
                  </w:r>
                </w:p>
              </w:tc>
              <w:tc>
                <w:tcPr>
                  <w:tcW w:w="546" w:type="pct"/>
                  <w:tcBorders>
                    <w:top w:val="single" w:color="000000" w:sz="4" w:space="0"/>
                    <w:left w:val="single" w:color="000000" w:sz="4" w:space="0"/>
                    <w:bottom w:val="single" w:color="000000" w:sz="4" w:space="0"/>
                    <w:right w:val="nil"/>
                  </w:tcBorders>
                  <w:shd w:val="clear" w:color="auto" w:fill="auto"/>
                  <w:vAlign w:val="center"/>
                </w:tcPr>
                <w:p w14:paraId="22772C8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单价（元）</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C9CD2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参考数量</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3ADF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参考金额（元）</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204AB">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参考品牌</w:t>
                  </w:r>
                </w:p>
              </w:tc>
            </w:tr>
            <w:tr w14:paraId="6528C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719"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79529BA">
                  <w:pPr>
                    <w:rPr>
                      <w:rFonts w:hint="eastAsia" w:ascii="宋体" w:hAnsi="宋体" w:eastAsia="宋体" w:cs="宋体"/>
                      <w:b/>
                      <w:bCs/>
                      <w:i w:val="0"/>
                      <w:iCs w:val="0"/>
                      <w:color w:val="auto"/>
                      <w:sz w:val="21"/>
                      <w:szCs w:val="21"/>
                      <w:highlight w:val="none"/>
                      <w:u w:val="none"/>
                    </w:rPr>
                  </w:pPr>
                  <w:r>
                    <w:rPr>
                      <w:rFonts w:hint="eastAsia" w:ascii="宋体" w:hAnsi="宋体" w:cs="宋体"/>
                      <w:b/>
                      <w:bCs/>
                      <w:i w:val="0"/>
                      <w:iCs w:val="0"/>
                      <w:color w:val="auto"/>
                      <w:kern w:val="0"/>
                      <w:sz w:val="21"/>
                      <w:szCs w:val="21"/>
                      <w:highlight w:val="none"/>
                      <w:u w:val="none"/>
                      <w:lang w:val="en-US" w:eastAsia="zh-CN" w:bidi="ar"/>
                    </w:rPr>
                    <w:t>酒店用品</w:t>
                  </w:r>
                </w:p>
              </w:tc>
              <w:tc>
                <w:tcPr>
                  <w:tcW w:w="150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76B91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 xml:space="preserve">945480.00 </w:t>
                  </w:r>
                </w:p>
              </w:tc>
              <w:tc>
                <w:tcPr>
                  <w:tcW w:w="7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56FFF4">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r w14:paraId="379E8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D18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F3E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被子</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FB2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床</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BD4F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规格：200*235cm， 白色全棉防雨布40s*40s，内充500克/m²仿鹅绒，经过防虫蛀、防菌、防过敏处理，四周滚边工艺。</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C6D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270.00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03C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721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0B1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194670.00 </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2E16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参考品牌：康乃馨、雅高、斯得福、MT</w:t>
                  </w:r>
                </w:p>
              </w:tc>
            </w:tr>
            <w:tr w14:paraId="0FA72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77C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CC1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荞麦定型枕</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169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9CB8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规格：45*75cm,白色全棉防雨布40s*40s，内充珍珠棉1100克，正面荞麦壳反面珍珠棉，经过防虫蛀、防菌、防过敏处理，单滚边工艺。</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A1EA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70.00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F26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750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077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52500.00 </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20C5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参考品牌：康乃馨、雅高、斯得福、MT</w:t>
                  </w:r>
                </w:p>
              </w:tc>
            </w:tr>
            <w:tr w14:paraId="52D75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32E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468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枕芯</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DB2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3E7A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规格：45*75cm,防羽布羽绒枕1200g工艺单针针嵌线缝边，高档环保羽丝绒,必须经过防虫，防霉，防菌，防过敏处理，车单骨织水洗标。</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1DB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70.00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DED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750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913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52500.00 </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8D36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参考品牌：康乃馨、雅高、斯得福、MT</w:t>
                  </w:r>
                </w:p>
              </w:tc>
            </w:tr>
            <w:tr w14:paraId="7CF23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6EF2F">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4</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5D6A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纱帘A</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E6C5D">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幅</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45496">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规格：400cm*350cm（以实地测量为准），面料：金纲纱，防勾丝，防静电，高密度梭织，单项透视，透光不透人，遮光度40-70%；颜色：白色，帘头款式: 平帷，花色待选；要求：含加工、安装、挂钩、布带、滑轮及拆下旧纱帘。 </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E6E5B">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140.00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2B45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1649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92C08">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230860.00 </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98F5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参考品牌：千悦布艺（恒力工艺）、香港本色、布言布语</w:t>
                  </w:r>
                </w:p>
              </w:tc>
            </w:tr>
            <w:tr w14:paraId="52AFE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CA5B1">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051E1">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纱帘B</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15DB2">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幅</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AA129">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规格：400cm*280cm（以实地测量为准），面料：金纲纱，防勾丝，防静电，高密度梭织，单项透视，透光不透人，遮光度40-70%；颜色：白色，帘头款式: 平帷，花色待选；要求：含加工、安装、挂钩、布带、滑轮及拆下旧纱帘。 </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417D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120.00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E0C05">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54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B18A6">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6480.00 </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875E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参考品牌：千悦布艺（恒力工艺）、香港本色、布言布语</w:t>
                  </w:r>
                </w:p>
              </w:tc>
            </w:tr>
            <w:tr w14:paraId="6417C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FA4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5DF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牙具套装</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2CE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C752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订制品，PSM牙刷植备长碳尖毛+10克美加凈牙膏入无纺布中封袋，印有中共广西区委党校字样和LOGO（成交人须与采购人对接确定样式后方可生产制作）。</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315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DF4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18000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2BC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27000.00 </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0C1B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3565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19B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B56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剃须刀</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0CD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103E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订制品，PSM原色须刨+10mL须膏入无纺布中封袋。外包装印有中共广西区委党校字样和LOGO（成交人须与采购人对接确定样式后方可生产制作）。</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595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3E7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2000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A257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4000.00 </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B55B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2CA3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DA6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E51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房卡套</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65E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张</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534D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订制品，尺寸：长9.9cm*宽6.9cm 。印有中共广西区委党校字样和LOGO（成交人须与采购人对接确定样式后方可生产制作）。</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F31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9D7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5000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DFA2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5000.00 </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A1D3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29F8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1D0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C53DB">
                  <w:pPr>
                    <w:keepNext w:val="0"/>
                    <w:keepLines w:val="0"/>
                    <w:widowControl/>
                    <w:suppressLineNumbers w:val="0"/>
                    <w:jc w:val="center"/>
                    <w:textAlignment w:val="center"/>
                    <w:rPr>
                      <w:rFonts w:hint="eastAsia" w:ascii="宋体" w:hAnsi="宋体" w:eastAsia="宋体" w:cs="宋体"/>
                      <w:i w:val="0"/>
                      <w:iCs w:val="0"/>
                      <w:color w:val="auto"/>
                      <w:sz w:val="21"/>
                      <w:szCs w:val="21"/>
                      <w:highlight w:val="yellow"/>
                      <w:u w:val="none"/>
                    </w:rPr>
                  </w:pPr>
                  <w:r>
                    <w:rPr>
                      <w:rFonts w:hint="eastAsia" w:ascii="宋体" w:hAnsi="宋体" w:eastAsia="宋体" w:cs="宋体"/>
                      <w:i w:val="0"/>
                      <w:iCs w:val="0"/>
                      <w:color w:val="auto"/>
                      <w:kern w:val="0"/>
                      <w:sz w:val="21"/>
                      <w:szCs w:val="21"/>
                      <w:highlight w:val="yellow"/>
                      <w:u w:val="none"/>
                      <w:lang w:val="en-US" w:eastAsia="zh-CN" w:bidi="ar"/>
                    </w:rPr>
                    <w:t>护理套装</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310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6AE7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yellow"/>
                      <w:u w:val="none"/>
                      <w:lang w:val="en-US" w:eastAsia="zh-CN" w:bidi="ar"/>
                    </w:rPr>
                    <w:t>订制品</w:t>
                  </w:r>
                  <w:r>
                    <w:rPr>
                      <w:rFonts w:hint="eastAsia" w:ascii="宋体" w:hAnsi="宋体" w:eastAsia="宋体" w:cs="宋体"/>
                      <w:i w:val="0"/>
                      <w:iCs w:val="0"/>
                      <w:color w:val="auto"/>
                      <w:kern w:val="0"/>
                      <w:sz w:val="21"/>
                      <w:szCs w:val="21"/>
                      <w:highlight w:val="none"/>
                      <w:u w:val="none"/>
                      <w:lang w:val="en-US" w:eastAsia="zh-CN" w:bidi="ar"/>
                    </w:rPr>
                    <w:t>，按要求设计包装。一次性用品，一支8cm砂指锉，4根棉签，两棉球盒装，规格6.5×4×1.3（cm）独立内包装，保质期36个月，出厂日期不超出三个月（以《采购确认表》发出的日期为准）。纸盒外包装印有中共广西区委党校字样和LOGO（成交人须与采购人对接确定样式后方可生产制作）。</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C25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C03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2000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56E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2000.00 </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1356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F8D7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78B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10</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70B7C">
                  <w:pPr>
                    <w:keepNext w:val="0"/>
                    <w:keepLines w:val="0"/>
                    <w:widowControl/>
                    <w:suppressLineNumbers w:val="0"/>
                    <w:jc w:val="center"/>
                    <w:textAlignment w:val="center"/>
                    <w:rPr>
                      <w:rFonts w:hint="eastAsia" w:ascii="宋体" w:hAnsi="宋体" w:eastAsia="宋体" w:cs="宋体"/>
                      <w:i w:val="0"/>
                      <w:iCs w:val="0"/>
                      <w:color w:val="auto"/>
                      <w:sz w:val="21"/>
                      <w:szCs w:val="21"/>
                      <w:highlight w:val="yellow"/>
                      <w:u w:val="none"/>
                    </w:rPr>
                  </w:pPr>
                  <w:r>
                    <w:rPr>
                      <w:rFonts w:hint="eastAsia" w:ascii="宋体" w:hAnsi="宋体" w:eastAsia="宋体" w:cs="宋体"/>
                      <w:i w:val="0"/>
                      <w:iCs w:val="0"/>
                      <w:color w:val="auto"/>
                      <w:kern w:val="0"/>
                      <w:sz w:val="21"/>
                      <w:szCs w:val="21"/>
                      <w:highlight w:val="yellow"/>
                      <w:u w:val="none"/>
                      <w:lang w:val="en-US" w:eastAsia="zh-CN" w:bidi="ar"/>
                    </w:rPr>
                    <w:t>浴  帽</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B7F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B050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yellow"/>
                      <w:u w:val="none"/>
                      <w:lang w:val="en-US" w:eastAsia="zh-CN" w:bidi="ar"/>
                    </w:rPr>
                    <w:t>订制品</w:t>
                  </w:r>
                  <w:r>
                    <w:rPr>
                      <w:rFonts w:hint="eastAsia" w:ascii="宋体" w:hAnsi="宋体" w:eastAsia="宋体" w:cs="宋体"/>
                      <w:i w:val="0"/>
                      <w:iCs w:val="0"/>
                      <w:color w:val="auto"/>
                      <w:kern w:val="0"/>
                      <w:sz w:val="21"/>
                      <w:szCs w:val="21"/>
                      <w:highlight w:val="none"/>
                      <w:u w:val="none"/>
                      <w:lang w:val="en-US" w:eastAsia="zh-CN" w:bidi="ar"/>
                    </w:rPr>
                    <w:t>，18"PSM环保料条型电压浴帽入无纺布中封袋。外包装印有中共广西区委党校字样和LOGO（成交人须与采购人对接确定样式后方可生产制作）。</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E53D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0.50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0D8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3000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696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1500.00 </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B363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5F8B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57D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11</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4A594">
                  <w:pPr>
                    <w:keepNext w:val="0"/>
                    <w:keepLines w:val="0"/>
                    <w:widowControl/>
                    <w:suppressLineNumbers w:val="0"/>
                    <w:jc w:val="center"/>
                    <w:textAlignment w:val="center"/>
                    <w:rPr>
                      <w:rFonts w:hint="eastAsia" w:ascii="宋体" w:hAnsi="宋体" w:eastAsia="宋体" w:cs="宋体"/>
                      <w:i w:val="0"/>
                      <w:iCs w:val="0"/>
                      <w:color w:val="auto"/>
                      <w:sz w:val="21"/>
                      <w:szCs w:val="21"/>
                      <w:highlight w:val="yellow"/>
                      <w:u w:val="none"/>
                    </w:rPr>
                  </w:pPr>
                  <w:r>
                    <w:rPr>
                      <w:rFonts w:hint="eastAsia" w:ascii="宋体" w:hAnsi="宋体" w:eastAsia="宋体" w:cs="宋体"/>
                      <w:i w:val="0"/>
                      <w:iCs w:val="0"/>
                      <w:color w:val="auto"/>
                      <w:kern w:val="0"/>
                      <w:sz w:val="21"/>
                      <w:szCs w:val="21"/>
                      <w:highlight w:val="yellow"/>
                      <w:u w:val="none"/>
                      <w:lang w:val="en-US" w:eastAsia="zh-CN" w:bidi="ar"/>
                    </w:rPr>
                    <w:t>杯垫</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B83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F386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yellow"/>
                      <w:u w:val="none"/>
                      <w:lang w:val="en-US" w:eastAsia="zh-CN" w:bidi="ar"/>
                    </w:rPr>
                    <w:t>订制品</w:t>
                  </w:r>
                  <w:r>
                    <w:rPr>
                      <w:rFonts w:hint="eastAsia" w:ascii="宋体" w:hAnsi="宋体" w:eastAsia="宋体" w:cs="宋体"/>
                      <w:i w:val="0"/>
                      <w:iCs w:val="0"/>
                      <w:color w:val="auto"/>
                      <w:kern w:val="0"/>
                      <w:sz w:val="21"/>
                      <w:szCs w:val="21"/>
                      <w:highlight w:val="none"/>
                      <w:u w:val="none"/>
                      <w:lang w:val="en-US" w:eastAsia="zh-CN" w:bidi="ar"/>
                    </w:rPr>
                    <w:t>，材质：6层毛纸+1层咭纸(底部过腊)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规格：100mm，圆形，一色印刷，印有中共广西区委党校字样和LOGO（成交人须与采购人对接确定样式后方可生产制作）。</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3D3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0.20 </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DE9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7500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7F9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1500.00 </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71B1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E06C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68F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12</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3FE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洗发水</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B86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CD09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净含量300ml-400ml/瓶，香型：白檀或枙子花系列、摩洛哥阿甘坚果精油系列、白茶。配备相应上墙的支架。</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BFB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30.00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5DD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3800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F28B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114000.00 </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7850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参考品牌：恩若雅、阿甘、Harnn</w:t>
                  </w:r>
                </w:p>
              </w:tc>
            </w:tr>
            <w:tr w14:paraId="16A25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CB8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13</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BB1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沐浴液</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9BD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27F0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净含量300ml-400ml/瓶，香型：白檀或枙子花系列、摩洛哥阿甘坚果精油系列、白茶。配备相应上墙的支架。</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306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30.00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409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4000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174B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120000.00 </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F2ED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参考品牌：恩若雅、阿甘、Harnn</w:t>
                  </w:r>
                </w:p>
              </w:tc>
            </w:tr>
            <w:tr w14:paraId="1EF1C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EF7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38A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指示牌</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F9E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0C9C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规格：48*25cm, 厚度3cm, 亚克力材质，黑底金色字体，中英文版。具体内容成交人须与采购人对接确定样式后方可生产制作。含测量、安装与设计。</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162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180.00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153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18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170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3240.00 </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CFA5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61D5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3B9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88E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“小心地滑”牌</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136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E373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规格：约16cm*8cm,亚克力材质，自带背胶，提示牌上“小心地滑”字样中英文版。</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CBA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8.00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0C2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1005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E4B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8040.00 </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13D1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04B3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57D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827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浴室防滑垫</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FE7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8A63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规格宽40cm*长70cm，加厚材质，高品质量TPE，底部吸盘设计，仿生吸盘立体防滑，快速沥水，加大加厚，经久耐用。</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00E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40.00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034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210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44F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8400.00 </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1A02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5423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2E7B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9E5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漱口杯</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5DDB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A75B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规格：220mL，口径6.6cm，高9.5cm，颜色：高级灰，材质：进口PC防碎材质，食品级材质，特点：防碎、透亮、不自爆，不开裂，形状：光滑杯口，圆润杯身，商标可撕去，杯底厚实，稳固耐用。</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79E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B04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1500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F744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15000.00 </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D8D9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参考品牌：乐美雅、黑梵、青苹果</w:t>
                  </w:r>
                </w:p>
              </w:tc>
            </w:tr>
            <w:tr w14:paraId="58BF8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FC8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5B9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桌布</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973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2D72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正反面两个颜色，布宽1.5米，加厚，1元硬币的厚度绒，含加工费，根据实际需求裁剪加工成若干张桌布，颜色：蓝色、墨绿色等。</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069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80.00 </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AA7E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80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CD6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6400.00 </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B5BE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372D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210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6325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yellow"/>
                      <w:u w:val="none"/>
                      <w:lang w:val="en-US" w:eastAsia="zh-CN" w:bidi="ar"/>
                    </w:rPr>
                    <w:t>雨伞</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EEC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0F87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yellow"/>
                      <w:u w:val="none"/>
                      <w:lang w:val="en-US" w:eastAsia="zh-CN" w:bidi="ar"/>
                    </w:rPr>
                    <w:t>定制品</w:t>
                  </w:r>
                  <w:r>
                    <w:rPr>
                      <w:rFonts w:hint="eastAsia" w:ascii="宋体" w:hAnsi="宋体" w:eastAsia="宋体" w:cs="宋体"/>
                      <w:i w:val="0"/>
                      <w:iCs w:val="0"/>
                      <w:color w:val="auto"/>
                      <w:kern w:val="0"/>
                      <w:sz w:val="21"/>
                      <w:szCs w:val="21"/>
                      <w:highlight w:val="none"/>
                      <w:u w:val="none"/>
                      <w:lang w:val="en-US" w:eastAsia="zh-CN" w:bidi="ar"/>
                    </w:rPr>
                    <w:t>，27*8K直骨纤维骨，塑胶伞尾，塑胶弯头，双面碰起布印LOGO,印制“中共广西区委党校” 字样。</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B782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60.00 </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0DD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650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E54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39000.00 </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182D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7AF8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810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CED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拖鞋</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3C0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B6BA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型号：一字拖，颜色等选，EVA抗菌防滑拖鞋，柔软，防滑，防臭，码数：44-45码500双，38-39码100双。</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D6F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30.00 </w:t>
                  </w:r>
                </w:p>
              </w:tc>
              <w:tc>
                <w:tcPr>
                  <w:tcW w:w="3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1B77C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600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3AE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18000.00 </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4E22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参考品牌：回力牌、路路佳、徕米亚</w:t>
                  </w:r>
                </w:p>
              </w:tc>
            </w:tr>
            <w:tr w14:paraId="64F1D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4891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014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衣架</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E05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B693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规格：宽42cm，厚度1cm, 表面细磨砂纹路，不易刮花，注塑一体成型，材质细腻无味不易褪色，用于放置衬衫、短袖等衣物，衣架加宽设计，挂晾衣服不变形。</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0316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6.00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249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1000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DB5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6000.00 </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4607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参考品牌;健浩、宜家、茶花</w:t>
                  </w:r>
                </w:p>
              </w:tc>
            </w:tr>
            <w:tr w14:paraId="71B0B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4626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A83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防滑防尘地垫</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081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B5D4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规格：180cm*120cm，材质：环保无味PVC，绒面：尼龙圈丝+丙纶绒毛，厚度7mm,正面吸水背面防水，凹槽条纹表面。</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E0F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120.00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B91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17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793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2040.00 </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7C65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参考品牌：3M、宝丽美8A8、3A</w:t>
                  </w:r>
                </w:p>
              </w:tc>
            </w:tr>
            <w:tr w14:paraId="58174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A70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9E5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欢迎光临地垫</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413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4BE0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 180cm*120cm；红色加厚优质PVC喷丝材料，喷丝密，背胶密封止滑，厚度不少于20mm；无毒环保无异味；印金色中英文欢迎光临字样、字体平整精致。</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885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400.00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62B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35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AB3D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14000.00 </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6E1F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参考品牌：3M、宝丽美8A8、3A</w:t>
                  </w:r>
                </w:p>
              </w:tc>
            </w:tr>
            <w:tr w14:paraId="0A208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BC7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29D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电梯地垫</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97C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9E3C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162cm*160cm，材质：纯手工织造腈纶（仿羊毛地毯），重量：3500G/㎡、绒高：18mm，质量要求：底部棉布复底、透气防潮结实耐磨防滑、采用锁边、按需求订制（印有“欢迎光临”字样），含测量、安装与设计。</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1AE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550.00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5C1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11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E5E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6050.00 </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7D14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参考品牌：海马、华德、天雅 </w:t>
                  </w:r>
                </w:p>
              </w:tc>
            </w:tr>
            <w:tr w14:paraId="5C3D2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D9C8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159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电梯地垫</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A0B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301D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规格：160cm*157cm,红色加厚优质PVC喷丝材料，喷丝密，背胶密封止滑，厚度不少于20mm,无毒环保无异味；印金色中英文欢迎光临字样、字体平整精致。</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846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300.00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144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996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1500.00 </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7986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参考品牌：丽施美、8A8、广汇、加宝娜</w:t>
                  </w:r>
                </w:p>
              </w:tc>
            </w:tr>
            <w:tr w14:paraId="4DA5C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20C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1D2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电梯地垫</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932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572F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规格：192cm*190cm,红色加厚优质PVC喷丝材料，喷丝密，背胶密封止滑，厚度不少于20mm,无毒环保无异味；印金色中英文欢迎光临字样、字体平整精致。</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8FD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500.00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42D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6CA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500.00 </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0536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参考品牌：丽施美、8A8、广汇、加宝娜</w:t>
                  </w:r>
                </w:p>
              </w:tc>
            </w:tr>
            <w:tr w14:paraId="70B40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2CBE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EF4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电子秤</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6068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FDF0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规格：最大称量15kg，精度0.2g；材质：机身采用ABS新料加厚材质，加厚枰盘； 电压：220V；内置蓄电池（交直流两用）；功能：大屏显示、按键灵敏、环保材质、精准计数、省电。</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C03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410.00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D07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4A0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2460.00 </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1E86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参考品牌：乐祺、香山、三峰</w:t>
                  </w:r>
                </w:p>
              </w:tc>
            </w:tr>
            <w:tr w14:paraId="4BFC1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8F1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374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电热毛巾柜</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193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7094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产品尺寸：452*295*640mm，400W，220V，50Hz，毛巾装载量110-120条，两门，材质：优质钢板(烤漆)柜体</w:t>
                  </w:r>
                  <w:r>
                    <w:rPr>
                      <w:rStyle w:val="136"/>
                      <w:rFonts w:hint="eastAsia" w:ascii="宋体" w:hAnsi="宋体" w:eastAsia="宋体" w:cs="宋体"/>
                      <w:color w:val="auto"/>
                      <w:sz w:val="21"/>
                      <w:szCs w:val="21"/>
                      <w:highlight w:val="none"/>
                      <w:lang w:val="en-US" w:eastAsia="zh-CN" w:bidi="ar"/>
                    </w:rPr>
                    <w:t>；</w:t>
                  </w:r>
                  <w:r>
                    <w:rPr>
                      <w:rStyle w:val="137"/>
                      <w:rFonts w:hint="eastAsia" w:ascii="宋体" w:hAnsi="宋体" w:eastAsia="宋体" w:cs="宋体"/>
                      <w:color w:val="auto"/>
                      <w:sz w:val="21"/>
                      <w:szCs w:val="21"/>
                      <w:highlight w:val="none"/>
                      <w:lang w:val="en-US" w:eastAsia="zh-CN" w:bidi="ar"/>
                    </w:rPr>
                    <w:t>功能特点;紫外线消毒iV远红外线消毒，采用全自动电热控温原理，有过热保护装置；内设保温保湿装置及紫外线杀菌功能.</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9E42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600.00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3DC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51E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1800.00 </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DD19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参考品牌：康庭、康宝、邦祥</w:t>
                  </w:r>
                </w:p>
              </w:tc>
            </w:tr>
            <w:tr w14:paraId="5D1C2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B41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1678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蒸汽挂烫机</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3A0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EB37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137"/>
                      <w:rFonts w:hint="eastAsia" w:ascii="宋体" w:hAnsi="宋体" w:eastAsia="宋体" w:cs="宋体"/>
                      <w:color w:val="auto"/>
                      <w:sz w:val="21"/>
                      <w:szCs w:val="21"/>
                      <w:highlight w:val="none"/>
                      <w:lang w:val="en-US" w:eastAsia="zh-CN" w:bidi="ar"/>
                    </w:rPr>
                    <w:t>2000W,2.3L，黑色，带轮，有支架，全国联保</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B193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520.00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4EC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AF2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1040.00 </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5894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参考品牌：喜运来、捷美、麦尔</w:t>
                  </w:r>
                </w:p>
              </w:tc>
            </w:tr>
          </w:tbl>
          <w:p w14:paraId="11DFB69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b w:val="0"/>
                <w:bCs w:val="0"/>
                <w:color w:val="auto"/>
                <w:szCs w:val="21"/>
                <w:highlight w:val="none"/>
                <w:lang w:val="en-US" w:eastAsia="zh-CN"/>
              </w:rPr>
            </w:pPr>
          </w:p>
        </w:tc>
      </w:tr>
      <w:tr w14:paraId="0414C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7FD1876D">
            <w:pPr>
              <w:rPr>
                <w:rFonts w:hint="eastAsia" w:ascii="新宋体" w:eastAsia="新宋体"/>
                <w:b/>
                <w:color w:val="auto"/>
                <w:szCs w:val="21"/>
                <w:highlight w:val="none"/>
                <w:lang w:eastAsia="zh-CN"/>
              </w:rPr>
            </w:pPr>
            <w:r>
              <w:rPr>
                <w:rFonts w:hint="eastAsia" w:ascii="新宋体" w:eastAsia="新宋体"/>
                <w:b/>
                <w:color w:val="auto"/>
                <w:szCs w:val="21"/>
                <w:highlight w:val="none"/>
              </w:rPr>
              <w:t>商务</w:t>
            </w:r>
            <w:r>
              <w:rPr>
                <w:rFonts w:hint="eastAsia" w:ascii="新宋体" w:eastAsia="新宋体"/>
                <w:b/>
                <w:color w:val="auto"/>
                <w:szCs w:val="21"/>
                <w:highlight w:val="none"/>
                <w:lang w:val="en-US" w:eastAsia="zh-CN"/>
              </w:rPr>
              <w:t>条款</w:t>
            </w:r>
          </w:p>
        </w:tc>
      </w:tr>
      <w:tr w14:paraId="60873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9" w:type="pct"/>
            <w:gridSpan w:val="2"/>
            <w:noWrap w:val="0"/>
            <w:vAlign w:val="center"/>
          </w:tcPr>
          <w:p w14:paraId="741A90A8">
            <w:pPr>
              <w:widowControl/>
              <w:spacing w:line="360" w:lineRule="exact"/>
              <w:jc w:val="center"/>
              <w:rPr>
                <w:rFonts w:hint="eastAsia" w:ascii="宋体" w:hAnsi="宋体" w:eastAsia="宋体" w:cs="宋体"/>
                <w:bCs/>
                <w:color w:val="auto"/>
                <w:szCs w:val="21"/>
                <w:highlight w:val="none"/>
                <w:lang w:eastAsia="zh-CN"/>
              </w:rPr>
            </w:pPr>
            <w:r>
              <w:rPr>
                <w:rFonts w:hint="eastAsia" w:ascii="宋体" w:hAnsi="宋体" w:cs="宋体"/>
                <w:b/>
                <w:color w:val="auto"/>
                <w:szCs w:val="21"/>
                <w:highlight w:val="none"/>
              </w:rPr>
              <w:t>▲</w:t>
            </w:r>
            <w:r>
              <w:rPr>
                <w:rFonts w:hint="eastAsia" w:ascii="宋体" w:hAnsi="宋体" w:cs="宋体"/>
                <w:color w:val="auto"/>
                <w:kern w:val="0"/>
                <w:szCs w:val="21"/>
                <w:highlight w:val="none"/>
              </w:rPr>
              <w:t>签订合同</w:t>
            </w:r>
            <w:r>
              <w:rPr>
                <w:rFonts w:hint="eastAsia" w:ascii="宋体" w:hAnsi="宋体" w:cs="宋体"/>
                <w:color w:val="auto"/>
                <w:kern w:val="0"/>
                <w:szCs w:val="21"/>
                <w:highlight w:val="none"/>
                <w:lang w:val="en-US" w:eastAsia="zh-CN"/>
              </w:rPr>
              <w:t>期限</w:t>
            </w:r>
          </w:p>
        </w:tc>
        <w:tc>
          <w:tcPr>
            <w:tcW w:w="3870" w:type="pct"/>
            <w:gridSpan w:val="4"/>
            <w:noWrap w:val="0"/>
            <w:vAlign w:val="center"/>
          </w:tcPr>
          <w:p w14:paraId="4F2A9F72">
            <w:pPr>
              <w:spacing w:line="360" w:lineRule="exact"/>
              <w:rPr>
                <w:rFonts w:hint="eastAsia" w:ascii="宋体" w:hAnsi="宋体" w:cs="宋体"/>
                <w:b/>
                <w:color w:val="auto"/>
                <w:szCs w:val="21"/>
                <w:highlight w:val="none"/>
              </w:rPr>
            </w:pPr>
            <w:r>
              <w:rPr>
                <w:rFonts w:hint="eastAsia" w:ascii="宋体" w:hAnsi="宋体" w:cs="宋体"/>
                <w:color w:val="auto"/>
                <w:szCs w:val="21"/>
                <w:highlight w:val="none"/>
              </w:rPr>
              <w:t>自</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rPr>
              <w:t>通知书发出之日起</w:t>
            </w:r>
            <w:r>
              <w:rPr>
                <w:rFonts w:hint="eastAsia" w:ascii="宋体" w:hAnsi="宋体" w:cs="宋体"/>
                <w:color w:val="auto"/>
                <w:szCs w:val="21"/>
                <w:highlight w:val="none"/>
                <w:u w:val="single"/>
              </w:rPr>
              <w:t>25</w:t>
            </w:r>
            <w:r>
              <w:rPr>
                <w:rFonts w:hint="eastAsia" w:ascii="宋体" w:hAnsi="宋体" w:cs="宋体"/>
                <w:color w:val="auto"/>
                <w:szCs w:val="21"/>
                <w:highlight w:val="none"/>
              </w:rPr>
              <w:t>日历日内。</w:t>
            </w:r>
          </w:p>
        </w:tc>
      </w:tr>
      <w:tr w14:paraId="1D74D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9" w:type="pct"/>
            <w:gridSpan w:val="2"/>
            <w:noWrap w:val="0"/>
            <w:vAlign w:val="center"/>
          </w:tcPr>
          <w:p w14:paraId="77DF7FC4">
            <w:pPr>
              <w:widowControl/>
              <w:spacing w:line="3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color w:val="auto"/>
                <w:kern w:val="0"/>
                <w:szCs w:val="21"/>
                <w:highlight w:val="none"/>
              </w:rPr>
              <w:t>报价要求</w:t>
            </w:r>
          </w:p>
        </w:tc>
        <w:tc>
          <w:tcPr>
            <w:tcW w:w="3870" w:type="pct"/>
            <w:gridSpan w:val="4"/>
            <w:noWrap w:val="0"/>
            <w:vAlign w:val="center"/>
          </w:tcPr>
          <w:p w14:paraId="1E3E5EA1">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报价应包括：</w:t>
            </w:r>
          </w:p>
          <w:p w14:paraId="217C54BD">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（1）包括</w:t>
            </w:r>
            <w:r>
              <w:rPr>
                <w:rFonts w:hint="eastAsia" w:ascii="宋体" w:hAnsi="宋体" w:cs="宋体"/>
                <w:color w:val="auto"/>
                <w:kern w:val="0"/>
                <w:szCs w:val="21"/>
                <w:highlight w:val="none"/>
                <w:lang w:val="en-US" w:eastAsia="zh-CN"/>
              </w:rPr>
              <w:t>货品的价格</w:t>
            </w:r>
            <w:r>
              <w:rPr>
                <w:rFonts w:hint="eastAsia" w:ascii="宋体" w:hAnsi="宋体" w:cs="宋体"/>
                <w:color w:val="auto"/>
                <w:kern w:val="0"/>
                <w:szCs w:val="21"/>
                <w:highlight w:val="none"/>
              </w:rPr>
              <w:t>、服务费、供应过程中所产生的各种差旅费、资料费、包装费、运费、验收费；</w:t>
            </w:r>
          </w:p>
          <w:p w14:paraId="749D80EB">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（2）货物的标准附件、备品备件、专用工具的价格。</w:t>
            </w:r>
          </w:p>
          <w:p w14:paraId="6A9A10EC">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（3）装卸、技术支持、售后服务费。</w:t>
            </w:r>
          </w:p>
          <w:p w14:paraId="7B13400A">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（4）必要的保险费用和各项税费。</w:t>
            </w:r>
          </w:p>
          <w:p w14:paraId="13499C4A">
            <w:pPr>
              <w:widowControl/>
              <w:spacing w:line="3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注：报价中应包含全部内容，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后采购人不再另行支付额外费用。</w:t>
            </w:r>
          </w:p>
          <w:p w14:paraId="2C763360">
            <w:pPr>
              <w:widowControl/>
              <w:spacing w:line="360" w:lineRule="exact"/>
              <w:jc w:val="left"/>
              <w:rPr>
                <w:rFonts w:hint="default" w:eastAsia="宋体"/>
                <w:color w:val="auto"/>
                <w:highlight w:val="none"/>
                <w:lang w:val="en-US" w:eastAsia="zh-CN"/>
              </w:rPr>
            </w:pPr>
            <w:r>
              <w:rPr>
                <w:rFonts w:hint="eastAsia" w:ascii="宋体" w:hAnsi="宋体" w:eastAsia="宋体" w:cs="宋体"/>
                <w:color w:val="auto"/>
                <w:kern w:val="0"/>
                <w:szCs w:val="21"/>
                <w:highlight w:val="none"/>
                <w:lang w:val="en-US" w:eastAsia="zh-CN"/>
              </w:rPr>
              <w:t>2.供应商按折扣率进行报价，供应商应当对整个采购清单作统一的折扣率报价，供应商所报的折扣率应当适用于每一项货品。折扣率有效范围为0%-100%，实际供货单价=每项货品的参考单价*（1—成交折扣率）。例：某项货品参考单价为100元，供应商报价的折扣率为10%，则该项货品的供货单价为100元*（1-10%）=90元。</w:t>
            </w:r>
          </w:p>
        </w:tc>
      </w:tr>
      <w:tr w14:paraId="596AD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9" w:type="pct"/>
            <w:gridSpan w:val="2"/>
            <w:noWrap w:val="0"/>
            <w:vAlign w:val="center"/>
          </w:tcPr>
          <w:p w14:paraId="07B39901">
            <w:pPr>
              <w:widowControl/>
              <w:spacing w:line="360" w:lineRule="exact"/>
              <w:jc w:val="center"/>
              <w:rPr>
                <w:rFonts w:hint="eastAsia" w:ascii="宋体" w:hAnsi="宋体" w:cs="宋体"/>
                <w:bCs/>
                <w:color w:val="auto"/>
                <w:szCs w:val="21"/>
                <w:highlight w:val="none"/>
              </w:rPr>
            </w:pPr>
            <w:r>
              <w:rPr>
                <w:rFonts w:hint="eastAsia" w:ascii="宋体" w:hAnsi="宋体" w:cs="宋体"/>
                <w:b/>
                <w:color w:val="auto"/>
                <w:szCs w:val="21"/>
                <w:highlight w:val="none"/>
              </w:rPr>
              <w:t>▲</w:t>
            </w:r>
            <w:r>
              <w:rPr>
                <w:rFonts w:hint="eastAsia" w:ascii="宋体" w:hAnsi="宋体" w:cs="宋体"/>
                <w:color w:val="auto"/>
                <w:kern w:val="0"/>
                <w:szCs w:val="21"/>
                <w:highlight w:val="none"/>
              </w:rPr>
              <w:t>售后服务要求</w:t>
            </w:r>
          </w:p>
        </w:tc>
        <w:tc>
          <w:tcPr>
            <w:tcW w:w="3870" w:type="pct"/>
            <w:gridSpan w:val="4"/>
            <w:noWrap w:val="0"/>
            <w:vAlign w:val="center"/>
          </w:tcPr>
          <w:p w14:paraId="20BF7450">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1.供应商</w:t>
            </w:r>
            <w:r>
              <w:rPr>
                <w:rFonts w:hint="eastAsia" w:ascii="宋体" w:hAnsi="宋体" w:cs="宋体"/>
                <w:color w:val="auto"/>
                <w:kern w:val="0"/>
                <w:szCs w:val="21"/>
                <w:highlight w:val="none"/>
              </w:rPr>
              <w:t>供应的</w:t>
            </w:r>
            <w:r>
              <w:rPr>
                <w:rFonts w:hint="eastAsia" w:ascii="宋体" w:hAnsi="宋体" w:cs="宋体"/>
                <w:color w:val="auto"/>
                <w:kern w:val="0"/>
                <w:szCs w:val="21"/>
                <w:highlight w:val="none"/>
                <w:lang w:val="en-US" w:eastAsia="zh-CN"/>
              </w:rPr>
              <w:t>货品</w:t>
            </w:r>
            <w:r>
              <w:rPr>
                <w:rFonts w:hint="eastAsia" w:ascii="宋体" w:hAnsi="宋体" w:cs="宋体"/>
                <w:color w:val="auto"/>
                <w:kern w:val="0"/>
                <w:szCs w:val="21"/>
                <w:highlight w:val="none"/>
              </w:rPr>
              <w:t>必须是全新的、满足本项目要求的产品；符合国家规定的相应要求与标准，没有知识产权纠纷；若出现版权纠纷，合同自动终止，一切后果由</w:t>
            </w:r>
            <w:r>
              <w:rPr>
                <w:rFonts w:hint="eastAsia" w:ascii="宋体" w:hAnsi="宋体" w:cs="宋体"/>
                <w:color w:val="auto"/>
                <w:kern w:val="0"/>
                <w:szCs w:val="21"/>
                <w:highlight w:val="none"/>
                <w:lang w:val="en-US" w:eastAsia="zh-CN"/>
              </w:rPr>
              <w:t>供应商</w:t>
            </w:r>
            <w:r>
              <w:rPr>
                <w:rFonts w:hint="eastAsia" w:ascii="宋体" w:hAnsi="宋体" w:cs="宋体"/>
                <w:color w:val="auto"/>
                <w:kern w:val="0"/>
                <w:szCs w:val="21"/>
                <w:highlight w:val="none"/>
              </w:rPr>
              <w:t>自行负责。</w:t>
            </w:r>
          </w:p>
          <w:p w14:paraId="4BF31F37">
            <w:pPr>
              <w:widowControl/>
              <w:spacing w:line="360" w:lineRule="exact"/>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val="en-US" w:eastAsia="zh-CN"/>
              </w:rPr>
              <w:t>2.供应商</w:t>
            </w:r>
            <w:r>
              <w:rPr>
                <w:rFonts w:hint="eastAsia" w:ascii="宋体" w:hAnsi="宋体" w:cs="宋体"/>
                <w:color w:val="auto"/>
                <w:kern w:val="0"/>
                <w:szCs w:val="21"/>
                <w:highlight w:val="none"/>
              </w:rPr>
              <w:t>须按国家有关规定实行“三包”，</w:t>
            </w:r>
            <w:r>
              <w:rPr>
                <w:rFonts w:hint="eastAsia" w:ascii="宋体" w:hAnsi="宋体" w:cs="宋体"/>
                <w:color w:val="auto"/>
                <w:kern w:val="0"/>
                <w:szCs w:val="21"/>
                <w:highlight w:val="none"/>
                <w:lang w:val="en-US" w:eastAsia="zh-CN"/>
              </w:rPr>
              <w:t>采购需求另有要求的按采购需求执行。</w:t>
            </w:r>
            <w:r>
              <w:rPr>
                <w:rFonts w:hint="eastAsia" w:ascii="宋体" w:hAnsi="宋体" w:cs="宋体"/>
                <w:color w:val="auto"/>
                <w:kern w:val="0"/>
                <w:szCs w:val="21"/>
                <w:highlight w:val="none"/>
              </w:rPr>
              <w:t>免费送货上门到采购人指定的地点</w:t>
            </w:r>
            <w:r>
              <w:rPr>
                <w:rFonts w:hint="eastAsia" w:ascii="宋体" w:hAnsi="宋体" w:cs="宋体"/>
                <w:color w:val="auto"/>
                <w:kern w:val="0"/>
                <w:szCs w:val="21"/>
                <w:highlight w:val="none"/>
                <w:lang w:eastAsia="zh-CN"/>
              </w:rPr>
              <w:t>。</w:t>
            </w:r>
          </w:p>
          <w:p w14:paraId="2EFBCA07">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3.供应商</w:t>
            </w:r>
            <w:r>
              <w:rPr>
                <w:rFonts w:hint="eastAsia" w:ascii="宋体" w:hAnsi="宋体" w:cs="宋体"/>
                <w:color w:val="auto"/>
                <w:kern w:val="0"/>
                <w:szCs w:val="21"/>
                <w:highlight w:val="none"/>
              </w:rPr>
              <w:t>严格依照采购人订单</w:t>
            </w:r>
            <w:r>
              <w:rPr>
                <w:rFonts w:hint="eastAsia" w:ascii="宋体" w:hAnsi="宋体" w:cs="宋体"/>
                <w:color w:val="auto"/>
                <w:kern w:val="0"/>
                <w:szCs w:val="21"/>
                <w:highlight w:val="none"/>
                <w:lang w:val="en-US" w:eastAsia="zh-CN"/>
              </w:rPr>
              <w:t>数量</w:t>
            </w:r>
            <w:r>
              <w:rPr>
                <w:rFonts w:hint="eastAsia" w:ascii="宋体" w:hAnsi="宋体" w:cs="宋体"/>
                <w:color w:val="auto"/>
                <w:kern w:val="0"/>
                <w:szCs w:val="21"/>
                <w:highlight w:val="none"/>
              </w:rPr>
              <w:t>配送</w:t>
            </w:r>
            <w:r>
              <w:rPr>
                <w:rFonts w:hint="eastAsia" w:ascii="宋体" w:hAnsi="宋体" w:cs="宋体"/>
                <w:color w:val="auto"/>
                <w:kern w:val="0"/>
                <w:szCs w:val="21"/>
                <w:highlight w:val="none"/>
                <w:lang w:val="en-US" w:eastAsia="zh-CN"/>
              </w:rPr>
              <w:t>货品</w:t>
            </w:r>
            <w:r>
              <w:rPr>
                <w:rFonts w:hint="eastAsia" w:ascii="宋体" w:hAnsi="宋体" w:cs="宋体"/>
                <w:color w:val="auto"/>
                <w:kern w:val="0"/>
                <w:szCs w:val="21"/>
                <w:highlight w:val="none"/>
              </w:rPr>
              <w:t>，验收不合格的</w:t>
            </w:r>
            <w:r>
              <w:rPr>
                <w:rFonts w:hint="eastAsia" w:ascii="宋体" w:hAnsi="宋体" w:cs="宋体"/>
                <w:color w:val="auto"/>
                <w:kern w:val="0"/>
                <w:szCs w:val="21"/>
                <w:highlight w:val="none"/>
                <w:lang w:val="en-US" w:eastAsia="zh-CN"/>
              </w:rPr>
              <w:t>货品</w:t>
            </w:r>
            <w:r>
              <w:rPr>
                <w:rFonts w:hint="eastAsia" w:ascii="宋体" w:hAnsi="宋体" w:cs="宋体"/>
                <w:color w:val="auto"/>
                <w:kern w:val="0"/>
                <w:szCs w:val="21"/>
                <w:highlight w:val="none"/>
              </w:rPr>
              <w:t>一律予以退货，供应商应无条件进行更换或办理退货手续，由此造成的损失及费用全部由供应商承担。</w:t>
            </w:r>
          </w:p>
          <w:p w14:paraId="64A1F936">
            <w:pPr>
              <w:widowControl/>
              <w:spacing w:line="360" w:lineRule="exact"/>
              <w:jc w:val="left"/>
              <w:rPr>
                <w:rFonts w:hint="eastAsia" w:ascii="宋体" w:hAnsi="宋体" w:cs="宋体"/>
                <w:b/>
                <w:color w:val="auto"/>
                <w:szCs w:val="21"/>
                <w:highlight w:val="none"/>
              </w:rPr>
            </w:pPr>
            <w:r>
              <w:rPr>
                <w:rFonts w:hint="eastAsia" w:ascii="宋体" w:hAnsi="宋体" w:cs="宋体"/>
                <w:color w:val="auto"/>
                <w:kern w:val="0"/>
                <w:szCs w:val="21"/>
                <w:highlight w:val="none"/>
                <w:lang w:val="en-US" w:eastAsia="zh-CN"/>
              </w:rPr>
              <w:t>4.供应商</w:t>
            </w:r>
            <w:r>
              <w:rPr>
                <w:rFonts w:hint="eastAsia" w:ascii="宋体" w:hAnsi="宋体" w:cs="宋体"/>
                <w:color w:val="auto"/>
                <w:kern w:val="0"/>
                <w:szCs w:val="21"/>
                <w:highlight w:val="none"/>
                <w:lang w:val="zh-CN"/>
              </w:rPr>
              <w:t>必须全部送货上门，所有退货由</w:t>
            </w:r>
            <w:r>
              <w:rPr>
                <w:rFonts w:hint="eastAsia" w:ascii="宋体" w:hAnsi="宋体" w:cs="宋体"/>
                <w:color w:val="auto"/>
                <w:kern w:val="0"/>
                <w:szCs w:val="21"/>
                <w:highlight w:val="none"/>
                <w:lang w:val="en-US" w:eastAsia="zh-CN"/>
              </w:rPr>
              <w:t>供应商</w:t>
            </w:r>
            <w:r>
              <w:rPr>
                <w:rFonts w:hint="eastAsia" w:ascii="宋体" w:hAnsi="宋体" w:cs="宋体"/>
                <w:color w:val="auto"/>
                <w:kern w:val="0"/>
                <w:szCs w:val="21"/>
                <w:highlight w:val="none"/>
                <w:lang w:val="zh-CN"/>
              </w:rPr>
              <w:t>负责处理，并承担送货、退货的一切费用。</w:t>
            </w:r>
          </w:p>
        </w:tc>
      </w:tr>
      <w:tr w14:paraId="234D1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9" w:type="pct"/>
            <w:gridSpan w:val="2"/>
            <w:noWrap w:val="0"/>
            <w:vAlign w:val="center"/>
          </w:tcPr>
          <w:p w14:paraId="565D8828">
            <w:pPr>
              <w:widowControl/>
              <w:spacing w:line="360" w:lineRule="exact"/>
              <w:jc w:val="center"/>
              <w:rPr>
                <w:rFonts w:hint="eastAsia" w:ascii="宋体" w:hAnsi="宋体" w:cs="宋体"/>
                <w:bCs/>
                <w:color w:val="auto"/>
                <w:szCs w:val="21"/>
                <w:highlight w:val="none"/>
              </w:rPr>
            </w:pPr>
            <w:r>
              <w:rPr>
                <w:rFonts w:hint="eastAsia" w:ascii="宋体" w:hAnsi="宋体" w:cs="宋体"/>
                <w:b/>
                <w:color w:val="auto"/>
                <w:szCs w:val="21"/>
                <w:highlight w:val="none"/>
              </w:rPr>
              <w:t>▲</w:t>
            </w:r>
            <w:r>
              <w:rPr>
                <w:rFonts w:hint="eastAsia" w:ascii="宋体" w:hAnsi="宋体" w:cs="宋体"/>
                <w:color w:val="auto"/>
                <w:kern w:val="0"/>
                <w:szCs w:val="21"/>
                <w:highlight w:val="none"/>
              </w:rPr>
              <w:t>付款方式</w:t>
            </w:r>
          </w:p>
        </w:tc>
        <w:tc>
          <w:tcPr>
            <w:tcW w:w="3870" w:type="pct"/>
            <w:gridSpan w:val="4"/>
            <w:noWrap w:val="0"/>
            <w:vAlign w:val="center"/>
          </w:tcPr>
          <w:p w14:paraId="22CD54C7">
            <w:pPr>
              <w:widowControl/>
              <w:numPr>
                <w:ilvl w:val="0"/>
                <w:numId w:val="0"/>
              </w:numPr>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1.服务期</w:t>
            </w:r>
            <w:r>
              <w:rPr>
                <w:rFonts w:hint="eastAsia" w:ascii="宋体" w:hAnsi="宋体" w:cs="宋体"/>
                <w:color w:val="auto"/>
                <w:kern w:val="0"/>
                <w:szCs w:val="21"/>
                <w:highlight w:val="none"/>
              </w:rPr>
              <w:t>内所有</w:t>
            </w:r>
            <w:r>
              <w:rPr>
                <w:rFonts w:hint="eastAsia" w:ascii="宋体" w:hAnsi="宋体" w:cs="宋体"/>
                <w:color w:val="auto"/>
                <w:kern w:val="0"/>
                <w:szCs w:val="21"/>
                <w:highlight w:val="none"/>
                <w:lang w:val="en-US" w:eastAsia="zh-CN"/>
              </w:rPr>
              <w:t>货品</w:t>
            </w:r>
            <w:r>
              <w:rPr>
                <w:rFonts w:hint="eastAsia" w:ascii="宋体" w:hAnsi="宋体" w:cs="宋体"/>
                <w:color w:val="auto"/>
                <w:kern w:val="0"/>
                <w:szCs w:val="21"/>
                <w:highlight w:val="none"/>
              </w:rPr>
              <w:t>均</w:t>
            </w:r>
            <w:r>
              <w:rPr>
                <w:rFonts w:hint="eastAsia" w:ascii="宋体" w:hAnsi="宋体" w:cs="宋体"/>
                <w:color w:val="auto"/>
                <w:kern w:val="0"/>
                <w:szCs w:val="21"/>
                <w:highlight w:val="none"/>
                <w:lang w:val="en-US" w:eastAsia="zh-CN"/>
              </w:rPr>
              <w:t>按供货单价</w:t>
            </w:r>
            <w:r>
              <w:rPr>
                <w:rFonts w:hint="eastAsia" w:ascii="宋体" w:hAnsi="宋体" w:cs="宋体"/>
                <w:color w:val="auto"/>
                <w:kern w:val="0"/>
                <w:szCs w:val="21"/>
                <w:highlight w:val="none"/>
              </w:rPr>
              <w:t>付款，按照</w:t>
            </w:r>
            <w:r>
              <w:rPr>
                <w:rFonts w:hint="eastAsia" w:ascii="宋体" w:hAnsi="宋体" w:cs="宋体"/>
                <w:color w:val="auto"/>
                <w:kern w:val="0"/>
                <w:szCs w:val="21"/>
                <w:highlight w:val="none"/>
                <w:lang w:val="en-US" w:eastAsia="zh-CN"/>
              </w:rPr>
              <w:t>货品</w:t>
            </w:r>
            <w:r>
              <w:rPr>
                <w:rFonts w:hint="eastAsia" w:ascii="宋体" w:hAnsi="宋体" w:cs="宋体"/>
                <w:color w:val="auto"/>
                <w:kern w:val="0"/>
                <w:szCs w:val="21"/>
                <w:highlight w:val="none"/>
              </w:rPr>
              <w:t>实际批次到货数量验收合格后分批次进行付款，供应商根据采购人每次的订购清单验收确认无误后，供应商5个工作日内开具发票给采购人，采购人</w:t>
            </w:r>
            <w:r>
              <w:rPr>
                <w:rFonts w:hint="eastAsia" w:ascii="宋体" w:hAnsi="宋体" w:cs="宋体"/>
                <w:color w:val="auto"/>
                <w:kern w:val="0"/>
                <w:szCs w:val="21"/>
                <w:highlight w:val="none"/>
                <w:lang w:val="en-US" w:eastAsia="zh-CN"/>
              </w:rPr>
              <w:t>收到发票后原则上1</w:t>
            </w:r>
            <w:r>
              <w:rPr>
                <w:rFonts w:hint="eastAsia" w:ascii="宋体" w:hAnsi="宋体" w:cs="宋体"/>
                <w:color w:val="auto"/>
                <w:kern w:val="0"/>
                <w:szCs w:val="21"/>
                <w:highlight w:val="none"/>
              </w:rPr>
              <w:t>0个工作日内按实际数量通过银行转账方式进行结算。</w:t>
            </w:r>
          </w:p>
          <w:p w14:paraId="1BA4B258">
            <w:pPr>
              <w:widowControl/>
              <w:spacing w:line="360" w:lineRule="exact"/>
              <w:jc w:val="left"/>
              <w:rPr>
                <w:rFonts w:hint="eastAsia" w:ascii="宋体" w:hAnsi="宋体" w:cs="宋体"/>
                <w:b/>
                <w:color w:val="auto"/>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 xml:space="preserve">票据要求：供应商必须按照采购人要求提供真实、有效、合法的正式发票。一旦发现供应商提供虚假发票，除须向采购人补开合法发票外，须赔偿采购人发票票面金额一倍的违约金，且采购人有权终止合同，供应商不得提出异议，因终止合同而产生的一切损失均由供应商承担。 </w:t>
            </w:r>
          </w:p>
        </w:tc>
      </w:tr>
      <w:tr w14:paraId="1ED24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9" w:type="pct"/>
            <w:gridSpan w:val="2"/>
            <w:noWrap w:val="0"/>
            <w:vAlign w:val="center"/>
          </w:tcPr>
          <w:p w14:paraId="1ED12546">
            <w:pPr>
              <w:widowControl/>
              <w:spacing w:line="36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▲合同履行期限</w:t>
            </w:r>
            <w:r>
              <w:rPr>
                <w:rFonts w:hint="eastAsia" w:ascii="宋体" w:hAnsi="宋体" w:eastAsia="宋体" w:cs="宋体"/>
                <w:color w:val="auto"/>
                <w:kern w:val="0"/>
                <w:szCs w:val="21"/>
                <w:highlight w:val="none"/>
                <w:lang w:val="en-US" w:eastAsia="zh-CN"/>
              </w:rPr>
              <w:t>及</w:t>
            </w:r>
          </w:p>
          <w:p w14:paraId="18D1878C">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交货</w:t>
            </w:r>
            <w:r>
              <w:rPr>
                <w:rFonts w:hint="eastAsia" w:ascii="宋体" w:hAnsi="宋体" w:eastAsia="宋体" w:cs="宋体"/>
                <w:color w:val="auto"/>
                <w:kern w:val="0"/>
                <w:szCs w:val="21"/>
                <w:highlight w:val="none"/>
              </w:rPr>
              <w:t>地点</w:t>
            </w:r>
          </w:p>
        </w:tc>
        <w:tc>
          <w:tcPr>
            <w:tcW w:w="3870" w:type="pct"/>
            <w:gridSpan w:val="4"/>
            <w:noWrap w:val="0"/>
            <w:vAlign w:val="center"/>
          </w:tcPr>
          <w:p w14:paraId="201898B1">
            <w:pPr>
              <w:widowControl/>
              <w:numPr>
                <w:ilvl w:val="0"/>
                <w:numId w:val="0"/>
              </w:numPr>
              <w:spacing w:line="360" w:lineRule="exact"/>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1.合同履行期限：服务期为合同签订之日起至2025年12月31日。采购人订购清单/采购确认表发出之日起20天内送货到指定地点。</w:t>
            </w:r>
          </w:p>
          <w:p w14:paraId="7D499733">
            <w:pPr>
              <w:widowControl/>
              <w:numPr>
                <w:ilvl w:val="0"/>
                <w:numId w:val="0"/>
              </w:numPr>
              <w:spacing w:line="360" w:lineRule="exact"/>
              <w:jc w:val="left"/>
              <w:rPr>
                <w:rFonts w:hint="default" w:ascii="宋体" w:hAnsi="宋体" w:eastAsia="宋体" w:cs="宋体"/>
                <w:b/>
                <w:color w:val="auto"/>
                <w:szCs w:val="21"/>
                <w:highlight w:val="none"/>
                <w:lang w:val="en-US" w:eastAsia="zh-CN"/>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交货地点：</w:t>
            </w:r>
            <w:r>
              <w:rPr>
                <w:rFonts w:hint="eastAsia" w:ascii="宋体" w:hAnsi="宋体" w:cs="宋体"/>
                <w:color w:val="auto"/>
                <w:kern w:val="0"/>
                <w:szCs w:val="21"/>
                <w:highlight w:val="none"/>
                <w:lang w:val="en-US" w:eastAsia="zh-CN"/>
              </w:rPr>
              <w:t>采购人指定地点</w:t>
            </w:r>
          </w:p>
        </w:tc>
      </w:tr>
      <w:tr w14:paraId="31AC4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9" w:type="pct"/>
            <w:gridSpan w:val="2"/>
            <w:noWrap w:val="0"/>
            <w:vAlign w:val="center"/>
          </w:tcPr>
          <w:p w14:paraId="29A779FD">
            <w:pPr>
              <w:widowControl/>
              <w:spacing w:line="360" w:lineRule="exact"/>
              <w:jc w:val="center"/>
              <w:rPr>
                <w:rFonts w:hint="eastAsia" w:ascii="宋体" w:hAnsi="宋体" w:cs="宋体"/>
                <w:bCs/>
                <w:color w:val="auto"/>
                <w:szCs w:val="21"/>
                <w:highlight w:val="none"/>
              </w:rPr>
            </w:pPr>
            <w:r>
              <w:rPr>
                <w:rFonts w:hint="eastAsia" w:ascii="宋体" w:hAnsi="宋体" w:cs="宋体"/>
                <w:b/>
                <w:color w:val="auto"/>
                <w:szCs w:val="21"/>
                <w:highlight w:val="none"/>
              </w:rPr>
              <w:t>▲</w:t>
            </w:r>
            <w:r>
              <w:rPr>
                <w:rFonts w:hint="eastAsia" w:ascii="宋体" w:hAnsi="宋体" w:cs="宋体"/>
                <w:color w:val="auto"/>
                <w:kern w:val="0"/>
                <w:szCs w:val="21"/>
                <w:highlight w:val="none"/>
              </w:rPr>
              <w:t>其他要求</w:t>
            </w:r>
          </w:p>
        </w:tc>
        <w:tc>
          <w:tcPr>
            <w:tcW w:w="3870" w:type="pct"/>
            <w:gridSpan w:val="4"/>
            <w:noWrap w:val="0"/>
            <w:vAlign w:val="center"/>
          </w:tcPr>
          <w:p w14:paraId="2179C958">
            <w:pPr>
              <w:spacing w:line="360" w:lineRule="exact"/>
              <w:rPr>
                <w:color w:val="auto"/>
                <w:szCs w:val="21"/>
                <w:highlight w:val="none"/>
              </w:rPr>
            </w:pPr>
            <w:r>
              <w:rPr>
                <w:rFonts w:hint="eastAsia"/>
                <w:color w:val="auto"/>
                <w:szCs w:val="21"/>
                <w:highlight w:val="none"/>
                <w:lang w:val="en-US" w:eastAsia="zh-CN"/>
              </w:rPr>
              <w:t>1.</w:t>
            </w:r>
            <w:r>
              <w:rPr>
                <w:rFonts w:hint="eastAsia"/>
                <w:color w:val="auto"/>
                <w:szCs w:val="21"/>
                <w:highlight w:val="none"/>
              </w:rPr>
              <w:t>对未能达到采购人提出的</w:t>
            </w:r>
            <w:r>
              <w:rPr>
                <w:rFonts w:hint="eastAsia"/>
                <w:color w:val="auto"/>
                <w:szCs w:val="21"/>
                <w:highlight w:val="none"/>
                <w:lang w:val="en-US" w:eastAsia="zh-CN"/>
              </w:rPr>
              <w:t>到货</w:t>
            </w:r>
            <w:r>
              <w:rPr>
                <w:rFonts w:hint="eastAsia"/>
                <w:color w:val="auto"/>
                <w:szCs w:val="21"/>
                <w:highlight w:val="none"/>
              </w:rPr>
              <w:t>要求，并在采购人发出通知后</w:t>
            </w:r>
            <w:r>
              <w:rPr>
                <w:rFonts w:hint="eastAsia"/>
                <w:color w:val="auto"/>
                <w:szCs w:val="21"/>
                <w:highlight w:val="none"/>
                <w:lang w:val="en-US" w:eastAsia="zh-CN"/>
              </w:rPr>
              <w:t>20</w:t>
            </w:r>
            <w:r>
              <w:rPr>
                <w:rFonts w:hint="eastAsia"/>
                <w:color w:val="auto"/>
                <w:szCs w:val="21"/>
                <w:highlight w:val="none"/>
              </w:rPr>
              <w:t>天内，</w:t>
            </w:r>
            <w:r>
              <w:rPr>
                <w:rFonts w:hint="eastAsia"/>
                <w:color w:val="auto"/>
                <w:szCs w:val="21"/>
                <w:highlight w:val="none"/>
                <w:lang w:val="en-US" w:eastAsia="zh-CN"/>
              </w:rPr>
              <w:t>供应商</w:t>
            </w:r>
            <w:r>
              <w:rPr>
                <w:rFonts w:hint="eastAsia"/>
                <w:color w:val="auto"/>
                <w:szCs w:val="21"/>
                <w:highlight w:val="none"/>
              </w:rPr>
              <w:t>仍不能交货的，采购人可解除双方的供货协议。造成采购人损失的，</w:t>
            </w:r>
            <w:r>
              <w:rPr>
                <w:rFonts w:hint="eastAsia"/>
                <w:color w:val="auto"/>
                <w:szCs w:val="21"/>
                <w:highlight w:val="none"/>
                <w:lang w:val="en-US" w:eastAsia="zh-CN"/>
              </w:rPr>
              <w:t>供应商</w:t>
            </w:r>
            <w:r>
              <w:rPr>
                <w:rFonts w:hint="eastAsia"/>
                <w:color w:val="auto"/>
                <w:szCs w:val="21"/>
                <w:highlight w:val="none"/>
              </w:rPr>
              <w:t>负责赔偿。属严重违约的，采购人有权取消</w:t>
            </w:r>
            <w:r>
              <w:rPr>
                <w:rFonts w:hint="eastAsia"/>
                <w:color w:val="auto"/>
                <w:szCs w:val="21"/>
                <w:highlight w:val="none"/>
                <w:lang w:val="en-US" w:eastAsia="zh-CN"/>
              </w:rPr>
              <w:t>供应商</w:t>
            </w:r>
            <w:r>
              <w:rPr>
                <w:rFonts w:hint="eastAsia"/>
                <w:color w:val="auto"/>
                <w:szCs w:val="21"/>
                <w:highlight w:val="none"/>
              </w:rPr>
              <w:t>的供货资格，由此造成的损失由</w:t>
            </w:r>
            <w:r>
              <w:rPr>
                <w:rFonts w:hint="eastAsia"/>
                <w:color w:val="auto"/>
                <w:szCs w:val="21"/>
                <w:highlight w:val="none"/>
                <w:lang w:val="en-US" w:eastAsia="zh-CN"/>
              </w:rPr>
              <w:t>供应商</w:t>
            </w:r>
            <w:r>
              <w:rPr>
                <w:rFonts w:hint="eastAsia"/>
                <w:color w:val="auto"/>
                <w:szCs w:val="21"/>
                <w:highlight w:val="none"/>
              </w:rPr>
              <w:t>承担。</w:t>
            </w:r>
          </w:p>
          <w:p w14:paraId="423378DA">
            <w:pPr>
              <w:spacing w:line="360" w:lineRule="exact"/>
              <w:rPr>
                <w:color w:val="auto"/>
                <w:szCs w:val="21"/>
                <w:highlight w:val="none"/>
              </w:rPr>
            </w:pPr>
            <w:r>
              <w:rPr>
                <w:rFonts w:hint="eastAsia"/>
                <w:color w:val="auto"/>
                <w:szCs w:val="21"/>
                <w:highlight w:val="none"/>
                <w:lang w:val="en-US" w:eastAsia="zh-CN"/>
              </w:rPr>
              <w:t>2.</w:t>
            </w:r>
            <w:r>
              <w:rPr>
                <w:rFonts w:hint="eastAsia"/>
                <w:color w:val="auto"/>
                <w:szCs w:val="21"/>
                <w:highlight w:val="none"/>
              </w:rPr>
              <w:t>如</w:t>
            </w:r>
            <w:r>
              <w:rPr>
                <w:rFonts w:hint="eastAsia"/>
                <w:color w:val="auto"/>
                <w:szCs w:val="21"/>
                <w:highlight w:val="none"/>
                <w:lang w:val="en-US" w:eastAsia="zh-CN"/>
              </w:rPr>
              <w:t>供应商</w:t>
            </w:r>
            <w:r>
              <w:rPr>
                <w:rFonts w:hint="eastAsia"/>
                <w:color w:val="auto"/>
                <w:szCs w:val="21"/>
                <w:highlight w:val="none"/>
              </w:rPr>
              <w:t>不履行服务承诺，在合同执行期间，采购人有权减少</w:t>
            </w:r>
            <w:r>
              <w:rPr>
                <w:rFonts w:hint="eastAsia"/>
                <w:color w:val="auto"/>
                <w:szCs w:val="21"/>
                <w:highlight w:val="none"/>
                <w:lang w:val="en-US" w:eastAsia="zh-CN"/>
              </w:rPr>
              <w:t>订购数量</w:t>
            </w:r>
            <w:r>
              <w:rPr>
                <w:rFonts w:hint="eastAsia"/>
                <w:color w:val="auto"/>
                <w:szCs w:val="21"/>
                <w:highlight w:val="none"/>
              </w:rPr>
              <w:t>或停止其</w:t>
            </w:r>
            <w:r>
              <w:rPr>
                <w:rFonts w:hint="eastAsia"/>
                <w:color w:val="auto"/>
                <w:szCs w:val="21"/>
                <w:highlight w:val="none"/>
                <w:lang w:val="en-US" w:eastAsia="zh-CN"/>
              </w:rPr>
              <w:t>供应</w:t>
            </w:r>
            <w:r>
              <w:rPr>
                <w:rFonts w:hint="eastAsia"/>
                <w:color w:val="auto"/>
                <w:szCs w:val="21"/>
                <w:highlight w:val="none"/>
              </w:rPr>
              <w:t>资格。</w:t>
            </w:r>
          </w:p>
          <w:p w14:paraId="28931355">
            <w:pPr>
              <w:spacing w:line="360" w:lineRule="exact"/>
              <w:rPr>
                <w:rFonts w:hint="eastAsia" w:ascii="宋体" w:hAnsi="宋体" w:eastAsia="宋体" w:cs="宋体"/>
                <w:b/>
                <w:color w:val="auto"/>
                <w:szCs w:val="21"/>
                <w:highlight w:val="none"/>
                <w:lang w:eastAsia="zh-CN"/>
              </w:rPr>
            </w:pPr>
            <w:r>
              <w:rPr>
                <w:rFonts w:hint="eastAsia"/>
                <w:color w:val="auto"/>
                <w:szCs w:val="21"/>
                <w:highlight w:val="none"/>
                <w:lang w:val="en-US" w:eastAsia="zh-CN"/>
              </w:rPr>
              <w:t>3.供应商</w:t>
            </w:r>
            <w:r>
              <w:rPr>
                <w:rFonts w:hint="eastAsia"/>
                <w:color w:val="auto"/>
                <w:szCs w:val="21"/>
                <w:highlight w:val="none"/>
              </w:rPr>
              <w:t>确保提供</w:t>
            </w:r>
            <w:r>
              <w:rPr>
                <w:rFonts w:hint="eastAsia"/>
                <w:color w:val="auto"/>
                <w:szCs w:val="21"/>
                <w:highlight w:val="none"/>
                <w:lang w:val="en-US" w:eastAsia="zh-CN"/>
              </w:rPr>
              <w:t>给</w:t>
            </w:r>
            <w:r>
              <w:rPr>
                <w:rFonts w:hint="eastAsia"/>
                <w:color w:val="auto"/>
                <w:szCs w:val="21"/>
                <w:highlight w:val="none"/>
              </w:rPr>
              <w:t>采购人的</w:t>
            </w:r>
            <w:r>
              <w:rPr>
                <w:rFonts w:hint="eastAsia"/>
                <w:color w:val="auto"/>
                <w:szCs w:val="21"/>
                <w:highlight w:val="none"/>
                <w:lang w:val="en-US" w:eastAsia="zh-CN"/>
              </w:rPr>
              <w:t>货品</w:t>
            </w:r>
            <w:r>
              <w:rPr>
                <w:rFonts w:hint="eastAsia"/>
                <w:color w:val="auto"/>
                <w:szCs w:val="21"/>
                <w:highlight w:val="none"/>
              </w:rPr>
              <w:t>是</w:t>
            </w:r>
            <w:r>
              <w:rPr>
                <w:rFonts w:hint="eastAsia"/>
                <w:color w:val="auto"/>
                <w:szCs w:val="21"/>
                <w:highlight w:val="none"/>
                <w:lang w:val="en-US" w:eastAsia="zh-CN"/>
              </w:rPr>
              <w:t>全新正版的</w:t>
            </w:r>
            <w:r>
              <w:rPr>
                <w:rFonts w:hint="eastAsia"/>
                <w:color w:val="auto"/>
                <w:szCs w:val="21"/>
                <w:highlight w:val="none"/>
              </w:rPr>
              <w:t>。</w:t>
            </w:r>
            <w:r>
              <w:rPr>
                <w:rFonts w:hint="eastAsia"/>
                <w:color w:val="auto"/>
                <w:szCs w:val="21"/>
                <w:highlight w:val="none"/>
                <w:lang w:val="en-US" w:eastAsia="zh-CN"/>
              </w:rPr>
              <w:t>盗版货品</w:t>
            </w:r>
            <w:r>
              <w:rPr>
                <w:rFonts w:hint="eastAsia"/>
                <w:color w:val="auto"/>
                <w:szCs w:val="21"/>
                <w:highlight w:val="none"/>
              </w:rPr>
              <w:t>一经发现，还须承担由此造成的一切后果，并按严重违约处理，双方解除合同，造成采购人损失的，</w:t>
            </w:r>
            <w:r>
              <w:rPr>
                <w:rFonts w:hint="eastAsia"/>
                <w:color w:val="auto"/>
                <w:szCs w:val="21"/>
                <w:highlight w:val="none"/>
                <w:lang w:val="en-US" w:eastAsia="zh-CN"/>
              </w:rPr>
              <w:t>供应商</w:t>
            </w:r>
            <w:r>
              <w:rPr>
                <w:rFonts w:hint="eastAsia"/>
                <w:color w:val="auto"/>
                <w:szCs w:val="21"/>
                <w:highlight w:val="none"/>
              </w:rPr>
              <w:t>负责双倍赔偿</w:t>
            </w:r>
            <w:r>
              <w:rPr>
                <w:rFonts w:hint="eastAsia"/>
                <w:color w:val="auto"/>
                <w:szCs w:val="21"/>
                <w:highlight w:val="none"/>
                <w:lang w:eastAsia="zh-CN"/>
              </w:rPr>
              <w:t>。</w:t>
            </w:r>
          </w:p>
        </w:tc>
      </w:tr>
    </w:tbl>
    <w:p w14:paraId="217F930B">
      <w:pPr>
        <w:pStyle w:val="20"/>
        <w:rPr>
          <w:color w:val="auto"/>
          <w:highlight w:val="none"/>
        </w:rPr>
      </w:pPr>
    </w:p>
    <w:p w14:paraId="15E9E31A">
      <w:pPr>
        <w:pStyle w:val="20"/>
        <w:rPr>
          <w:color w:val="auto"/>
          <w:highlight w:val="none"/>
        </w:rPr>
      </w:pPr>
    </w:p>
    <w:p w14:paraId="58792BEB">
      <w:pPr>
        <w:pStyle w:val="20"/>
        <w:rPr>
          <w:color w:val="auto"/>
          <w:highlight w:val="none"/>
        </w:rPr>
      </w:pPr>
    </w:p>
    <w:p w14:paraId="1121943E">
      <w:pPr>
        <w:pStyle w:val="20"/>
        <w:rPr>
          <w:color w:val="auto"/>
          <w:highlight w:val="none"/>
        </w:rPr>
      </w:pPr>
    </w:p>
    <w:p w14:paraId="58CBE8BF">
      <w:pPr>
        <w:spacing w:line="428" w:lineRule="exact"/>
        <w:ind w:left="119"/>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附件：</w:t>
      </w:r>
    </w:p>
    <w:p w14:paraId="1805F346">
      <w:pPr>
        <w:spacing w:line="528" w:lineRule="exact"/>
        <w:jc w:val="center"/>
        <w:rPr>
          <w:rFonts w:ascii="微软雅黑" w:hAnsi="微软雅黑" w:eastAsia="微软雅黑" w:cs="微软雅黑"/>
          <w:color w:val="auto"/>
          <w:sz w:val="40"/>
          <w:szCs w:val="40"/>
          <w:highlight w:val="none"/>
        </w:rPr>
      </w:pPr>
      <w:r>
        <w:rPr>
          <w:rFonts w:hint="eastAsia" w:ascii="微软雅黑" w:hAnsi="微软雅黑" w:eastAsia="微软雅黑" w:cs="微软雅黑"/>
          <w:color w:val="auto"/>
          <w:sz w:val="40"/>
          <w:szCs w:val="40"/>
          <w:highlight w:val="none"/>
        </w:rPr>
        <w:t>中小微企业划型标准</w:t>
      </w:r>
    </w:p>
    <w:tbl>
      <w:tblPr>
        <w:tblStyle w:val="35"/>
        <w:tblW w:w="5000" w:type="pct"/>
        <w:tblInd w:w="0" w:type="dxa"/>
        <w:tblLayout w:type="autofit"/>
        <w:tblCellMar>
          <w:top w:w="0" w:type="dxa"/>
          <w:left w:w="108" w:type="dxa"/>
          <w:bottom w:w="0" w:type="dxa"/>
          <w:right w:w="108" w:type="dxa"/>
        </w:tblCellMar>
      </w:tblPr>
      <w:tblGrid>
        <w:gridCol w:w="1948"/>
        <w:gridCol w:w="1656"/>
        <w:gridCol w:w="1490"/>
        <w:gridCol w:w="1917"/>
        <w:gridCol w:w="1797"/>
        <w:gridCol w:w="1154"/>
      </w:tblGrid>
      <w:tr w14:paraId="0F34EA8E">
        <w:tblPrEx>
          <w:tblCellMar>
            <w:top w:w="0" w:type="dxa"/>
            <w:left w:w="108" w:type="dxa"/>
            <w:bottom w:w="0" w:type="dxa"/>
            <w:right w:w="108" w:type="dxa"/>
          </w:tblCellMar>
        </w:tblPrEx>
        <w:trPr>
          <w:trHeight w:val="285" w:hRule="atLeast"/>
        </w:trPr>
        <w:tc>
          <w:tcPr>
            <w:tcW w:w="978" w:type="pct"/>
            <w:tcBorders>
              <w:top w:val="single" w:color="auto" w:sz="4" w:space="0"/>
              <w:left w:val="single" w:color="auto" w:sz="4" w:space="0"/>
              <w:bottom w:val="single" w:color="auto" w:sz="4" w:space="0"/>
              <w:right w:val="single" w:color="auto" w:sz="4" w:space="0"/>
            </w:tcBorders>
            <w:vAlign w:val="center"/>
          </w:tcPr>
          <w:p w14:paraId="1CFDE888">
            <w:pPr>
              <w:widowControl/>
              <w:jc w:val="center"/>
              <w:rPr>
                <w:rFonts w:ascii="仿宋_GB2312" w:hAnsi="仿宋" w:eastAsia="仿宋_GB2312" w:cs="宋体"/>
                <w:b/>
                <w:color w:val="auto"/>
                <w:kern w:val="0"/>
                <w:sz w:val="24"/>
                <w:highlight w:val="none"/>
              </w:rPr>
            </w:pPr>
            <w:r>
              <w:rPr>
                <w:rFonts w:hint="eastAsia" w:ascii="微软雅黑" w:hAnsi="微软雅黑" w:eastAsia="微软雅黑" w:cs="微软雅黑"/>
                <w:b/>
                <w:color w:val="auto"/>
                <w:kern w:val="0"/>
                <w:sz w:val="24"/>
                <w:highlight w:val="none"/>
              </w:rPr>
              <w:t>行业</w:t>
            </w:r>
            <w:r>
              <w:rPr>
                <w:rFonts w:hint="eastAsia" w:ascii="___WRD_EMBED_SUB_45" w:hAnsi="___WRD_EMBED_SUB_45" w:eastAsia="___WRD_EMBED_SUB_45" w:cs="___WRD_EMBED_SUB_45"/>
                <w:b/>
                <w:color w:val="auto"/>
                <w:kern w:val="0"/>
                <w:sz w:val="24"/>
                <w:highlight w:val="none"/>
              </w:rPr>
              <w:t>名称</w:t>
            </w:r>
          </w:p>
        </w:tc>
        <w:tc>
          <w:tcPr>
            <w:tcW w:w="831" w:type="pct"/>
            <w:tcBorders>
              <w:top w:val="single" w:color="auto" w:sz="4" w:space="0"/>
              <w:left w:val="nil"/>
              <w:bottom w:val="single" w:color="auto" w:sz="4" w:space="0"/>
              <w:right w:val="single" w:color="auto" w:sz="4" w:space="0"/>
            </w:tcBorders>
            <w:vAlign w:val="center"/>
          </w:tcPr>
          <w:p w14:paraId="263D2EC8">
            <w:pPr>
              <w:widowControl/>
              <w:jc w:val="center"/>
              <w:rPr>
                <w:rFonts w:ascii="仿宋_GB2312" w:hAnsi="仿宋" w:eastAsia="仿宋_GB2312" w:cs="宋体"/>
                <w:b/>
                <w:color w:val="auto"/>
                <w:kern w:val="0"/>
                <w:sz w:val="24"/>
                <w:highlight w:val="none"/>
              </w:rPr>
            </w:pPr>
            <w:r>
              <w:rPr>
                <w:rFonts w:hint="eastAsia" w:ascii="微软雅黑" w:hAnsi="微软雅黑" w:eastAsia="微软雅黑" w:cs="微软雅黑"/>
                <w:b/>
                <w:color w:val="auto"/>
                <w:kern w:val="0"/>
                <w:sz w:val="24"/>
                <w:highlight w:val="none"/>
              </w:rPr>
              <w:t>指标</w:t>
            </w:r>
            <w:r>
              <w:rPr>
                <w:rFonts w:hint="eastAsia" w:ascii="___WRD_EMBED_SUB_45" w:hAnsi="___WRD_EMBED_SUB_45" w:eastAsia="___WRD_EMBED_SUB_45" w:cs="___WRD_EMBED_SUB_45"/>
                <w:b/>
                <w:color w:val="auto"/>
                <w:kern w:val="0"/>
                <w:sz w:val="24"/>
                <w:highlight w:val="none"/>
              </w:rPr>
              <w:t>名称</w:t>
            </w:r>
          </w:p>
        </w:tc>
        <w:tc>
          <w:tcPr>
            <w:tcW w:w="748" w:type="pct"/>
            <w:tcBorders>
              <w:top w:val="single" w:color="auto" w:sz="4" w:space="0"/>
              <w:left w:val="nil"/>
              <w:bottom w:val="single" w:color="auto" w:sz="4" w:space="0"/>
              <w:right w:val="single" w:color="auto" w:sz="4" w:space="0"/>
            </w:tcBorders>
            <w:vAlign w:val="center"/>
          </w:tcPr>
          <w:p w14:paraId="4313549E">
            <w:pPr>
              <w:widowControl/>
              <w:jc w:val="center"/>
              <w:rPr>
                <w:rFonts w:ascii="仿宋_GB2312" w:hAnsi="仿宋" w:eastAsia="仿宋_GB2312" w:cs="宋体"/>
                <w:b/>
                <w:color w:val="auto"/>
                <w:kern w:val="0"/>
                <w:sz w:val="24"/>
                <w:highlight w:val="none"/>
              </w:rPr>
            </w:pPr>
            <w:r>
              <w:rPr>
                <w:rFonts w:hint="eastAsia" w:ascii="微软雅黑" w:hAnsi="微软雅黑" w:eastAsia="微软雅黑" w:cs="微软雅黑"/>
                <w:b/>
                <w:color w:val="auto"/>
                <w:kern w:val="0"/>
                <w:sz w:val="24"/>
                <w:highlight w:val="none"/>
              </w:rPr>
              <w:t>计量单位</w:t>
            </w:r>
          </w:p>
        </w:tc>
        <w:tc>
          <w:tcPr>
            <w:tcW w:w="962" w:type="pct"/>
            <w:tcBorders>
              <w:top w:val="single" w:color="auto" w:sz="4" w:space="0"/>
              <w:left w:val="nil"/>
              <w:bottom w:val="single" w:color="auto" w:sz="4" w:space="0"/>
              <w:right w:val="single" w:color="auto" w:sz="4" w:space="0"/>
            </w:tcBorders>
            <w:vAlign w:val="center"/>
          </w:tcPr>
          <w:p w14:paraId="2E8F47B2">
            <w:pPr>
              <w:widowControl/>
              <w:jc w:val="center"/>
              <w:rPr>
                <w:rFonts w:ascii="仿宋_GB2312" w:hAnsi="仿宋" w:eastAsia="仿宋_GB2312" w:cs="宋体"/>
                <w:b/>
                <w:color w:val="auto"/>
                <w:kern w:val="0"/>
                <w:sz w:val="24"/>
                <w:highlight w:val="none"/>
              </w:rPr>
            </w:pPr>
            <w:r>
              <w:rPr>
                <w:rFonts w:hint="eastAsia" w:ascii="微软雅黑" w:hAnsi="微软雅黑" w:eastAsia="微软雅黑" w:cs="微软雅黑"/>
                <w:b/>
                <w:color w:val="auto"/>
                <w:kern w:val="0"/>
                <w:sz w:val="24"/>
                <w:highlight w:val="none"/>
              </w:rPr>
              <w:t>中型</w:t>
            </w:r>
          </w:p>
        </w:tc>
        <w:tc>
          <w:tcPr>
            <w:tcW w:w="902" w:type="pct"/>
            <w:tcBorders>
              <w:top w:val="single" w:color="auto" w:sz="4" w:space="0"/>
              <w:left w:val="nil"/>
              <w:bottom w:val="single" w:color="auto" w:sz="4" w:space="0"/>
              <w:right w:val="single" w:color="auto" w:sz="4" w:space="0"/>
            </w:tcBorders>
            <w:vAlign w:val="center"/>
          </w:tcPr>
          <w:p w14:paraId="252ED5BC">
            <w:pPr>
              <w:widowControl/>
              <w:jc w:val="center"/>
              <w:rPr>
                <w:rFonts w:ascii="仿宋_GB2312" w:hAnsi="仿宋" w:eastAsia="仿宋_GB2312" w:cs="宋体"/>
                <w:b/>
                <w:color w:val="auto"/>
                <w:kern w:val="0"/>
                <w:sz w:val="24"/>
                <w:highlight w:val="none"/>
              </w:rPr>
            </w:pPr>
            <w:r>
              <w:rPr>
                <w:rFonts w:hint="eastAsia" w:ascii="微软雅黑" w:hAnsi="微软雅黑" w:eastAsia="微软雅黑" w:cs="微软雅黑"/>
                <w:b/>
                <w:color w:val="auto"/>
                <w:kern w:val="0"/>
                <w:sz w:val="24"/>
                <w:highlight w:val="none"/>
              </w:rPr>
              <w:t>小型</w:t>
            </w:r>
          </w:p>
        </w:tc>
        <w:tc>
          <w:tcPr>
            <w:tcW w:w="579" w:type="pct"/>
            <w:tcBorders>
              <w:top w:val="single" w:color="auto" w:sz="4" w:space="0"/>
              <w:left w:val="nil"/>
              <w:bottom w:val="single" w:color="auto" w:sz="4" w:space="0"/>
              <w:right w:val="single" w:color="auto" w:sz="4" w:space="0"/>
            </w:tcBorders>
            <w:vAlign w:val="center"/>
          </w:tcPr>
          <w:p w14:paraId="094F257A">
            <w:pPr>
              <w:widowControl/>
              <w:jc w:val="center"/>
              <w:rPr>
                <w:rFonts w:ascii="仿宋_GB2312" w:hAnsi="仿宋" w:eastAsia="仿宋_GB2312" w:cs="宋体"/>
                <w:b/>
                <w:color w:val="auto"/>
                <w:kern w:val="0"/>
                <w:sz w:val="24"/>
                <w:highlight w:val="none"/>
              </w:rPr>
            </w:pPr>
            <w:r>
              <w:rPr>
                <w:rFonts w:hint="eastAsia" w:ascii="微软雅黑" w:hAnsi="微软雅黑" w:eastAsia="微软雅黑" w:cs="微软雅黑"/>
                <w:b/>
                <w:color w:val="auto"/>
                <w:kern w:val="0"/>
                <w:sz w:val="24"/>
                <w:highlight w:val="none"/>
              </w:rPr>
              <w:t>微型</w:t>
            </w:r>
          </w:p>
        </w:tc>
      </w:tr>
      <w:tr w14:paraId="50B73E76">
        <w:tblPrEx>
          <w:tblCellMar>
            <w:top w:w="0" w:type="dxa"/>
            <w:left w:w="108" w:type="dxa"/>
            <w:bottom w:w="0" w:type="dxa"/>
            <w:right w:w="108" w:type="dxa"/>
          </w:tblCellMar>
        </w:tblPrEx>
        <w:trPr>
          <w:trHeight w:val="295" w:hRule="atLeast"/>
        </w:trPr>
        <w:tc>
          <w:tcPr>
            <w:tcW w:w="978" w:type="pct"/>
            <w:tcBorders>
              <w:top w:val="nil"/>
              <w:left w:val="single" w:color="auto" w:sz="4" w:space="0"/>
              <w:bottom w:val="single" w:color="auto" w:sz="4" w:space="0"/>
              <w:right w:val="single" w:color="auto" w:sz="4" w:space="0"/>
            </w:tcBorders>
            <w:vAlign w:val="bottom"/>
          </w:tcPr>
          <w:p w14:paraId="2C231461">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农、林、牧、渔</w:t>
            </w:r>
          </w:p>
        </w:tc>
        <w:tc>
          <w:tcPr>
            <w:tcW w:w="831" w:type="pct"/>
            <w:tcBorders>
              <w:top w:val="nil"/>
              <w:left w:val="nil"/>
              <w:bottom w:val="single" w:color="auto" w:sz="4" w:space="0"/>
              <w:right w:val="single" w:color="auto" w:sz="4" w:space="0"/>
            </w:tcBorders>
            <w:vAlign w:val="center"/>
          </w:tcPr>
          <w:p w14:paraId="49422980">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营业收入</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Y）</w:t>
            </w:r>
          </w:p>
        </w:tc>
        <w:tc>
          <w:tcPr>
            <w:tcW w:w="748" w:type="pct"/>
            <w:tcBorders>
              <w:top w:val="nil"/>
              <w:left w:val="nil"/>
              <w:bottom w:val="single" w:color="auto" w:sz="4" w:space="0"/>
              <w:right w:val="single" w:color="auto" w:sz="4" w:space="0"/>
            </w:tcBorders>
            <w:vAlign w:val="center"/>
          </w:tcPr>
          <w:p w14:paraId="7D5EC961">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1E8B08B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20000</w:t>
            </w:r>
          </w:p>
        </w:tc>
        <w:tc>
          <w:tcPr>
            <w:tcW w:w="902" w:type="pct"/>
            <w:tcBorders>
              <w:top w:val="nil"/>
              <w:left w:val="nil"/>
              <w:bottom w:val="single" w:color="auto" w:sz="4" w:space="0"/>
              <w:right w:val="single" w:color="auto" w:sz="4" w:space="0"/>
            </w:tcBorders>
            <w:vAlign w:val="center"/>
          </w:tcPr>
          <w:p w14:paraId="37D3B2D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500</w:t>
            </w:r>
          </w:p>
        </w:tc>
        <w:tc>
          <w:tcPr>
            <w:tcW w:w="579" w:type="pct"/>
            <w:tcBorders>
              <w:top w:val="nil"/>
              <w:left w:val="nil"/>
              <w:bottom w:val="single" w:color="auto" w:sz="4" w:space="0"/>
              <w:right w:val="single" w:color="auto" w:sz="4" w:space="0"/>
            </w:tcBorders>
            <w:vAlign w:val="center"/>
          </w:tcPr>
          <w:p w14:paraId="31F3CF8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50</w:t>
            </w:r>
          </w:p>
        </w:tc>
      </w:tr>
      <w:tr w14:paraId="0A8230A0">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5FD919DD">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工业</w:t>
            </w:r>
          </w:p>
        </w:tc>
        <w:tc>
          <w:tcPr>
            <w:tcW w:w="831" w:type="pct"/>
            <w:tcBorders>
              <w:top w:val="nil"/>
              <w:left w:val="nil"/>
              <w:bottom w:val="single" w:color="auto" w:sz="4" w:space="0"/>
              <w:right w:val="single" w:color="auto" w:sz="4" w:space="0"/>
            </w:tcBorders>
            <w:vAlign w:val="center"/>
          </w:tcPr>
          <w:p w14:paraId="61E4674F">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从业</w:t>
            </w:r>
            <w:r>
              <w:rPr>
                <w:rFonts w:hint="eastAsia" w:ascii="___WRD_EMBED_SUB_45" w:hAnsi="___WRD_EMBED_SUB_45" w:eastAsia="___WRD_EMBED_SUB_45" w:cs="___WRD_EMBED_SUB_45"/>
                <w:color w:val="auto"/>
                <w:kern w:val="0"/>
                <w:sz w:val="18"/>
                <w:szCs w:val="18"/>
                <w:highlight w:val="none"/>
              </w:rPr>
              <w:t>人</w:t>
            </w:r>
            <w:r>
              <w:rPr>
                <w:rFonts w:hint="eastAsia" w:ascii="微软雅黑" w:hAnsi="微软雅黑" w:eastAsia="微软雅黑" w:cs="微软雅黑"/>
                <w:color w:val="auto"/>
                <w:kern w:val="0"/>
                <w:sz w:val="18"/>
                <w:szCs w:val="18"/>
                <w:highlight w:val="none"/>
              </w:rPr>
              <w:t>员</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X）</w:t>
            </w:r>
          </w:p>
        </w:tc>
        <w:tc>
          <w:tcPr>
            <w:tcW w:w="748" w:type="pct"/>
            <w:tcBorders>
              <w:top w:val="nil"/>
              <w:left w:val="nil"/>
              <w:bottom w:val="single" w:color="auto" w:sz="4" w:space="0"/>
              <w:right w:val="single" w:color="auto" w:sz="4" w:space="0"/>
            </w:tcBorders>
            <w:vAlign w:val="center"/>
          </w:tcPr>
          <w:p w14:paraId="2FAD303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62" w:type="pct"/>
            <w:tcBorders>
              <w:top w:val="nil"/>
              <w:left w:val="nil"/>
              <w:bottom w:val="single" w:color="auto" w:sz="4" w:space="0"/>
              <w:right w:val="single" w:color="auto" w:sz="4" w:space="0"/>
            </w:tcBorders>
            <w:vAlign w:val="center"/>
          </w:tcPr>
          <w:p w14:paraId="0709310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w:t>
            </w:r>
          </w:p>
        </w:tc>
        <w:tc>
          <w:tcPr>
            <w:tcW w:w="902" w:type="pct"/>
            <w:tcBorders>
              <w:top w:val="nil"/>
              <w:left w:val="nil"/>
              <w:bottom w:val="single" w:color="auto" w:sz="4" w:space="0"/>
              <w:right w:val="single" w:color="auto" w:sz="4" w:space="0"/>
            </w:tcBorders>
            <w:vAlign w:val="center"/>
          </w:tcPr>
          <w:p w14:paraId="2996C3C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w:t>
            </w:r>
          </w:p>
        </w:tc>
        <w:tc>
          <w:tcPr>
            <w:tcW w:w="579" w:type="pct"/>
            <w:tcBorders>
              <w:top w:val="nil"/>
              <w:left w:val="nil"/>
              <w:bottom w:val="single" w:color="auto" w:sz="4" w:space="0"/>
              <w:right w:val="single" w:color="auto" w:sz="4" w:space="0"/>
            </w:tcBorders>
            <w:vAlign w:val="center"/>
          </w:tcPr>
          <w:p w14:paraId="650E370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w:t>
            </w:r>
          </w:p>
        </w:tc>
      </w:tr>
      <w:tr w14:paraId="42770F80">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0CB5AF20">
            <w:pPr>
              <w:widowControl/>
              <w:jc w:val="left"/>
              <w:rPr>
                <w:rFonts w:ascii="仿宋_GB2312" w:hAnsi="仿宋" w:eastAsia="仿宋_GB2312" w:cs="宋体"/>
                <w:b/>
                <w:bCs/>
                <w:color w:val="auto"/>
                <w:kern w:val="0"/>
                <w:sz w:val="18"/>
                <w:szCs w:val="18"/>
                <w:highlight w:val="none"/>
              </w:rPr>
            </w:pPr>
          </w:p>
        </w:tc>
        <w:tc>
          <w:tcPr>
            <w:tcW w:w="831" w:type="pct"/>
            <w:tcBorders>
              <w:top w:val="nil"/>
              <w:left w:val="nil"/>
              <w:bottom w:val="single" w:color="auto" w:sz="4" w:space="0"/>
              <w:right w:val="single" w:color="auto" w:sz="4" w:space="0"/>
            </w:tcBorders>
            <w:vAlign w:val="center"/>
          </w:tcPr>
          <w:p w14:paraId="53F6A3D0">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营业收入</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Y）</w:t>
            </w:r>
          </w:p>
        </w:tc>
        <w:tc>
          <w:tcPr>
            <w:tcW w:w="748" w:type="pct"/>
            <w:tcBorders>
              <w:top w:val="nil"/>
              <w:left w:val="nil"/>
              <w:bottom w:val="single" w:color="auto" w:sz="4" w:space="0"/>
              <w:right w:val="single" w:color="auto" w:sz="4" w:space="0"/>
            </w:tcBorders>
            <w:vAlign w:val="center"/>
          </w:tcPr>
          <w:p w14:paraId="4914072A">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5CB4E36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40000</w:t>
            </w:r>
          </w:p>
        </w:tc>
        <w:tc>
          <w:tcPr>
            <w:tcW w:w="902" w:type="pct"/>
            <w:tcBorders>
              <w:top w:val="nil"/>
              <w:left w:val="nil"/>
              <w:bottom w:val="single" w:color="auto" w:sz="4" w:space="0"/>
              <w:right w:val="single" w:color="auto" w:sz="4" w:space="0"/>
            </w:tcBorders>
            <w:vAlign w:val="center"/>
          </w:tcPr>
          <w:p w14:paraId="5C6BE6F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2000</w:t>
            </w:r>
          </w:p>
        </w:tc>
        <w:tc>
          <w:tcPr>
            <w:tcW w:w="579" w:type="pct"/>
            <w:tcBorders>
              <w:top w:val="nil"/>
              <w:left w:val="nil"/>
              <w:bottom w:val="single" w:color="auto" w:sz="4" w:space="0"/>
              <w:right w:val="single" w:color="auto" w:sz="4" w:space="0"/>
            </w:tcBorders>
            <w:vAlign w:val="center"/>
          </w:tcPr>
          <w:p w14:paraId="4F0150A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w:t>
            </w:r>
          </w:p>
        </w:tc>
      </w:tr>
      <w:tr w14:paraId="27A3C244">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61D0E40D">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w:t>
            </w:r>
            <w:r>
              <w:rPr>
                <w:rFonts w:hint="eastAsia" w:ascii="微软雅黑" w:hAnsi="微软雅黑" w:eastAsia="微软雅黑" w:cs="微软雅黑"/>
                <w:b/>
                <w:bCs/>
                <w:color w:val="auto"/>
                <w:kern w:val="0"/>
                <w:sz w:val="18"/>
                <w:szCs w:val="18"/>
                <w:highlight w:val="none"/>
              </w:rPr>
              <w:t>筑业</w:t>
            </w:r>
          </w:p>
        </w:tc>
        <w:tc>
          <w:tcPr>
            <w:tcW w:w="831" w:type="pct"/>
            <w:tcBorders>
              <w:top w:val="nil"/>
              <w:left w:val="nil"/>
              <w:bottom w:val="single" w:color="auto" w:sz="4" w:space="0"/>
              <w:right w:val="single" w:color="auto" w:sz="4" w:space="0"/>
            </w:tcBorders>
            <w:vAlign w:val="center"/>
          </w:tcPr>
          <w:p w14:paraId="59821A6E">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营业收入</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Y）</w:t>
            </w:r>
          </w:p>
        </w:tc>
        <w:tc>
          <w:tcPr>
            <w:tcW w:w="748" w:type="pct"/>
            <w:tcBorders>
              <w:top w:val="nil"/>
              <w:left w:val="nil"/>
              <w:bottom w:val="single" w:color="auto" w:sz="4" w:space="0"/>
              <w:right w:val="single" w:color="auto" w:sz="4" w:space="0"/>
            </w:tcBorders>
            <w:vAlign w:val="center"/>
          </w:tcPr>
          <w:p w14:paraId="7D0D2133">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203CF72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80000</w:t>
            </w:r>
          </w:p>
        </w:tc>
        <w:tc>
          <w:tcPr>
            <w:tcW w:w="902" w:type="pct"/>
            <w:tcBorders>
              <w:top w:val="nil"/>
              <w:left w:val="nil"/>
              <w:bottom w:val="single" w:color="auto" w:sz="4" w:space="0"/>
              <w:right w:val="single" w:color="auto" w:sz="4" w:space="0"/>
            </w:tcBorders>
            <w:vAlign w:val="center"/>
          </w:tcPr>
          <w:p w14:paraId="7C3AA1D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6000</w:t>
            </w:r>
          </w:p>
        </w:tc>
        <w:tc>
          <w:tcPr>
            <w:tcW w:w="579" w:type="pct"/>
            <w:tcBorders>
              <w:top w:val="nil"/>
              <w:left w:val="nil"/>
              <w:bottom w:val="single" w:color="auto" w:sz="4" w:space="0"/>
              <w:right w:val="single" w:color="auto" w:sz="4" w:space="0"/>
            </w:tcBorders>
            <w:vAlign w:val="center"/>
          </w:tcPr>
          <w:p w14:paraId="0DB3D10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w:t>
            </w:r>
          </w:p>
        </w:tc>
      </w:tr>
      <w:tr w14:paraId="1B103897">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2E9CFEEC">
            <w:pPr>
              <w:widowControl/>
              <w:jc w:val="left"/>
              <w:rPr>
                <w:rFonts w:ascii="仿宋_GB2312" w:hAnsi="仿宋" w:eastAsia="仿宋_GB2312" w:cs="宋体"/>
                <w:b/>
                <w:bCs/>
                <w:color w:val="auto"/>
                <w:kern w:val="0"/>
                <w:sz w:val="18"/>
                <w:szCs w:val="18"/>
                <w:highlight w:val="none"/>
              </w:rPr>
            </w:pPr>
          </w:p>
        </w:tc>
        <w:tc>
          <w:tcPr>
            <w:tcW w:w="831" w:type="pct"/>
            <w:tcBorders>
              <w:top w:val="nil"/>
              <w:left w:val="nil"/>
              <w:bottom w:val="single" w:color="auto" w:sz="4" w:space="0"/>
              <w:right w:val="single" w:color="auto" w:sz="4" w:space="0"/>
            </w:tcBorders>
            <w:vAlign w:val="center"/>
          </w:tcPr>
          <w:p w14:paraId="17153FB9">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资产总额</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Z）</w:t>
            </w:r>
          </w:p>
        </w:tc>
        <w:tc>
          <w:tcPr>
            <w:tcW w:w="748" w:type="pct"/>
            <w:tcBorders>
              <w:top w:val="nil"/>
              <w:left w:val="nil"/>
              <w:bottom w:val="single" w:color="auto" w:sz="4" w:space="0"/>
              <w:right w:val="single" w:color="auto" w:sz="4" w:space="0"/>
            </w:tcBorders>
            <w:vAlign w:val="center"/>
          </w:tcPr>
          <w:p w14:paraId="1A798590">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5CD56AC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Z</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80000</w:t>
            </w:r>
          </w:p>
        </w:tc>
        <w:tc>
          <w:tcPr>
            <w:tcW w:w="902" w:type="pct"/>
            <w:tcBorders>
              <w:top w:val="nil"/>
              <w:left w:val="nil"/>
              <w:bottom w:val="single" w:color="auto" w:sz="4" w:space="0"/>
              <w:right w:val="single" w:color="auto" w:sz="4" w:space="0"/>
            </w:tcBorders>
            <w:vAlign w:val="center"/>
          </w:tcPr>
          <w:p w14:paraId="4D45E1A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Z</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5000</w:t>
            </w:r>
          </w:p>
        </w:tc>
        <w:tc>
          <w:tcPr>
            <w:tcW w:w="579" w:type="pct"/>
            <w:tcBorders>
              <w:top w:val="nil"/>
              <w:left w:val="nil"/>
              <w:bottom w:val="single" w:color="auto" w:sz="4" w:space="0"/>
              <w:right w:val="single" w:color="auto" w:sz="4" w:space="0"/>
            </w:tcBorders>
            <w:vAlign w:val="center"/>
          </w:tcPr>
          <w:p w14:paraId="183B466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w:t>
            </w:r>
          </w:p>
        </w:tc>
      </w:tr>
      <w:tr w14:paraId="0224E80A">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364AC13F">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批发业</w:t>
            </w:r>
          </w:p>
        </w:tc>
        <w:tc>
          <w:tcPr>
            <w:tcW w:w="831" w:type="pct"/>
            <w:tcBorders>
              <w:top w:val="nil"/>
              <w:left w:val="nil"/>
              <w:bottom w:val="single" w:color="auto" w:sz="4" w:space="0"/>
              <w:right w:val="single" w:color="auto" w:sz="4" w:space="0"/>
            </w:tcBorders>
            <w:vAlign w:val="center"/>
          </w:tcPr>
          <w:p w14:paraId="522120BD">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从业</w:t>
            </w:r>
            <w:r>
              <w:rPr>
                <w:rFonts w:hint="eastAsia" w:ascii="___WRD_EMBED_SUB_45" w:hAnsi="___WRD_EMBED_SUB_45" w:eastAsia="___WRD_EMBED_SUB_45" w:cs="___WRD_EMBED_SUB_45"/>
                <w:color w:val="auto"/>
                <w:kern w:val="0"/>
                <w:sz w:val="18"/>
                <w:szCs w:val="18"/>
                <w:highlight w:val="none"/>
              </w:rPr>
              <w:t>人</w:t>
            </w:r>
            <w:r>
              <w:rPr>
                <w:rFonts w:hint="eastAsia" w:ascii="微软雅黑" w:hAnsi="微软雅黑" w:eastAsia="微软雅黑" w:cs="微软雅黑"/>
                <w:color w:val="auto"/>
                <w:kern w:val="0"/>
                <w:sz w:val="18"/>
                <w:szCs w:val="18"/>
                <w:highlight w:val="none"/>
              </w:rPr>
              <w:t>员</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X）</w:t>
            </w:r>
          </w:p>
        </w:tc>
        <w:tc>
          <w:tcPr>
            <w:tcW w:w="748" w:type="pct"/>
            <w:tcBorders>
              <w:top w:val="nil"/>
              <w:left w:val="nil"/>
              <w:bottom w:val="single" w:color="auto" w:sz="4" w:space="0"/>
              <w:right w:val="single" w:color="auto" w:sz="4" w:space="0"/>
            </w:tcBorders>
            <w:vAlign w:val="center"/>
          </w:tcPr>
          <w:p w14:paraId="6BC9959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62" w:type="pct"/>
            <w:tcBorders>
              <w:top w:val="nil"/>
              <w:left w:val="nil"/>
              <w:bottom w:val="single" w:color="auto" w:sz="4" w:space="0"/>
              <w:right w:val="single" w:color="auto" w:sz="4" w:space="0"/>
            </w:tcBorders>
            <w:vAlign w:val="center"/>
          </w:tcPr>
          <w:p w14:paraId="7175116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200</w:t>
            </w:r>
          </w:p>
        </w:tc>
        <w:tc>
          <w:tcPr>
            <w:tcW w:w="902" w:type="pct"/>
            <w:tcBorders>
              <w:top w:val="nil"/>
              <w:left w:val="nil"/>
              <w:bottom w:val="single" w:color="auto" w:sz="4" w:space="0"/>
              <w:right w:val="single" w:color="auto" w:sz="4" w:space="0"/>
            </w:tcBorders>
            <w:vAlign w:val="center"/>
          </w:tcPr>
          <w:p w14:paraId="225A760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w:t>
            </w:r>
          </w:p>
        </w:tc>
        <w:tc>
          <w:tcPr>
            <w:tcW w:w="579" w:type="pct"/>
            <w:tcBorders>
              <w:top w:val="nil"/>
              <w:left w:val="nil"/>
              <w:bottom w:val="single" w:color="auto" w:sz="4" w:space="0"/>
              <w:right w:val="single" w:color="auto" w:sz="4" w:space="0"/>
            </w:tcBorders>
            <w:vAlign w:val="center"/>
          </w:tcPr>
          <w:p w14:paraId="2B865BF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5</w:t>
            </w:r>
          </w:p>
        </w:tc>
      </w:tr>
      <w:tr w14:paraId="74286260">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668D7296">
            <w:pPr>
              <w:widowControl/>
              <w:jc w:val="left"/>
              <w:rPr>
                <w:rFonts w:ascii="仿宋_GB2312" w:hAnsi="仿宋" w:eastAsia="仿宋_GB2312" w:cs="宋体"/>
                <w:b/>
                <w:bCs/>
                <w:color w:val="auto"/>
                <w:kern w:val="0"/>
                <w:sz w:val="18"/>
                <w:szCs w:val="18"/>
                <w:highlight w:val="none"/>
              </w:rPr>
            </w:pPr>
          </w:p>
        </w:tc>
        <w:tc>
          <w:tcPr>
            <w:tcW w:w="831" w:type="pct"/>
            <w:tcBorders>
              <w:top w:val="nil"/>
              <w:left w:val="nil"/>
              <w:bottom w:val="single" w:color="auto" w:sz="4" w:space="0"/>
              <w:right w:val="single" w:color="auto" w:sz="4" w:space="0"/>
            </w:tcBorders>
            <w:vAlign w:val="center"/>
          </w:tcPr>
          <w:p w14:paraId="7D27959F">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营业收入</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Y）</w:t>
            </w:r>
          </w:p>
        </w:tc>
        <w:tc>
          <w:tcPr>
            <w:tcW w:w="748" w:type="pct"/>
            <w:tcBorders>
              <w:top w:val="nil"/>
              <w:left w:val="nil"/>
              <w:bottom w:val="single" w:color="auto" w:sz="4" w:space="0"/>
              <w:right w:val="single" w:color="auto" w:sz="4" w:space="0"/>
            </w:tcBorders>
            <w:vAlign w:val="center"/>
          </w:tcPr>
          <w:p w14:paraId="68F1BE3C">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6B98C49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40000</w:t>
            </w:r>
          </w:p>
        </w:tc>
        <w:tc>
          <w:tcPr>
            <w:tcW w:w="902" w:type="pct"/>
            <w:tcBorders>
              <w:top w:val="nil"/>
              <w:left w:val="nil"/>
              <w:bottom w:val="single" w:color="auto" w:sz="4" w:space="0"/>
              <w:right w:val="single" w:color="auto" w:sz="4" w:space="0"/>
            </w:tcBorders>
            <w:vAlign w:val="center"/>
          </w:tcPr>
          <w:p w14:paraId="795DD19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5000</w:t>
            </w:r>
          </w:p>
        </w:tc>
        <w:tc>
          <w:tcPr>
            <w:tcW w:w="579" w:type="pct"/>
            <w:tcBorders>
              <w:top w:val="nil"/>
              <w:left w:val="nil"/>
              <w:bottom w:val="single" w:color="auto" w:sz="4" w:space="0"/>
              <w:right w:val="single" w:color="auto" w:sz="4" w:space="0"/>
            </w:tcBorders>
            <w:vAlign w:val="center"/>
          </w:tcPr>
          <w:p w14:paraId="057A39F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w:t>
            </w:r>
          </w:p>
        </w:tc>
      </w:tr>
      <w:tr w14:paraId="6639A78B">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3C749F6E">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零售业</w:t>
            </w:r>
          </w:p>
        </w:tc>
        <w:tc>
          <w:tcPr>
            <w:tcW w:w="831" w:type="pct"/>
            <w:tcBorders>
              <w:top w:val="nil"/>
              <w:left w:val="nil"/>
              <w:bottom w:val="single" w:color="auto" w:sz="4" w:space="0"/>
              <w:right w:val="single" w:color="auto" w:sz="4" w:space="0"/>
            </w:tcBorders>
            <w:vAlign w:val="center"/>
          </w:tcPr>
          <w:p w14:paraId="1A415D0A">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从业</w:t>
            </w:r>
            <w:r>
              <w:rPr>
                <w:rFonts w:hint="eastAsia" w:ascii="___WRD_EMBED_SUB_45" w:hAnsi="___WRD_EMBED_SUB_45" w:eastAsia="___WRD_EMBED_SUB_45" w:cs="___WRD_EMBED_SUB_45"/>
                <w:color w:val="auto"/>
                <w:kern w:val="0"/>
                <w:sz w:val="18"/>
                <w:szCs w:val="18"/>
                <w:highlight w:val="none"/>
              </w:rPr>
              <w:t>人</w:t>
            </w:r>
            <w:r>
              <w:rPr>
                <w:rFonts w:hint="eastAsia" w:ascii="微软雅黑" w:hAnsi="微软雅黑" w:eastAsia="微软雅黑" w:cs="微软雅黑"/>
                <w:color w:val="auto"/>
                <w:kern w:val="0"/>
                <w:sz w:val="18"/>
                <w:szCs w:val="18"/>
                <w:highlight w:val="none"/>
              </w:rPr>
              <w:t>员</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X）</w:t>
            </w:r>
          </w:p>
        </w:tc>
        <w:tc>
          <w:tcPr>
            <w:tcW w:w="748" w:type="pct"/>
            <w:tcBorders>
              <w:top w:val="nil"/>
              <w:left w:val="nil"/>
              <w:bottom w:val="single" w:color="auto" w:sz="4" w:space="0"/>
              <w:right w:val="single" w:color="auto" w:sz="4" w:space="0"/>
            </w:tcBorders>
            <w:vAlign w:val="center"/>
          </w:tcPr>
          <w:p w14:paraId="488D7A8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62" w:type="pct"/>
            <w:tcBorders>
              <w:top w:val="nil"/>
              <w:left w:val="nil"/>
              <w:bottom w:val="single" w:color="auto" w:sz="4" w:space="0"/>
              <w:right w:val="single" w:color="auto" w:sz="4" w:space="0"/>
            </w:tcBorders>
            <w:vAlign w:val="center"/>
          </w:tcPr>
          <w:p w14:paraId="076B4F4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w:t>
            </w:r>
          </w:p>
        </w:tc>
        <w:tc>
          <w:tcPr>
            <w:tcW w:w="902" w:type="pct"/>
            <w:tcBorders>
              <w:top w:val="nil"/>
              <w:left w:val="nil"/>
              <w:bottom w:val="single" w:color="auto" w:sz="4" w:space="0"/>
              <w:right w:val="single" w:color="auto" w:sz="4" w:space="0"/>
            </w:tcBorders>
            <w:vAlign w:val="center"/>
          </w:tcPr>
          <w:p w14:paraId="5FB0DCE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50</w:t>
            </w:r>
          </w:p>
        </w:tc>
        <w:tc>
          <w:tcPr>
            <w:tcW w:w="579" w:type="pct"/>
            <w:tcBorders>
              <w:top w:val="nil"/>
              <w:left w:val="nil"/>
              <w:bottom w:val="single" w:color="auto" w:sz="4" w:space="0"/>
              <w:right w:val="single" w:color="auto" w:sz="4" w:space="0"/>
            </w:tcBorders>
            <w:vAlign w:val="center"/>
          </w:tcPr>
          <w:p w14:paraId="356E06A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w:t>
            </w:r>
          </w:p>
        </w:tc>
      </w:tr>
      <w:tr w14:paraId="29B36535">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5FB72EF0">
            <w:pPr>
              <w:widowControl/>
              <w:jc w:val="left"/>
              <w:rPr>
                <w:rFonts w:ascii="仿宋_GB2312" w:hAnsi="仿宋" w:eastAsia="仿宋_GB2312" w:cs="宋体"/>
                <w:b/>
                <w:bCs/>
                <w:color w:val="auto"/>
                <w:kern w:val="0"/>
                <w:sz w:val="18"/>
                <w:szCs w:val="18"/>
                <w:highlight w:val="none"/>
              </w:rPr>
            </w:pPr>
          </w:p>
        </w:tc>
        <w:tc>
          <w:tcPr>
            <w:tcW w:w="831" w:type="pct"/>
            <w:tcBorders>
              <w:top w:val="nil"/>
              <w:left w:val="nil"/>
              <w:bottom w:val="single" w:color="auto" w:sz="4" w:space="0"/>
              <w:right w:val="single" w:color="auto" w:sz="4" w:space="0"/>
            </w:tcBorders>
            <w:vAlign w:val="center"/>
          </w:tcPr>
          <w:p w14:paraId="08C568D3">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营业收入</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Y）</w:t>
            </w:r>
          </w:p>
        </w:tc>
        <w:tc>
          <w:tcPr>
            <w:tcW w:w="748" w:type="pct"/>
            <w:tcBorders>
              <w:top w:val="nil"/>
              <w:left w:val="nil"/>
              <w:bottom w:val="single" w:color="auto" w:sz="4" w:space="0"/>
              <w:right w:val="single" w:color="auto" w:sz="4" w:space="0"/>
            </w:tcBorders>
            <w:vAlign w:val="center"/>
          </w:tcPr>
          <w:p w14:paraId="61D77CF4">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4B79A83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20000</w:t>
            </w:r>
          </w:p>
        </w:tc>
        <w:tc>
          <w:tcPr>
            <w:tcW w:w="902" w:type="pct"/>
            <w:tcBorders>
              <w:top w:val="nil"/>
              <w:left w:val="nil"/>
              <w:bottom w:val="single" w:color="auto" w:sz="4" w:space="0"/>
              <w:right w:val="single" w:color="auto" w:sz="4" w:space="0"/>
            </w:tcBorders>
            <w:vAlign w:val="center"/>
          </w:tcPr>
          <w:p w14:paraId="422738A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500</w:t>
            </w:r>
          </w:p>
        </w:tc>
        <w:tc>
          <w:tcPr>
            <w:tcW w:w="579" w:type="pct"/>
            <w:tcBorders>
              <w:top w:val="nil"/>
              <w:left w:val="nil"/>
              <w:bottom w:val="single" w:color="auto" w:sz="4" w:space="0"/>
              <w:right w:val="single" w:color="auto" w:sz="4" w:space="0"/>
            </w:tcBorders>
            <w:vAlign w:val="center"/>
          </w:tcPr>
          <w:p w14:paraId="4BE7ECD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r>
      <w:tr w14:paraId="73D7E700">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73B3EE33">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交通运输业</w:t>
            </w:r>
          </w:p>
        </w:tc>
        <w:tc>
          <w:tcPr>
            <w:tcW w:w="831" w:type="pct"/>
            <w:tcBorders>
              <w:top w:val="nil"/>
              <w:left w:val="nil"/>
              <w:bottom w:val="single" w:color="auto" w:sz="4" w:space="0"/>
              <w:right w:val="single" w:color="auto" w:sz="4" w:space="0"/>
            </w:tcBorders>
            <w:vAlign w:val="center"/>
          </w:tcPr>
          <w:p w14:paraId="479677A1">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从业</w:t>
            </w:r>
            <w:r>
              <w:rPr>
                <w:rFonts w:hint="eastAsia" w:ascii="___WRD_EMBED_SUB_45" w:hAnsi="___WRD_EMBED_SUB_45" w:eastAsia="___WRD_EMBED_SUB_45" w:cs="___WRD_EMBED_SUB_45"/>
                <w:color w:val="auto"/>
                <w:kern w:val="0"/>
                <w:sz w:val="18"/>
                <w:szCs w:val="18"/>
                <w:highlight w:val="none"/>
              </w:rPr>
              <w:t>人</w:t>
            </w:r>
            <w:r>
              <w:rPr>
                <w:rFonts w:hint="eastAsia" w:ascii="微软雅黑" w:hAnsi="微软雅黑" w:eastAsia="微软雅黑" w:cs="微软雅黑"/>
                <w:color w:val="auto"/>
                <w:kern w:val="0"/>
                <w:sz w:val="18"/>
                <w:szCs w:val="18"/>
                <w:highlight w:val="none"/>
              </w:rPr>
              <w:t>员</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X）</w:t>
            </w:r>
          </w:p>
        </w:tc>
        <w:tc>
          <w:tcPr>
            <w:tcW w:w="748" w:type="pct"/>
            <w:tcBorders>
              <w:top w:val="nil"/>
              <w:left w:val="nil"/>
              <w:bottom w:val="single" w:color="auto" w:sz="4" w:space="0"/>
              <w:right w:val="single" w:color="auto" w:sz="4" w:space="0"/>
            </w:tcBorders>
            <w:vAlign w:val="center"/>
          </w:tcPr>
          <w:p w14:paraId="4B15F61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62" w:type="pct"/>
            <w:tcBorders>
              <w:top w:val="nil"/>
              <w:left w:val="nil"/>
              <w:bottom w:val="single" w:color="auto" w:sz="4" w:space="0"/>
              <w:right w:val="single" w:color="auto" w:sz="4" w:space="0"/>
            </w:tcBorders>
            <w:vAlign w:val="center"/>
          </w:tcPr>
          <w:p w14:paraId="0EB1D80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w:t>
            </w:r>
          </w:p>
        </w:tc>
        <w:tc>
          <w:tcPr>
            <w:tcW w:w="902" w:type="pct"/>
            <w:tcBorders>
              <w:top w:val="nil"/>
              <w:left w:val="nil"/>
              <w:bottom w:val="single" w:color="auto" w:sz="4" w:space="0"/>
              <w:right w:val="single" w:color="auto" w:sz="4" w:space="0"/>
            </w:tcBorders>
            <w:vAlign w:val="center"/>
          </w:tcPr>
          <w:p w14:paraId="72E7088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w:t>
            </w:r>
          </w:p>
        </w:tc>
        <w:tc>
          <w:tcPr>
            <w:tcW w:w="579" w:type="pct"/>
            <w:tcBorders>
              <w:top w:val="nil"/>
              <w:left w:val="nil"/>
              <w:bottom w:val="single" w:color="auto" w:sz="4" w:space="0"/>
              <w:right w:val="single" w:color="auto" w:sz="4" w:space="0"/>
            </w:tcBorders>
            <w:vAlign w:val="center"/>
          </w:tcPr>
          <w:p w14:paraId="2ED90D5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w:t>
            </w:r>
          </w:p>
        </w:tc>
      </w:tr>
      <w:tr w14:paraId="7E817AA8">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3222019C">
            <w:pPr>
              <w:widowControl/>
              <w:jc w:val="left"/>
              <w:rPr>
                <w:rFonts w:ascii="仿宋_GB2312" w:hAnsi="仿宋" w:eastAsia="仿宋_GB2312" w:cs="宋体"/>
                <w:b/>
                <w:bCs/>
                <w:color w:val="auto"/>
                <w:kern w:val="0"/>
                <w:sz w:val="18"/>
                <w:szCs w:val="18"/>
                <w:highlight w:val="none"/>
              </w:rPr>
            </w:pPr>
          </w:p>
        </w:tc>
        <w:tc>
          <w:tcPr>
            <w:tcW w:w="831" w:type="pct"/>
            <w:tcBorders>
              <w:top w:val="nil"/>
              <w:left w:val="nil"/>
              <w:bottom w:val="single" w:color="auto" w:sz="4" w:space="0"/>
              <w:right w:val="single" w:color="auto" w:sz="4" w:space="0"/>
            </w:tcBorders>
            <w:vAlign w:val="center"/>
          </w:tcPr>
          <w:p w14:paraId="35B2BD83">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营业收入</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Y）</w:t>
            </w:r>
          </w:p>
        </w:tc>
        <w:tc>
          <w:tcPr>
            <w:tcW w:w="748" w:type="pct"/>
            <w:tcBorders>
              <w:top w:val="nil"/>
              <w:left w:val="nil"/>
              <w:bottom w:val="single" w:color="auto" w:sz="4" w:space="0"/>
              <w:right w:val="single" w:color="auto" w:sz="4" w:space="0"/>
            </w:tcBorders>
            <w:vAlign w:val="center"/>
          </w:tcPr>
          <w:p w14:paraId="5D8F1396">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6275587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30000</w:t>
            </w:r>
          </w:p>
        </w:tc>
        <w:tc>
          <w:tcPr>
            <w:tcW w:w="902" w:type="pct"/>
            <w:tcBorders>
              <w:top w:val="nil"/>
              <w:left w:val="nil"/>
              <w:bottom w:val="single" w:color="auto" w:sz="4" w:space="0"/>
              <w:right w:val="single" w:color="auto" w:sz="4" w:space="0"/>
            </w:tcBorders>
            <w:vAlign w:val="center"/>
          </w:tcPr>
          <w:p w14:paraId="1C57537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3000</w:t>
            </w:r>
          </w:p>
        </w:tc>
        <w:tc>
          <w:tcPr>
            <w:tcW w:w="579" w:type="pct"/>
            <w:tcBorders>
              <w:top w:val="nil"/>
              <w:left w:val="nil"/>
              <w:bottom w:val="single" w:color="auto" w:sz="4" w:space="0"/>
              <w:right w:val="single" w:color="auto" w:sz="4" w:space="0"/>
            </w:tcBorders>
            <w:vAlign w:val="center"/>
          </w:tcPr>
          <w:p w14:paraId="13A3F45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200</w:t>
            </w:r>
          </w:p>
        </w:tc>
      </w:tr>
      <w:tr w14:paraId="18B52AB7">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7FD63F21">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仓储业</w:t>
            </w:r>
          </w:p>
        </w:tc>
        <w:tc>
          <w:tcPr>
            <w:tcW w:w="831" w:type="pct"/>
            <w:tcBorders>
              <w:top w:val="nil"/>
              <w:left w:val="nil"/>
              <w:bottom w:val="single" w:color="auto" w:sz="4" w:space="0"/>
              <w:right w:val="single" w:color="auto" w:sz="4" w:space="0"/>
            </w:tcBorders>
            <w:vAlign w:val="center"/>
          </w:tcPr>
          <w:p w14:paraId="12B1D018">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从业</w:t>
            </w:r>
            <w:r>
              <w:rPr>
                <w:rFonts w:hint="eastAsia" w:ascii="___WRD_EMBED_SUB_45" w:hAnsi="___WRD_EMBED_SUB_45" w:eastAsia="___WRD_EMBED_SUB_45" w:cs="___WRD_EMBED_SUB_45"/>
                <w:color w:val="auto"/>
                <w:kern w:val="0"/>
                <w:sz w:val="18"/>
                <w:szCs w:val="18"/>
                <w:highlight w:val="none"/>
              </w:rPr>
              <w:t>人</w:t>
            </w:r>
            <w:r>
              <w:rPr>
                <w:rFonts w:hint="eastAsia" w:ascii="微软雅黑" w:hAnsi="微软雅黑" w:eastAsia="微软雅黑" w:cs="微软雅黑"/>
                <w:color w:val="auto"/>
                <w:kern w:val="0"/>
                <w:sz w:val="18"/>
                <w:szCs w:val="18"/>
                <w:highlight w:val="none"/>
              </w:rPr>
              <w:t>员</w:t>
            </w:r>
            <w:r>
              <w:rPr>
                <w:rFonts w:hint="eastAsia" w:ascii="仿宋_GB2312" w:hAnsi="仿宋" w:eastAsia="仿宋_GB2312" w:cs="宋体"/>
                <w:color w:val="auto"/>
                <w:kern w:val="0"/>
                <w:sz w:val="18"/>
                <w:szCs w:val="18"/>
                <w:highlight w:val="none"/>
              </w:rPr>
              <w:t>（X）</w:t>
            </w:r>
          </w:p>
        </w:tc>
        <w:tc>
          <w:tcPr>
            <w:tcW w:w="748" w:type="pct"/>
            <w:tcBorders>
              <w:top w:val="nil"/>
              <w:left w:val="nil"/>
              <w:bottom w:val="single" w:color="auto" w:sz="4" w:space="0"/>
              <w:right w:val="single" w:color="auto" w:sz="4" w:space="0"/>
            </w:tcBorders>
            <w:vAlign w:val="center"/>
          </w:tcPr>
          <w:p w14:paraId="5EA6A21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62" w:type="pct"/>
            <w:tcBorders>
              <w:top w:val="nil"/>
              <w:left w:val="nil"/>
              <w:bottom w:val="single" w:color="auto" w:sz="4" w:space="0"/>
              <w:right w:val="single" w:color="auto" w:sz="4" w:space="0"/>
            </w:tcBorders>
            <w:vAlign w:val="center"/>
          </w:tcPr>
          <w:p w14:paraId="0D6F013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200</w:t>
            </w:r>
          </w:p>
        </w:tc>
        <w:tc>
          <w:tcPr>
            <w:tcW w:w="902" w:type="pct"/>
            <w:tcBorders>
              <w:top w:val="nil"/>
              <w:left w:val="nil"/>
              <w:bottom w:val="single" w:color="auto" w:sz="4" w:space="0"/>
              <w:right w:val="single" w:color="auto" w:sz="4" w:space="0"/>
            </w:tcBorders>
            <w:vAlign w:val="center"/>
          </w:tcPr>
          <w:p w14:paraId="4CC7D2A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c>
          <w:tcPr>
            <w:tcW w:w="579" w:type="pct"/>
            <w:tcBorders>
              <w:top w:val="nil"/>
              <w:left w:val="nil"/>
              <w:bottom w:val="single" w:color="auto" w:sz="4" w:space="0"/>
              <w:right w:val="single" w:color="auto" w:sz="4" w:space="0"/>
            </w:tcBorders>
            <w:vAlign w:val="center"/>
          </w:tcPr>
          <w:p w14:paraId="5F25E34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w:t>
            </w:r>
          </w:p>
        </w:tc>
      </w:tr>
      <w:tr w14:paraId="637FA306">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3A31F175">
            <w:pPr>
              <w:widowControl/>
              <w:jc w:val="left"/>
              <w:rPr>
                <w:rFonts w:ascii="仿宋_GB2312" w:hAnsi="仿宋" w:eastAsia="仿宋_GB2312" w:cs="宋体"/>
                <w:b/>
                <w:bCs/>
                <w:color w:val="auto"/>
                <w:kern w:val="0"/>
                <w:sz w:val="18"/>
                <w:szCs w:val="18"/>
                <w:highlight w:val="none"/>
              </w:rPr>
            </w:pPr>
          </w:p>
        </w:tc>
        <w:tc>
          <w:tcPr>
            <w:tcW w:w="831" w:type="pct"/>
            <w:tcBorders>
              <w:top w:val="nil"/>
              <w:left w:val="nil"/>
              <w:bottom w:val="single" w:color="auto" w:sz="4" w:space="0"/>
              <w:right w:val="single" w:color="auto" w:sz="4" w:space="0"/>
            </w:tcBorders>
            <w:vAlign w:val="center"/>
          </w:tcPr>
          <w:p w14:paraId="5B1732F4">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营业收入</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Y）</w:t>
            </w:r>
          </w:p>
        </w:tc>
        <w:tc>
          <w:tcPr>
            <w:tcW w:w="748" w:type="pct"/>
            <w:tcBorders>
              <w:top w:val="nil"/>
              <w:left w:val="nil"/>
              <w:bottom w:val="single" w:color="auto" w:sz="4" w:space="0"/>
              <w:right w:val="single" w:color="auto" w:sz="4" w:space="0"/>
            </w:tcBorders>
            <w:vAlign w:val="center"/>
          </w:tcPr>
          <w:p w14:paraId="4257DCED">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16C8DCE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30000</w:t>
            </w:r>
          </w:p>
        </w:tc>
        <w:tc>
          <w:tcPr>
            <w:tcW w:w="902" w:type="pct"/>
            <w:tcBorders>
              <w:top w:val="nil"/>
              <w:left w:val="nil"/>
              <w:bottom w:val="single" w:color="auto" w:sz="4" w:space="0"/>
              <w:right w:val="single" w:color="auto" w:sz="4" w:space="0"/>
            </w:tcBorders>
            <w:vAlign w:val="center"/>
          </w:tcPr>
          <w:p w14:paraId="5A12800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w:t>
            </w:r>
          </w:p>
        </w:tc>
        <w:tc>
          <w:tcPr>
            <w:tcW w:w="579" w:type="pct"/>
            <w:tcBorders>
              <w:top w:val="nil"/>
              <w:left w:val="nil"/>
              <w:bottom w:val="single" w:color="auto" w:sz="4" w:space="0"/>
              <w:right w:val="single" w:color="auto" w:sz="4" w:space="0"/>
            </w:tcBorders>
            <w:vAlign w:val="center"/>
          </w:tcPr>
          <w:p w14:paraId="19A81C6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r>
      <w:tr w14:paraId="6FE33EE9">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32FC41BD">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邮政业</w:t>
            </w:r>
          </w:p>
        </w:tc>
        <w:tc>
          <w:tcPr>
            <w:tcW w:w="831" w:type="pct"/>
            <w:tcBorders>
              <w:top w:val="nil"/>
              <w:left w:val="nil"/>
              <w:bottom w:val="single" w:color="auto" w:sz="4" w:space="0"/>
              <w:right w:val="single" w:color="auto" w:sz="4" w:space="0"/>
            </w:tcBorders>
            <w:vAlign w:val="center"/>
          </w:tcPr>
          <w:p w14:paraId="2D93FC90">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从业</w:t>
            </w:r>
            <w:r>
              <w:rPr>
                <w:rFonts w:hint="eastAsia" w:ascii="仿宋_GB2312" w:hAnsi="仿宋" w:eastAsia="仿宋_GB2312" w:cs="宋体"/>
                <w:color w:val="auto"/>
                <w:kern w:val="0"/>
                <w:sz w:val="18"/>
                <w:szCs w:val="18"/>
                <w:highlight w:val="none"/>
              </w:rPr>
              <w:t>人</w:t>
            </w:r>
            <w:r>
              <w:rPr>
                <w:rFonts w:hint="eastAsia" w:ascii="微软雅黑" w:hAnsi="微软雅黑" w:eastAsia="微软雅黑" w:cs="微软雅黑"/>
                <w:color w:val="auto"/>
                <w:kern w:val="0"/>
                <w:sz w:val="18"/>
                <w:szCs w:val="18"/>
                <w:highlight w:val="none"/>
              </w:rPr>
              <w:t>员</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X）</w:t>
            </w:r>
          </w:p>
        </w:tc>
        <w:tc>
          <w:tcPr>
            <w:tcW w:w="748" w:type="pct"/>
            <w:tcBorders>
              <w:top w:val="nil"/>
              <w:left w:val="nil"/>
              <w:bottom w:val="single" w:color="auto" w:sz="4" w:space="0"/>
              <w:right w:val="single" w:color="auto" w:sz="4" w:space="0"/>
            </w:tcBorders>
            <w:vAlign w:val="center"/>
          </w:tcPr>
          <w:p w14:paraId="120462B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62" w:type="pct"/>
            <w:tcBorders>
              <w:top w:val="nil"/>
              <w:left w:val="nil"/>
              <w:bottom w:val="single" w:color="auto" w:sz="4" w:space="0"/>
              <w:right w:val="single" w:color="auto" w:sz="4" w:space="0"/>
            </w:tcBorders>
            <w:vAlign w:val="center"/>
          </w:tcPr>
          <w:p w14:paraId="5EA9764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w:t>
            </w:r>
          </w:p>
        </w:tc>
        <w:tc>
          <w:tcPr>
            <w:tcW w:w="902" w:type="pct"/>
            <w:tcBorders>
              <w:top w:val="nil"/>
              <w:left w:val="nil"/>
              <w:bottom w:val="single" w:color="auto" w:sz="4" w:space="0"/>
              <w:right w:val="single" w:color="auto" w:sz="4" w:space="0"/>
            </w:tcBorders>
            <w:vAlign w:val="center"/>
          </w:tcPr>
          <w:p w14:paraId="17E5E52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w:t>
            </w:r>
          </w:p>
        </w:tc>
        <w:tc>
          <w:tcPr>
            <w:tcW w:w="579" w:type="pct"/>
            <w:tcBorders>
              <w:top w:val="nil"/>
              <w:left w:val="nil"/>
              <w:bottom w:val="single" w:color="auto" w:sz="4" w:space="0"/>
              <w:right w:val="single" w:color="auto" w:sz="4" w:space="0"/>
            </w:tcBorders>
            <w:vAlign w:val="center"/>
          </w:tcPr>
          <w:p w14:paraId="0CB0C6A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w:t>
            </w:r>
          </w:p>
        </w:tc>
      </w:tr>
      <w:tr w14:paraId="22D43DEE">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25C1608D">
            <w:pPr>
              <w:widowControl/>
              <w:jc w:val="left"/>
              <w:rPr>
                <w:rFonts w:ascii="仿宋_GB2312" w:hAnsi="仿宋" w:eastAsia="仿宋_GB2312" w:cs="宋体"/>
                <w:b/>
                <w:bCs/>
                <w:color w:val="auto"/>
                <w:kern w:val="0"/>
                <w:sz w:val="18"/>
                <w:szCs w:val="18"/>
                <w:highlight w:val="none"/>
              </w:rPr>
            </w:pPr>
          </w:p>
        </w:tc>
        <w:tc>
          <w:tcPr>
            <w:tcW w:w="831" w:type="pct"/>
            <w:tcBorders>
              <w:top w:val="nil"/>
              <w:left w:val="nil"/>
              <w:bottom w:val="single" w:color="auto" w:sz="4" w:space="0"/>
              <w:right w:val="single" w:color="auto" w:sz="4" w:space="0"/>
            </w:tcBorders>
            <w:vAlign w:val="center"/>
          </w:tcPr>
          <w:p w14:paraId="3590B760">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营业收入</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Y）</w:t>
            </w:r>
          </w:p>
        </w:tc>
        <w:tc>
          <w:tcPr>
            <w:tcW w:w="748" w:type="pct"/>
            <w:tcBorders>
              <w:top w:val="nil"/>
              <w:left w:val="nil"/>
              <w:bottom w:val="single" w:color="auto" w:sz="4" w:space="0"/>
              <w:right w:val="single" w:color="auto" w:sz="4" w:space="0"/>
            </w:tcBorders>
            <w:vAlign w:val="center"/>
          </w:tcPr>
          <w:p w14:paraId="0EF996B7">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7443EFD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30000</w:t>
            </w:r>
          </w:p>
        </w:tc>
        <w:tc>
          <w:tcPr>
            <w:tcW w:w="902" w:type="pct"/>
            <w:tcBorders>
              <w:top w:val="nil"/>
              <w:left w:val="nil"/>
              <w:bottom w:val="single" w:color="auto" w:sz="4" w:space="0"/>
              <w:right w:val="single" w:color="auto" w:sz="4" w:space="0"/>
            </w:tcBorders>
            <w:vAlign w:val="center"/>
          </w:tcPr>
          <w:p w14:paraId="2BED727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2000</w:t>
            </w:r>
          </w:p>
        </w:tc>
        <w:tc>
          <w:tcPr>
            <w:tcW w:w="579" w:type="pct"/>
            <w:tcBorders>
              <w:top w:val="nil"/>
              <w:left w:val="nil"/>
              <w:bottom w:val="single" w:color="auto" w:sz="4" w:space="0"/>
              <w:right w:val="single" w:color="auto" w:sz="4" w:space="0"/>
            </w:tcBorders>
            <w:vAlign w:val="center"/>
          </w:tcPr>
          <w:p w14:paraId="12F97E2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r>
      <w:tr w14:paraId="4132226B">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39D17499">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住宿业</w:t>
            </w:r>
          </w:p>
        </w:tc>
        <w:tc>
          <w:tcPr>
            <w:tcW w:w="831" w:type="pct"/>
            <w:tcBorders>
              <w:top w:val="nil"/>
              <w:left w:val="nil"/>
              <w:bottom w:val="single" w:color="auto" w:sz="4" w:space="0"/>
              <w:right w:val="single" w:color="auto" w:sz="4" w:space="0"/>
            </w:tcBorders>
            <w:vAlign w:val="center"/>
          </w:tcPr>
          <w:p w14:paraId="5DF8F49E">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从业</w:t>
            </w:r>
            <w:r>
              <w:rPr>
                <w:rFonts w:hint="eastAsia" w:ascii="___WRD_EMBED_SUB_45" w:hAnsi="___WRD_EMBED_SUB_45" w:eastAsia="___WRD_EMBED_SUB_45" w:cs="___WRD_EMBED_SUB_45"/>
                <w:color w:val="auto"/>
                <w:kern w:val="0"/>
                <w:sz w:val="18"/>
                <w:szCs w:val="18"/>
                <w:highlight w:val="none"/>
              </w:rPr>
              <w:t>人</w:t>
            </w:r>
            <w:r>
              <w:rPr>
                <w:rFonts w:hint="eastAsia" w:ascii="微软雅黑" w:hAnsi="微软雅黑" w:eastAsia="微软雅黑" w:cs="微软雅黑"/>
                <w:color w:val="auto"/>
                <w:kern w:val="0"/>
                <w:sz w:val="18"/>
                <w:szCs w:val="18"/>
                <w:highlight w:val="none"/>
              </w:rPr>
              <w:t>员</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X）</w:t>
            </w:r>
          </w:p>
        </w:tc>
        <w:tc>
          <w:tcPr>
            <w:tcW w:w="748" w:type="pct"/>
            <w:tcBorders>
              <w:top w:val="nil"/>
              <w:left w:val="nil"/>
              <w:bottom w:val="single" w:color="auto" w:sz="4" w:space="0"/>
              <w:right w:val="single" w:color="auto" w:sz="4" w:space="0"/>
            </w:tcBorders>
            <w:vAlign w:val="center"/>
          </w:tcPr>
          <w:p w14:paraId="7CB06D7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62" w:type="pct"/>
            <w:tcBorders>
              <w:top w:val="nil"/>
              <w:left w:val="nil"/>
              <w:bottom w:val="single" w:color="auto" w:sz="4" w:space="0"/>
              <w:right w:val="single" w:color="auto" w:sz="4" w:space="0"/>
            </w:tcBorders>
            <w:vAlign w:val="center"/>
          </w:tcPr>
          <w:p w14:paraId="15CD135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w:t>
            </w:r>
          </w:p>
        </w:tc>
        <w:tc>
          <w:tcPr>
            <w:tcW w:w="902" w:type="pct"/>
            <w:tcBorders>
              <w:top w:val="nil"/>
              <w:left w:val="nil"/>
              <w:bottom w:val="single" w:color="auto" w:sz="4" w:space="0"/>
              <w:right w:val="single" w:color="auto" w:sz="4" w:space="0"/>
            </w:tcBorders>
            <w:vAlign w:val="center"/>
          </w:tcPr>
          <w:p w14:paraId="3BE1DFD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c>
          <w:tcPr>
            <w:tcW w:w="579" w:type="pct"/>
            <w:tcBorders>
              <w:top w:val="nil"/>
              <w:left w:val="nil"/>
              <w:bottom w:val="single" w:color="auto" w:sz="4" w:space="0"/>
              <w:right w:val="single" w:color="auto" w:sz="4" w:space="0"/>
            </w:tcBorders>
            <w:vAlign w:val="center"/>
          </w:tcPr>
          <w:p w14:paraId="3D853B7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w:t>
            </w:r>
          </w:p>
        </w:tc>
      </w:tr>
      <w:tr w14:paraId="78B48100">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292C0064">
            <w:pPr>
              <w:widowControl/>
              <w:jc w:val="left"/>
              <w:rPr>
                <w:rFonts w:ascii="仿宋_GB2312" w:hAnsi="仿宋" w:eastAsia="仿宋_GB2312" w:cs="宋体"/>
                <w:b/>
                <w:bCs/>
                <w:color w:val="auto"/>
                <w:kern w:val="0"/>
                <w:sz w:val="18"/>
                <w:szCs w:val="18"/>
                <w:highlight w:val="none"/>
              </w:rPr>
            </w:pPr>
          </w:p>
        </w:tc>
        <w:tc>
          <w:tcPr>
            <w:tcW w:w="831" w:type="pct"/>
            <w:tcBorders>
              <w:top w:val="nil"/>
              <w:left w:val="nil"/>
              <w:bottom w:val="single" w:color="auto" w:sz="4" w:space="0"/>
              <w:right w:val="single" w:color="auto" w:sz="4" w:space="0"/>
            </w:tcBorders>
            <w:vAlign w:val="center"/>
          </w:tcPr>
          <w:p w14:paraId="513ACE71">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营业收入</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Y）</w:t>
            </w:r>
          </w:p>
        </w:tc>
        <w:tc>
          <w:tcPr>
            <w:tcW w:w="748" w:type="pct"/>
            <w:tcBorders>
              <w:top w:val="nil"/>
              <w:left w:val="nil"/>
              <w:bottom w:val="single" w:color="auto" w:sz="4" w:space="0"/>
              <w:right w:val="single" w:color="auto" w:sz="4" w:space="0"/>
            </w:tcBorders>
            <w:vAlign w:val="center"/>
          </w:tcPr>
          <w:p w14:paraId="444CE3A6">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6C9E9FA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10000</w:t>
            </w:r>
          </w:p>
        </w:tc>
        <w:tc>
          <w:tcPr>
            <w:tcW w:w="902" w:type="pct"/>
            <w:tcBorders>
              <w:top w:val="nil"/>
              <w:left w:val="nil"/>
              <w:bottom w:val="single" w:color="auto" w:sz="4" w:space="0"/>
              <w:right w:val="single" w:color="auto" w:sz="4" w:space="0"/>
            </w:tcBorders>
            <w:vAlign w:val="center"/>
          </w:tcPr>
          <w:p w14:paraId="0ABFD03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2000</w:t>
            </w:r>
          </w:p>
        </w:tc>
        <w:tc>
          <w:tcPr>
            <w:tcW w:w="579" w:type="pct"/>
            <w:tcBorders>
              <w:top w:val="nil"/>
              <w:left w:val="nil"/>
              <w:bottom w:val="single" w:color="auto" w:sz="4" w:space="0"/>
              <w:right w:val="single" w:color="auto" w:sz="4" w:space="0"/>
            </w:tcBorders>
            <w:vAlign w:val="center"/>
          </w:tcPr>
          <w:p w14:paraId="3C649EE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r>
      <w:tr w14:paraId="5F0A1CFC">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1E0A7709">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餐饮业</w:t>
            </w:r>
          </w:p>
        </w:tc>
        <w:tc>
          <w:tcPr>
            <w:tcW w:w="831" w:type="pct"/>
            <w:tcBorders>
              <w:top w:val="nil"/>
              <w:left w:val="nil"/>
              <w:bottom w:val="single" w:color="auto" w:sz="4" w:space="0"/>
              <w:right w:val="single" w:color="auto" w:sz="4" w:space="0"/>
            </w:tcBorders>
            <w:vAlign w:val="center"/>
          </w:tcPr>
          <w:p w14:paraId="5CEDC9FB">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从业</w:t>
            </w:r>
            <w:r>
              <w:rPr>
                <w:rFonts w:hint="eastAsia" w:ascii="___WRD_EMBED_SUB_45" w:hAnsi="___WRD_EMBED_SUB_45" w:eastAsia="___WRD_EMBED_SUB_45" w:cs="___WRD_EMBED_SUB_45"/>
                <w:color w:val="auto"/>
                <w:kern w:val="0"/>
                <w:sz w:val="18"/>
                <w:szCs w:val="18"/>
                <w:highlight w:val="none"/>
              </w:rPr>
              <w:t>人</w:t>
            </w:r>
            <w:r>
              <w:rPr>
                <w:rFonts w:hint="eastAsia" w:ascii="微软雅黑" w:hAnsi="微软雅黑" w:eastAsia="微软雅黑" w:cs="微软雅黑"/>
                <w:color w:val="auto"/>
                <w:kern w:val="0"/>
                <w:sz w:val="18"/>
                <w:szCs w:val="18"/>
                <w:highlight w:val="none"/>
              </w:rPr>
              <w:t>员</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X）</w:t>
            </w:r>
          </w:p>
        </w:tc>
        <w:tc>
          <w:tcPr>
            <w:tcW w:w="748" w:type="pct"/>
            <w:tcBorders>
              <w:top w:val="nil"/>
              <w:left w:val="nil"/>
              <w:bottom w:val="single" w:color="auto" w:sz="4" w:space="0"/>
              <w:right w:val="single" w:color="auto" w:sz="4" w:space="0"/>
            </w:tcBorders>
            <w:vAlign w:val="center"/>
          </w:tcPr>
          <w:p w14:paraId="795BD65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62" w:type="pct"/>
            <w:tcBorders>
              <w:top w:val="nil"/>
              <w:left w:val="nil"/>
              <w:bottom w:val="single" w:color="auto" w:sz="4" w:space="0"/>
              <w:right w:val="single" w:color="auto" w:sz="4" w:space="0"/>
            </w:tcBorders>
            <w:vAlign w:val="center"/>
          </w:tcPr>
          <w:p w14:paraId="2715F1E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w:t>
            </w:r>
          </w:p>
        </w:tc>
        <w:tc>
          <w:tcPr>
            <w:tcW w:w="902" w:type="pct"/>
            <w:tcBorders>
              <w:top w:val="nil"/>
              <w:left w:val="nil"/>
              <w:bottom w:val="single" w:color="auto" w:sz="4" w:space="0"/>
              <w:right w:val="single" w:color="auto" w:sz="4" w:space="0"/>
            </w:tcBorders>
            <w:vAlign w:val="center"/>
          </w:tcPr>
          <w:p w14:paraId="52B56AC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c>
          <w:tcPr>
            <w:tcW w:w="579" w:type="pct"/>
            <w:tcBorders>
              <w:top w:val="nil"/>
              <w:left w:val="nil"/>
              <w:bottom w:val="single" w:color="auto" w:sz="4" w:space="0"/>
              <w:right w:val="single" w:color="auto" w:sz="4" w:space="0"/>
            </w:tcBorders>
            <w:vAlign w:val="center"/>
          </w:tcPr>
          <w:p w14:paraId="7A8B720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w:t>
            </w:r>
          </w:p>
        </w:tc>
      </w:tr>
      <w:tr w14:paraId="3DFA96F6">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1E8988FD">
            <w:pPr>
              <w:widowControl/>
              <w:jc w:val="left"/>
              <w:rPr>
                <w:rFonts w:ascii="仿宋_GB2312" w:hAnsi="仿宋" w:eastAsia="仿宋_GB2312" w:cs="宋体"/>
                <w:b/>
                <w:bCs/>
                <w:color w:val="auto"/>
                <w:kern w:val="0"/>
                <w:sz w:val="18"/>
                <w:szCs w:val="18"/>
                <w:highlight w:val="none"/>
              </w:rPr>
            </w:pPr>
          </w:p>
        </w:tc>
        <w:tc>
          <w:tcPr>
            <w:tcW w:w="831" w:type="pct"/>
            <w:tcBorders>
              <w:top w:val="nil"/>
              <w:left w:val="nil"/>
              <w:bottom w:val="single" w:color="auto" w:sz="4" w:space="0"/>
              <w:right w:val="single" w:color="auto" w:sz="4" w:space="0"/>
            </w:tcBorders>
            <w:vAlign w:val="center"/>
          </w:tcPr>
          <w:p w14:paraId="00C29E81">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营业收入</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Y）</w:t>
            </w:r>
          </w:p>
        </w:tc>
        <w:tc>
          <w:tcPr>
            <w:tcW w:w="748" w:type="pct"/>
            <w:tcBorders>
              <w:top w:val="nil"/>
              <w:left w:val="nil"/>
              <w:bottom w:val="single" w:color="auto" w:sz="4" w:space="0"/>
              <w:right w:val="single" w:color="auto" w:sz="4" w:space="0"/>
            </w:tcBorders>
            <w:vAlign w:val="center"/>
          </w:tcPr>
          <w:p w14:paraId="220080A0">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6174D40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10000</w:t>
            </w:r>
          </w:p>
        </w:tc>
        <w:tc>
          <w:tcPr>
            <w:tcW w:w="902" w:type="pct"/>
            <w:tcBorders>
              <w:top w:val="nil"/>
              <w:left w:val="nil"/>
              <w:bottom w:val="single" w:color="auto" w:sz="4" w:space="0"/>
              <w:right w:val="single" w:color="auto" w:sz="4" w:space="0"/>
            </w:tcBorders>
            <w:vAlign w:val="center"/>
          </w:tcPr>
          <w:p w14:paraId="0623F8E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2000</w:t>
            </w:r>
          </w:p>
        </w:tc>
        <w:tc>
          <w:tcPr>
            <w:tcW w:w="579" w:type="pct"/>
            <w:tcBorders>
              <w:top w:val="nil"/>
              <w:left w:val="nil"/>
              <w:bottom w:val="single" w:color="auto" w:sz="4" w:space="0"/>
              <w:right w:val="single" w:color="auto" w:sz="4" w:space="0"/>
            </w:tcBorders>
            <w:vAlign w:val="center"/>
          </w:tcPr>
          <w:p w14:paraId="07EB630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r>
      <w:tr w14:paraId="30288A60">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3BE624B0">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信息传输业</w:t>
            </w:r>
          </w:p>
        </w:tc>
        <w:tc>
          <w:tcPr>
            <w:tcW w:w="831" w:type="pct"/>
            <w:tcBorders>
              <w:top w:val="nil"/>
              <w:left w:val="nil"/>
              <w:bottom w:val="single" w:color="auto" w:sz="4" w:space="0"/>
              <w:right w:val="single" w:color="auto" w:sz="4" w:space="0"/>
            </w:tcBorders>
            <w:vAlign w:val="center"/>
          </w:tcPr>
          <w:p w14:paraId="018BFF40">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从业</w:t>
            </w:r>
            <w:r>
              <w:rPr>
                <w:rFonts w:hint="eastAsia" w:ascii="___WRD_EMBED_SUB_45" w:hAnsi="___WRD_EMBED_SUB_45" w:eastAsia="___WRD_EMBED_SUB_45" w:cs="___WRD_EMBED_SUB_45"/>
                <w:color w:val="auto"/>
                <w:kern w:val="0"/>
                <w:sz w:val="18"/>
                <w:szCs w:val="18"/>
                <w:highlight w:val="none"/>
              </w:rPr>
              <w:t>人</w:t>
            </w:r>
            <w:r>
              <w:rPr>
                <w:rFonts w:hint="eastAsia" w:ascii="微软雅黑" w:hAnsi="微软雅黑" w:eastAsia="微软雅黑" w:cs="微软雅黑"/>
                <w:color w:val="auto"/>
                <w:kern w:val="0"/>
                <w:sz w:val="18"/>
                <w:szCs w:val="18"/>
                <w:highlight w:val="none"/>
              </w:rPr>
              <w:t>员</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X）</w:t>
            </w:r>
          </w:p>
        </w:tc>
        <w:tc>
          <w:tcPr>
            <w:tcW w:w="748" w:type="pct"/>
            <w:tcBorders>
              <w:top w:val="nil"/>
              <w:left w:val="nil"/>
              <w:bottom w:val="single" w:color="auto" w:sz="4" w:space="0"/>
              <w:right w:val="single" w:color="auto" w:sz="4" w:space="0"/>
            </w:tcBorders>
            <w:vAlign w:val="center"/>
          </w:tcPr>
          <w:p w14:paraId="2DEAA10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62" w:type="pct"/>
            <w:tcBorders>
              <w:top w:val="nil"/>
              <w:left w:val="nil"/>
              <w:bottom w:val="single" w:color="auto" w:sz="4" w:space="0"/>
              <w:right w:val="single" w:color="auto" w:sz="4" w:space="0"/>
            </w:tcBorders>
            <w:vAlign w:val="center"/>
          </w:tcPr>
          <w:p w14:paraId="7415D4B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2000</w:t>
            </w:r>
          </w:p>
        </w:tc>
        <w:tc>
          <w:tcPr>
            <w:tcW w:w="902" w:type="pct"/>
            <w:tcBorders>
              <w:top w:val="nil"/>
              <w:left w:val="nil"/>
              <w:bottom w:val="single" w:color="auto" w:sz="4" w:space="0"/>
              <w:right w:val="single" w:color="auto" w:sz="4" w:space="0"/>
            </w:tcBorders>
            <w:vAlign w:val="center"/>
          </w:tcPr>
          <w:p w14:paraId="34E7BE1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c>
          <w:tcPr>
            <w:tcW w:w="579" w:type="pct"/>
            <w:tcBorders>
              <w:top w:val="nil"/>
              <w:left w:val="nil"/>
              <w:bottom w:val="single" w:color="auto" w:sz="4" w:space="0"/>
              <w:right w:val="single" w:color="auto" w:sz="4" w:space="0"/>
            </w:tcBorders>
            <w:vAlign w:val="center"/>
          </w:tcPr>
          <w:p w14:paraId="5D3300D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w:t>
            </w:r>
          </w:p>
        </w:tc>
      </w:tr>
      <w:tr w14:paraId="08C13319">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32B4BF89">
            <w:pPr>
              <w:widowControl/>
              <w:jc w:val="left"/>
              <w:rPr>
                <w:rFonts w:ascii="仿宋_GB2312" w:hAnsi="仿宋" w:eastAsia="仿宋_GB2312" w:cs="宋体"/>
                <w:b/>
                <w:bCs/>
                <w:color w:val="auto"/>
                <w:kern w:val="0"/>
                <w:sz w:val="18"/>
                <w:szCs w:val="18"/>
                <w:highlight w:val="none"/>
              </w:rPr>
            </w:pPr>
          </w:p>
        </w:tc>
        <w:tc>
          <w:tcPr>
            <w:tcW w:w="831" w:type="pct"/>
            <w:tcBorders>
              <w:top w:val="nil"/>
              <w:left w:val="nil"/>
              <w:bottom w:val="single" w:color="auto" w:sz="4" w:space="0"/>
              <w:right w:val="single" w:color="auto" w:sz="4" w:space="0"/>
            </w:tcBorders>
            <w:vAlign w:val="center"/>
          </w:tcPr>
          <w:p w14:paraId="2F56D204">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营业收入</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Y）</w:t>
            </w:r>
          </w:p>
        </w:tc>
        <w:tc>
          <w:tcPr>
            <w:tcW w:w="748" w:type="pct"/>
            <w:tcBorders>
              <w:top w:val="nil"/>
              <w:left w:val="nil"/>
              <w:bottom w:val="single" w:color="auto" w:sz="4" w:space="0"/>
              <w:right w:val="single" w:color="auto" w:sz="4" w:space="0"/>
            </w:tcBorders>
            <w:vAlign w:val="center"/>
          </w:tcPr>
          <w:p w14:paraId="37BC3770">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50FDE84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100000</w:t>
            </w:r>
          </w:p>
        </w:tc>
        <w:tc>
          <w:tcPr>
            <w:tcW w:w="902" w:type="pct"/>
            <w:tcBorders>
              <w:top w:val="nil"/>
              <w:left w:val="nil"/>
              <w:bottom w:val="single" w:color="auto" w:sz="4" w:space="0"/>
              <w:right w:val="single" w:color="auto" w:sz="4" w:space="0"/>
            </w:tcBorders>
            <w:vAlign w:val="center"/>
          </w:tcPr>
          <w:p w14:paraId="2D27585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w:t>
            </w:r>
          </w:p>
        </w:tc>
        <w:tc>
          <w:tcPr>
            <w:tcW w:w="579" w:type="pct"/>
            <w:tcBorders>
              <w:top w:val="nil"/>
              <w:left w:val="nil"/>
              <w:bottom w:val="single" w:color="auto" w:sz="4" w:space="0"/>
              <w:right w:val="single" w:color="auto" w:sz="4" w:space="0"/>
            </w:tcBorders>
            <w:vAlign w:val="center"/>
          </w:tcPr>
          <w:p w14:paraId="2240680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r>
      <w:tr w14:paraId="73F02DCA">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264205A0">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软件和信息技术服务业</w:t>
            </w:r>
          </w:p>
        </w:tc>
        <w:tc>
          <w:tcPr>
            <w:tcW w:w="831" w:type="pct"/>
            <w:tcBorders>
              <w:top w:val="nil"/>
              <w:left w:val="nil"/>
              <w:bottom w:val="single" w:color="auto" w:sz="4" w:space="0"/>
              <w:right w:val="single" w:color="auto" w:sz="4" w:space="0"/>
            </w:tcBorders>
            <w:vAlign w:val="center"/>
          </w:tcPr>
          <w:p w14:paraId="57E63847">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从业</w:t>
            </w:r>
            <w:r>
              <w:rPr>
                <w:rFonts w:hint="eastAsia" w:ascii="___WRD_EMBED_SUB_45" w:hAnsi="___WRD_EMBED_SUB_45" w:eastAsia="___WRD_EMBED_SUB_45" w:cs="___WRD_EMBED_SUB_45"/>
                <w:color w:val="auto"/>
                <w:kern w:val="0"/>
                <w:sz w:val="18"/>
                <w:szCs w:val="18"/>
                <w:highlight w:val="none"/>
              </w:rPr>
              <w:t>人</w:t>
            </w:r>
            <w:r>
              <w:rPr>
                <w:rFonts w:hint="eastAsia" w:ascii="微软雅黑" w:hAnsi="微软雅黑" w:eastAsia="微软雅黑" w:cs="微软雅黑"/>
                <w:color w:val="auto"/>
                <w:kern w:val="0"/>
                <w:sz w:val="18"/>
                <w:szCs w:val="18"/>
                <w:highlight w:val="none"/>
              </w:rPr>
              <w:t>员</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X）</w:t>
            </w:r>
          </w:p>
        </w:tc>
        <w:tc>
          <w:tcPr>
            <w:tcW w:w="748" w:type="pct"/>
            <w:tcBorders>
              <w:top w:val="nil"/>
              <w:left w:val="nil"/>
              <w:bottom w:val="single" w:color="auto" w:sz="4" w:space="0"/>
              <w:right w:val="single" w:color="auto" w:sz="4" w:space="0"/>
            </w:tcBorders>
            <w:vAlign w:val="center"/>
          </w:tcPr>
          <w:p w14:paraId="06263B0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62" w:type="pct"/>
            <w:tcBorders>
              <w:top w:val="nil"/>
              <w:left w:val="nil"/>
              <w:bottom w:val="single" w:color="auto" w:sz="4" w:space="0"/>
              <w:right w:val="single" w:color="auto" w:sz="4" w:space="0"/>
            </w:tcBorders>
            <w:vAlign w:val="center"/>
          </w:tcPr>
          <w:p w14:paraId="5BFF4CF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w:t>
            </w:r>
          </w:p>
        </w:tc>
        <w:tc>
          <w:tcPr>
            <w:tcW w:w="902" w:type="pct"/>
            <w:tcBorders>
              <w:top w:val="nil"/>
              <w:left w:val="nil"/>
              <w:bottom w:val="single" w:color="auto" w:sz="4" w:space="0"/>
              <w:right w:val="single" w:color="auto" w:sz="4" w:space="0"/>
            </w:tcBorders>
            <w:vAlign w:val="center"/>
          </w:tcPr>
          <w:p w14:paraId="6E23254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c>
          <w:tcPr>
            <w:tcW w:w="579" w:type="pct"/>
            <w:tcBorders>
              <w:top w:val="nil"/>
              <w:left w:val="nil"/>
              <w:bottom w:val="single" w:color="auto" w:sz="4" w:space="0"/>
              <w:right w:val="single" w:color="auto" w:sz="4" w:space="0"/>
            </w:tcBorders>
            <w:vAlign w:val="center"/>
          </w:tcPr>
          <w:p w14:paraId="7E2EC2B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w:t>
            </w:r>
          </w:p>
        </w:tc>
      </w:tr>
      <w:tr w14:paraId="5E9C1931">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59E85C22">
            <w:pPr>
              <w:widowControl/>
              <w:jc w:val="left"/>
              <w:rPr>
                <w:rFonts w:ascii="仿宋_GB2312" w:hAnsi="仿宋" w:eastAsia="仿宋_GB2312" w:cs="宋体"/>
                <w:b/>
                <w:bCs/>
                <w:color w:val="auto"/>
                <w:kern w:val="0"/>
                <w:sz w:val="18"/>
                <w:szCs w:val="18"/>
                <w:highlight w:val="none"/>
              </w:rPr>
            </w:pPr>
          </w:p>
        </w:tc>
        <w:tc>
          <w:tcPr>
            <w:tcW w:w="831" w:type="pct"/>
            <w:tcBorders>
              <w:top w:val="nil"/>
              <w:left w:val="nil"/>
              <w:bottom w:val="single" w:color="auto" w:sz="4" w:space="0"/>
              <w:right w:val="single" w:color="auto" w:sz="4" w:space="0"/>
            </w:tcBorders>
            <w:vAlign w:val="center"/>
          </w:tcPr>
          <w:p w14:paraId="4F87B39A">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营业收入</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Y）</w:t>
            </w:r>
          </w:p>
        </w:tc>
        <w:tc>
          <w:tcPr>
            <w:tcW w:w="748" w:type="pct"/>
            <w:tcBorders>
              <w:top w:val="nil"/>
              <w:left w:val="nil"/>
              <w:bottom w:val="single" w:color="auto" w:sz="4" w:space="0"/>
              <w:right w:val="single" w:color="auto" w:sz="4" w:space="0"/>
            </w:tcBorders>
            <w:vAlign w:val="center"/>
          </w:tcPr>
          <w:p w14:paraId="59C43D03">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5A1B7AA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10000</w:t>
            </w:r>
          </w:p>
        </w:tc>
        <w:tc>
          <w:tcPr>
            <w:tcW w:w="902" w:type="pct"/>
            <w:tcBorders>
              <w:top w:val="nil"/>
              <w:left w:val="nil"/>
              <w:bottom w:val="single" w:color="auto" w:sz="4" w:space="0"/>
              <w:right w:val="single" w:color="auto" w:sz="4" w:space="0"/>
            </w:tcBorders>
            <w:vAlign w:val="center"/>
          </w:tcPr>
          <w:p w14:paraId="37FA5A2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w:t>
            </w:r>
          </w:p>
        </w:tc>
        <w:tc>
          <w:tcPr>
            <w:tcW w:w="579" w:type="pct"/>
            <w:tcBorders>
              <w:top w:val="nil"/>
              <w:left w:val="nil"/>
              <w:bottom w:val="single" w:color="auto" w:sz="4" w:space="0"/>
              <w:right w:val="single" w:color="auto" w:sz="4" w:space="0"/>
            </w:tcBorders>
            <w:vAlign w:val="center"/>
          </w:tcPr>
          <w:p w14:paraId="5B82C17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50</w:t>
            </w:r>
          </w:p>
        </w:tc>
      </w:tr>
      <w:tr w14:paraId="017A1824">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213EF939">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房地产开发经营</w:t>
            </w:r>
          </w:p>
        </w:tc>
        <w:tc>
          <w:tcPr>
            <w:tcW w:w="831" w:type="pct"/>
            <w:tcBorders>
              <w:top w:val="nil"/>
              <w:left w:val="nil"/>
              <w:bottom w:val="single" w:color="auto" w:sz="4" w:space="0"/>
              <w:right w:val="single" w:color="auto" w:sz="4" w:space="0"/>
            </w:tcBorders>
            <w:vAlign w:val="center"/>
          </w:tcPr>
          <w:p w14:paraId="0F47331B">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营业收入</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Y）</w:t>
            </w:r>
          </w:p>
        </w:tc>
        <w:tc>
          <w:tcPr>
            <w:tcW w:w="748" w:type="pct"/>
            <w:tcBorders>
              <w:top w:val="nil"/>
              <w:left w:val="nil"/>
              <w:bottom w:val="single" w:color="auto" w:sz="4" w:space="0"/>
              <w:right w:val="single" w:color="auto" w:sz="4" w:space="0"/>
            </w:tcBorders>
            <w:vAlign w:val="center"/>
          </w:tcPr>
          <w:p w14:paraId="2E750BCA">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566B1DE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200000</w:t>
            </w:r>
          </w:p>
        </w:tc>
        <w:tc>
          <w:tcPr>
            <w:tcW w:w="902" w:type="pct"/>
            <w:tcBorders>
              <w:top w:val="nil"/>
              <w:left w:val="nil"/>
              <w:bottom w:val="single" w:color="auto" w:sz="4" w:space="0"/>
              <w:right w:val="single" w:color="auto" w:sz="4" w:space="0"/>
            </w:tcBorders>
            <w:vAlign w:val="center"/>
          </w:tcPr>
          <w:p w14:paraId="1154EC0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w:t>
            </w:r>
          </w:p>
        </w:tc>
        <w:tc>
          <w:tcPr>
            <w:tcW w:w="579" w:type="pct"/>
            <w:tcBorders>
              <w:top w:val="nil"/>
              <w:left w:val="nil"/>
              <w:bottom w:val="single" w:color="auto" w:sz="4" w:space="0"/>
              <w:right w:val="single" w:color="auto" w:sz="4" w:space="0"/>
            </w:tcBorders>
            <w:vAlign w:val="center"/>
          </w:tcPr>
          <w:p w14:paraId="361E427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r>
      <w:tr w14:paraId="282ECD37">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20EBC6B0">
            <w:pPr>
              <w:widowControl/>
              <w:jc w:val="left"/>
              <w:rPr>
                <w:rFonts w:ascii="仿宋_GB2312" w:hAnsi="仿宋" w:eastAsia="仿宋_GB2312" w:cs="宋体"/>
                <w:b/>
                <w:bCs/>
                <w:color w:val="auto"/>
                <w:kern w:val="0"/>
                <w:sz w:val="18"/>
                <w:szCs w:val="18"/>
                <w:highlight w:val="none"/>
              </w:rPr>
            </w:pPr>
          </w:p>
        </w:tc>
        <w:tc>
          <w:tcPr>
            <w:tcW w:w="831" w:type="pct"/>
            <w:tcBorders>
              <w:top w:val="nil"/>
              <w:left w:val="nil"/>
              <w:bottom w:val="single" w:color="auto" w:sz="4" w:space="0"/>
              <w:right w:val="single" w:color="auto" w:sz="4" w:space="0"/>
            </w:tcBorders>
            <w:vAlign w:val="center"/>
          </w:tcPr>
          <w:p w14:paraId="079B7D32">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资产总额</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Z）</w:t>
            </w:r>
          </w:p>
        </w:tc>
        <w:tc>
          <w:tcPr>
            <w:tcW w:w="748" w:type="pct"/>
            <w:tcBorders>
              <w:top w:val="nil"/>
              <w:left w:val="nil"/>
              <w:bottom w:val="single" w:color="auto" w:sz="4" w:space="0"/>
              <w:right w:val="single" w:color="auto" w:sz="4" w:space="0"/>
            </w:tcBorders>
            <w:vAlign w:val="center"/>
          </w:tcPr>
          <w:p w14:paraId="06C7D9B9">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43996FA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Z</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10000</w:t>
            </w:r>
          </w:p>
        </w:tc>
        <w:tc>
          <w:tcPr>
            <w:tcW w:w="902" w:type="pct"/>
            <w:tcBorders>
              <w:top w:val="nil"/>
              <w:left w:val="nil"/>
              <w:bottom w:val="single" w:color="auto" w:sz="4" w:space="0"/>
              <w:right w:val="single" w:color="auto" w:sz="4" w:space="0"/>
            </w:tcBorders>
            <w:vAlign w:val="center"/>
          </w:tcPr>
          <w:p w14:paraId="6460C5F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5000</w:t>
            </w:r>
          </w:p>
        </w:tc>
        <w:tc>
          <w:tcPr>
            <w:tcW w:w="579" w:type="pct"/>
            <w:tcBorders>
              <w:top w:val="nil"/>
              <w:left w:val="nil"/>
              <w:bottom w:val="single" w:color="auto" w:sz="4" w:space="0"/>
              <w:right w:val="single" w:color="auto" w:sz="4" w:space="0"/>
            </w:tcBorders>
            <w:vAlign w:val="center"/>
          </w:tcPr>
          <w:p w14:paraId="750AE6F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2000</w:t>
            </w:r>
          </w:p>
        </w:tc>
      </w:tr>
      <w:tr w14:paraId="4525028E">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78DA9F92">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物业管</w:t>
            </w:r>
            <w:r>
              <w:rPr>
                <w:rFonts w:hint="eastAsia" w:ascii="___WRD_EMBED_SUB_45" w:hAnsi="___WRD_EMBED_SUB_45" w:eastAsia="___WRD_EMBED_SUB_45" w:cs="___WRD_EMBED_SUB_45"/>
                <w:b/>
                <w:bCs/>
                <w:color w:val="auto"/>
                <w:kern w:val="0"/>
                <w:sz w:val="18"/>
                <w:szCs w:val="18"/>
                <w:highlight w:val="none"/>
              </w:rPr>
              <w:t>理</w:t>
            </w:r>
          </w:p>
        </w:tc>
        <w:tc>
          <w:tcPr>
            <w:tcW w:w="831" w:type="pct"/>
            <w:tcBorders>
              <w:top w:val="nil"/>
              <w:left w:val="nil"/>
              <w:bottom w:val="single" w:color="auto" w:sz="4" w:space="0"/>
              <w:right w:val="single" w:color="auto" w:sz="4" w:space="0"/>
            </w:tcBorders>
            <w:vAlign w:val="center"/>
          </w:tcPr>
          <w:p w14:paraId="671B7380">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从业</w:t>
            </w:r>
            <w:r>
              <w:rPr>
                <w:rFonts w:hint="eastAsia" w:ascii="___WRD_EMBED_SUB_45" w:hAnsi="___WRD_EMBED_SUB_45" w:eastAsia="___WRD_EMBED_SUB_45" w:cs="___WRD_EMBED_SUB_45"/>
                <w:color w:val="auto"/>
                <w:kern w:val="0"/>
                <w:sz w:val="18"/>
                <w:szCs w:val="18"/>
                <w:highlight w:val="none"/>
              </w:rPr>
              <w:t>人</w:t>
            </w:r>
            <w:r>
              <w:rPr>
                <w:rFonts w:hint="eastAsia" w:ascii="微软雅黑" w:hAnsi="微软雅黑" w:eastAsia="微软雅黑" w:cs="微软雅黑"/>
                <w:color w:val="auto"/>
                <w:kern w:val="0"/>
                <w:sz w:val="18"/>
                <w:szCs w:val="18"/>
                <w:highlight w:val="none"/>
              </w:rPr>
              <w:t>员</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X）</w:t>
            </w:r>
          </w:p>
        </w:tc>
        <w:tc>
          <w:tcPr>
            <w:tcW w:w="748" w:type="pct"/>
            <w:tcBorders>
              <w:top w:val="nil"/>
              <w:left w:val="nil"/>
              <w:bottom w:val="single" w:color="auto" w:sz="4" w:space="0"/>
              <w:right w:val="single" w:color="auto" w:sz="4" w:space="0"/>
            </w:tcBorders>
            <w:vAlign w:val="center"/>
          </w:tcPr>
          <w:p w14:paraId="59DD0CF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62" w:type="pct"/>
            <w:tcBorders>
              <w:top w:val="nil"/>
              <w:left w:val="nil"/>
              <w:bottom w:val="single" w:color="auto" w:sz="4" w:space="0"/>
              <w:right w:val="single" w:color="auto" w:sz="4" w:space="0"/>
            </w:tcBorders>
            <w:vAlign w:val="center"/>
          </w:tcPr>
          <w:p w14:paraId="5B70E02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w:t>
            </w:r>
          </w:p>
        </w:tc>
        <w:tc>
          <w:tcPr>
            <w:tcW w:w="902" w:type="pct"/>
            <w:tcBorders>
              <w:top w:val="nil"/>
              <w:left w:val="nil"/>
              <w:bottom w:val="single" w:color="auto" w:sz="4" w:space="0"/>
              <w:right w:val="single" w:color="auto" w:sz="4" w:space="0"/>
            </w:tcBorders>
            <w:vAlign w:val="center"/>
          </w:tcPr>
          <w:p w14:paraId="52E688C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w:t>
            </w:r>
          </w:p>
        </w:tc>
        <w:tc>
          <w:tcPr>
            <w:tcW w:w="579" w:type="pct"/>
            <w:tcBorders>
              <w:top w:val="nil"/>
              <w:left w:val="nil"/>
              <w:bottom w:val="single" w:color="auto" w:sz="4" w:space="0"/>
              <w:right w:val="single" w:color="auto" w:sz="4" w:space="0"/>
            </w:tcBorders>
            <w:vAlign w:val="center"/>
          </w:tcPr>
          <w:p w14:paraId="10F3976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r>
      <w:tr w14:paraId="6EDADE67">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4910790D">
            <w:pPr>
              <w:widowControl/>
              <w:jc w:val="left"/>
              <w:rPr>
                <w:rFonts w:ascii="仿宋_GB2312" w:hAnsi="仿宋" w:eastAsia="仿宋_GB2312" w:cs="宋体"/>
                <w:b/>
                <w:bCs/>
                <w:color w:val="auto"/>
                <w:kern w:val="0"/>
                <w:sz w:val="18"/>
                <w:szCs w:val="18"/>
                <w:highlight w:val="none"/>
              </w:rPr>
            </w:pPr>
          </w:p>
        </w:tc>
        <w:tc>
          <w:tcPr>
            <w:tcW w:w="831" w:type="pct"/>
            <w:tcBorders>
              <w:top w:val="nil"/>
              <w:left w:val="nil"/>
              <w:bottom w:val="single" w:color="auto" w:sz="4" w:space="0"/>
              <w:right w:val="single" w:color="auto" w:sz="4" w:space="0"/>
            </w:tcBorders>
            <w:vAlign w:val="center"/>
          </w:tcPr>
          <w:p w14:paraId="0BCC0194">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营业收入</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Y）</w:t>
            </w:r>
          </w:p>
        </w:tc>
        <w:tc>
          <w:tcPr>
            <w:tcW w:w="748" w:type="pct"/>
            <w:tcBorders>
              <w:top w:val="nil"/>
              <w:left w:val="nil"/>
              <w:bottom w:val="single" w:color="auto" w:sz="4" w:space="0"/>
              <w:right w:val="single" w:color="auto" w:sz="4" w:space="0"/>
            </w:tcBorders>
            <w:vAlign w:val="center"/>
          </w:tcPr>
          <w:p w14:paraId="7E22886E">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1337D14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5000</w:t>
            </w:r>
          </w:p>
        </w:tc>
        <w:tc>
          <w:tcPr>
            <w:tcW w:w="902" w:type="pct"/>
            <w:tcBorders>
              <w:top w:val="nil"/>
              <w:left w:val="nil"/>
              <w:bottom w:val="single" w:color="auto" w:sz="4" w:space="0"/>
              <w:right w:val="single" w:color="auto" w:sz="4" w:space="0"/>
            </w:tcBorders>
            <w:vAlign w:val="center"/>
          </w:tcPr>
          <w:p w14:paraId="4406220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w:t>
            </w:r>
          </w:p>
        </w:tc>
        <w:tc>
          <w:tcPr>
            <w:tcW w:w="579" w:type="pct"/>
            <w:tcBorders>
              <w:top w:val="nil"/>
              <w:left w:val="nil"/>
              <w:bottom w:val="single" w:color="auto" w:sz="4" w:space="0"/>
              <w:right w:val="single" w:color="auto" w:sz="4" w:space="0"/>
            </w:tcBorders>
            <w:vAlign w:val="center"/>
          </w:tcPr>
          <w:p w14:paraId="26515A5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500</w:t>
            </w:r>
          </w:p>
        </w:tc>
      </w:tr>
      <w:tr w14:paraId="5EDB830A">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146046D8">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租赁和商务服务业</w:t>
            </w:r>
          </w:p>
        </w:tc>
        <w:tc>
          <w:tcPr>
            <w:tcW w:w="831" w:type="pct"/>
            <w:tcBorders>
              <w:top w:val="nil"/>
              <w:left w:val="nil"/>
              <w:bottom w:val="single" w:color="auto" w:sz="4" w:space="0"/>
              <w:right w:val="single" w:color="auto" w:sz="4" w:space="0"/>
            </w:tcBorders>
            <w:vAlign w:val="center"/>
          </w:tcPr>
          <w:p w14:paraId="2E35114C">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从业</w:t>
            </w:r>
            <w:r>
              <w:rPr>
                <w:rFonts w:hint="eastAsia" w:ascii="___WRD_EMBED_SUB_45" w:hAnsi="___WRD_EMBED_SUB_45" w:eastAsia="___WRD_EMBED_SUB_45" w:cs="___WRD_EMBED_SUB_45"/>
                <w:color w:val="auto"/>
                <w:kern w:val="0"/>
                <w:sz w:val="18"/>
                <w:szCs w:val="18"/>
                <w:highlight w:val="none"/>
              </w:rPr>
              <w:t>人</w:t>
            </w:r>
            <w:r>
              <w:rPr>
                <w:rFonts w:hint="eastAsia" w:ascii="微软雅黑" w:hAnsi="微软雅黑" w:eastAsia="微软雅黑" w:cs="微软雅黑"/>
                <w:color w:val="auto"/>
                <w:kern w:val="0"/>
                <w:sz w:val="18"/>
                <w:szCs w:val="18"/>
                <w:highlight w:val="none"/>
              </w:rPr>
              <w:t>员</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X）</w:t>
            </w:r>
          </w:p>
        </w:tc>
        <w:tc>
          <w:tcPr>
            <w:tcW w:w="748" w:type="pct"/>
            <w:tcBorders>
              <w:top w:val="nil"/>
              <w:left w:val="nil"/>
              <w:bottom w:val="single" w:color="auto" w:sz="4" w:space="0"/>
              <w:right w:val="single" w:color="auto" w:sz="4" w:space="0"/>
            </w:tcBorders>
            <w:vAlign w:val="center"/>
          </w:tcPr>
          <w:p w14:paraId="6FDBC2A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62" w:type="pct"/>
            <w:tcBorders>
              <w:top w:val="nil"/>
              <w:left w:val="nil"/>
              <w:bottom w:val="single" w:color="auto" w:sz="4" w:space="0"/>
              <w:right w:val="single" w:color="auto" w:sz="4" w:space="0"/>
            </w:tcBorders>
            <w:vAlign w:val="center"/>
          </w:tcPr>
          <w:p w14:paraId="1A2689B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w:t>
            </w:r>
          </w:p>
        </w:tc>
        <w:tc>
          <w:tcPr>
            <w:tcW w:w="902" w:type="pct"/>
            <w:tcBorders>
              <w:top w:val="nil"/>
              <w:left w:val="nil"/>
              <w:bottom w:val="single" w:color="auto" w:sz="4" w:space="0"/>
              <w:right w:val="single" w:color="auto" w:sz="4" w:space="0"/>
            </w:tcBorders>
            <w:vAlign w:val="center"/>
          </w:tcPr>
          <w:p w14:paraId="5E65DC4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c>
          <w:tcPr>
            <w:tcW w:w="579" w:type="pct"/>
            <w:tcBorders>
              <w:top w:val="nil"/>
              <w:left w:val="nil"/>
              <w:bottom w:val="single" w:color="auto" w:sz="4" w:space="0"/>
              <w:right w:val="single" w:color="auto" w:sz="4" w:space="0"/>
            </w:tcBorders>
            <w:vAlign w:val="center"/>
          </w:tcPr>
          <w:p w14:paraId="66C5418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w:t>
            </w:r>
          </w:p>
        </w:tc>
      </w:tr>
      <w:tr w14:paraId="4C69C9A4">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58E7CC6E">
            <w:pPr>
              <w:widowControl/>
              <w:jc w:val="left"/>
              <w:rPr>
                <w:rFonts w:ascii="仿宋_GB2312" w:hAnsi="仿宋" w:eastAsia="仿宋_GB2312" w:cs="宋体"/>
                <w:b/>
                <w:bCs/>
                <w:color w:val="auto"/>
                <w:kern w:val="0"/>
                <w:sz w:val="18"/>
                <w:szCs w:val="18"/>
                <w:highlight w:val="none"/>
              </w:rPr>
            </w:pPr>
          </w:p>
        </w:tc>
        <w:tc>
          <w:tcPr>
            <w:tcW w:w="831" w:type="pct"/>
            <w:tcBorders>
              <w:top w:val="nil"/>
              <w:left w:val="nil"/>
              <w:bottom w:val="single" w:color="auto" w:sz="4" w:space="0"/>
              <w:right w:val="single" w:color="auto" w:sz="4" w:space="0"/>
            </w:tcBorders>
            <w:vAlign w:val="center"/>
          </w:tcPr>
          <w:p w14:paraId="700B4D86">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资产总额</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Z）</w:t>
            </w:r>
          </w:p>
        </w:tc>
        <w:tc>
          <w:tcPr>
            <w:tcW w:w="748" w:type="pct"/>
            <w:tcBorders>
              <w:top w:val="nil"/>
              <w:left w:val="nil"/>
              <w:bottom w:val="single" w:color="auto" w:sz="4" w:space="0"/>
              <w:right w:val="single" w:color="auto" w:sz="4" w:space="0"/>
            </w:tcBorders>
            <w:vAlign w:val="center"/>
          </w:tcPr>
          <w:p w14:paraId="7044AC9E">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59A8324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Z</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120000</w:t>
            </w:r>
          </w:p>
        </w:tc>
        <w:tc>
          <w:tcPr>
            <w:tcW w:w="902" w:type="pct"/>
            <w:tcBorders>
              <w:top w:val="nil"/>
              <w:left w:val="nil"/>
              <w:bottom w:val="single" w:color="auto" w:sz="4" w:space="0"/>
              <w:right w:val="single" w:color="auto" w:sz="4" w:space="0"/>
            </w:tcBorders>
            <w:vAlign w:val="center"/>
          </w:tcPr>
          <w:p w14:paraId="76FCB9C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Z</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8000</w:t>
            </w:r>
          </w:p>
        </w:tc>
        <w:tc>
          <w:tcPr>
            <w:tcW w:w="579" w:type="pct"/>
            <w:tcBorders>
              <w:top w:val="nil"/>
              <w:left w:val="nil"/>
              <w:bottom w:val="single" w:color="auto" w:sz="4" w:space="0"/>
              <w:right w:val="single" w:color="auto" w:sz="4" w:space="0"/>
            </w:tcBorders>
            <w:vAlign w:val="center"/>
          </w:tcPr>
          <w:p w14:paraId="4A25702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r>
      <w:tr w14:paraId="07973B34">
        <w:tblPrEx>
          <w:tblCellMar>
            <w:top w:w="0" w:type="dxa"/>
            <w:left w:w="108" w:type="dxa"/>
            <w:bottom w:w="0" w:type="dxa"/>
            <w:right w:w="108" w:type="dxa"/>
          </w:tblCellMar>
        </w:tblPrEx>
        <w:trPr>
          <w:trHeight w:val="225" w:hRule="atLeast"/>
        </w:trPr>
        <w:tc>
          <w:tcPr>
            <w:tcW w:w="978" w:type="pct"/>
            <w:tcBorders>
              <w:top w:val="nil"/>
              <w:left w:val="single" w:color="auto" w:sz="4" w:space="0"/>
              <w:bottom w:val="single" w:color="auto" w:sz="4" w:space="0"/>
              <w:right w:val="single" w:color="auto" w:sz="4" w:space="0"/>
            </w:tcBorders>
            <w:vAlign w:val="bottom"/>
          </w:tcPr>
          <w:p w14:paraId="425BB66F">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其他未列明行业</w:t>
            </w:r>
          </w:p>
        </w:tc>
        <w:tc>
          <w:tcPr>
            <w:tcW w:w="831" w:type="pct"/>
            <w:tcBorders>
              <w:top w:val="nil"/>
              <w:left w:val="nil"/>
              <w:bottom w:val="single" w:color="auto" w:sz="4" w:space="0"/>
              <w:right w:val="single" w:color="auto" w:sz="4" w:space="0"/>
            </w:tcBorders>
            <w:vAlign w:val="center"/>
          </w:tcPr>
          <w:p w14:paraId="51538A8A">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从业</w:t>
            </w:r>
            <w:r>
              <w:rPr>
                <w:rFonts w:hint="eastAsia" w:ascii="___WRD_EMBED_SUB_45" w:hAnsi="___WRD_EMBED_SUB_45" w:eastAsia="___WRD_EMBED_SUB_45" w:cs="___WRD_EMBED_SUB_45"/>
                <w:color w:val="auto"/>
                <w:kern w:val="0"/>
                <w:sz w:val="18"/>
                <w:szCs w:val="18"/>
                <w:highlight w:val="none"/>
              </w:rPr>
              <w:t>人</w:t>
            </w:r>
            <w:r>
              <w:rPr>
                <w:rFonts w:hint="eastAsia" w:ascii="微软雅黑" w:hAnsi="微软雅黑" w:eastAsia="微软雅黑" w:cs="微软雅黑"/>
                <w:color w:val="auto"/>
                <w:kern w:val="0"/>
                <w:sz w:val="18"/>
                <w:szCs w:val="18"/>
                <w:highlight w:val="none"/>
              </w:rPr>
              <w:t>员</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X）</w:t>
            </w:r>
          </w:p>
        </w:tc>
        <w:tc>
          <w:tcPr>
            <w:tcW w:w="748" w:type="pct"/>
            <w:tcBorders>
              <w:top w:val="nil"/>
              <w:left w:val="nil"/>
              <w:bottom w:val="single" w:color="auto" w:sz="4" w:space="0"/>
              <w:right w:val="single" w:color="auto" w:sz="4" w:space="0"/>
            </w:tcBorders>
            <w:vAlign w:val="center"/>
          </w:tcPr>
          <w:p w14:paraId="0A12843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62" w:type="pct"/>
            <w:tcBorders>
              <w:top w:val="nil"/>
              <w:left w:val="nil"/>
              <w:bottom w:val="single" w:color="auto" w:sz="4" w:space="0"/>
              <w:right w:val="single" w:color="auto" w:sz="4" w:space="0"/>
            </w:tcBorders>
            <w:vAlign w:val="center"/>
          </w:tcPr>
          <w:p w14:paraId="37DEBFC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w:t>
            </w:r>
          </w:p>
        </w:tc>
        <w:tc>
          <w:tcPr>
            <w:tcW w:w="902" w:type="pct"/>
            <w:tcBorders>
              <w:top w:val="nil"/>
              <w:left w:val="nil"/>
              <w:bottom w:val="single" w:color="auto" w:sz="4" w:space="0"/>
              <w:right w:val="single" w:color="auto" w:sz="4" w:space="0"/>
            </w:tcBorders>
            <w:vAlign w:val="center"/>
          </w:tcPr>
          <w:p w14:paraId="77EB229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c>
          <w:tcPr>
            <w:tcW w:w="579" w:type="pct"/>
            <w:tcBorders>
              <w:top w:val="nil"/>
              <w:left w:val="nil"/>
              <w:bottom w:val="single" w:color="auto" w:sz="4" w:space="0"/>
              <w:right w:val="single" w:color="auto" w:sz="4" w:space="0"/>
            </w:tcBorders>
            <w:vAlign w:val="center"/>
          </w:tcPr>
          <w:p w14:paraId="5A599A9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w:t>
            </w:r>
          </w:p>
        </w:tc>
      </w:tr>
    </w:tbl>
    <w:p w14:paraId="25EAB7DB">
      <w:pPr>
        <w:spacing w:line="528"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30A181D2">
      <w:pPr>
        <w:widowControl/>
        <w:jc w:val="left"/>
        <w:rPr>
          <w:b/>
          <w:bCs/>
          <w:color w:val="auto"/>
          <w:kern w:val="44"/>
          <w:sz w:val="44"/>
          <w:szCs w:val="44"/>
          <w:highlight w:val="none"/>
        </w:rPr>
      </w:pPr>
      <w:r>
        <w:rPr>
          <w:color w:val="auto"/>
          <w:highlight w:val="none"/>
        </w:rPr>
        <w:br w:type="page"/>
      </w:r>
    </w:p>
    <w:p w14:paraId="5FE80420">
      <w:pPr>
        <w:pStyle w:val="3"/>
        <w:jc w:val="center"/>
        <w:rPr>
          <w:color w:val="auto"/>
          <w:highlight w:val="none"/>
        </w:rPr>
      </w:pPr>
      <w:bookmarkStart w:id="63" w:name="_Toc151675539"/>
      <w:r>
        <w:rPr>
          <w:rFonts w:hint="eastAsia"/>
          <w:color w:val="auto"/>
          <w:highlight w:val="none"/>
        </w:rPr>
        <w:t xml:space="preserve">第四章 </w:t>
      </w:r>
      <w:r>
        <w:rPr>
          <w:color w:val="auto"/>
          <w:highlight w:val="none"/>
        </w:rPr>
        <w:t xml:space="preserve"> </w:t>
      </w:r>
      <w:r>
        <w:rPr>
          <w:rFonts w:hint="eastAsia"/>
          <w:color w:val="auto"/>
          <w:highlight w:val="none"/>
        </w:rPr>
        <w:t>评审程序、评审方法和评审标准</w:t>
      </w:r>
      <w:bookmarkEnd w:id="63"/>
    </w:p>
    <w:p w14:paraId="57686F24">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一、评审程序和评审方法</w:t>
      </w:r>
    </w:p>
    <w:p w14:paraId="4FC147D2">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.资格审查</w:t>
      </w:r>
    </w:p>
    <w:p w14:paraId="2FBD10D1">
      <w:pPr>
        <w:snapToGrid w:val="0"/>
        <w:spacing w:line="360" w:lineRule="auto"/>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w:t>
      </w:r>
      <w:r>
        <w:rPr>
          <w:rFonts w:hint="eastAsia" w:ascii="宋体" w:hAnsi="宋体"/>
          <w:color w:val="auto"/>
          <w:szCs w:val="21"/>
          <w:highlight w:val="none"/>
        </w:rPr>
        <w:t>响应文件开启后，磋商小组依法对供应商的资格证明文件进行审查。</w:t>
      </w:r>
    </w:p>
    <w:p w14:paraId="7FBEFF7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w:t>
      </w:r>
      <w:r>
        <w:rPr>
          <w:rFonts w:hint="eastAsia"/>
          <w:color w:val="auto"/>
          <w:highlight w:val="none"/>
        </w:rPr>
        <w:t>磋商小组</w:t>
      </w:r>
      <w:r>
        <w:rPr>
          <w:rFonts w:hint="eastAsia" w:ascii="宋体" w:hAnsi="宋体" w:cs="宋体"/>
          <w:color w:val="auto"/>
          <w:szCs w:val="21"/>
          <w:highlight w:val="none"/>
        </w:rPr>
        <w:t>在资格审查结束前，对供应商进行信用查询。</w:t>
      </w:r>
    </w:p>
    <w:p w14:paraId="646FA6F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（1）查询渠道：广西政府采购云平台“信用中国”网站(www.creditchina.gov.cn)、中国政府采购网(www.ccgp.gov.cn)链接入口。</w:t>
      </w:r>
    </w:p>
    <w:p w14:paraId="19AD2C0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0D88A49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（3）查询记录和证据留存方式：在查询网站中直接查询，截图另存为电子文档作为评审资料保存。</w:t>
      </w:r>
    </w:p>
    <w:p w14:paraId="1F3C47D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信用信息使用规则：对在“信用中国”网站（www.creditchina.gov.cn）、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color w:val="auto"/>
          <w:szCs w:val="21"/>
          <w:highlight w:val="none"/>
        </w:rPr>
        <w:t>。</w:t>
      </w:r>
    </w:p>
    <w:p w14:paraId="78E639D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.2资格审查标准为本磋商文件中载明对供应商资格要求的条件。资格审查采用合格制，凡符合磋商文件规定的供应商资格要求的响应文件均通过资格审查。</w:t>
      </w:r>
    </w:p>
    <w:p w14:paraId="5F71F310">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.3供应商有下列情形之一的，资格审查不通过，其响应文件按无效响应处理：</w:t>
      </w:r>
    </w:p>
    <w:p w14:paraId="7D9757B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）不具备磋商文件中规定的资格要求的；</w:t>
      </w:r>
    </w:p>
    <w:p w14:paraId="74AC42F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（2）未按磋商文件规定的方式获取本磋商文件的供应商；</w:t>
      </w:r>
    </w:p>
    <w:p w14:paraId="2879CF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）响应文件的资格证明文件缺少任一项“供应商须知前附表”资格证明文件规定的“必须提供”的文件资料的；</w:t>
      </w:r>
    </w:p>
    <w:p w14:paraId="785D41D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）响应文件中的资格证明文件出现任一项不符合“供应商须知前附表”资格证明文件规定的“必须提供”的文件资料要求或者无效的；</w:t>
      </w:r>
    </w:p>
    <w:p w14:paraId="4A63B3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）同一合同项下的不同供应商，单位负责人为同一人或者存在直接控股、管理关系的；为本项目提供过整体设计、规范编制或者项目管理、监理、检测等服务的供应商，再参加该采购项目的其他采购活动的。</w:t>
      </w:r>
    </w:p>
    <w:p w14:paraId="7FAEA7E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.4通过资格审查的合格供应商不足3家的，不得进入符合性审查环节，</w:t>
      </w:r>
      <w:r>
        <w:rPr>
          <w:rFonts w:hint="eastAsia" w:ascii="宋体" w:hAnsi="宋体"/>
          <w:color w:val="auto"/>
          <w:szCs w:val="21"/>
          <w:highlight w:val="none"/>
        </w:rPr>
        <w:t>采购人或者采购代理机构应当重新开展采购活动。</w:t>
      </w:r>
    </w:p>
    <w:p w14:paraId="48A381E0">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.符合性审查</w:t>
      </w:r>
    </w:p>
    <w:p w14:paraId="60973E93">
      <w:pPr>
        <w:spacing w:line="360" w:lineRule="auto"/>
        <w:ind w:firstLine="420" w:firstLineChars="200"/>
        <w:rPr>
          <w:rFonts w:ascii="宋体" w:hAnsi="宋体" w:cs="宋体"/>
          <w:color w:val="auto"/>
          <w:szCs w:val="21"/>
          <w:highlight w:val="none"/>
        </w:rPr>
      </w:pPr>
      <w:bookmarkStart w:id="64" w:name="_Hlk42528882"/>
      <w:r>
        <w:rPr>
          <w:rFonts w:ascii="宋体" w:hAnsi="宋体" w:cs="宋体"/>
          <w:color w:val="auto"/>
          <w:szCs w:val="21"/>
          <w:highlight w:val="none"/>
        </w:rPr>
        <w:t>2.1</w:t>
      </w:r>
      <w:r>
        <w:rPr>
          <w:rFonts w:hint="eastAsia" w:ascii="宋体" w:hAnsi="宋体" w:cs="宋体"/>
          <w:color w:val="auto"/>
          <w:szCs w:val="21"/>
          <w:highlight w:val="none"/>
        </w:rPr>
        <w:t>由磋商小组对</w:t>
      </w:r>
      <w:r>
        <w:rPr>
          <w:rFonts w:hint="eastAsia" w:ascii="宋体" w:hAnsi="宋体"/>
          <w:color w:val="auto"/>
          <w:szCs w:val="21"/>
          <w:highlight w:val="none"/>
        </w:rPr>
        <w:t>通过资格审查的合格供应商</w:t>
      </w:r>
      <w:r>
        <w:rPr>
          <w:rFonts w:hint="eastAsia" w:ascii="宋体" w:hAnsi="宋体" w:cs="宋体"/>
          <w:color w:val="auto"/>
          <w:szCs w:val="21"/>
          <w:highlight w:val="none"/>
        </w:rPr>
        <w:t>的响应文件的竞标报价、商务、技术等实质性要求进行符合性审查，以确定其是否满足磋商文件的实质性要求。</w:t>
      </w:r>
    </w:p>
    <w:bookmarkEnd w:id="64"/>
    <w:p w14:paraId="0B8640C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2B69669">
      <w:pPr>
        <w:spacing w:line="360" w:lineRule="auto"/>
        <w:ind w:firstLine="420" w:firstLineChars="200"/>
        <w:rPr>
          <w:rFonts w:ascii="宋体" w:hAnsi="宋体" w:cs="宋体"/>
          <w:color w:val="auto"/>
          <w:spacing w:val="-6"/>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hAnsi="宋体"/>
          <w:color w:val="auto"/>
          <w:highlight w:val="none"/>
        </w:rPr>
        <w:t>签章</w:t>
      </w:r>
      <w:r>
        <w:rPr>
          <w:rFonts w:hint="eastAsia" w:ascii="宋体" w:hAnsi="宋体" w:cs="宋体"/>
          <w:color w:val="auto"/>
          <w:spacing w:val="-6"/>
          <w:szCs w:val="21"/>
          <w:highlight w:val="none"/>
        </w:rPr>
        <w:t>。</w:t>
      </w:r>
    </w:p>
    <w:p w14:paraId="70BFB1EF">
      <w:pPr>
        <w:spacing w:line="360" w:lineRule="auto"/>
        <w:ind w:firstLine="420" w:firstLineChars="200"/>
        <w:rPr>
          <w:rFonts w:ascii="宋体" w:hAnsi="宋体" w:cs="宋体"/>
          <w:color w:val="auto"/>
          <w:spacing w:val="-6"/>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207FB061">
      <w:pPr>
        <w:spacing w:line="360" w:lineRule="auto"/>
        <w:ind w:firstLine="396" w:firstLineChars="200"/>
        <w:rPr>
          <w:rFonts w:ascii="宋体" w:hAnsi="宋体" w:cs="宋体"/>
          <w:color w:val="auto"/>
          <w:szCs w:val="21"/>
          <w:highlight w:val="none"/>
        </w:rPr>
      </w:pPr>
      <w:r>
        <w:rPr>
          <w:rFonts w:ascii="宋体" w:hAnsi="宋体" w:cs="宋体"/>
          <w:color w:val="auto"/>
          <w:spacing w:val="-6"/>
          <w:szCs w:val="21"/>
          <w:highlight w:val="none"/>
        </w:rPr>
        <w:t>2.4</w:t>
      </w:r>
      <w:r>
        <w:rPr>
          <w:rFonts w:hint="eastAsia" w:ascii="宋体" w:hAnsi="宋体" w:cs="宋体"/>
          <w:color w:val="auto"/>
          <w:szCs w:val="21"/>
          <w:highlight w:val="none"/>
        </w:rPr>
        <w:t>首次响应文件报价出现前后不一致的，按照下列规定修正：</w:t>
      </w:r>
    </w:p>
    <w:p w14:paraId="4BFF90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11DF6C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642C19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2853430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27C969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0ECC48CC">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14:paraId="4F3453C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2BBBED6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14:paraId="0EFEDD3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1）提供响应文件正、副本数量不足；</w:t>
      </w:r>
    </w:p>
    <w:p w14:paraId="0F5AF0F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2）响应文件未按磋商文件要求签署、盖章；</w:t>
      </w:r>
    </w:p>
    <w:p w14:paraId="5EA9304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3）委托代理人未能出具有效身份证或者出具的身份证与授权委托书中的信息不符的；</w:t>
      </w:r>
    </w:p>
    <w:p w14:paraId="61D9156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4）提交的磋商保证金无效的或者未按照磋商文件的规定提交磋商保证金；</w:t>
      </w:r>
    </w:p>
    <w:p w14:paraId="3BA65F3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响应文件未提供任一项“供应商须知前附表”商务技术文件中“必须提供”或者“委托时必须提供”的文件资料；响应文件提供的商务技术文件出现任一项不符合“供应商须知前附表”商务技术文件中“必须提供”或者“委托时必须提供”文件资料要求的规定或者提供的商务技术文件无效。</w:t>
      </w:r>
    </w:p>
    <w:p w14:paraId="438A4A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）未对竞标有效期作出响应或者响应文件承诺的竞标有效期不满足磋商文件要求；</w:t>
      </w:r>
    </w:p>
    <w:p w14:paraId="46453DE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）响应文件的实质性内容未使用中文表述、使用计量单位不符合磋商文件要求；</w:t>
      </w:r>
    </w:p>
    <w:p w14:paraId="466DA09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）响应文件中的文件资料因填写不齐全或者内容虚假或者出现其他情形而导致被磋商小组认定无效；</w:t>
      </w:r>
    </w:p>
    <w:p w14:paraId="0E3316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）响应文件含有采购人不能接受的附加条件；</w:t>
      </w:r>
    </w:p>
    <w:p w14:paraId="5C5B05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）属于“供应商须知正文”第7.</w:t>
      </w:r>
      <w:r>
        <w:rPr>
          <w:rFonts w:ascii="宋体" w:hAnsi="宋体" w:cs="宋体"/>
          <w:color w:val="auto"/>
          <w:szCs w:val="21"/>
          <w:highlight w:val="none"/>
        </w:rPr>
        <w:t>5</w:t>
      </w:r>
      <w:r>
        <w:rPr>
          <w:rFonts w:hint="eastAsia" w:ascii="宋体" w:hAnsi="宋体" w:cs="宋体"/>
          <w:color w:val="auto"/>
          <w:szCs w:val="21"/>
          <w:highlight w:val="none"/>
        </w:rPr>
        <w:t>条情形；</w:t>
      </w:r>
    </w:p>
    <w:p w14:paraId="1349F67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）虚假竞标，或者出现其他情形而导致被磋商小组认定无效；</w:t>
      </w:r>
    </w:p>
    <w:p w14:paraId="436901A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bookmarkStart w:id="65" w:name="_Hlk71704147"/>
      <w:r>
        <w:rPr>
          <w:rFonts w:hint="eastAsia" w:ascii="宋体" w:hAnsi="宋体" w:cs="宋体"/>
          <w:color w:val="auto"/>
          <w:szCs w:val="21"/>
          <w:highlight w:val="none"/>
        </w:rPr>
        <w:t>磋商文件未载明允许提供备选（替代）竞标方案或明确不允许提供备选（替代）竞标方案时，供应商提供了备选（替代）竞标方案的；</w:t>
      </w:r>
      <w:bookmarkEnd w:id="65"/>
    </w:p>
    <w:p w14:paraId="0795B5F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）响应文件标注的项目名称或者项目编号与磋商文件标注的项目名称或者项目编号不一致的；</w:t>
      </w:r>
    </w:p>
    <w:p w14:paraId="5BAEA9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b/>
          <w:color w:val="auto"/>
          <w:szCs w:val="21"/>
          <w:highlight w:val="none"/>
        </w:rPr>
        <w:t>竞争性磋商文件明确不允许分包，响应文件拟分包的；</w:t>
      </w:r>
    </w:p>
    <w:p w14:paraId="22D7643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）未响应磋商文件实质性要求；</w:t>
      </w:r>
    </w:p>
    <w:p w14:paraId="4E2E8E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）法律、法规和磋商文件规定的其他无效情形。</w:t>
      </w:r>
    </w:p>
    <w:p w14:paraId="67E78F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）报价评审</w:t>
      </w:r>
    </w:p>
    <w:p w14:paraId="25C0B38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1）响应文件未提供“供应商须知前附表”报价文件中规定的“竞标报价表”；</w:t>
      </w:r>
    </w:p>
    <w:p w14:paraId="227FCB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261CD7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47B6E37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4）竞标报价（包含首次报价、最后报价）超过所竞标分标规定的采购预算金额或者最高限价的（如本项目公布了最高限价）；</w:t>
      </w:r>
      <w:bookmarkStart w:id="66" w:name="_Hlk42596405"/>
      <w:r>
        <w:rPr>
          <w:rFonts w:hint="eastAsia" w:ascii="宋体" w:hAnsi="宋体" w:cs="宋体"/>
          <w:color w:val="auto"/>
          <w:szCs w:val="21"/>
          <w:highlight w:val="none"/>
        </w:rPr>
        <w:t>竞标报价（包含首次报价、最后报价）</w:t>
      </w:r>
      <w:bookmarkEnd w:id="66"/>
      <w:bookmarkStart w:id="67" w:name="_Hlk42596276"/>
      <w:r>
        <w:rPr>
          <w:rFonts w:hint="eastAsia" w:ascii="宋体" w:hAnsi="宋体" w:cs="宋体"/>
          <w:color w:val="auto"/>
          <w:szCs w:val="21"/>
          <w:highlight w:val="none"/>
        </w:rPr>
        <w:t>超过磋商文件分项采购预算金额或者最高限价的</w:t>
      </w:r>
      <w:bookmarkEnd w:id="67"/>
      <w:r>
        <w:rPr>
          <w:rFonts w:hint="eastAsia" w:ascii="宋体" w:hAnsi="宋体" w:cs="宋体"/>
          <w:color w:val="auto"/>
          <w:szCs w:val="21"/>
          <w:highlight w:val="none"/>
        </w:rPr>
        <w:t>（如本项目公布了最高限价）；</w:t>
      </w:r>
    </w:p>
    <w:p w14:paraId="285C33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2D762E1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响应文件响应的标的数量及单位与竞争性磋商采购文件要求实质性不一致的。</w:t>
      </w:r>
    </w:p>
    <w:p w14:paraId="1FC5B86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3E35DF01">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olor w:val="auto"/>
          <w:szCs w:val="21"/>
          <w:highlight w:val="none"/>
        </w:rPr>
        <w:t>通过符合性审查的合格供应商不足3家的，不得进入磋商环节，采购人或者采购代理机构应当重新开展采购活动。</w:t>
      </w:r>
    </w:p>
    <w:p w14:paraId="0122C83F">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.磋商程序</w:t>
      </w:r>
    </w:p>
    <w:p w14:paraId="6A30022B">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.1</w:t>
      </w:r>
      <w:r>
        <w:rPr>
          <w:rFonts w:hint="eastAsia" w:ascii="宋体" w:hAnsi="宋体" w:cs="宋体"/>
          <w:color w:val="auto"/>
          <w:kern w:val="0"/>
          <w:szCs w:val="21"/>
          <w:highlight w:val="none"/>
        </w:rPr>
        <w:t>磋商小组</w:t>
      </w:r>
      <w:r>
        <w:rPr>
          <w:rFonts w:hint="eastAsia" w:ascii="宋体" w:hAnsi="宋体" w:cs="宋体"/>
          <w:color w:val="auto"/>
          <w:szCs w:val="21"/>
          <w:highlight w:val="none"/>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2DFE8F6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4ABE2E3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对磋商文件作出的实质性变动是磋商文件的有效组成部分，由磋商小组及时以电子澄清函形式同时通知所有参加磋商的供应商。</w:t>
      </w:r>
    </w:p>
    <w:p w14:paraId="13A072F0">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3.4</w:t>
      </w:r>
      <w:r>
        <w:rPr>
          <w:rFonts w:hint="eastAsia" w:ascii="宋体" w:hAnsi="宋体" w:cs="宋体"/>
          <w:color w:val="auto"/>
          <w:szCs w:val="21"/>
          <w:highlight w:val="none"/>
        </w:rPr>
        <w:t>供应商必须按照磋商文件的变动情况和磋商小组的要求以回函的形式重新提交响应文件，并加盖电子签章。参加磋商的供应商未在规定时间内重新提交响应文件的，视同退出磋商，其响应文件按无效处理。</w:t>
      </w:r>
    </w:p>
    <w:p w14:paraId="212E2CA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3.5</w:t>
      </w:r>
      <w:r>
        <w:rPr>
          <w:rFonts w:hint="eastAsia" w:ascii="宋体" w:hAnsi="宋体" w:cs="宋体"/>
          <w:color w:val="auto"/>
          <w:szCs w:val="21"/>
          <w:highlight w:val="none"/>
        </w:rPr>
        <w:t>磋商中，</w:t>
      </w:r>
      <w:r>
        <w:rPr>
          <w:rFonts w:hint="eastAsia" w:ascii="宋体" w:hAnsi="宋体" w:cs="宋体"/>
          <w:color w:val="auto"/>
          <w:spacing w:val="-6"/>
          <w:szCs w:val="21"/>
          <w:highlight w:val="none"/>
        </w:rPr>
        <w:t>磋商的任何一方不得透露与磋商有关的其他供应商的技术资料、价格和其他信息。</w:t>
      </w:r>
    </w:p>
    <w:p w14:paraId="79ECB81A">
      <w:pPr>
        <w:widowControl/>
        <w:tabs>
          <w:tab w:val="left" w:pos="540"/>
        </w:tabs>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3.6</w:t>
      </w:r>
      <w:r>
        <w:rPr>
          <w:rFonts w:hint="eastAsia" w:ascii="宋体" w:hAnsi="宋体" w:cs="宋体"/>
          <w:color w:val="auto"/>
          <w:szCs w:val="21"/>
          <w:highlight w:val="none"/>
        </w:rPr>
        <w:t>采购代理机构对磋商过程和重要磋商内容进行记录。</w:t>
      </w:r>
    </w:p>
    <w:p w14:paraId="479B413A">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.7</w:t>
      </w:r>
      <w:r>
        <w:rPr>
          <w:color w:val="auto"/>
          <w:highlight w:val="none"/>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0F6D2EAC">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3.8除</w:t>
      </w:r>
      <w:r>
        <w:rPr>
          <w:color w:val="auto"/>
          <w:highlight w:val="none"/>
        </w:rPr>
        <w:t>本章第3.7条情形</w:t>
      </w:r>
      <w:r>
        <w:rPr>
          <w:rFonts w:hint="eastAsia"/>
          <w:color w:val="auto"/>
          <w:highlight w:val="none"/>
        </w:rPr>
        <w:t>外，</w:t>
      </w:r>
      <w:r>
        <w:rPr>
          <w:rFonts w:hint="eastAsia" w:ascii="宋体" w:hAnsi="宋体"/>
          <w:color w:val="auto"/>
          <w:szCs w:val="21"/>
          <w:highlight w:val="none"/>
        </w:rPr>
        <w:t>对磋商过程提交的响应文件进行有效性、完整性和响应程度审查，通过审查的合格供应商不足3家的，采购人或者采购代理机构应当重新开展采购活动。</w:t>
      </w:r>
    </w:p>
    <w:p w14:paraId="13D45837">
      <w:pPr>
        <w:spacing w:line="360" w:lineRule="auto"/>
        <w:ind w:firstLine="482" w:firstLineChars="200"/>
        <w:rPr>
          <w:rFonts w:ascii="宋体" w:hAnsi="宋体" w:cs="宋体"/>
          <w:color w:val="auto"/>
          <w:szCs w:val="21"/>
          <w:highlight w:val="none"/>
        </w:rPr>
      </w:pPr>
      <w:r>
        <w:rPr>
          <w:rFonts w:ascii="黑体" w:hAnsi="黑体" w:eastAsia="黑体" w:cs="宋体"/>
          <w:b/>
          <w:bCs/>
          <w:color w:val="auto"/>
          <w:sz w:val="24"/>
          <w:highlight w:val="none"/>
        </w:rPr>
        <w:t>4.</w:t>
      </w:r>
      <w:r>
        <w:rPr>
          <w:rFonts w:hint="eastAsia" w:ascii="黑体" w:hAnsi="黑体" w:eastAsia="黑体" w:cs="宋体"/>
          <w:b/>
          <w:bCs/>
          <w:color w:val="auto"/>
          <w:sz w:val="24"/>
          <w:highlight w:val="none"/>
        </w:rPr>
        <w:t>最后报价</w:t>
      </w:r>
    </w:p>
    <w:p w14:paraId="0BD9DC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磋商文件能够详细列明采购标的的技术、服务要求的，磋商结束后，磋商小组应当要求所有继续参加磋商的供应商在规定时间内在广西政府采购云平台开标大厅提交最后报价，除本章第</w:t>
      </w:r>
      <w:r>
        <w:rPr>
          <w:rFonts w:ascii="宋体" w:hAnsi="宋体" w:cs="宋体"/>
          <w:color w:val="auto"/>
          <w:szCs w:val="21"/>
          <w:highlight w:val="none"/>
        </w:rPr>
        <w:t>4.3</w:t>
      </w:r>
      <w:r>
        <w:rPr>
          <w:rFonts w:hint="eastAsia" w:ascii="宋体" w:hAnsi="宋体" w:cs="宋体"/>
          <w:color w:val="auto"/>
          <w:szCs w:val="21"/>
          <w:highlight w:val="none"/>
        </w:rPr>
        <w:t>条外，提交最后报价的供应商不得少于3家，否则必须重新采购。</w:t>
      </w:r>
    </w:p>
    <w:p w14:paraId="539D833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p>
    <w:p w14:paraId="0A69C11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最后报价是供应商响应文件的有效组成部分。符合《政府采购竞争性磋商采购方式管理暂行办法》（财库〔2014〕214号）第三条第四项“市场竞争不充分的科研项目，以及需要扶持的科技成果转化项目”和</w:t>
      </w:r>
      <w:r>
        <w:rPr>
          <w:color w:val="auto"/>
          <w:highlight w:val="none"/>
        </w:rPr>
        <w:t>本章第3.7条情形的，</w:t>
      </w:r>
      <w:r>
        <w:rPr>
          <w:rFonts w:hint="eastAsia" w:ascii="宋体" w:hAnsi="宋体" w:cs="宋体"/>
          <w:color w:val="auto"/>
          <w:szCs w:val="21"/>
          <w:highlight w:val="none"/>
        </w:rPr>
        <w:t>提交最后报价的供应商可以为2家。</w:t>
      </w:r>
    </w:p>
    <w:p w14:paraId="5C74503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已经提交响应文件的供应商，在提交最后报价之前，可以根据磋商情况退出磋商，退出磋商的供应商的响应文件按无效响应处理。采购人、采购代理机构将退还退出磋商的供应商的保证金。</w:t>
      </w:r>
    </w:p>
    <w:p w14:paraId="70D4661C">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供应商未在规定时间内提交最后报价的，视同退出磋商，其响应文件按无效处理。</w:t>
      </w:r>
    </w:p>
    <w:p w14:paraId="348D3A61">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最后报价统一开启后，磋商小组对最后报价进行有效性、完整性和响应程度的审查。</w:t>
      </w:r>
    </w:p>
    <w:p w14:paraId="13E94EB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4.7</w:t>
      </w:r>
      <w:r>
        <w:rPr>
          <w:rFonts w:hint="eastAsia" w:ascii="宋体" w:hAnsi="宋体" w:cs="宋体"/>
          <w:color w:val="auto"/>
          <w:szCs w:val="21"/>
          <w:highlight w:val="none"/>
        </w:rPr>
        <w:t>最后报价出现前后不一致的，按照本章第</w:t>
      </w:r>
      <w:r>
        <w:rPr>
          <w:rFonts w:ascii="宋体" w:hAnsi="宋体" w:cs="宋体"/>
          <w:color w:val="auto"/>
          <w:szCs w:val="21"/>
          <w:highlight w:val="none"/>
        </w:rPr>
        <w:t>2.4</w:t>
      </w:r>
      <w:r>
        <w:rPr>
          <w:rFonts w:hint="eastAsia" w:ascii="宋体" w:hAnsi="宋体" w:cs="宋体"/>
          <w:color w:val="auto"/>
          <w:szCs w:val="21"/>
          <w:highlight w:val="none"/>
        </w:rPr>
        <w:t>条的规定修正。</w:t>
      </w:r>
    </w:p>
    <w:p w14:paraId="4762014A">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4.8</w:t>
      </w:r>
      <w:r>
        <w:rPr>
          <w:rFonts w:hint="eastAsia" w:ascii="宋体" w:hAnsi="宋体" w:cs="宋体"/>
          <w:color w:val="auto"/>
          <w:szCs w:val="21"/>
          <w:highlight w:val="none"/>
        </w:rPr>
        <w:t>修正后的报价出现下列情形的，按无效响应处理：</w:t>
      </w:r>
    </w:p>
    <w:p w14:paraId="3118077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399DC68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（2）经供应商确认修正后的竞标报价（包含首次报价、最后报价）超过所竞标分标规定的采购预算金额或者最高限价的（如本项目公布了最高限价）；</w:t>
      </w:r>
    </w:p>
    <w:p w14:paraId="66D19C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（3）经供应商确认修正后的竞标报价（包含首次报价、最后报价）超过分项采购预算金额或者最高限价的（如本项目公布了最高限价）。</w:t>
      </w:r>
    </w:p>
    <w:p w14:paraId="4701C0C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4.9</w:t>
      </w:r>
      <w:r>
        <w:rPr>
          <w:rFonts w:hint="eastAsia" w:ascii="宋体" w:hAnsi="宋体" w:cs="宋体"/>
          <w:color w:val="auto"/>
          <w:szCs w:val="21"/>
          <w:highlight w:val="none"/>
        </w:rPr>
        <w:t>经供应商确认修正后的最后报价作为评审及签订合同的依据。</w:t>
      </w:r>
    </w:p>
    <w:p w14:paraId="577AA1B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4.10供应商出现最后报价按无效响应处理或者响应文件按无效处理时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14:paraId="4BC0F17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1最后报价结束后，磋商小组不得再与供应商进行任何形式的商谈。</w:t>
      </w:r>
    </w:p>
    <w:p w14:paraId="7F1A0864">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比较与评价</w:t>
      </w:r>
    </w:p>
    <w:p w14:paraId="59C64CF0">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评审方法：综合评分法。</w:t>
      </w:r>
    </w:p>
    <w:p w14:paraId="1085EDE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经磋商确定最终采购需求和提交最后报价的供应商后，由磋商小组采用综合评分法对提交最后报价的供应商的响应文件和最后报价进行综合评分。</w:t>
      </w:r>
    </w:p>
    <w:p w14:paraId="3962C9B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14:paraId="293227D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0F9F29D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62A4626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638C65D3">
      <w:pPr>
        <w:spacing w:line="360" w:lineRule="auto"/>
        <w:ind w:firstLine="420" w:firstLineChars="200"/>
        <w:rPr>
          <w:rFonts w:ascii="宋体" w:hAnsi="宋体"/>
          <w:color w:val="auto"/>
          <w:kern w:val="0"/>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由磋商小组根据综合评分情况，按照评审得分由高到低顺序推荐3名以上成交候选供应商，并编写评</w:t>
      </w:r>
      <w:r>
        <w:rPr>
          <w:rFonts w:hint="eastAsia" w:ascii="宋体" w:hAnsi="宋体"/>
          <w:color w:val="auto"/>
          <w:kern w:val="0"/>
          <w:szCs w:val="21"/>
          <w:highlight w:val="none"/>
        </w:rPr>
        <w:t>审报告。符合本章第</w:t>
      </w:r>
      <w:r>
        <w:rPr>
          <w:rFonts w:ascii="宋体" w:hAnsi="宋体"/>
          <w:color w:val="auto"/>
          <w:kern w:val="0"/>
          <w:szCs w:val="21"/>
          <w:highlight w:val="none"/>
        </w:rPr>
        <w:t>4.3</w:t>
      </w:r>
      <w:r>
        <w:rPr>
          <w:rFonts w:hint="eastAsia" w:ascii="宋体" w:hAnsi="宋体"/>
          <w:color w:val="auto"/>
          <w:kern w:val="0"/>
          <w:szCs w:val="21"/>
          <w:highlight w:val="none"/>
        </w:rPr>
        <w:t>条情形的，可以推荐2家成交候选供应商。评审得分相同的，按照最后报价由低到高的顺序推荐。评审得分且最后报价相同的，按照技术指标优劣顺序推荐。</w:t>
      </w:r>
    </w:p>
    <w:p w14:paraId="571212DC">
      <w:pPr>
        <w:spacing w:line="360" w:lineRule="auto"/>
        <w:ind w:firstLine="420" w:firstLineChars="200"/>
        <w:rPr>
          <w:rFonts w:ascii="宋体" w:hAnsi="宋体" w:cs="宋体"/>
          <w:color w:val="auto"/>
          <w:szCs w:val="21"/>
          <w:highlight w:val="none"/>
        </w:rPr>
      </w:pPr>
      <w:r>
        <w:rPr>
          <w:rFonts w:ascii="宋体" w:hAnsi="宋体"/>
          <w:color w:val="auto"/>
          <w:kern w:val="0"/>
          <w:szCs w:val="21"/>
          <w:highlight w:val="none"/>
        </w:rPr>
        <w:t>5.6</w:t>
      </w:r>
      <w:r>
        <w:rPr>
          <w:rFonts w:hint="eastAsia" w:ascii="宋体" w:hAnsi="宋体"/>
          <w:color w:val="auto"/>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64F88DB">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二、评审标准</w:t>
      </w:r>
    </w:p>
    <w:p w14:paraId="7D1CA70E">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w:t>
      </w:r>
      <w:r>
        <w:rPr>
          <w:rFonts w:ascii="宋体" w:hAnsi="宋体"/>
          <w:bCs/>
          <w:color w:val="auto"/>
          <w:szCs w:val="21"/>
          <w:highlight w:val="none"/>
        </w:rPr>
        <w:t>.</w:t>
      </w:r>
      <w:r>
        <w:rPr>
          <w:rFonts w:hint="eastAsia" w:ascii="宋体" w:hAnsi="宋体"/>
          <w:bCs/>
          <w:color w:val="auto"/>
          <w:szCs w:val="21"/>
          <w:highlight w:val="none"/>
        </w:rPr>
        <w:t>评审依据：磋商小组将以磋商响应文件为评审依据，对供应商的报价、技术、商务等方面内容按百分制打分。（计分方法按四舍五入取至百分位）</w:t>
      </w:r>
    </w:p>
    <w:tbl>
      <w:tblPr>
        <w:tblStyle w:val="35"/>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275"/>
        <w:gridCol w:w="6320"/>
        <w:gridCol w:w="1417"/>
      </w:tblGrid>
      <w:tr w14:paraId="755D0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4" w:type="dxa"/>
            <w:gridSpan w:val="4"/>
            <w:vAlign w:val="center"/>
          </w:tcPr>
          <w:p w14:paraId="6E7C28D4">
            <w:pPr>
              <w:widowControl/>
              <w:spacing w:line="400" w:lineRule="exact"/>
              <w:jc w:val="center"/>
              <w:rPr>
                <w:rFonts w:hint="default" w:ascii="宋体" w:hAnsi="宋体" w:eastAsia="宋体" w:cs="Tahoma"/>
                <w:b/>
                <w:bCs/>
                <w:color w:val="auto"/>
                <w:kern w:val="0"/>
                <w:szCs w:val="21"/>
                <w:highlight w:val="none"/>
                <w:lang w:val="en-US" w:eastAsia="zh-CN"/>
              </w:rPr>
            </w:pPr>
            <w:r>
              <w:rPr>
                <w:rFonts w:hint="eastAsia" w:ascii="宋体" w:hAnsi="宋体" w:cs="Tahoma"/>
                <w:b/>
                <w:bCs/>
                <w:color w:val="auto"/>
                <w:kern w:val="0"/>
                <w:szCs w:val="21"/>
                <w:highlight w:val="none"/>
                <w:lang w:val="en-US" w:eastAsia="zh-CN"/>
              </w:rPr>
              <w:t>适用于分标1:卫生用品、餐厨用品及零星用品供应配送服务</w:t>
            </w:r>
          </w:p>
        </w:tc>
      </w:tr>
      <w:tr w14:paraId="3C9A2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2" w:type="dxa"/>
            <w:vAlign w:val="center"/>
          </w:tcPr>
          <w:p w14:paraId="59ACADD5">
            <w:pPr>
              <w:widowControl/>
              <w:spacing w:line="400" w:lineRule="exact"/>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序号</w:t>
            </w:r>
          </w:p>
        </w:tc>
        <w:tc>
          <w:tcPr>
            <w:tcW w:w="1275" w:type="dxa"/>
            <w:vAlign w:val="center"/>
          </w:tcPr>
          <w:p w14:paraId="5E4887EE">
            <w:pPr>
              <w:widowControl/>
              <w:spacing w:line="400" w:lineRule="exact"/>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评审因素</w:t>
            </w:r>
          </w:p>
        </w:tc>
        <w:tc>
          <w:tcPr>
            <w:tcW w:w="6320" w:type="dxa"/>
            <w:vAlign w:val="center"/>
          </w:tcPr>
          <w:p w14:paraId="44DA4C03">
            <w:pPr>
              <w:widowControl/>
              <w:spacing w:line="400" w:lineRule="exact"/>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评审因素具体内容</w:t>
            </w:r>
          </w:p>
        </w:tc>
        <w:tc>
          <w:tcPr>
            <w:tcW w:w="1417" w:type="dxa"/>
            <w:vAlign w:val="center"/>
          </w:tcPr>
          <w:p w14:paraId="429F8CF0">
            <w:pPr>
              <w:widowControl/>
              <w:spacing w:line="400" w:lineRule="exact"/>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分值</w:t>
            </w:r>
          </w:p>
        </w:tc>
      </w:tr>
      <w:tr w14:paraId="71DA4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2" w:type="dxa"/>
            <w:vAlign w:val="center"/>
          </w:tcPr>
          <w:p w14:paraId="2B8DF890">
            <w:pPr>
              <w:widowControl/>
              <w:spacing w:line="400" w:lineRule="exact"/>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1</w:t>
            </w:r>
          </w:p>
        </w:tc>
        <w:tc>
          <w:tcPr>
            <w:tcW w:w="1275" w:type="dxa"/>
            <w:vAlign w:val="center"/>
          </w:tcPr>
          <w:p w14:paraId="3C6B2D1E">
            <w:pPr>
              <w:widowControl/>
              <w:spacing w:line="400" w:lineRule="exact"/>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价格分</w:t>
            </w:r>
          </w:p>
        </w:tc>
        <w:tc>
          <w:tcPr>
            <w:tcW w:w="6320" w:type="dxa"/>
            <w:vAlign w:val="center"/>
          </w:tcPr>
          <w:p w14:paraId="5A763E32">
            <w:pPr>
              <w:snapToGrid w:val="0"/>
              <w:spacing w:line="360" w:lineRule="auto"/>
              <w:ind w:firstLine="233" w:firstLineChars="111"/>
              <w:rPr>
                <w:rFonts w:hint="eastAsia" w:ascii="宋体" w:hAnsi="宋体"/>
                <w:bCs/>
                <w:color w:val="auto"/>
                <w:szCs w:val="21"/>
                <w:highlight w:val="none"/>
              </w:rPr>
            </w:pPr>
            <w:r>
              <w:rPr>
                <w:rFonts w:hint="eastAsia" w:ascii="宋体" w:hAnsi="宋体"/>
                <w:bCs/>
                <w:color w:val="auto"/>
                <w:szCs w:val="21"/>
                <w:highlight w:val="none"/>
              </w:rPr>
              <w:t>（1）评</w:t>
            </w:r>
            <w:r>
              <w:rPr>
                <w:rFonts w:hint="eastAsia" w:ascii="宋体" w:hAnsi="宋体"/>
                <w:bCs/>
                <w:color w:val="auto"/>
                <w:szCs w:val="21"/>
                <w:highlight w:val="none"/>
                <w:lang w:val="en-US" w:eastAsia="zh-CN"/>
              </w:rPr>
              <w:t>审</w:t>
            </w:r>
            <w:r>
              <w:rPr>
                <w:rFonts w:hint="eastAsia" w:ascii="宋体" w:hAnsi="宋体"/>
                <w:bCs/>
                <w:color w:val="auto"/>
                <w:szCs w:val="21"/>
                <w:highlight w:val="none"/>
              </w:rPr>
              <w:t>报价（</w:t>
            </w:r>
            <w:r>
              <w:rPr>
                <w:rFonts w:hint="eastAsia" w:ascii="宋体" w:hAnsi="宋体"/>
                <w:bCs/>
                <w:color w:val="auto"/>
                <w:szCs w:val="21"/>
                <w:highlight w:val="none"/>
                <w:lang w:val="en-US" w:eastAsia="zh-CN"/>
              </w:rPr>
              <w:t>折扣率</w:t>
            </w:r>
            <w:r>
              <w:rPr>
                <w:rFonts w:hint="eastAsia" w:ascii="宋体" w:hAnsi="宋体"/>
                <w:bCs/>
                <w:color w:val="auto"/>
                <w:szCs w:val="21"/>
                <w:highlight w:val="none"/>
              </w:rPr>
              <w:t>）为供应商的最后报价进行政策性扣除后的价格，评</w:t>
            </w:r>
            <w:r>
              <w:rPr>
                <w:rFonts w:hint="eastAsia" w:ascii="宋体" w:hAnsi="宋体"/>
                <w:bCs/>
                <w:color w:val="auto"/>
                <w:szCs w:val="21"/>
                <w:highlight w:val="none"/>
                <w:lang w:val="en-US" w:eastAsia="zh-CN"/>
              </w:rPr>
              <w:t>审</w:t>
            </w:r>
            <w:r>
              <w:rPr>
                <w:rFonts w:hint="eastAsia" w:ascii="宋体" w:hAnsi="宋体"/>
                <w:bCs/>
                <w:color w:val="auto"/>
                <w:szCs w:val="21"/>
                <w:highlight w:val="none"/>
              </w:rPr>
              <w:t>报价（</w:t>
            </w:r>
            <w:r>
              <w:rPr>
                <w:rFonts w:hint="eastAsia" w:ascii="宋体" w:hAnsi="宋体"/>
                <w:bCs/>
                <w:color w:val="auto"/>
                <w:szCs w:val="21"/>
                <w:highlight w:val="none"/>
                <w:lang w:val="en-US" w:eastAsia="zh-CN"/>
              </w:rPr>
              <w:t>折扣率</w:t>
            </w:r>
            <w:r>
              <w:rPr>
                <w:rFonts w:hint="eastAsia" w:ascii="宋体" w:hAnsi="宋体"/>
                <w:bCs/>
                <w:color w:val="auto"/>
                <w:szCs w:val="21"/>
                <w:highlight w:val="none"/>
              </w:rPr>
              <w:t>）只是作为评</w:t>
            </w:r>
            <w:r>
              <w:rPr>
                <w:rFonts w:hint="eastAsia" w:ascii="宋体" w:hAnsi="宋体"/>
                <w:bCs/>
                <w:color w:val="auto"/>
                <w:szCs w:val="21"/>
                <w:highlight w:val="none"/>
                <w:lang w:val="en-US" w:eastAsia="zh-CN"/>
              </w:rPr>
              <w:t>审</w:t>
            </w:r>
            <w:r>
              <w:rPr>
                <w:rFonts w:hint="eastAsia" w:ascii="宋体" w:hAnsi="宋体"/>
                <w:bCs/>
                <w:color w:val="auto"/>
                <w:szCs w:val="21"/>
                <w:highlight w:val="none"/>
              </w:rPr>
              <w:t>时使用。最终成交供应商的成交金额（</w:t>
            </w:r>
            <w:r>
              <w:rPr>
                <w:rFonts w:hint="eastAsia" w:ascii="宋体" w:hAnsi="宋体"/>
                <w:bCs/>
                <w:color w:val="auto"/>
                <w:szCs w:val="21"/>
                <w:highlight w:val="none"/>
                <w:lang w:val="en-US" w:eastAsia="zh-CN"/>
              </w:rPr>
              <w:t>折扣率</w:t>
            </w:r>
            <w:r>
              <w:rPr>
                <w:rFonts w:hint="eastAsia" w:ascii="宋体" w:hAnsi="宋体"/>
                <w:bCs/>
                <w:color w:val="auto"/>
                <w:szCs w:val="21"/>
                <w:highlight w:val="none"/>
              </w:rPr>
              <w:t>）等于最后报价（</w:t>
            </w:r>
            <w:r>
              <w:rPr>
                <w:rFonts w:hint="eastAsia" w:ascii="宋体" w:hAnsi="宋体"/>
                <w:bCs/>
                <w:color w:val="auto"/>
                <w:szCs w:val="21"/>
                <w:highlight w:val="none"/>
                <w:lang w:val="en-US" w:eastAsia="zh-CN"/>
              </w:rPr>
              <w:t>折扣率</w:t>
            </w:r>
            <w:r>
              <w:rPr>
                <w:rFonts w:hint="eastAsia" w:ascii="宋体" w:hAnsi="宋体"/>
                <w:bCs/>
                <w:color w:val="auto"/>
                <w:szCs w:val="21"/>
                <w:highlight w:val="none"/>
              </w:rPr>
              <w:t>）（如有修正，以确认修正后的最后报价为准）。</w:t>
            </w:r>
          </w:p>
          <w:p w14:paraId="3C022EE6">
            <w:pPr>
              <w:snapToGrid w:val="0"/>
              <w:spacing w:line="360" w:lineRule="auto"/>
              <w:ind w:firstLine="233" w:firstLineChars="111"/>
              <w:rPr>
                <w:rFonts w:hint="eastAsia" w:ascii="宋体" w:hAnsi="宋体"/>
                <w:bCs/>
                <w:color w:val="auto"/>
                <w:szCs w:val="21"/>
                <w:highlight w:val="none"/>
              </w:rPr>
            </w:pPr>
            <w:r>
              <w:rPr>
                <w:rFonts w:hint="eastAsia" w:ascii="宋体" w:hAnsi="宋体"/>
                <w:bCs/>
                <w:color w:val="auto"/>
                <w:szCs w:val="21"/>
                <w:highlight w:val="none"/>
              </w:rPr>
              <w:t>（2）政策性扣除计算方法。</w:t>
            </w:r>
          </w:p>
          <w:p w14:paraId="13223512">
            <w:pPr>
              <w:snapToGrid w:val="0"/>
              <w:spacing w:line="360" w:lineRule="auto"/>
              <w:ind w:firstLine="233" w:firstLineChars="111"/>
              <w:rPr>
                <w:rFonts w:hint="eastAsia" w:ascii="宋体" w:hAnsi="宋体"/>
                <w:bCs/>
                <w:color w:val="auto"/>
                <w:szCs w:val="21"/>
                <w:highlight w:val="none"/>
              </w:rPr>
            </w:pPr>
            <w:r>
              <w:rPr>
                <w:rFonts w:hint="eastAsia" w:ascii="宋体" w:hAnsi="宋体"/>
                <w:bCs/>
                <w:color w:val="auto"/>
                <w:szCs w:val="21"/>
                <w:highlight w:val="none"/>
              </w:rPr>
              <w:t>本项目属于专门面向中小企业采购的项目，供应商应为中小微企业</w:t>
            </w:r>
            <w:r>
              <w:rPr>
                <w:rFonts w:hint="eastAsia" w:ascii="宋体" w:hAnsi="宋体"/>
                <w:bCs/>
                <w:color w:val="auto"/>
                <w:szCs w:val="21"/>
                <w:highlight w:val="none"/>
                <w:lang w:val="en-US" w:eastAsia="zh-CN"/>
              </w:rPr>
              <w:t>或</w:t>
            </w:r>
            <w:r>
              <w:rPr>
                <w:rFonts w:hint="eastAsia" w:ascii="宋体" w:hAnsi="宋体"/>
                <w:bCs/>
                <w:color w:val="auto"/>
                <w:szCs w:val="21"/>
                <w:highlight w:val="none"/>
              </w:rPr>
              <w:t>监狱企业</w:t>
            </w:r>
            <w:r>
              <w:rPr>
                <w:rFonts w:hint="eastAsia" w:ascii="宋体" w:hAnsi="宋体"/>
                <w:bCs/>
                <w:color w:val="auto"/>
                <w:szCs w:val="21"/>
                <w:highlight w:val="none"/>
                <w:lang w:val="en-US" w:eastAsia="zh-CN"/>
              </w:rPr>
              <w:t>或</w:t>
            </w:r>
            <w:r>
              <w:rPr>
                <w:rFonts w:hint="eastAsia" w:ascii="宋体" w:hAnsi="宋体"/>
                <w:bCs/>
                <w:color w:val="auto"/>
                <w:szCs w:val="21"/>
                <w:highlight w:val="none"/>
              </w:rPr>
              <w:t>残疾人福利性单位，因此，本项目不再对供应商的报价进行政府采购政策扣除。</w:t>
            </w:r>
          </w:p>
          <w:p w14:paraId="65A64B16">
            <w:pPr>
              <w:snapToGrid w:val="0"/>
              <w:spacing w:line="360" w:lineRule="auto"/>
              <w:ind w:firstLine="233" w:firstLineChars="111"/>
              <w:rPr>
                <w:rFonts w:hint="eastAsia" w:ascii="宋体" w:hAnsi="宋体"/>
                <w:bCs/>
                <w:color w:val="auto"/>
                <w:szCs w:val="21"/>
                <w:highlight w:val="none"/>
              </w:rPr>
            </w:pPr>
            <w:r>
              <w:rPr>
                <w:rFonts w:hint="eastAsia" w:ascii="宋体" w:hAnsi="宋体"/>
                <w:bCs/>
                <w:color w:val="auto"/>
                <w:szCs w:val="21"/>
                <w:highlight w:val="none"/>
              </w:rPr>
              <w:t>（</w:t>
            </w:r>
            <w:r>
              <w:rPr>
                <w:rFonts w:hint="eastAsia" w:ascii="宋体" w:hAnsi="宋体"/>
                <w:bCs/>
                <w:color w:val="auto"/>
                <w:szCs w:val="21"/>
                <w:highlight w:val="none"/>
                <w:lang w:val="en-US" w:eastAsia="zh-CN"/>
              </w:rPr>
              <w:t>3</w:t>
            </w:r>
            <w:r>
              <w:rPr>
                <w:rFonts w:hint="eastAsia" w:ascii="宋体" w:hAnsi="宋体"/>
                <w:bCs/>
                <w:color w:val="auto"/>
                <w:szCs w:val="21"/>
                <w:highlight w:val="none"/>
              </w:rPr>
              <w:t>）满足</w:t>
            </w:r>
            <w:r>
              <w:rPr>
                <w:rFonts w:hint="eastAsia" w:ascii="宋体" w:hAnsi="宋体"/>
                <w:bCs/>
                <w:color w:val="auto"/>
                <w:szCs w:val="21"/>
                <w:highlight w:val="none"/>
                <w:lang w:val="en-US" w:eastAsia="zh-CN"/>
              </w:rPr>
              <w:t>采购</w:t>
            </w:r>
            <w:r>
              <w:rPr>
                <w:rFonts w:hint="eastAsia" w:ascii="宋体" w:hAnsi="宋体"/>
                <w:bCs/>
                <w:color w:val="auto"/>
                <w:szCs w:val="21"/>
                <w:highlight w:val="none"/>
              </w:rPr>
              <w:t>文件要求且评</w:t>
            </w:r>
            <w:r>
              <w:rPr>
                <w:rFonts w:hint="eastAsia" w:ascii="宋体" w:hAnsi="宋体"/>
                <w:bCs/>
                <w:color w:val="auto"/>
                <w:szCs w:val="21"/>
                <w:highlight w:val="none"/>
                <w:lang w:eastAsia="zh-CN"/>
              </w:rPr>
              <w:t>审</w:t>
            </w:r>
            <w:r>
              <w:rPr>
                <w:rFonts w:hint="eastAsia" w:ascii="宋体" w:hAnsi="宋体"/>
                <w:bCs/>
                <w:color w:val="auto"/>
                <w:szCs w:val="21"/>
                <w:highlight w:val="none"/>
              </w:rPr>
              <w:t>报价最低的评</w:t>
            </w:r>
            <w:r>
              <w:rPr>
                <w:rFonts w:hint="eastAsia" w:ascii="宋体" w:hAnsi="宋体"/>
                <w:bCs/>
                <w:color w:val="auto"/>
                <w:szCs w:val="21"/>
                <w:highlight w:val="none"/>
                <w:lang w:eastAsia="zh-CN"/>
              </w:rPr>
              <w:t>审</w:t>
            </w:r>
            <w:r>
              <w:rPr>
                <w:rFonts w:hint="eastAsia" w:ascii="宋体" w:hAnsi="宋体"/>
                <w:bCs/>
                <w:color w:val="auto"/>
                <w:szCs w:val="21"/>
                <w:highlight w:val="none"/>
              </w:rPr>
              <w:t>报价（</w:t>
            </w:r>
            <w:r>
              <w:rPr>
                <w:rFonts w:hint="eastAsia" w:ascii="宋体" w:hAnsi="宋体"/>
                <w:bCs/>
                <w:color w:val="auto"/>
                <w:szCs w:val="21"/>
                <w:highlight w:val="none"/>
                <w:lang w:val="en-US" w:eastAsia="zh-CN"/>
              </w:rPr>
              <w:t>折扣率</w:t>
            </w:r>
            <w:r>
              <w:rPr>
                <w:rFonts w:hint="eastAsia" w:ascii="宋体" w:hAnsi="宋体"/>
                <w:bCs/>
                <w:color w:val="auto"/>
                <w:szCs w:val="21"/>
                <w:highlight w:val="none"/>
              </w:rPr>
              <w:t>）为评</w:t>
            </w:r>
            <w:r>
              <w:rPr>
                <w:rFonts w:hint="eastAsia" w:ascii="宋体" w:hAnsi="宋体"/>
                <w:bCs/>
                <w:color w:val="auto"/>
                <w:szCs w:val="21"/>
                <w:highlight w:val="none"/>
                <w:lang w:eastAsia="zh-CN"/>
              </w:rPr>
              <w:t>审</w:t>
            </w:r>
            <w:r>
              <w:rPr>
                <w:rFonts w:hint="eastAsia" w:ascii="宋体" w:hAnsi="宋体"/>
                <w:bCs/>
                <w:color w:val="auto"/>
                <w:szCs w:val="21"/>
                <w:highlight w:val="none"/>
              </w:rPr>
              <w:t>基准价，其价格分为满分。</w:t>
            </w:r>
          </w:p>
          <w:p w14:paraId="47E6D9C6">
            <w:pPr>
              <w:spacing w:line="360" w:lineRule="auto"/>
              <w:ind w:firstLine="233" w:firstLineChars="111"/>
              <w:rPr>
                <w:rFonts w:hint="eastAsia" w:ascii="宋体" w:hAnsi="宋体"/>
                <w:bCs/>
                <w:color w:val="auto"/>
                <w:szCs w:val="21"/>
                <w:highlight w:val="none"/>
              </w:rPr>
            </w:pPr>
            <w:r>
              <w:rPr>
                <w:rFonts w:hint="eastAsia" w:ascii="宋体" w:hAnsi="宋体"/>
                <w:bCs/>
                <w:color w:val="auto"/>
                <w:szCs w:val="21"/>
                <w:highlight w:val="none"/>
              </w:rPr>
              <w:t>（</w:t>
            </w:r>
            <w:r>
              <w:rPr>
                <w:rFonts w:hint="eastAsia" w:ascii="宋体" w:hAnsi="宋体"/>
                <w:bCs/>
                <w:color w:val="auto"/>
                <w:szCs w:val="21"/>
                <w:highlight w:val="none"/>
                <w:lang w:val="en-US" w:eastAsia="zh-CN"/>
              </w:rPr>
              <w:t>4</w:t>
            </w:r>
            <w:r>
              <w:rPr>
                <w:rFonts w:hint="eastAsia" w:ascii="宋体" w:hAnsi="宋体"/>
                <w:bCs/>
                <w:color w:val="auto"/>
                <w:szCs w:val="21"/>
                <w:highlight w:val="none"/>
              </w:rPr>
              <w:t xml:space="preserve">）价格分计算公式：        </w:t>
            </w:r>
          </w:p>
          <w:p w14:paraId="53527BC4">
            <w:pPr>
              <w:spacing w:line="360" w:lineRule="auto"/>
              <w:rPr>
                <w:rFonts w:hint="eastAsia" w:ascii="宋体" w:hAnsi="宋体" w:cs="Courier New"/>
                <w:bCs/>
                <w:color w:val="auto"/>
                <w:szCs w:val="21"/>
                <w:highlight w:val="none"/>
              </w:rPr>
            </w:pPr>
            <w:r>
              <w:rPr>
                <w:rFonts w:hint="eastAsia" w:ascii="宋体" w:hAnsi="宋体"/>
                <w:bCs/>
                <w:color w:val="auto"/>
                <w:szCs w:val="21"/>
                <w:highlight w:val="none"/>
              </w:rPr>
              <w:t>价格分</w:t>
            </w:r>
            <w:r>
              <w:rPr>
                <w:rFonts w:hint="eastAsia" w:ascii="宋体" w:hAnsi="宋体" w:cs="Courier New"/>
                <w:bCs/>
                <w:color w:val="auto"/>
                <w:szCs w:val="21"/>
                <w:highlight w:val="none"/>
              </w:rPr>
              <w:t>=</w:t>
            </w:r>
            <w:r>
              <w:rPr>
                <w:rFonts w:hint="eastAsia" w:ascii="宋体" w:hAnsi="宋体" w:cs="Courier New"/>
                <w:bCs/>
                <w:color w:val="auto"/>
                <w:szCs w:val="21"/>
                <w:highlight w:val="none"/>
                <w:lang w:val="en-US" w:eastAsia="zh-CN"/>
              </w:rPr>
              <w:t>[</w:t>
            </w:r>
            <w:r>
              <w:rPr>
                <w:rFonts w:hint="eastAsia" w:ascii="宋体" w:hAnsi="宋体" w:cs="Courier New"/>
                <w:bCs/>
                <w:color w:val="auto"/>
                <w:szCs w:val="21"/>
                <w:highlight w:val="none"/>
              </w:rPr>
              <w:t>（</w:t>
            </w:r>
            <w:r>
              <w:rPr>
                <w:rFonts w:hint="eastAsia" w:ascii="宋体" w:hAnsi="宋体" w:cs="Courier New"/>
                <w:bCs/>
                <w:color w:val="auto"/>
                <w:szCs w:val="21"/>
                <w:highlight w:val="none"/>
                <w:lang w:val="en-US" w:eastAsia="zh-CN"/>
              </w:rPr>
              <w:t>1-</w:t>
            </w:r>
            <w:r>
              <w:rPr>
                <w:rFonts w:hint="eastAsia" w:ascii="宋体" w:hAnsi="宋体" w:cs="Courier New"/>
                <w:bCs/>
                <w:color w:val="auto"/>
                <w:szCs w:val="21"/>
                <w:highlight w:val="none"/>
              </w:rPr>
              <w:t>评</w:t>
            </w:r>
            <w:r>
              <w:rPr>
                <w:rFonts w:hint="eastAsia" w:ascii="宋体" w:hAnsi="宋体" w:cs="Courier New"/>
                <w:bCs/>
                <w:color w:val="auto"/>
                <w:szCs w:val="21"/>
                <w:highlight w:val="none"/>
                <w:lang w:eastAsia="zh-CN"/>
              </w:rPr>
              <w:t>审</w:t>
            </w:r>
            <w:r>
              <w:rPr>
                <w:rFonts w:hint="eastAsia" w:ascii="宋体" w:hAnsi="宋体" w:cs="Courier New"/>
                <w:bCs/>
                <w:color w:val="auto"/>
                <w:szCs w:val="21"/>
                <w:highlight w:val="none"/>
              </w:rPr>
              <w:t>基准价</w:t>
            </w:r>
            <w:r>
              <w:rPr>
                <w:rFonts w:hint="eastAsia" w:ascii="宋体" w:hAnsi="宋体" w:cs="Courier New"/>
                <w:bCs/>
                <w:color w:val="auto"/>
                <w:szCs w:val="21"/>
                <w:highlight w:val="none"/>
                <w:lang w:eastAsia="zh-CN"/>
              </w:rPr>
              <w:t>）</w:t>
            </w:r>
            <w:r>
              <w:rPr>
                <w:rFonts w:hint="eastAsia" w:ascii="宋体" w:hAnsi="宋体" w:cs="Courier New"/>
                <w:bCs/>
                <w:color w:val="auto"/>
                <w:szCs w:val="21"/>
                <w:highlight w:val="none"/>
              </w:rPr>
              <w:t>/</w:t>
            </w:r>
            <w:r>
              <w:rPr>
                <w:rFonts w:hint="eastAsia" w:ascii="宋体" w:hAnsi="宋体" w:cs="Courier New"/>
                <w:bCs/>
                <w:color w:val="auto"/>
                <w:szCs w:val="21"/>
                <w:highlight w:val="none"/>
                <w:lang w:eastAsia="zh-CN"/>
              </w:rPr>
              <w:t>（</w:t>
            </w:r>
            <w:r>
              <w:rPr>
                <w:rFonts w:hint="eastAsia" w:ascii="宋体" w:hAnsi="宋体" w:cs="Courier New"/>
                <w:bCs/>
                <w:color w:val="auto"/>
                <w:szCs w:val="21"/>
                <w:highlight w:val="none"/>
                <w:lang w:val="en-US" w:eastAsia="zh-CN"/>
              </w:rPr>
              <w:t>1-供应商</w:t>
            </w:r>
            <w:r>
              <w:rPr>
                <w:rFonts w:hint="eastAsia" w:ascii="宋体" w:hAnsi="宋体" w:cs="Courier New"/>
                <w:bCs/>
                <w:color w:val="auto"/>
                <w:szCs w:val="21"/>
                <w:highlight w:val="none"/>
              </w:rPr>
              <w:t>评</w:t>
            </w:r>
            <w:r>
              <w:rPr>
                <w:rFonts w:hint="eastAsia" w:ascii="宋体" w:hAnsi="宋体" w:cs="Courier New"/>
                <w:bCs/>
                <w:color w:val="auto"/>
                <w:szCs w:val="21"/>
                <w:highlight w:val="none"/>
                <w:lang w:eastAsia="zh-CN"/>
              </w:rPr>
              <w:t>审</w:t>
            </w:r>
            <w:r>
              <w:rPr>
                <w:rFonts w:hint="eastAsia" w:ascii="宋体" w:hAnsi="宋体" w:cs="Courier New"/>
                <w:bCs/>
                <w:color w:val="auto"/>
                <w:szCs w:val="21"/>
                <w:highlight w:val="none"/>
              </w:rPr>
              <w:t>报价</w:t>
            </w:r>
            <w:r>
              <w:rPr>
                <w:rFonts w:hint="eastAsia" w:ascii="宋体" w:hAnsi="宋体" w:cs="Courier New"/>
                <w:bCs/>
                <w:color w:val="auto"/>
                <w:szCs w:val="21"/>
                <w:highlight w:val="none"/>
                <w:lang w:eastAsia="zh-CN"/>
              </w:rPr>
              <w:t>）</w:t>
            </w:r>
            <w:r>
              <w:rPr>
                <w:rFonts w:hint="eastAsia" w:ascii="宋体" w:hAnsi="宋体" w:cs="Courier New"/>
                <w:bCs/>
                <w:color w:val="auto"/>
                <w:szCs w:val="21"/>
                <w:highlight w:val="none"/>
                <w:lang w:val="en-US" w:eastAsia="zh-CN"/>
              </w:rPr>
              <w:t>]</w:t>
            </w:r>
            <w:r>
              <w:rPr>
                <w:rFonts w:hint="eastAsia" w:ascii="宋体" w:hAnsi="宋体" w:cs="Courier New"/>
                <w:bCs/>
                <w:color w:val="auto"/>
                <w:szCs w:val="21"/>
                <w:highlight w:val="none"/>
              </w:rPr>
              <w:t>×</w:t>
            </w:r>
            <w:r>
              <w:rPr>
                <w:rFonts w:hint="eastAsia" w:ascii="宋体" w:hAnsi="宋体"/>
                <w:bCs/>
                <w:color w:val="auto"/>
                <w:szCs w:val="21"/>
                <w:highlight w:val="none"/>
                <w:u w:val="single"/>
                <w:lang w:eastAsia="zh-CN"/>
              </w:rPr>
              <w:t>（</w:t>
            </w:r>
            <w:r>
              <w:rPr>
                <w:rFonts w:hint="eastAsia" w:ascii="宋体" w:hAnsi="宋体"/>
                <w:bCs/>
                <w:color w:val="auto"/>
                <w:szCs w:val="21"/>
                <w:highlight w:val="none"/>
                <w:u w:val="single"/>
                <w:lang w:val="en-US" w:eastAsia="zh-CN"/>
              </w:rPr>
              <w:t>30</w:t>
            </w:r>
            <w:r>
              <w:rPr>
                <w:rFonts w:hint="eastAsia" w:ascii="宋体" w:hAnsi="宋体"/>
                <w:bCs/>
                <w:color w:val="auto"/>
                <w:szCs w:val="21"/>
                <w:highlight w:val="none"/>
                <w:u w:val="single"/>
                <w:lang w:eastAsia="zh-CN"/>
              </w:rPr>
              <w:t>）</w:t>
            </w:r>
            <w:r>
              <w:rPr>
                <w:rFonts w:hint="eastAsia" w:ascii="宋体" w:hAnsi="宋体" w:cs="Courier New"/>
                <w:bCs/>
                <w:color w:val="auto"/>
                <w:szCs w:val="21"/>
                <w:highlight w:val="none"/>
              </w:rPr>
              <w:t>分</w:t>
            </w:r>
          </w:p>
          <w:p w14:paraId="6BF794B8">
            <w:pPr>
              <w:spacing w:line="360" w:lineRule="auto"/>
              <w:rPr>
                <w:rFonts w:hint="eastAsia" w:ascii="宋体" w:hAnsi="宋体" w:eastAsia="宋体"/>
                <w:color w:val="auto"/>
                <w:szCs w:val="21"/>
                <w:highlight w:val="none"/>
                <w:lang w:eastAsia="zh-CN"/>
              </w:rPr>
            </w:pPr>
            <w:r>
              <w:rPr>
                <w:rFonts w:hint="eastAsia" w:ascii="宋体" w:hAnsi="宋体"/>
                <w:b/>
                <w:bCs/>
                <w:color w:val="auto"/>
                <w:szCs w:val="21"/>
                <w:highlight w:val="none"/>
              </w:rPr>
              <w:t>注：磋商小组认为竞标人的报价明显低于其他通过符合性审查竞标人的报价，有可能影响产品质量或者不能诚信履约的，应当要求其在评</w:t>
            </w:r>
            <w:r>
              <w:rPr>
                <w:rFonts w:hint="eastAsia" w:ascii="宋体" w:hAnsi="宋体"/>
                <w:b/>
                <w:bCs/>
                <w:color w:val="auto"/>
                <w:szCs w:val="21"/>
                <w:highlight w:val="none"/>
                <w:lang w:val="en-US" w:eastAsia="zh-CN"/>
              </w:rPr>
              <w:t>审</w:t>
            </w:r>
            <w:r>
              <w:rPr>
                <w:rFonts w:hint="eastAsia" w:ascii="宋体" w:hAnsi="宋体"/>
                <w:b/>
                <w:bCs/>
                <w:color w:val="auto"/>
                <w:szCs w:val="21"/>
                <w:highlight w:val="none"/>
              </w:rPr>
              <w:t>现场合理的时间内提供书面说明，必要时提交相关证明材料；竞标人不能证明其报价合理性的，磋商小组应当将其作为无效响应处理。</w:t>
            </w:r>
          </w:p>
        </w:tc>
        <w:tc>
          <w:tcPr>
            <w:tcW w:w="1417" w:type="dxa"/>
            <w:vAlign w:val="center"/>
          </w:tcPr>
          <w:p w14:paraId="76FFA16A">
            <w:pPr>
              <w:widowControl/>
              <w:spacing w:line="400" w:lineRule="exact"/>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lang w:val="en-US" w:eastAsia="zh-CN"/>
              </w:rPr>
              <w:t>（30）</w:t>
            </w:r>
            <w:r>
              <w:rPr>
                <w:rFonts w:hint="eastAsia" w:ascii="宋体" w:hAnsi="宋体" w:cs="Tahoma"/>
                <w:b/>
                <w:bCs/>
                <w:color w:val="auto"/>
                <w:kern w:val="0"/>
                <w:szCs w:val="21"/>
                <w:highlight w:val="none"/>
              </w:rPr>
              <w:t>分</w:t>
            </w:r>
          </w:p>
        </w:tc>
      </w:tr>
      <w:tr w14:paraId="48193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2" w:type="dxa"/>
            <w:vAlign w:val="center"/>
          </w:tcPr>
          <w:p w14:paraId="5D088AE9">
            <w:pPr>
              <w:widowControl/>
              <w:spacing w:line="400" w:lineRule="exact"/>
              <w:jc w:val="center"/>
              <w:rPr>
                <w:rFonts w:ascii="宋体" w:hAnsi="宋体" w:cs="Tahoma"/>
                <w:b/>
                <w:color w:val="auto"/>
                <w:kern w:val="0"/>
                <w:szCs w:val="21"/>
                <w:highlight w:val="none"/>
              </w:rPr>
            </w:pPr>
            <w:r>
              <w:rPr>
                <w:rFonts w:hint="eastAsia" w:ascii="宋体" w:hAnsi="宋体"/>
                <w:b/>
                <w:bCs/>
                <w:color w:val="auto"/>
                <w:kern w:val="0"/>
                <w:szCs w:val="21"/>
                <w:highlight w:val="none"/>
              </w:rPr>
              <w:t>2</w:t>
            </w:r>
          </w:p>
        </w:tc>
        <w:tc>
          <w:tcPr>
            <w:tcW w:w="1275" w:type="dxa"/>
            <w:vAlign w:val="center"/>
          </w:tcPr>
          <w:p w14:paraId="34BDC64F">
            <w:pPr>
              <w:widowControl/>
              <w:spacing w:line="400" w:lineRule="exact"/>
              <w:jc w:val="center"/>
              <w:rPr>
                <w:rFonts w:ascii="宋体" w:hAnsi="宋体" w:cs="Tahoma"/>
                <w:b/>
                <w:color w:val="auto"/>
                <w:kern w:val="0"/>
                <w:szCs w:val="21"/>
                <w:highlight w:val="none"/>
              </w:rPr>
            </w:pPr>
            <w:r>
              <w:rPr>
                <w:rFonts w:hint="eastAsia" w:ascii="宋体" w:hAnsi="宋体"/>
                <w:b/>
                <w:bCs/>
                <w:color w:val="auto"/>
                <w:kern w:val="0"/>
                <w:szCs w:val="21"/>
                <w:highlight w:val="none"/>
              </w:rPr>
              <w:t>技术分</w:t>
            </w:r>
          </w:p>
        </w:tc>
        <w:tc>
          <w:tcPr>
            <w:tcW w:w="6320" w:type="dxa"/>
          </w:tcPr>
          <w:p w14:paraId="40803B68">
            <w:pPr>
              <w:widowControl/>
              <w:spacing w:line="400" w:lineRule="exact"/>
              <w:jc w:val="center"/>
              <w:rPr>
                <w:rFonts w:ascii="宋体" w:hAnsi="宋体" w:cs="Tahoma"/>
                <w:b/>
                <w:color w:val="auto"/>
                <w:kern w:val="0"/>
                <w:szCs w:val="21"/>
                <w:highlight w:val="none"/>
              </w:rPr>
            </w:pPr>
            <w:r>
              <w:rPr>
                <w:rFonts w:hint="eastAsia" w:ascii="宋体" w:hAnsi="宋体" w:cs="Tahoma"/>
                <w:b/>
                <w:color w:val="auto"/>
                <w:kern w:val="0"/>
                <w:szCs w:val="21"/>
                <w:highlight w:val="none"/>
              </w:rPr>
              <w:t>评审因素</w:t>
            </w:r>
          </w:p>
        </w:tc>
        <w:tc>
          <w:tcPr>
            <w:tcW w:w="1417" w:type="dxa"/>
          </w:tcPr>
          <w:p w14:paraId="6488BACE">
            <w:pPr>
              <w:widowControl/>
              <w:spacing w:line="400" w:lineRule="exact"/>
              <w:jc w:val="center"/>
              <w:rPr>
                <w:rFonts w:ascii="宋体" w:hAnsi="宋体" w:cs="Tahoma"/>
                <w:b/>
                <w:color w:val="auto"/>
                <w:kern w:val="0"/>
                <w:szCs w:val="21"/>
                <w:highlight w:val="none"/>
              </w:rPr>
            </w:pPr>
            <w:r>
              <w:rPr>
                <w:rFonts w:hint="eastAsia" w:ascii="宋体" w:hAnsi="宋体" w:cs="Tahoma"/>
                <w:b/>
                <w:color w:val="auto"/>
                <w:kern w:val="0"/>
                <w:szCs w:val="21"/>
                <w:highlight w:val="none"/>
              </w:rPr>
              <w:t>满分</w:t>
            </w:r>
            <w:r>
              <w:rPr>
                <w:rFonts w:hint="eastAsia" w:ascii="宋体" w:hAnsi="宋体" w:cs="Tahoma"/>
                <w:b/>
                <w:color w:val="auto"/>
                <w:kern w:val="0"/>
                <w:szCs w:val="21"/>
                <w:highlight w:val="none"/>
                <w:lang w:val="en-US" w:eastAsia="zh-CN"/>
              </w:rPr>
              <w:t>60</w:t>
            </w:r>
            <w:r>
              <w:rPr>
                <w:rFonts w:hint="eastAsia" w:ascii="宋体" w:hAnsi="宋体" w:cs="Tahoma"/>
                <w:b/>
                <w:color w:val="auto"/>
                <w:kern w:val="0"/>
                <w:szCs w:val="21"/>
                <w:highlight w:val="none"/>
              </w:rPr>
              <w:t>分</w:t>
            </w:r>
          </w:p>
        </w:tc>
      </w:tr>
      <w:tr w14:paraId="5513F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2" w:type="dxa"/>
            <w:vAlign w:val="center"/>
          </w:tcPr>
          <w:p w14:paraId="7F3C6642">
            <w:pPr>
              <w:widowControl/>
              <w:spacing w:line="400" w:lineRule="exact"/>
              <w:jc w:val="left"/>
              <w:rPr>
                <w:rFonts w:hint="default" w:ascii="宋体" w:hAnsi="宋体" w:eastAsia="宋体"/>
                <w:b/>
                <w:bCs/>
                <w:color w:val="auto"/>
                <w:kern w:val="0"/>
                <w:szCs w:val="21"/>
                <w:highlight w:val="none"/>
                <w:lang w:val="en-US" w:eastAsia="zh-CN"/>
              </w:rPr>
            </w:pPr>
            <w:r>
              <w:rPr>
                <w:rFonts w:hint="eastAsia" w:ascii="宋体" w:hAnsi="宋体" w:eastAsia="宋体" w:cs="宋体"/>
                <w:color w:val="auto"/>
                <w:szCs w:val="21"/>
                <w:highlight w:val="none"/>
                <w:lang w:val="en-US" w:eastAsia="zh-CN"/>
              </w:rPr>
              <w:t>2.1</w:t>
            </w:r>
          </w:p>
        </w:tc>
        <w:tc>
          <w:tcPr>
            <w:tcW w:w="1275" w:type="dxa"/>
            <w:vAlign w:val="center"/>
          </w:tcPr>
          <w:p w14:paraId="2E5EC1FB">
            <w:pPr>
              <w:spacing w:line="400" w:lineRule="exact"/>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产品</w:t>
            </w:r>
            <w:r>
              <w:rPr>
                <w:rFonts w:hint="eastAsia" w:ascii="宋体" w:hAnsi="宋体" w:cs="宋体"/>
                <w:color w:val="auto"/>
                <w:szCs w:val="21"/>
                <w:highlight w:val="none"/>
                <w:lang w:val="en-US" w:eastAsia="zh-CN"/>
              </w:rPr>
              <w:t>需求</w:t>
            </w:r>
            <w:r>
              <w:rPr>
                <w:rFonts w:hint="eastAsia" w:ascii="宋体" w:hAnsi="宋体" w:eastAsia="宋体" w:cs="宋体"/>
                <w:color w:val="auto"/>
                <w:szCs w:val="21"/>
                <w:highlight w:val="none"/>
                <w:lang w:val="en-US" w:eastAsia="zh-CN"/>
              </w:rPr>
              <w:t>分</w:t>
            </w:r>
          </w:p>
        </w:tc>
        <w:tc>
          <w:tcPr>
            <w:tcW w:w="6320" w:type="dxa"/>
          </w:tcPr>
          <w:p w14:paraId="7ACBCD68">
            <w:pPr>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对</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val="en-US" w:eastAsia="zh-CN"/>
              </w:rPr>
              <w:t>文件“第</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lang w:val="en-US" w:eastAsia="zh-CN"/>
              </w:rPr>
              <w:t>章  采购需求”</w:t>
            </w:r>
            <w:r>
              <w:rPr>
                <w:rFonts w:hint="eastAsia" w:ascii="宋体" w:hAnsi="宋体" w:cs="宋体"/>
                <w:color w:val="auto"/>
                <w:sz w:val="21"/>
                <w:szCs w:val="21"/>
                <w:highlight w:val="none"/>
                <w:lang w:val="en-US" w:eastAsia="zh-CN"/>
              </w:rPr>
              <w:t>中规格参数要求进行响应，</w:t>
            </w:r>
          </w:p>
          <w:p w14:paraId="3326240F">
            <w:pPr>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w:t>
            </w:r>
            <w:r>
              <w:rPr>
                <w:rFonts w:hint="eastAsia" w:ascii="宋体" w:hAnsi="宋体" w:cs="宋体"/>
                <w:color w:val="auto"/>
                <w:sz w:val="21"/>
                <w:szCs w:val="21"/>
                <w:highlight w:val="none"/>
                <w:lang w:val="en-US" w:eastAsia="zh-CN"/>
              </w:rPr>
              <w:t>须</w:t>
            </w:r>
            <w:r>
              <w:rPr>
                <w:rFonts w:hint="eastAsia" w:ascii="宋体" w:hAnsi="宋体" w:eastAsia="宋体" w:cs="宋体"/>
                <w:color w:val="auto"/>
                <w:sz w:val="21"/>
                <w:szCs w:val="21"/>
                <w:highlight w:val="none"/>
                <w:lang w:val="en-US" w:eastAsia="zh-CN"/>
              </w:rPr>
              <w:t>提供正偏离参数的相关佐证材料（如检验报告、产品宣传彩页、产品生产厂家出具的参数承诺等），否则不予</w:t>
            </w:r>
            <w:r>
              <w:rPr>
                <w:rFonts w:hint="eastAsia" w:ascii="宋体" w:hAnsi="宋体" w:cs="宋体"/>
                <w:color w:val="auto"/>
                <w:sz w:val="21"/>
                <w:szCs w:val="21"/>
                <w:highlight w:val="none"/>
                <w:lang w:val="en-US" w:eastAsia="zh-CN"/>
              </w:rPr>
              <w:t>计分</w:t>
            </w:r>
            <w:r>
              <w:rPr>
                <w:rFonts w:hint="eastAsia" w:ascii="宋体" w:hAnsi="宋体" w:eastAsia="宋体" w:cs="宋体"/>
                <w:color w:val="auto"/>
                <w:sz w:val="21"/>
                <w:szCs w:val="21"/>
                <w:highlight w:val="none"/>
                <w:lang w:val="en-US" w:eastAsia="zh-CN"/>
              </w:rPr>
              <w:t>。</w:t>
            </w:r>
          </w:p>
          <w:p w14:paraId="4266BEEB">
            <w:pPr>
              <w:ind w:firstLine="420" w:firstLineChars="200"/>
              <w:rPr>
                <w:rFonts w:hint="eastAsia"/>
                <w:color w:val="auto"/>
                <w:sz w:val="21"/>
                <w:szCs w:val="21"/>
                <w:highlight w:val="none"/>
              </w:rPr>
            </w:pPr>
            <w:r>
              <w:rPr>
                <w:rFonts w:hint="eastAsia"/>
                <w:color w:val="auto"/>
                <w:sz w:val="21"/>
                <w:szCs w:val="21"/>
                <w:highlight w:val="none"/>
                <w:lang w:val="en-US" w:eastAsia="zh-CN"/>
              </w:rPr>
              <w:t xml:space="preserve">  </w:t>
            </w:r>
            <w:r>
              <w:rPr>
                <w:rFonts w:hint="eastAsia"/>
                <w:color w:val="auto"/>
                <w:sz w:val="21"/>
                <w:szCs w:val="21"/>
                <w:highlight w:val="none"/>
              </w:rPr>
              <w:t xml:space="preserve"> </w:t>
            </w:r>
          </w:p>
          <w:p w14:paraId="494C03D7">
            <w:pPr>
              <w:spacing w:line="400" w:lineRule="exact"/>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一档（9分）：供应商完全满足招</w:t>
            </w:r>
            <w:r>
              <w:rPr>
                <w:rFonts w:hint="eastAsia"/>
                <w:color w:val="auto"/>
                <w:sz w:val="21"/>
                <w:szCs w:val="21"/>
                <w:highlight w:val="none"/>
              </w:rPr>
              <w:t>标文件规定的所有规格、参数、质量标准（如材质、尺寸、容量、环保要求、安全标准等）</w:t>
            </w:r>
            <w:r>
              <w:rPr>
                <w:rFonts w:hint="eastAsia"/>
                <w:color w:val="auto"/>
                <w:sz w:val="21"/>
                <w:szCs w:val="21"/>
                <w:highlight w:val="none"/>
                <w:lang w:eastAsia="zh-CN"/>
              </w:rPr>
              <w:t>的基础上</w:t>
            </w:r>
            <w:r>
              <w:rPr>
                <w:rFonts w:hint="eastAsia" w:ascii="宋体" w:hAnsi="宋体" w:cs="宋体"/>
                <w:color w:val="auto"/>
                <w:sz w:val="21"/>
                <w:szCs w:val="21"/>
                <w:highlight w:val="none"/>
                <w:lang w:val="en-US" w:eastAsia="zh-CN"/>
              </w:rPr>
              <w:t>有正偏离,并能提供证明材料且被磋商小组认可，有正偏离的货品数量达10个以上的（含10个）。</w:t>
            </w:r>
          </w:p>
          <w:p w14:paraId="2F3D7D40">
            <w:pPr>
              <w:spacing w:line="400" w:lineRule="exact"/>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二档（12分）：供应商完全满足招</w:t>
            </w:r>
            <w:r>
              <w:rPr>
                <w:rFonts w:hint="eastAsia"/>
                <w:color w:val="auto"/>
                <w:sz w:val="21"/>
                <w:szCs w:val="21"/>
                <w:highlight w:val="none"/>
              </w:rPr>
              <w:t>标文件规定的所有规格、参数、质量标准（如材质、尺寸、容量、环保要求、安全标准等）</w:t>
            </w:r>
            <w:r>
              <w:rPr>
                <w:rFonts w:hint="eastAsia"/>
                <w:color w:val="auto"/>
                <w:sz w:val="21"/>
                <w:szCs w:val="21"/>
                <w:highlight w:val="none"/>
                <w:lang w:eastAsia="zh-CN"/>
              </w:rPr>
              <w:t>的基础上</w:t>
            </w:r>
            <w:r>
              <w:rPr>
                <w:rFonts w:hint="eastAsia" w:ascii="宋体" w:hAnsi="宋体" w:cs="宋体"/>
                <w:color w:val="auto"/>
                <w:sz w:val="21"/>
                <w:szCs w:val="21"/>
                <w:highlight w:val="none"/>
                <w:lang w:val="en-US" w:eastAsia="zh-CN"/>
              </w:rPr>
              <w:t>有正偏离,并能提供证明材料且被磋商小组认可，有正偏离的货品数量达到15个以上的（含15个）。</w:t>
            </w:r>
          </w:p>
          <w:p w14:paraId="725E41B6">
            <w:pPr>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三档（15分）：供应商完全满足招</w:t>
            </w:r>
            <w:r>
              <w:rPr>
                <w:rFonts w:hint="eastAsia"/>
                <w:color w:val="auto"/>
                <w:sz w:val="21"/>
                <w:szCs w:val="21"/>
                <w:highlight w:val="none"/>
              </w:rPr>
              <w:t>标文件规定的所有规格、参数、质量标准（如材质、尺寸、容量、环保要求、安全标准等）</w:t>
            </w:r>
            <w:r>
              <w:rPr>
                <w:rFonts w:hint="eastAsia"/>
                <w:color w:val="auto"/>
                <w:sz w:val="21"/>
                <w:szCs w:val="21"/>
                <w:highlight w:val="none"/>
                <w:lang w:eastAsia="zh-CN"/>
              </w:rPr>
              <w:t>的基础上</w:t>
            </w:r>
            <w:r>
              <w:rPr>
                <w:rFonts w:hint="eastAsia" w:ascii="宋体" w:hAnsi="宋体" w:cs="宋体"/>
                <w:color w:val="auto"/>
                <w:sz w:val="21"/>
                <w:szCs w:val="21"/>
                <w:highlight w:val="none"/>
                <w:lang w:val="en-US" w:eastAsia="zh-CN"/>
              </w:rPr>
              <w:t>有正偏离,并能提供证明材料且被磋商小组认可，有正偏离的货品数量达20个以上的（含20个）。</w:t>
            </w:r>
            <w:r>
              <w:rPr>
                <w:rFonts w:hint="eastAsia"/>
                <w:color w:val="auto"/>
                <w:sz w:val="21"/>
                <w:szCs w:val="21"/>
                <w:highlight w:val="none"/>
              </w:rPr>
              <w:t xml:space="preserve">   </w:t>
            </w:r>
          </w:p>
        </w:tc>
        <w:tc>
          <w:tcPr>
            <w:tcW w:w="1417" w:type="dxa"/>
            <w:vAlign w:val="center"/>
          </w:tcPr>
          <w:p w14:paraId="09F28744">
            <w:pPr>
              <w:spacing w:line="400" w:lineRule="exact"/>
              <w:jc w:val="center"/>
              <w:rPr>
                <w:rFonts w:hint="default" w:ascii="宋体" w:hAnsi="宋体" w:eastAsia="宋体" w:cs="Tahoma"/>
                <w:color w:val="auto"/>
                <w:kern w:val="0"/>
                <w:szCs w:val="21"/>
                <w:highlight w:val="none"/>
                <w:lang w:val="en-US" w:eastAsia="zh-CN"/>
              </w:rPr>
            </w:pPr>
            <w:r>
              <w:rPr>
                <w:rFonts w:hint="eastAsia" w:ascii="宋体" w:hAnsi="宋体" w:cs="Tahoma"/>
                <w:color w:val="auto"/>
                <w:kern w:val="0"/>
                <w:szCs w:val="21"/>
                <w:highlight w:val="none"/>
                <w:lang w:val="en-US" w:eastAsia="zh-CN"/>
              </w:rPr>
              <w:t>15</w:t>
            </w:r>
            <w:r>
              <w:rPr>
                <w:rFonts w:hint="eastAsia" w:ascii="宋体" w:hAnsi="宋体" w:eastAsia="宋体" w:cs="Tahoma"/>
                <w:color w:val="auto"/>
                <w:kern w:val="0"/>
                <w:szCs w:val="21"/>
                <w:highlight w:val="none"/>
                <w:lang w:val="en-US" w:eastAsia="zh-CN"/>
              </w:rPr>
              <w:t>分</w:t>
            </w:r>
          </w:p>
        </w:tc>
      </w:tr>
      <w:tr w14:paraId="46821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622" w:type="dxa"/>
            <w:vAlign w:val="center"/>
          </w:tcPr>
          <w:p w14:paraId="68AC2499">
            <w:pPr>
              <w:adjustRightInd w:val="0"/>
              <w:spacing w:line="400" w:lineRule="exact"/>
              <w:ind w:left="-105" w:leftChars="-50" w:right="-105" w:rightChars="-50"/>
              <w:jc w:val="center"/>
              <w:textAlignment w:val="baseline"/>
              <w:rPr>
                <w:rFonts w:hint="default" w:ascii="宋体" w:hAnsi="宋体" w:eastAsia="宋体"/>
                <w:bCs/>
                <w:color w:val="auto"/>
                <w:kern w:val="0"/>
                <w:szCs w:val="21"/>
                <w:highlight w:val="none"/>
                <w:lang w:val="en-US" w:eastAsia="zh-CN"/>
              </w:rPr>
            </w:pPr>
            <w:r>
              <w:rPr>
                <w:rFonts w:hint="eastAsia" w:ascii="宋体" w:hAnsi="宋体"/>
                <w:bCs/>
                <w:color w:val="auto"/>
                <w:kern w:val="0"/>
                <w:szCs w:val="21"/>
                <w:highlight w:val="none"/>
                <w:lang w:val="en-US" w:eastAsia="zh-CN"/>
              </w:rPr>
              <w:t>2.2</w:t>
            </w:r>
          </w:p>
        </w:tc>
        <w:tc>
          <w:tcPr>
            <w:tcW w:w="1275" w:type="dxa"/>
            <w:vAlign w:val="center"/>
          </w:tcPr>
          <w:p w14:paraId="10F00494">
            <w:pPr>
              <w:pStyle w:val="23"/>
              <w:spacing w:line="400" w:lineRule="exact"/>
              <w:jc w:val="center"/>
              <w:rPr>
                <w:rFonts w:ascii="宋体" w:hAnsi="宋体"/>
                <w:color w:val="auto"/>
                <w:szCs w:val="21"/>
                <w:highlight w:val="none"/>
              </w:rPr>
            </w:pPr>
            <w:r>
              <w:rPr>
                <w:rFonts w:hint="eastAsia" w:hAnsi="宋体" w:cs="宋体"/>
                <w:bCs/>
                <w:color w:val="auto"/>
                <w:sz w:val="21"/>
                <w:highlight w:val="none"/>
              </w:rPr>
              <w:t>组织实施方案分</w:t>
            </w:r>
          </w:p>
        </w:tc>
        <w:tc>
          <w:tcPr>
            <w:tcW w:w="6320" w:type="dxa"/>
            <w:vAlign w:val="center"/>
          </w:tcPr>
          <w:p w14:paraId="0B45EC98">
            <w:pPr>
              <w:spacing w:line="40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一档（9分）：能提供简单的服务实施及管理制度，具有简单的服务实施流程结构图和管理制度，有仓储物流方案，具有一定的配送能力。</w:t>
            </w:r>
          </w:p>
          <w:p w14:paraId="49F19DCD">
            <w:pPr>
              <w:spacing w:line="40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二档（12分）：能提供详细的服务实施及管理制度，具有合理的、详细的服务实施机构设置组成说明、服务实施计划、服务实施流程结构图和管理制度，有较细的仓储物流方案，具备较好的配送能力；</w:t>
            </w:r>
          </w:p>
          <w:p w14:paraId="419ACE2E">
            <w:pPr>
              <w:spacing w:line="40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三档（15分）：能提供详细的服务实施及管理制度，能够针对本项目制定合理的、详细的服务实施流程结构图和管理制度；具有详细的服务实施计划、仓储运输配送保障、安全保障措施、质量管理、风险管理制度，能提供保证服务按时按质按量完成且具有实际操作性的承诺， 供货计划详细、科学、可行性强，明确各阶段时间节点（下单、生产、质检、发货、到货），承诺的供货周期短且合理，有完善的应急补货预案。自有或拥有稳定合作的现代化仓储设施，物流配送方案高效、可靠（如GPS跟踪、恒温运输等）。</w:t>
            </w:r>
          </w:p>
          <w:p w14:paraId="49465490">
            <w:pPr>
              <w:spacing w:line="40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注：未提供该项方案或方案不达到最低档要求不得分。</w:t>
            </w:r>
          </w:p>
        </w:tc>
        <w:tc>
          <w:tcPr>
            <w:tcW w:w="1417" w:type="dxa"/>
            <w:vAlign w:val="center"/>
          </w:tcPr>
          <w:p w14:paraId="35052391">
            <w:pPr>
              <w:spacing w:line="400" w:lineRule="exact"/>
              <w:jc w:val="center"/>
              <w:rPr>
                <w:rFonts w:hint="default" w:ascii="宋体" w:hAnsi="宋体" w:eastAsia="宋体" w:cs="Tahoma"/>
                <w:color w:val="auto"/>
                <w:kern w:val="0"/>
                <w:szCs w:val="21"/>
                <w:highlight w:val="none"/>
                <w:lang w:val="en-US" w:eastAsia="zh-CN"/>
              </w:rPr>
            </w:pPr>
            <w:r>
              <w:rPr>
                <w:rFonts w:hint="eastAsia" w:ascii="宋体" w:hAnsi="宋体" w:cs="Tahoma"/>
                <w:color w:val="auto"/>
                <w:kern w:val="0"/>
                <w:szCs w:val="21"/>
                <w:highlight w:val="none"/>
                <w:lang w:val="en-US" w:eastAsia="zh-CN"/>
              </w:rPr>
              <w:t>15分</w:t>
            </w:r>
          </w:p>
        </w:tc>
      </w:tr>
      <w:tr w14:paraId="35CA9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2" w:type="dxa"/>
            <w:vAlign w:val="center"/>
          </w:tcPr>
          <w:p w14:paraId="06F7B65B">
            <w:pPr>
              <w:adjustRightInd w:val="0"/>
              <w:spacing w:line="400" w:lineRule="exact"/>
              <w:ind w:left="-105" w:leftChars="-50" w:right="-105" w:rightChars="-50"/>
              <w:jc w:val="center"/>
              <w:textAlignment w:val="baseline"/>
              <w:rPr>
                <w:rFonts w:hint="eastAsia" w:ascii="宋体" w:hAnsi="宋体" w:eastAsia="宋体"/>
                <w:bCs/>
                <w:color w:val="auto"/>
                <w:kern w:val="0"/>
                <w:szCs w:val="21"/>
                <w:highlight w:val="none"/>
                <w:lang w:eastAsia="zh-CN"/>
              </w:rPr>
            </w:pPr>
            <w:r>
              <w:rPr>
                <w:rFonts w:hint="eastAsia" w:ascii="宋体" w:hAnsi="宋体"/>
                <w:bCs/>
                <w:color w:val="auto"/>
                <w:kern w:val="0"/>
                <w:szCs w:val="21"/>
                <w:highlight w:val="none"/>
              </w:rPr>
              <w:t>2.</w:t>
            </w:r>
            <w:r>
              <w:rPr>
                <w:rFonts w:hint="eastAsia" w:ascii="宋体" w:hAnsi="宋体"/>
                <w:bCs/>
                <w:color w:val="auto"/>
                <w:kern w:val="0"/>
                <w:szCs w:val="21"/>
                <w:highlight w:val="none"/>
                <w:lang w:val="en-US" w:eastAsia="zh-CN"/>
              </w:rPr>
              <w:t>3</w:t>
            </w:r>
          </w:p>
        </w:tc>
        <w:tc>
          <w:tcPr>
            <w:tcW w:w="1275" w:type="dxa"/>
            <w:vAlign w:val="center"/>
          </w:tcPr>
          <w:p w14:paraId="3AB8A811">
            <w:pPr>
              <w:pStyle w:val="23"/>
              <w:spacing w:line="400" w:lineRule="exact"/>
              <w:jc w:val="center"/>
              <w:rPr>
                <w:rFonts w:hint="default" w:ascii="宋体" w:hAnsi="宋体" w:eastAsia="宋体"/>
                <w:color w:val="auto"/>
                <w:szCs w:val="21"/>
                <w:highlight w:val="none"/>
                <w:lang w:val="en-US" w:eastAsia="zh-CN"/>
              </w:rPr>
            </w:pPr>
            <w:r>
              <w:rPr>
                <w:rFonts w:hint="eastAsia" w:hAnsi="宋体" w:cs="宋体"/>
                <w:bCs/>
                <w:color w:val="auto"/>
                <w:sz w:val="21"/>
                <w:highlight w:val="none"/>
              </w:rPr>
              <w:t>产品质量控制措施分</w:t>
            </w:r>
          </w:p>
        </w:tc>
        <w:tc>
          <w:tcPr>
            <w:tcW w:w="6320" w:type="dxa"/>
            <w:vAlign w:val="center"/>
          </w:tcPr>
          <w:p w14:paraId="127738DD">
            <w:pPr>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一档（</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lang w:val="en-US" w:eastAsia="zh-CN"/>
              </w:rPr>
              <w:t>分）：出具产品质量保障承诺书，承诺严格按合同要求提供物品；</w:t>
            </w:r>
          </w:p>
          <w:p w14:paraId="37367DD7">
            <w:pPr>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二档（</w:t>
            </w: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lang w:val="en-US" w:eastAsia="zh-CN"/>
              </w:rPr>
              <w:t>分）：出具产品质量保障承诺书，承诺严格按合同要求提供物品，并有详细可操作的质量控制措施；</w:t>
            </w:r>
          </w:p>
          <w:p w14:paraId="335895B7">
            <w:pPr>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三档（</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lang w:val="en-US" w:eastAsia="zh-CN"/>
              </w:rPr>
              <w:t>分）：具有畅通、相对固定和信誉良好的供货渠道，出具产品质量保障承诺书，承诺严格按合同要求提供物品，并有详细可操作的质量控制措施；有行之有效的物品更换应急响应措施，确保能快速更换。</w:t>
            </w:r>
          </w:p>
          <w:p w14:paraId="4685799E">
            <w:pPr>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注：未提供该项措施或措施不达到最低档要求不得分。</w:t>
            </w:r>
          </w:p>
        </w:tc>
        <w:tc>
          <w:tcPr>
            <w:tcW w:w="1417" w:type="dxa"/>
            <w:vAlign w:val="center"/>
          </w:tcPr>
          <w:p w14:paraId="70388F24">
            <w:pPr>
              <w:pStyle w:val="23"/>
              <w:spacing w:line="400" w:lineRule="exact"/>
              <w:jc w:val="center"/>
              <w:rPr>
                <w:rFonts w:hint="default" w:ascii="宋体" w:hAnsi="宋体" w:cs="Tahoma"/>
                <w:color w:val="auto"/>
                <w:kern w:val="0"/>
                <w:szCs w:val="21"/>
                <w:highlight w:val="none"/>
                <w:lang w:val="en-US"/>
              </w:rPr>
            </w:pPr>
            <w:r>
              <w:rPr>
                <w:rFonts w:hint="eastAsia" w:hAnsi="宋体"/>
                <w:bCs/>
                <w:color w:val="auto"/>
                <w:sz w:val="21"/>
                <w:highlight w:val="none"/>
                <w:lang w:val="en-US" w:eastAsia="zh-CN"/>
              </w:rPr>
              <w:t>15</w:t>
            </w:r>
            <w:r>
              <w:rPr>
                <w:rFonts w:hint="eastAsia" w:hAnsi="宋体"/>
                <w:bCs/>
                <w:color w:val="auto"/>
                <w:sz w:val="21"/>
                <w:highlight w:val="none"/>
              </w:rPr>
              <w:t>分</w:t>
            </w:r>
          </w:p>
        </w:tc>
      </w:tr>
      <w:tr w14:paraId="2A964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2" w:type="dxa"/>
            <w:vAlign w:val="center"/>
          </w:tcPr>
          <w:p w14:paraId="1B534E53">
            <w:pPr>
              <w:pStyle w:val="23"/>
              <w:spacing w:line="400" w:lineRule="exact"/>
              <w:jc w:val="center"/>
              <w:rPr>
                <w:rFonts w:hint="eastAsia" w:ascii="宋体" w:hAnsi="宋体" w:eastAsia="宋体"/>
                <w:bCs/>
                <w:color w:val="auto"/>
                <w:kern w:val="0"/>
                <w:szCs w:val="21"/>
                <w:highlight w:val="none"/>
                <w:lang w:eastAsia="zh-CN"/>
              </w:rPr>
            </w:pPr>
            <w:r>
              <w:rPr>
                <w:rFonts w:hint="eastAsia" w:hAnsi="宋体"/>
                <w:bCs/>
                <w:color w:val="auto"/>
                <w:sz w:val="21"/>
                <w:highlight w:val="none"/>
              </w:rPr>
              <w:t>2.</w:t>
            </w:r>
            <w:r>
              <w:rPr>
                <w:rFonts w:hint="eastAsia" w:hAnsi="宋体"/>
                <w:bCs/>
                <w:color w:val="auto"/>
                <w:sz w:val="21"/>
                <w:highlight w:val="none"/>
                <w:lang w:val="en-US" w:eastAsia="zh-CN"/>
              </w:rPr>
              <w:t>4</w:t>
            </w:r>
          </w:p>
        </w:tc>
        <w:tc>
          <w:tcPr>
            <w:tcW w:w="1275" w:type="dxa"/>
            <w:vAlign w:val="center"/>
          </w:tcPr>
          <w:p w14:paraId="56045208">
            <w:pPr>
              <w:pStyle w:val="23"/>
              <w:spacing w:line="400" w:lineRule="exact"/>
              <w:jc w:val="center"/>
              <w:rPr>
                <w:rFonts w:hint="eastAsia" w:hAnsi="宋体" w:cs="宋体"/>
                <w:bCs/>
                <w:color w:val="auto"/>
                <w:sz w:val="21"/>
                <w:highlight w:val="none"/>
              </w:rPr>
            </w:pPr>
            <w:r>
              <w:rPr>
                <w:rFonts w:hint="eastAsia" w:hAnsi="宋体" w:cs="宋体"/>
                <w:bCs/>
                <w:color w:val="auto"/>
                <w:sz w:val="21"/>
                <w:highlight w:val="none"/>
              </w:rPr>
              <w:t>售后服务分</w:t>
            </w:r>
          </w:p>
        </w:tc>
        <w:tc>
          <w:tcPr>
            <w:tcW w:w="6320" w:type="dxa"/>
            <w:vAlign w:val="top"/>
          </w:tcPr>
          <w:p w14:paraId="708CA4F4">
            <w:pPr>
              <w:spacing w:line="400" w:lineRule="exact"/>
              <w:jc w:val="left"/>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一档（</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lang w:val="en-US" w:eastAsia="zh-CN"/>
              </w:rPr>
              <w:t>分）：具有售后措施，售后响应时间小于6小时，</w:t>
            </w:r>
            <w:r>
              <w:rPr>
                <w:rFonts w:hint="eastAsia"/>
                <w:color w:val="auto"/>
                <w:highlight w:val="none"/>
              </w:rPr>
              <w:t>处理流程</w:t>
            </w:r>
            <w:r>
              <w:rPr>
                <w:rFonts w:hint="eastAsia"/>
                <w:color w:val="auto"/>
                <w:highlight w:val="none"/>
                <w:lang w:eastAsia="zh-CN"/>
              </w:rPr>
              <w:t>简单，</w:t>
            </w:r>
            <w:r>
              <w:rPr>
                <w:rFonts w:hint="eastAsia"/>
                <w:color w:val="auto"/>
                <w:highlight w:val="none"/>
              </w:rPr>
              <w:t>简单提及应急保障</w:t>
            </w:r>
            <w:r>
              <w:rPr>
                <w:rFonts w:hint="eastAsia" w:ascii="宋体" w:hAnsi="宋体" w:cs="宋体"/>
                <w:color w:val="auto"/>
                <w:szCs w:val="21"/>
                <w:highlight w:val="none"/>
                <w:lang w:val="en-US" w:eastAsia="zh-CN"/>
              </w:rPr>
              <w:t>。</w:t>
            </w:r>
          </w:p>
          <w:p w14:paraId="06FC438E">
            <w:pPr>
              <w:spacing w:line="400" w:lineRule="exact"/>
              <w:jc w:val="left"/>
              <w:rPr>
                <w:rFonts w:hint="eastAsia"/>
                <w:color w:val="auto"/>
                <w:highlight w:val="none"/>
              </w:rPr>
            </w:pPr>
            <w:r>
              <w:rPr>
                <w:rFonts w:hint="eastAsia" w:ascii="宋体" w:hAnsi="宋体" w:eastAsia="宋体" w:cs="宋体"/>
                <w:color w:val="auto"/>
                <w:szCs w:val="21"/>
                <w:highlight w:val="none"/>
                <w:lang w:val="en-US" w:eastAsia="zh-CN"/>
              </w:rPr>
              <w:t>二档（</w:t>
            </w: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lang w:val="en-US" w:eastAsia="zh-CN"/>
              </w:rPr>
              <w:t>分）：具有较为完善的售后措施，售后响应时间小于4小时，</w:t>
            </w:r>
            <w:r>
              <w:rPr>
                <w:rFonts w:hint="eastAsia"/>
                <w:color w:val="auto"/>
                <w:highlight w:val="none"/>
              </w:rPr>
              <w:t>有基本的问题处理流程</w:t>
            </w:r>
            <w:r>
              <w:rPr>
                <w:rFonts w:hint="eastAsia"/>
                <w:color w:val="auto"/>
                <w:highlight w:val="none"/>
                <w:lang w:eastAsia="zh-CN"/>
              </w:rPr>
              <w:t>，</w:t>
            </w:r>
            <w:r>
              <w:rPr>
                <w:rFonts w:hint="eastAsia"/>
                <w:color w:val="auto"/>
                <w:highlight w:val="none"/>
              </w:rPr>
              <w:t>有基本的应急保障措施。</w:t>
            </w:r>
          </w:p>
          <w:p w14:paraId="67D0258D">
            <w:pPr>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三档（</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lang w:val="en-US" w:eastAsia="zh-CN"/>
              </w:rPr>
              <w:t>分）：具有详细、完善、且具有操作性的售后措施，售后响应时间小于2小时，</w:t>
            </w:r>
            <w:r>
              <w:rPr>
                <w:rFonts w:hint="eastAsia"/>
                <w:color w:val="auto"/>
                <w:highlight w:val="none"/>
              </w:rPr>
              <w:t>有完善的客诉处理机制和记录追踪</w:t>
            </w:r>
            <w:r>
              <w:rPr>
                <w:rFonts w:hint="eastAsia"/>
                <w:color w:val="auto"/>
                <w:highlight w:val="none"/>
                <w:lang w:eastAsia="zh-CN"/>
              </w:rPr>
              <w:t>，</w:t>
            </w:r>
            <w:r>
              <w:rPr>
                <w:rFonts w:hint="eastAsia"/>
                <w:color w:val="auto"/>
                <w:highlight w:val="none"/>
              </w:rPr>
              <w:t>针对突发性大量需求（如大型接待、紧急补货）、自然灾害、供应链中断等，有详细、可行的应急供应预案（如安全库存、备用产</w:t>
            </w:r>
            <w:r>
              <w:rPr>
                <w:rFonts w:hint="eastAsia"/>
                <w:color w:val="auto"/>
                <w:highlight w:val="none"/>
                <w:lang w:eastAsia="zh-CN"/>
              </w:rPr>
              <w:t>品</w:t>
            </w:r>
            <w:r>
              <w:rPr>
                <w:rFonts w:hint="eastAsia"/>
                <w:color w:val="auto"/>
                <w:highlight w:val="none"/>
              </w:rPr>
              <w:t>、替代供应商、快速物流通道）</w:t>
            </w:r>
            <w:r>
              <w:rPr>
                <w:rFonts w:hint="eastAsia"/>
                <w:color w:val="auto"/>
                <w:highlight w:val="none"/>
                <w:lang w:eastAsia="zh-CN"/>
              </w:rPr>
              <w:t>，</w:t>
            </w:r>
            <w:r>
              <w:rPr>
                <w:rFonts w:hint="eastAsia"/>
                <w:color w:val="auto"/>
                <w:highlight w:val="none"/>
              </w:rPr>
              <w:t>承诺定期进行质量回访，主动提供产品优化建议、</w:t>
            </w:r>
            <w:r>
              <w:rPr>
                <w:rFonts w:hint="eastAsia"/>
                <w:color w:val="auto"/>
                <w:highlight w:val="none"/>
                <w:lang w:eastAsia="zh-CN"/>
              </w:rPr>
              <w:t>产品</w:t>
            </w:r>
            <w:r>
              <w:rPr>
                <w:rFonts w:hint="eastAsia"/>
                <w:color w:val="auto"/>
                <w:highlight w:val="none"/>
              </w:rPr>
              <w:t>行业资讯等增值服务</w:t>
            </w:r>
            <w:r>
              <w:rPr>
                <w:rFonts w:hint="eastAsia" w:ascii="宋体" w:hAnsi="宋体" w:eastAsia="宋体" w:cs="宋体"/>
                <w:color w:val="auto"/>
                <w:szCs w:val="21"/>
                <w:highlight w:val="none"/>
                <w:lang w:val="en-US" w:eastAsia="zh-CN"/>
              </w:rPr>
              <w:t>。</w:t>
            </w:r>
          </w:p>
          <w:p w14:paraId="1BFE7DA4">
            <w:pPr>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注：1.人员中需含装卸搬运人员，采购人不提供人员帮助装卸搬运。</w:t>
            </w:r>
          </w:p>
          <w:p w14:paraId="6F17FFDF">
            <w:pPr>
              <w:keepNext w:val="0"/>
              <w:keepLines w:val="0"/>
              <w:widowControl w:val="0"/>
              <w:numPr>
                <w:ilvl w:val="0"/>
                <w:numId w:val="7"/>
              </w:numPr>
              <w:suppressLineNumbers w:val="0"/>
              <w:spacing w:before="0" w:beforeAutospacing="0" w:after="0" w:afterAutospacing="0"/>
              <w:ind w:left="0" w:right="0"/>
              <w:jc w:val="both"/>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未提供或不达到最低档要求不得分。</w:t>
            </w:r>
          </w:p>
        </w:tc>
        <w:tc>
          <w:tcPr>
            <w:tcW w:w="1417" w:type="dxa"/>
            <w:vAlign w:val="center"/>
          </w:tcPr>
          <w:p w14:paraId="2DF477BE">
            <w:pPr>
              <w:pStyle w:val="23"/>
              <w:spacing w:line="400" w:lineRule="exact"/>
              <w:jc w:val="center"/>
              <w:rPr>
                <w:rFonts w:hint="eastAsia" w:hAnsi="宋体"/>
                <w:bCs/>
                <w:color w:val="auto"/>
                <w:sz w:val="21"/>
                <w:highlight w:val="none"/>
              </w:rPr>
            </w:pPr>
            <w:r>
              <w:rPr>
                <w:rFonts w:hint="eastAsia" w:hAnsi="宋体"/>
                <w:bCs/>
                <w:color w:val="auto"/>
                <w:sz w:val="21"/>
                <w:highlight w:val="none"/>
                <w:lang w:val="en-US" w:eastAsia="zh-CN"/>
              </w:rPr>
              <w:t>15</w:t>
            </w:r>
            <w:r>
              <w:rPr>
                <w:rFonts w:hint="eastAsia" w:hAnsi="宋体"/>
                <w:bCs/>
                <w:color w:val="auto"/>
                <w:sz w:val="21"/>
                <w:highlight w:val="none"/>
              </w:rPr>
              <w:t>分</w:t>
            </w:r>
          </w:p>
        </w:tc>
      </w:tr>
      <w:tr w14:paraId="14071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2" w:type="dxa"/>
            <w:vAlign w:val="center"/>
          </w:tcPr>
          <w:p w14:paraId="30220054">
            <w:pPr>
              <w:widowControl/>
              <w:spacing w:line="400" w:lineRule="exact"/>
              <w:jc w:val="center"/>
              <w:rPr>
                <w:rFonts w:ascii="宋体" w:hAnsi="宋体" w:cs="Tahoma"/>
                <w:b/>
                <w:color w:val="auto"/>
                <w:kern w:val="0"/>
                <w:szCs w:val="21"/>
                <w:highlight w:val="none"/>
              </w:rPr>
            </w:pPr>
            <w:r>
              <w:rPr>
                <w:rFonts w:hint="eastAsia" w:ascii="宋体" w:hAnsi="宋体" w:cs="Tahoma"/>
                <w:b/>
                <w:color w:val="auto"/>
                <w:kern w:val="0"/>
                <w:szCs w:val="21"/>
                <w:highlight w:val="none"/>
              </w:rPr>
              <w:t>3</w:t>
            </w:r>
          </w:p>
        </w:tc>
        <w:tc>
          <w:tcPr>
            <w:tcW w:w="1275" w:type="dxa"/>
            <w:vAlign w:val="center"/>
          </w:tcPr>
          <w:p w14:paraId="7752BB08">
            <w:pPr>
              <w:widowControl/>
              <w:spacing w:line="400" w:lineRule="exact"/>
              <w:jc w:val="center"/>
              <w:rPr>
                <w:rFonts w:ascii="宋体" w:hAnsi="宋体" w:cs="Courier New"/>
                <w:b/>
                <w:bCs/>
                <w:color w:val="auto"/>
                <w:szCs w:val="21"/>
                <w:highlight w:val="none"/>
              </w:rPr>
            </w:pPr>
            <w:r>
              <w:rPr>
                <w:rFonts w:hint="eastAsia" w:ascii="宋体" w:hAnsi="宋体" w:cs="Courier New"/>
                <w:b/>
                <w:bCs/>
                <w:color w:val="auto"/>
                <w:szCs w:val="21"/>
                <w:highlight w:val="none"/>
              </w:rPr>
              <w:t>商务分</w:t>
            </w:r>
          </w:p>
        </w:tc>
        <w:tc>
          <w:tcPr>
            <w:tcW w:w="6320" w:type="dxa"/>
            <w:vAlign w:val="center"/>
          </w:tcPr>
          <w:p w14:paraId="19072087">
            <w:pPr>
              <w:widowControl/>
              <w:spacing w:line="400" w:lineRule="exact"/>
              <w:jc w:val="center"/>
              <w:rPr>
                <w:rFonts w:ascii="宋体" w:hAnsi="宋体" w:cs="Tahoma"/>
                <w:b/>
                <w:color w:val="auto"/>
                <w:kern w:val="0"/>
                <w:szCs w:val="21"/>
                <w:highlight w:val="none"/>
              </w:rPr>
            </w:pPr>
            <w:r>
              <w:rPr>
                <w:rFonts w:hint="eastAsia" w:ascii="宋体" w:hAnsi="宋体" w:cs="Tahoma"/>
                <w:b/>
                <w:color w:val="auto"/>
                <w:kern w:val="0"/>
                <w:szCs w:val="21"/>
                <w:highlight w:val="none"/>
              </w:rPr>
              <w:t>评审因素</w:t>
            </w:r>
          </w:p>
        </w:tc>
        <w:tc>
          <w:tcPr>
            <w:tcW w:w="1417" w:type="dxa"/>
            <w:vAlign w:val="center"/>
          </w:tcPr>
          <w:p w14:paraId="453537C6">
            <w:pPr>
              <w:widowControl/>
              <w:spacing w:line="400" w:lineRule="exact"/>
              <w:jc w:val="center"/>
              <w:rPr>
                <w:rFonts w:ascii="宋体" w:hAnsi="宋体" w:cs="Tahoma"/>
                <w:b/>
                <w:color w:val="auto"/>
                <w:kern w:val="0"/>
                <w:szCs w:val="21"/>
                <w:highlight w:val="none"/>
              </w:rPr>
            </w:pPr>
            <w:r>
              <w:rPr>
                <w:rFonts w:hint="eastAsia" w:ascii="宋体" w:hAnsi="宋体" w:cs="Tahoma"/>
                <w:b/>
                <w:color w:val="auto"/>
                <w:kern w:val="0"/>
                <w:szCs w:val="21"/>
                <w:highlight w:val="none"/>
              </w:rPr>
              <w:t>满分</w:t>
            </w:r>
            <w:r>
              <w:rPr>
                <w:rFonts w:hint="eastAsia" w:ascii="宋体" w:hAnsi="宋体" w:cs="Tahoma"/>
                <w:b/>
                <w:color w:val="auto"/>
                <w:kern w:val="0"/>
                <w:szCs w:val="21"/>
                <w:highlight w:val="none"/>
                <w:lang w:val="en-US" w:eastAsia="zh-CN"/>
              </w:rPr>
              <w:t>10</w:t>
            </w:r>
            <w:r>
              <w:rPr>
                <w:rFonts w:hint="eastAsia" w:ascii="宋体" w:hAnsi="宋体" w:cs="Tahoma"/>
                <w:b/>
                <w:color w:val="auto"/>
                <w:kern w:val="0"/>
                <w:szCs w:val="21"/>
                <w:highlight w:val="none"/>
              </w:rPr>
              <w:t>分</w:t>
            </w:r>
          </w:p>
        </w:tc>
      </w:tr>
      <w:tr w14:paraId="46243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622" w:type="dxa"/>
            <w:vAlign w:val="center"/>
          </w:tcPr>
          <w:p w14:paraId="3E5F6DD3">
            <w:pPr>
              <w:widowControl/>
              <w:spacing w:line="400" w:lineRule="exact"/>
              <w:jc w:val="center"/>
              <w:rPr>
                <w:rFonts w:hint="eastAsia" w:ascii="宋体" w:hAnsi="宋体" w:eastAsia="宋体" w:cs="Tahoma"/>
                <w:color w:val="auto"/>
                <w:kern w:val="0"/>
                <w:szCs w:val="21"/>
                <w:highlight w:val="none"/>
                <w:lang w:eastAsia="zh-CN"/>
              </w:rPr>
            </w:pPr>
            <w:r>
              <w:rPr>
                <w:rFonts w:ascii="宋体" w:hAnsi="宋体" w:cs="Tahoma"/>
                <w:color w:val="auto"/>
                <w:kern w:val="0"/>
                <w:szCs w:val="21"/>
                <w:highlight w:val="none"/>
              </w:rPr>
              <w:t>3.</w:t>
            </w:r>
            <w:r>
              <w:rPr>
                <w:rFonts w:hint="eastAsia" w:ascii="宋体" w:hAnsi="宋体" w:cs="Tahoma"/>
                <w:color w:val="auto"/>
                <w:kern w:val="0"/>
                <w:szCs w:val="21"/>
                <w:highlight w:val="none"/>
                <w:lang w:val="en-US" w:eastAsia="zh-CN"/>
              </w:rPr>
              <w:t>1</w:t>
            </w:r>
          </w:p>
        </w:tc>
        <w:tc>
          <w:tcPr>
            <w:tcW w:w="1275" w:type="dxa"/>
            <w:vAlign w:val="center"/>
          </w:tcPr>
          <w:p w14:paraId="45598F36">
            <w:pPr>
              <w:widowControl/>
              <w:spacing w:line="400" w:lineRule="exact"/>
              <w:jc w:val="center"/>
              <w:rPr>
                <w:rFonts w:hint="eastAsia" w:ascii="宋体" w:hAnsi="宋体" w:cs="Courier New"/>
                <w:bCs/>
                <w:color w:val="auto"/>
                <w:szCs w:val="21"/>
                <w:highlight w:val="none"/>
              </w:rPr>
            </w:pPr>
            <w:r>
              <w:rPr>
                <w:rFonts w:hint="eastAsia" w:ascii="宋体" w:hAnsi="宋体" w:cs="Courier New"/>
                <w:bCs/>
                <w:color w:val="auto"/>
                <w:szCs w:val="21"/>
                <w:highlight w:val="none"/>
              </w:rPr>
              <w:t>业绩分</w:t>
            </w:r>
          </w:p>
        </w:tc>
        <w:tc>
          <w:tcPr>
            <w:tcW w:w="6320" w:type="dxa"/>
            <w:vAlign w:val="top"/>
          </w:tcPr>
          <w:p w14:paraId="65488E54">
            <w:pPr>
              <w:spacing w:line="40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2022年1月1日至今，供应商具有类似项目业绩的，响应文件中提供相关证明材料（中标、成交通知书或合同复印件，未提供证明材料或所提供的证明材料不符合要求的不得分），每个得2分，满分10分。</w:t>
            </w:r>
          </w:p>
        </w:tc>
        <w:tc>
          <w:tcPr>
            <w:tcW w:w="1417" w:type="dxa"/>
            <w:vAlign w:val="center"/>
          </w:tcPr>
          <w:p w14:paraId="6C974AAC">
            <w:pPr>
              <w:widowControl/>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tc>
      </w:tr>
      <w:tr w14:paraId="7B0FD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4" w:type="dxa"/>
            <w:gridSpan w:val="4"/>
          </w:tcPr>
          <w:p w14:paraId="4F2EB5A9">
            <w:pPr>
              <w:widowControl/>
              <w:spacing w:line="400" w:lineRule="exact"/>
              <w:jc w:val="left"/>
              <w:rPr>
                <w:rFonts w:ascii="宋体" w:hAnsi="宋体" w:cs="Tahoma"/>
                <w:b/>
                <w:color w:val="auto"/>
                <w:kern w:val="0"/>
                <w:szCs w:val="21"/>
                <w:highlight w:val="none"/>
              </w:rPr>
            </w:pPr>
            <w:r>
              <w:rPr>
                <w:rFonts w:hint="eastAsia" w:ascii="宋体" w:hAnsi="宋体" w:cs="Courier New"/>
                <w:b/>
                <w:bCs/>
                <w:color w:val="auto"/>
                <w:szCs w:val="21"/>
                <w:highlight w:val="none"/>
              </w:rPr>
              <w:t>总得分＝1＋2＋3</w:t>
            </w:r>
          </w:p>
        </w:tc>
      </w:tr>
    </w:tbl>
    <w:p w14:paraId="35B46ABF">
      <w:pPr>
        <w:pStyle w:val="23"/>
        <w:spacing w:line="360" w:lineRule="atLeast"/>
        <w:ind w:firstLine="413" w:firstLineChars="196"/>
        <w:rPr>
          <w:rFonts w:hint="eastAsia" w:hAnsi="宋体"/>
          <w:b/>
          <w:color w:val="auto"/>
          <w:kern w:val="2"/>
          <w:sz w:val="21"/>
          <w:highlight w:val="none"/>
        </w:rPr>
      </w:pPr>
    </w:p>
    <w:tbl>
      <w:tblPr>
        <w:tblStyle w:val="35"/>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275"/>
        <w:gridCol w:w="6320"/>
        <w:gridCol w:w="1417"/>
      </w:tblGrid>
      <w:tr w14:paraId="0C86E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4" w:type="dxa"/>
            <w:gridSpan w:val="4"/>
            <w:vAlign w:val="center"/>
          </w:tcPr>
          <w:p w14:paraId="0A313CFD">
            <w:pPr>
              <w:widowControl/>
              <w:spacing w:line="400" w:lineRule="exact"/>
              <w:jc w:val="center"/>
              <w:rPr>
                <w:rFonts w:hint="default" w:ascii="宋体" w:hAnsi="宋体" w:eastAsia="宋体" w:cs="Tahoma"/>
                <w:b/>
                <w:bCs/>
                <w:color w:val="auto"/>
                <w:kern w:val="0"/>
                <w:szCs w:val="21"/>
                <w:highlight w:val="none"/>
                <w:lang w:val="en-US" w:eastAsia="zh-CN"/>
              </w:rPr>
            </w:pPr>
            <w:r>
              <w:rPr>
                <w:rFonts w:hint="eastAsia" w:ascii="宋体" w:hAnsi="宋体" w:cs="Tahoma"/>
                <w:b/>
                <w:bCs/>
                <w:color w:val="auto"/>
                <w:kern w:val="0"/>
                <w:szCs w:val="21"/>
                <w:highlight w:val="none"/>
                <w:lang w:val="en-US" w:eastAsia="zh-CN"/>
              </w:rPr>
              <w:t>适用于分标2:酒店用品供应配送服务</w:t>
            </w:r>
          </w:p>
        </w:tc>
      </w:tr>
      <w:tr w14:paraId="260F8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2" w:type="dxa"/>
            <w:vAlign w:val="center"/>
          </w:tcPr>
          <w:p w14:paraId="0B0E118D">
            <w:pPr>
              <w:widowControl/>
              <w:spacing w:line="400" w:lineRule="exact"/>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序号</w:t>
            </w:r>
          </w:p>
        </w:tc>
        <w:tc>
          <w:tcPr>
            <w:tcW w:w="1275" w:type="dxa"/>
            <w:vAlign w:val="center"/>
          </w:tcPr>
          <w:p w14:paraId="06137F47">
            <w:pPr>
              <w:widowControl/>
              <w:spacing w:line="400" w:lineRule="exact"/>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评审因素</w:t>
            </w:r>
          </w:p>
        </w:tc>
        <w:tc>
          <w:tcPr>
            <w:tcW w:w="6320" w:type="dxa"/>
            <w:vAlign w:val="center"/>
          </w:tcPr>
          <w:p w14:paraId="3CF53147">
            <w:pPr>
              <w:widowControl/>
              <w:spacing w:line="400" w:lineRule="exact"/>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评审因素具体内容</w:t>
            </w:r>
          </w:p>
        </w:tc>
        <w:tc>
          <w:tcPr>
            <w:tcW w:w="1417" w:type="dxa"/>
            <w:vAlign w:val="center"/>
          </w:tcPr>
          <w:p w14:paraId="6CD6ABDB">
            <w:pPr>
              <w:widowControl/>
              <w:spacing w:line="400" w:lineRule="exact"/>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分值</w:t>
            </w:r>
          </w:p>
        </w:tc>
      </w:tr>
      <w:tr w14:paraId="11D36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2" w:type="dxa"/>
            <w:vAlign w:val="center"/>
          </w:tcPr>
          <w:p w14:paraId="35301EB1">
            <w:pPr>
              <w:widowControl/>
              <w:spacing w:line="400" w:lineRule="exact"/>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1</w:t>
            </w:r>
          </w:p>
        </w:tc>
        <w:tc>
          <w:tcPr>
            <w:tcW w:w="1275" w:type="dxa"/>
            <w:vAlign w:val="center"/>
          </w:tcPr>
          <w:p w14:paraId="664CEFFF">
            <w:pPr>
              <w:widowControl/>
              <w:spacing w:line="400" w:lineRule="exact"/>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价格分</w:t>
            </w:r>
          </w:p>
        </w:tc>
        <w:tc>
          <w:tcPr>
            <w:tcW w:w="6320" w:type="dxa"/>
            <w:vAlign w:val="center"/>
          </w:tcPr>
          <w:p w14:paraId="768683F6">
            <w:pPr>
              <w:snapToGrid w:val="0"/>
              <w:spacing w:line="360" w:lineRule="auto"/>
              <w:ind w:firstLine="233" w:firstLineChars="111"/>
              <w:rPr>
                <w:rFonts w:hint="eastAsia" w:ascii="宋体" w:hAnsi="宋体"/>
                <w:bCs/>
                <w:color w:val="auto"/>
                <w:szCs w:val="21"/>
                <w:highlight w:val="none"/>
              </w:rPr>
            </w:pPr>
            <w:r>
              <w:rPr>
                <w:rFonts w:hint="eastAsia" w:ascii="宋体" w:hAnsi="宋体"/>
                <w:bCs/>
                <w:color w:val="auto"/>
                <w:szCs w:val="21"/>
                <w:highlight w:val="none"/>
              </w:rPr>
              <w:t>（1）评</w:t>
            </w:r>
            <w:r>
              <w:rPr>
                <w:rFonts w:hint="eastAsia" w:ascii="宋体" w:hAnsi="宋体"/>
                <w:bCs/>
                <w:color w:val="auto"/>
                <w:szCs w:val="21"/>
                <w:highlight w:val="none"/>
                <w:lang w:val="en-US" w:eastAsia="zh-CN"/>
              </w:rPr>
              <w:t>审</w:t>
            </w:r>
            <w:r>
              <w:rPr>
                <w:rFonts w:hint="eastAsia" w:ascii="宋体" w:hAnsi="宋体"/>
                <w:bCs/>
                <w:color w:val="auto"/>
                <w:szCs w:val="21"/>
                <w:highlight w:val="none"/>
              </w:rPr>
              <w:t>报价（</w:t>
            </w:r>
            <w:r>
              <w:rPr>
                <w:rFonts w:hint="eastAsia" w:ascii="宋体" w:hAnsi="宋体"/>
                <w:bCs/>
                <w:color w:val="auto"/>
                <w:szCs w:val="21"/>
                <w:highlight w:val="none"/>
                <w:lang w:val="en-US" w:eastAsia="zh-CN"/>
              </w:rPr>
              <w:t>折扣率</w:t>
            </w:r>
            <w:r>
              <w:rPr>
                <w:rFonts w:hint="eastAsia" w:ascii="宋体" w:hAnsi="宋体"/>
                <w:bCs/>
                <w:color w:val="auto"/>
                <w:szCs w:val="21"/>
                <w:highlight w:val="none"/>
              </w:rPr>
              <w:t>）为供应商的最后报价进行政策性扣除后的价格，评</w:t>
            </w:r>
            <w:r>
              <w:rPr>
                <w:rFonts w:hint="eastAsia" w:ascii="宋体" w:hAnsi="宋体"/>
                <w:bCs/>
                <w:color w:val="auto"/>
                <w:szCs w:val="21"/>
                <w:highlight w:val="none"/>
                <w:lang w:val="en-US" w:eastAsia="zh-CN"/>
              </w:rPr>
              <w:t>审</w:t>
            </w:r>
            <w:r>
              <w:rPr>
                <w:rFonts w:hint="eastAsia" w:ascii="宋体" w:hAnsi="宋体"/>
                <w:bCs/>
                <w:color w:val="auto"/>
                <w:szCs w:val="21"/>
                <w:highlight w:val="none"/>
              </w:rPr>
              <w:t>报价（</w:t>
            </w:r>
            <w:r>
              <w:rPr>
                <w:rFonts w:hint="eastAsia" w:ascii="宋体" w:hAnsi="宋体"/>
                <w:bCs/>
                <w:color w:val="auto"/>
                <w:szCs w:val="21"/>
                <w:highlight w:val="none"/>
                <w:lang w:val="en-US" w:eastAsia="zh-CN"/>
              </w:rPr>
              <w:t>折扣率</w:t>
            </w:r>
            <w:r>
              <w:rPr>
                <w:rFonts w:hint="eastAsia" w:ascii="宋体" w:hAnsi="宋体"/>
                <w:bCs/>
                <w:color w:val="auto"/>
                <w:szCs w:val="21"/>
                <w:highlight w:val="none"/>
              </w:rPr>
              <w:t>）只是作为评</w:t>
            </w:r>
            <w:r>
              <w:rPr>
                <w:rFonts w:hint="eastAsia" w:ascii="宋体" w:hAnsi="宋体"/>
                <w:bCs/>
                <w:color w:val="auto"/>
                <w:szCs w:val="21"/>
                <w:highlight w:val="none"/>
                <w:lang w:val="en-US" w:eastAsia="zh-CN"/>
              </w:rPr>
              <w:t>审</w:t>
            </w:r>
            <w:r>
              <w:rPr>
                <w:rFonts w:hint="eastAsia" w:ascii="宋体" w:hAnsi="宋体"/>
                <w:bCs/>
                <w:color w:val="auto"/>
                <w:szCs w:val="21"/>
                <w:highlight w:val="none"/>
              </w:rPr>
              <w:t>时使用。最终成交供应商的成交金额（</w:t>
            </w:r>
            <w:r>
              <w:rPr>
                <w:rFonts w:hint="eastAsia" w:ascii="宋体" w:hAnsi="宋体"/>
                <w:bCs/>
                <w:color w:val="auto"/>
                <w:szCs w:val="21"/>
                <w:highlight w:val="none"/>
                <w:lang w:val="en-US" w:eastAsia="zh-CN"/>
              </w:rPr>
              <w:t>折扣率</w:t>
            </w:r>
            <w:r>
              <w:rPr>
                <w:rFonts w:hint="eastAsia" w:ascii="宋体" w:hAnsi="宋体"/>
                <w:bCs/>
                <w:color w:val="auto"/>
                <w:szCs w:val="21"/>
                <w:highlight w:val="none"/>
              </w:rPr>
              <w:t>）等于最后报价（</w:t>
            </w:r>
            <w:r>
              <w:rPr>
                <w:rFonts w:hint="eastAsia" w:ascii="宋体" w:hAnsi="宋体"/>
                <w:bCs/>
                <w:color w:val="auto"/>
                <w:szCs w:val="21"/>
                <w:highlight w:val="none"/>
                <w:lang w:val="en-US" w:eastAsia="zh-CN"/>
              </w:rPr>
              <w:t>折扣率</w:t>
            </w:r>
            <w:r>
              <w:rPr>
                <w:rFonts w:hint="eastAsia" w:ascii="宋体" w:hAnsi="宋体"/>
                <w:bCs/>
                <w:color w:val="auto"/>
                <w:szCs w:val="21"/>
                <w:highlight w:val="none"/>
              </w:rPr>
              <w:t>）（如有修正，以确认修正后的最后报价为准）。</w:t>
            </w:r>
          </w:p>
          <w:p w14:paraId="2440533F">
            <w:pPr>
              <w:snapToGrid w:val="0"/>
              <w:spacing w:line="360" w:lineRule="auto"/>
              <w:ind w:firstLine="233" w:firstLineChars="111"/>
              <w:rPr>
                <w:rFonts w:hint="eastAsia" w:ascii="宋体" w:hAnsi="宋体"/>
                <w:bCs/>
                <w:color w:val="auto"/>
                <w:szCs w:val="21"/>
                <w:highlight w:val="none"/>
              </w:rPr>
            </w:pPr>
            <w:r>
              <w:rPr>
                <w:rFonts w:hint="eastAsia" w:ascii="宋体" w:hAnsi="宋体"/>
                <w:bCs/>
                <w:color w:val="auto"/>
                <w:szCs w:val="21"/>
                <w:highlight w:val="none"/>
              </w:rPr>
              <w:t>（2）政策性扣除计算方法。</w:t>
            </w:r>
          </w:p>
          <w:p w14:paraId="76BF0150">
            <w:pPr>
              <w:snapToGrid w:val="0"/>
              <w:spacing w:line="360" w:lineRule="auto"/>
              <w:ind w:firstLine="233" w:firstLineChars="111"/>
              <w:rPr>
                <w:rFonts w:hint="eastAsia" w:ascii="宋体" w:hAnsi="宋体"/>
                <w:bCs/>
                <w:color w:val="auto"/>
                <w:szCs w:val="21"/>
                <w:highlight w:val="none"/>
              </w:rPr>
            </w:pPr>
            <w:r>
              <w:rPr>
                <w:rFonts w:hint="eastAsia" w:ascii="宋体" w:hAnsi="宋体"/>
                <w:bCs/>
                <w:color w:val="auto"/>
                <w:szCs w:val="21"/>
                <w:highlight w:val="none"/>
              </w:rPr>
              <w:t>本项目属于专门面向中小企业采购的项目，供应商应为中小微企业</w:t>
            </w:r>
            <w:r>
              <w:rPr>
                <w:rFonts w:hint="eastAsia" w:ascii="宋体" w:hAnsi="宋体"/>
                <w:bCs/>
                <w:color w:val="auto"/>
                <w:szCs w:val="21"/>
                <w:highlight w:val="none"/>
                <w:lang w:val="en-US" w:eastAsia="zh-CN"/>
              </w:rPr>
              <w:t>或</w:t>
            </w:r>
            <w:r>
              <w:rPr>
                <w:rFonts w:hint="eastAsia" w:ascii="宋体" w:hAnsi="宋体"/>
                <w:bCs/>
                <w:color w:val="auto"/>
                <w:szCs w:val="21"/>
                <w:highlight w:val="none"/>
              </w:rPr>
              <w:t>监狱企业</w:t>
            </w:r>
            <w:r>
              <w:rPr>
                <w:rFonts w:hint="eastAsia" w:ascii="宋体" w:hAnsi="宋体"/>
                <w:bCs/>
                <w:color w:val="auto"/>
                <w:szCs w:val="21"/>
                <w:highlight w:val="none"/>
                <w:lang w:val="en-US" w:eastAsia="zh-CN"/>
              </w:rPr>
              <w:t>或</w:t>
            </w:r>
            <w:r>
              <w:rPr>
                <w:rFonts w:hint="eastAsia" w:ascii="宋体" w:hAnsi="宋体"/>
                <w:bCs/>
                <w:color w:val="auto"/>
                <w:szCs w:val="21"/>
                <w:highlight w:val="none"/>
              </w:rPr>
              <w:t>残疾人福利性单位，因此，本项目不再对供应商的报价进行政府采购政策扣除。</w:t>
            </w:r>
          </w:p>
          <w:p w14:paraId="37775385">
            <w:pPr>
              <w:snapToGrid w:val="0"/>
              <w:spacing w:line="360" w:lineRule="auto"/>
              <w:ind w:firstLine="233" w:firstLineChars="111"/>
              <w:rPr>
                <w:rFonts w:hint="eastAsia" w:ascii="宋体" w:hAnsi="宋体"/>
                <w:bCs/>
                <w:color w:val="auto"/>
                <w:szCs w:val="21"/>
                <w:highlight w:val="none"/>
              </w:rPr>
            </w:pPr>
            <w:r>
              <w:rPr>
                <w:rFonts w:hint="eastAsia" w:ascii="宋体" w:hAnsi="宋体"/>
                <w:bCs/>
                <w:color w:val="auto"/>
                <w:szCs w:val="21"/>
                <w:highlight w:val="none"/>
              </w:rPr>
              <w:t>（</w:t>
            </w:r>
            <w:r>
              <w:rPr>
                <w:rFonts w:hint="eastAsia" w:ascii="宋体" w:hAnsi="宋体"/>
                <w:bCs/>
                <w:color w:val="auto"/>
                <w:szCs w:val="21"/>
                <w:highlight w:val="none"/>
                <w:lang w:val="en-US" w:eastAsia="zh-CN"/>
              </w:rPr>
              <w:t>3</w:t>
            </w:r>
            <w:r>
              <w:rPr>
                <w:rFonts w:hint="eastAsia" w:ascii="宋体" w:hAnsi="宋体"/>
                <w:bCs/>
                <w:color w:val="auto"/>
                <w:szCs w:val="21"/>
                <w:highlight w:val="none"/>
              </w:rPr>
              <w:t>）满足</w:t>
            </w:r>
            <w:r>
              <w:rPr>
                <w:rFonts w:hint="eastAsia" w:ascii="宋体" w:hAnsi="宋体"/>
                <w:bCs/>
                <w:color w:val="auto"/>
                <w:szCs w:val="21"/>
                <w:highlight w:val="none"/>
                <w:lang w:val="en-US" w:eastAsia="zh-CN"/>
              </w:rPr>
              <w:t>采购</w:t>
            </w:r>
            <w:r>
              <w:rPr>
                <w:rFonts w:hint="eastAsia" w:ascii="宋体" w:hAnsi="宋体"/>
                <w:bCs/>
                <w:color w:val="auto"/>
                <w:szCs w:val="21"/>
                <w:highlight w:val="none"/>
              </w:rPr>
              <w:t>文件要求且评</w:t>
            </w:r>
            <w:r>
              <w:rPr>
                <w:rFonts w:hint="eastAsia" w:ascii="宋体" w:hAnsi="宋体"/>
                <w:bCs/>
                <w:color w:val="auto"/>
                <w:szCs w:val="21"/>
                <w:highlight w:val="none"/>
                <w:lang w:eastAsia="zh-CN"/>
              </w:rPr>
              <w:t>审</w:t>
            </w:r>
            <w:r>
              <w:rPr>
                <w:rFonts w:hint="eastAsia" w:ascii="宋体" w:hAnsi="宋体"/>
                <w:bCs/>
                <w:color w:val="auto"/>
                <w:szCs w:val="21"/>
                <w:highlight w:val="none"/>
              </w:rPr>
              <w:t>报价最低的评</w:t>
            </w:r>
            <w:r>
              <w:rPr>
                <w:rFonts w:hint="eastAsia" w:ascii="宋体" w:hAnsi="宋体"/>
                <w:bCs/>
                <w:color w:val="auto"/>
                <w:szCs w:val="21"/>
                <w:highlight w:val="none"/>
                <w:lang w:eastAsia="zh-CN"/>
              </w:rPr>
              <w:t>审</w:t>
            </w:r>
            <w:r>
              <w:rPr>
                <w:rFonts w:hint="eastAsia" w:ascii="宋体" w:hAnsi="宋体"/>
                <w:bCs/>
                <w:color w:val="auto"/>
                <w:szCs w:val="21"/>
                <w:highlight w:val="none"/>
              </w:rPr>
              <w:t>报价（</w:t>
            </w:r>
            <w:r>
              <w:rPr>
                <w:rFonts w:hint="eastAsia" w:ascii="宋体" w:hAnsi="宋体"/>
                <w:bCs/>
                <w:color w:val="auto"/>
                <w:szCs w:val="21"/>
                <w:highlight w:val="none"/>
                <w:lang w:val="en-US" w:eastAsia="zh-CN"/>
              </w:rPr>
              <w:t>折扣率</w:t>
            </w:r>
            <w:r>
              <w:rPr>
                <w:rFonts w:hint="eastAsia" w:ascii="宋体" w:hAnsi="宋体"/>
                <w:bCs/>
                <w:color w:val="auto"/>
                <w:szCs w:val="21"/>
                <w:highlight w:val="none"/>
              </w:rPr>
              <w:t>）为评</w:t>
            </w:r>
            <w:r>
              <w:rPr>
                <w:rFonts w:hint="eastAsia" w:ascii="宋体" w:hAnsi="宋体"/>
                <w:bCs/>
                <w:color w:val="auto"/>
                <w:szCs w:val="21"/>
                <w:highlight w:val="none"/>
                <w:lang w:eastAsia="zh-CN"/>
              </w:rPr>
              <w:t>审</w:t>
            </w:r>
            <w:r>
              <w:rPr>
                <w:rFonts w:hint="eastAsia" w:ascii="宋体" w:hAnsi="宋体"/>
                <w:bCs/>
                <w:color w:val="auto"/>
                <w:szCs w:val="21"/>
                <w:highlight w:val="none"/>
              </w:rPr>
              <w:t>基准价，其价格分为满分。</w:t>
            </w:r>
          </w:p>
          <w:p w14:paraId="5F686697">
            <w:pPr>
              <w:spacing w:line="360" w:lineRule="auto"/>
              <w:ind w:firstLine="233" w:firstLineChars="111"/>
              <w:rPr>
                <w:rFonts w:hint="eastAsia" w:ascii="宋体" w:hAnsi="宋体"/>
                <w:bCs/>
                <w:color w:val="auto"/>
                <w:szCs w:val="21"/>
                <w:highlight w:val="none"/>
              </w:rPr>
            </w:pPr>
            <w:r>
              <w:rPr>
                <w:rFonts w:hint="eastAsia" w:ascii="宋体" w:hAnsi="宋体"/>
                <w:bCs/>
                <w:color w:val="auto"/>
                <w:szCs w:val="21"/>
                <w:highlight w:val="none"/>
              </w:rPr>
              <w:t>（</w:t>
            </w:r>
            <w:r>
              <w:rPr>
                <w:rFonts w:hint="eastAsia" w:ascii="宋体" w:hAnsi="宋体"/>
                <w:bCs/>
                <w:color w:val="auto"/>
                <w:szCs w:val="21"/>
                <w:highlight w:val="none"/>
                <w:lang w:val="en-US" w:eastAsia="zh-CN"/>
              </w:rPr>
              <w:t>4</w:t>
            </w:r>
            <w:r>
              <w:rPr>
                <w:rFonts w:hint="eastAsia" w:ascii="宋体" w:hAnsi="宋体"/>
                <w:bCs/>
                <w:color w:val="auto"/>
                <w:szCs w:val="21"/>
                <w:highlight w:val="none"/>
              </w:rPr>
              <w:t xml:space="preserve">）价格分计算公式：        </w:t>
            </w:r>
          </w:p>
          <w:p w14:paraId="193076B4">
            <w:pPr>
              <w:spacing w:line="360" w:lineRule="auto"/>
              <w:rPr>
                <w:rFonts w:hint="eastAsia" w:ascii="宋体" w:hAnsi="宋体" w:cs="Courier New"/>
                <w:bCs/>
                <w:color w:val="auto"/>
                <w:szCs w:val="21"/>
                <w:highlight w:val="none"/>
              </w:rPr>
            </w:pPr>
            <w:r>
              <w:rPr>
                <w:rFonts w:hint="eastAsia" w:ascii="宋体" w:hAnsi="宋体"/>
                <w:bCs/>
                <w:color w:val="auto"/>
                <w:szCs w:val="21"/>
                <w:highlight w:val="none"/>
              </w:rPr>
              <w:t>价格分</w:t>
            </w:r>
            <w:r>
              <w:rPr>
                <w:rFonts w:hint="eastAsia" w:ascii="宋体" w:hAnsi="宋体" w:cs="Courier New"/>
                <w:bCs/>
                <w:color w:val="auto"/>
                <w:szCs w:val="21"/>
                <w:highlight w:val="none"/>
              </w:rPr>
              <w:t>=</w:t>
            </w:r>
            <w:r>
              <w:rPr>
                <w:rFonts w:hint="eastAsia" w:ascii="宋体" w:hAnsi="宋体" w:cs="Courier New"/>
                <w:bCs/>
                <w:color w:val="auto"/>
                <w:szCs w:val="21"/>
                <w:highlight w:val="none"/>
                <w:lang w:val="en-US" w:eastAsia="zh-CN"/>
              </w:rPr>
              <w:t>[</w:t>
            </w:r>
            <w:r>
              <w:rPr>
                <w:rFonts w:hint="eastAsia" w:ascii="宋体" w:hAnsi="宋体" w:cs="Courier New"/>
                <w:bCs/>
                <w:color w:val="auto"/>
                <w:szCs w:val="21"/>
                <w:highlight w:val="none"/>
              </w:rPr>
              <w:t>（</w:t>
            </w:r>
            <w:r>
              <w:rPr>
                <w:rFonts w:hint="eastAsia" w:ascii="宋体" w:hAnsi="宋体" w:cs="Courier New"/>
                <w:bCs/>
                <w:color w:val="auto"/>
                <w:szCs w:val="21"/>
                <w:highlight w:val="none"/>
                <w:lang w:val="en-US" w:eastAsia="zh-CN"/>
              </w:rPr>
              <w:t>1-</w:t>
            </w:r>
            <w:r>
              <w:rPr>
                <w:rFonts w:hint="eastAsia" w:ascii="宋体" w:hAnsi="宋体" w:cs="Courier New"/>
                <w:bCs/>
                <w:color w:val="auto"/>
                <w:szCs w:val="21"/>
                <w:highlight w:val="none"/>
              </w:rPr>
              <w:t>评</w:t>
            </w:r>
            <w:r>
              <w:rPr>
                <w:rFonts w:hint="eastAsia" w:ascii="宋体" w:hAnsi="宋体" w:cs="Courier New"/>
                <w:bCs/>
                <w:color w:val="auto"/>
                <w:szCs w:val="21"/>
                <w:highlight w:val="none"/>
                <w:lang w:eastAsia="zh-CN"/>
              </w:rPr>
              <w:t>审</w:t>
            </w:r>
            <w:r>
              <w:rPr>
                <w:rFonts w:hint="eastAsia" w:ascii="宋体" w:hAnsi="宋体" w:cs="Courier New"/>
                <w:bCs/>
                <w:color w:val="auto"/>
                <w:szCs w:val="21"/>
                <w:highlight w:val="none"/>
              </w:rPr>
              <w:t>基准价</w:t>
            </w:r>
            <w:r>
              <w:rPr>
                <w:rFonts w:hint="eastAsia" w:ascii="宋体" w:hAnsi="宋体" w:cs="Courier New"/>
                <w:bCs/>
                <w:color w:val="auto"/>
                <w:szCs w:val="21"/>
                <w:highlight w:val="none"/>
                <w:lang w:eastAsia="zh-CN"/>
              </w:rPr>
              <w:t>）</w:t>
            </w:r>
            <w:r>
              <w:rPr>
                <w:rFonts w:hint="eastAsia" w:ascii="宋体" w:hAnsi="宋体" w:cs="Courier New"/>
                <w:bCs/>
                <w:color w:val="auto"/>
                <w:szCs w:val="21"/>
                <w:highlight w:val="none"/>
              </w:rPr>
              <w:t>/</w:t>
            </w:r>
            <w:r>
              <w:rPr>
                <w:rFonts w:hint="eastAsia" w:ascii="宋体" w:hAnsi="宋体" w:cs="Courier New"/>
                <w:bCs/>
                <w:color w:val="auto"/>
                <w:szCs w:val="21"/>
                <w:highlight w:val="none"/>
                <w:lang w:eastAsia="zh-CN"/>
              </w:rPr>
              <w:t>（</w:t>
            </w:r>
            <w:r>
              <w:rPr>
                <w:rFonts w:hint="eastAsia" w:ascii="宋体" w:hAnsi="宋体" w:cs="Courier New"/>
                <w:bCs/>
                <w:color w:val="auto"/>
                <w:szCs w:val="21"/>
                <w:highlight w:val="none"/>
                <w:lang w:val="en-US" w:eastAsia="zh-CN"/>
              </w:rPr>
              <w:t>1-供应商</w:t>
            </w:r>
            <w:r>
              <w:rPr>
                <w:rFonts w:hint="eastAsia" w:ascii="宋体" w:hAnsi="宋体" w:cs="Courier New"/>
                <w:bCs/>
                <w:color w:val="auto"/>
                <w:szCs w:val="21"/>
                <w:highlight w:val="none"/>
              </w:rPr>
              <w:t>评</w:t>
            </w:r>
            <w:r>
              <w:rPr>
                <w:rFonts w:hint="eastAsia" w:ascii="宋体" w:hAnsi="宋体" w:cs="Courier New"/>
                <w:bCs/>
                <w:color w:val="auto"/>
                <w:szCs w:val="21"/>
                <w:highlight w:val="none"/>
                <w:lang w:eastAsia="zh-CN"/>
              </w:rPr>
              <w:t>审</w:t>
            </w:r>
            <w:r>
              <w:rPr>
                <w:rFonts w:hint="eastAsia" w:ascii="宋体" w:hAnsi="宋体" w:cs="Courier New"/>
                <w:bCs/>
                <w:color w:val="auto"/>
                <w:szCs w:val="21"/>
                <w:highlight w:val="none"/>
              </w:rPr>
              <w:t>报价</w:t>
            </w:r>
            <w:r>
              <w:rPr>
                <w:rFonts w:hint="eastAsia" w:ascii="宋体" w:hAnsi="宋体" w:cs="Courier New"/>
                <w:bCs/>
                <w:color w:val="auto"/>
                <w:szCs w:val="21"/>
                <w:highlight w:val="none"/>
                <w:lang w:eastAsia="zh-CN"/>
              </w:rPr>
              <w:t>）</w:t>
            </w:r>
            <w:r>
              <w:rPr>
                <w:rFonts w:hint="eastAsia" w:ascii="宋体" w:hAnsi="宋体" w:cs="Courier New"/>
                <w:bCs/>
                <w:color w:val="auto"/>
                <w:szCs w:val="21"/>
                <w:highlight w:val="none"/>
                <w:lang w:val="en-US" w:eastAsia="zh-CN"/>
              </w:rPr>
              <w:t>]</w:t>
            </w:r>
            <w:r>
              <w:rPr>
                <w:rFonts w:hint="eastAsia" w:ascii="宋体" w:hAnsi="宋体" w:cs="Courier New"/>
                <w:bCs/>
                <w:color w:val="auto"/>
                <w:szCs w:val="21"/>
                <w:highlight w:val="none"/>
              </w:rPr>
              <w:t>×</w:t>
            </w:r>
            <w:r>
              <w:rPr>
                <w:rFonts w:hint="eastAsia" w:ascii="宋体" w:hAnsi="宋体" w:cs="Courier New"/>
                <w:bCs/>
                <w:color w:val="auto"/>
                <w:szCs w:val="21"/>
                <w:highlight w:val="none"/>
                <w:u w:val="single"/>
                <w:lang w:val="en-US" w:eastAsia="zh-CN"/>
              </w:rPr>
              <w:t>30</w:t>
            </w:r>
            <w:r>
              <w:rPr>
                <w:rFonts w:hint="eastAsia" w:ascii="宋体" w:hAnsi="宋体" w:cs="Courier New"/>
                <w:bCs/>
                <w:color w:val="auto"/>
                <w:szCs w:val="21"/>
                <w:highlight w:val="none"/>
              </w:rPr>
              <w:t>分</w:t>
            </w:r>
          </w:p>
          <w:p w14:paraId="372E6FC3">
            <w:pPr>
              <w:spacing w:line="360" w:lineRule="auto"/>
              <w:rPr>
                <w:rFonts w:hint="eastAsia" w:ascii="宋体" w:hAnsi="宋体" w:eastAsia="宋体"/>
                <w:color w:val="auto"/>
                <w:szCs w:val="21"/>
                <w:highlight w:val="none"/>
                <w:lang w:eastAsia="zh-CN"/>
              </w:rPr>
            </w:pPr>
            <w:r>
              <w:rPr>
                <w:rFonts w:hint="eastAsia" w:ascii="宋体" w:hAnsi="宋体"/>
                <w:b/>
                <w:bCs/>
                <w:color w:val="auto"/>
                <w:szCs w:val="21"/>
                <w:highlight w:val="none"/>
              </w:rPr>
              <w:t>注：磋商小组认为竞标人的报价明显低于其他通过符合性审查竞标人的报价，有可能影响产品质量或者不能诚信履约的，应当要求其在评</w:t>
            </w:r>
            <w:r>
              <w:rPr>
                <w:rFonts w:hint="eastAsia" w:ascii="宋体" w:hAnsi="宋体"/>
                <w:b/>
                <w:bCs/>
                <w:color w:val="auto"/>
                <w:szCs w:val="21"/>
                <w:highlight w:val="none"/>
                <w:lang w:val="en-US" w:eastAsia="zh-CN"/>
              </w:rPr>
              <w:t>审</w:t>
            </w:r>
            <w:r>
              <w:rPr>
                <w:rFonts w:hint="eastAsia" w:ascii="宋体" w:hAnsi="宋体"/>
                <w:b/>
                <w:bCs/>
                <w:color w:val="auto"/>
                <w:szCs w:val="21"/>
                <w:highlight w:val="none"/>
              </w:rPr>
              <w:t>现场合理的时间内提供书面说明，必要时提交相关证明材料；竞标人不能证明其报价合理性的，磋商小组应当将其作为无效响应处理。</w:t>
            </w:r>
          </w:p>
        </w:tc>
        <w:tc>
          <w:tcPr>
            <w:tcW w:w="1417" w:type="dxa"/>
            <w:vAlign w:val="center"/>
          </w:tcPr>
          <w:p w14:paraId="1218FBF4">
            <w:pPr>
              <w:widowControl/>
              <w:spacing w:line="400" w:lineRule="exact"/>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lang w:val="en-US" w:eastAsia="zh-CN"/>
              </w:rPr>
              <w:t>30</w:t>
            </w:r>
            <w:r>
              <w:rPr>
                <w:rFonts w:hint="eastAsia" w:ascii="宋体" w:hAnsi="宋体" w:cs="Tahoma"/>
                <w:b/>
                <w:bCs/>
                <w:color w:val="auto"/>
                <w:kern w:val="0"/>
                <w:szCs w:val="21"/>
                <w:highlight w:val="none"/>
              </w:rPr>
              <w:t>分</w:t>
            </w:r>
          </w:p>
        </w:tc>
      </w:tr>
      <w:tr w14:paraId="261F3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2" w:type="dxa"/>
            <w:vAlign w:val="center"/>
          </w:tcPr>
          <w:p w14:paraId="77AAB6C6">
            <w:pPr>
              <w:widowControl/>
              <w:spacing w:line="400" w:lineRule="exact"/>
              <w:jc w:val="center"/>
              <w:rPr>
                <w:rFonts w:ascii="宋体" w:hAnsi="宋体" w:cs="Tahoma"/>
                <w:b/>
                <w:color w:val="auto"/>
                <w:kern w:val="0"/>
                <w:szCs w:val="21"/>
                <w:highlight w:val="none"/>
              </w:rPr>
            </w:pPr>
            <w:r>
              <w:rPr>
                <w:rFonts w:hint="eastAsia" w:ascii="宋体" w:hAnsi="宋体"/>
                <w:b/>
                <w:bCs/>
                <w:color w:val="auto"/>
                <w:kern w:val="0"/>
                <w:szCs w:val="21"/>
                <w:highlight w:val="none"/>
              </w:rPr>
              <w:t>2</w:t>
            </w:r>
          </w:p>
        </w:tc>
        <w:tc>
          <w:tcPr>
            <w:tcW w:w="1275" w:type="dxa"/>
            <w:vAlign w:val="center"/>
          </w:tcPr>
          <w:p w14:paraId="454F21D6">
            <w:pPr>
              <w:widowControl/>
              <w:spacing w:line="400" w:lineRule="exact"/>
              <w:jc w:val="center"/>
              <w:rPr>
                <w:rFonts w:ascii="宋体" w:hAnsi="宋体" w:cs="Tahoma"/>
                <w:b/>
                <w:color w:val="auto"/>
                <w:kern w:val="0"/>
                <w:szCs w:val="21"/>
                <w:highlight w:val="none"/>
              </w:rPr>
            </w:pPr>
            <w:r>
              <w:rPr>
                <w:rFonts w:hint="eastAsia" w:ascii="宋体" w:hAnsi="宋体"/>
                <w:b/>
                <w:bCs/>
                <w:color w:val="auto"/>
                <w:kern w:val="0"/>
                <w:szCs w:val="21"/>
                <w:highlight w:val="none"/>
              </w:rPr>
              <w:t>技术分</w:t>
            </w:r>
          </w:p>
        </w:tc>
        <w:tc>
          <w:tcPr>
            <w:tcW w:w="6320" w:type="dxa"/>
          </w:tcPr>
          <w:p w14:paraId="7D68055F">
            <w:pPr>
              <w:widowControl/>
              <w:spacing w:line="400" w:lineRule="exact"/>
              <w:jc w:val="center"/>
              <w:rPr>
                <w:rFonts w:ascii="宋体" w:hAnsi="宋体" w:cs="Tahoma"/>
                <w:b/>
                <w:color w:val="auto"/>
                <w:kern w:val="0"/>
                <w:szCs w:val="21"/>
                <w:highlight w:val="none"/>
              </w:rPr>
            </w:pPr>
            <w:r>
              <w:rPr>
                <w:rFonts w:hint="eastAsia" w:ascii="宋体" w:hAnsi="宋体" w:cs="Tahoma"/>
                <w:b/>
                <w:color w:val="auto"/>
                <w:kern w:val="0"/>
                <w:szCs w:val="21"/>
                <w:highlight w:val="none"/>
              </w:rPr>
              <w:t>评审因素</w:t>
            </w:r>
          </w:p>
        </w:tc>
        <w:tc>
          <w:tcPr>
            <w:tcW w:w="1417" w:type="dxa"/>
          </w:tcPr>
          <w:p w14:paraId="29FC8737">
            <w:pPr>
              <w:widowControl/>
              <w:spacing w:line="400" w:lineRule="exact"/>
              <w:jc w:val="center"/>
              <w:rPr>
                <w:rFonts w:ascii="宋体" w:hAnsi="宋体" w:cs="Tahoma"/>
                <w:b/>
                <w:color w:val="auto"/>
                <w:kern w:val="0"/>
                <w:szCs w:val="21"/>
                <w:highlight w:val="none"/>
              </w:rPr>
            </w:pPr>
            <w:r>
              <w:rPr>
                <w:rFonts w:hint="eastAsia" w:ascii="宋体" w:hAnsi="宋体" w:cs="Tahoma"/>
                <w:b/>
                <w:color w:val="auto"/>
                <w:kern w:val="0"/>
                <w:szCs w:val="21"/>
                <w:highlight w:val="none"/>
              </w:rPr>
              <w:t>满分</w:t>
            </w:r>
            <w:r>
              <w:rPr>
                <w:rFonts w:hint="eastAsia" w:ascii="宋体" w:hAnsi="宋体" w:cs="Tahoma"/>
                <w:b/>
                <w:color w:val="auto"/>
                <w:kern w:val="0"/>
                <w:szCs w:val="21"/>
                <w:highlight w:val="none"/>
                <w:lang w:val="en-US" w:eastAsia="zh-CN"/>
              </w:rPr>
              <w:t>60</w:t>
            </w:r>
            <w:r>
              <w:rPr>
                <w:rFonts w:hint="eastAsia" w:ascii="宋体" w:hAnsi="宋体" w:cs="Tahoma"/>
                <w:b/>
                <w:color w:val="auto"/>
                <w:kern w:val="0"/>
                <w:szCs w:val="21"/>
                <w:highlight w:val="none"/>
              </w:rPr>
              <w:t>分</w:t>
            </w:r>
          </w:p>
        </w:tc>
      </w:tr>
      <w:tr w14:paraId="34CF8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2" w:type="dxa"/>
            <w:vAlign w:val="center"/>
          </w:tcPr>
          <w:p w14:paraId="2ED9181E">
            <w:pPr>
              <w:adjustRightInd w:val="0"/>
              <w:spacing w:line="400" w:lineRule="exact"/>
              <w:ind w:left="-105" w:leftChars="-50" w:right="-105" w:rightChars="-50"/>
              <w:jc w:val="center"/>
              <w:textAlignment w:val="baseline"/>
              <w:rPr>
                <w:rFonts w:hint="default" w:ascii="宋体" w:hAnsi="宋体" w:eastAsia="宋体"/>
                <w:bCs/>
                <w:color w:val="auto"/>
                <w:kern w:val="0"/>
                <w:szCs w:val="21"/>
                <w:highlight w:val="none"/>
                <w:lang w:val="en-US" w:eastAsia="zh-CN"/>
              </w:rPr>
            </w:pPr>
            <w:r>
              <w:rPr>
                <w:rFonts w:hint="eastAsia" w:ascii="宋体" w:hAnsi="宋体"/>
                <w:bCs/>
                <w:color w:val="auto"/>
                <w:kern w:val="0"/>
                <w:szCs w:val="21"/>
                <w:highlight w:val="none"/>
                <w:lang w:val="en-US" w:eastAsia="zh-CN"/>
              </w:rPr>
              <w:t>2.1</w:t>
            </w:r>
          </w:p>
        </w:tc>
        <w:tc>
          <w:tcPr>
            <w:tcW w:w="1275" w:type="dxa"/>
            <w:vAlign w:val="center"/>
          </w:tcPr>
          <w:p w14:paraId="1A27723A">
            <w:pPr>
              <w:pStyle w:val="23"/>
              <w:spacing w:line="400" w:lineRule="exact"/>
              <w:jc w:val="center"/>
              <w:rPr>
                <w:rFonts w:ascii="宋体" w:hAnsi="宋体"/>
                <w:color w:val="auto"/>
                <w:szCs w:val="21"/>
                <w:highlight w:val="none"/>
              </w:rPr>
            </w:pPr>
            <w:r>
              <w:rPr>
                <w:rFonts w:hint="eastAsia" w:hAnsi="宋体" w:cs="宋体"/>
                <w:bCs/>
                <w:color w:val="auto"/>
                <w:sz w:val="21"/>
                <w:highlight w:val="none"/>
              </w:rPr>
              <w:t>组织实施方案分</w:t>
            </w:r>
          </w:p>
        </w:tc>
        <w:tc>
          <w:tcPr>
            <w:tcW w:w="6320" w:type="dxa"/>
            <w:vAlign w:val="center"/>
          </w:tcPr>
          <w:p w14:paraId="7E0CD858">
            <w:pPr>
              <w:spacing w:line="400" w:lineRule="exact"/>
              <w:jc w:val="left"/>
              <w:rPr>
                <w:rFonts w:hint="eastAsia" w:ascii="宋体" w:hAnsi="宋体" w:eastAsia="宋体" w:cs="宋体"/>
                <w:color w:val="auto"/>
                <w:sz w:val="21"/>
                <w:highlight w:val="none"/>
                <w:lang w:eastAsia="zh-CN"/>
              </w:rPr>
            </w:pPr>
            <w:r>
              <w:rPr>
                <w:rFonts w:hint="eastAsia" w:ascii="宋体" w:hAnsi="宋体" w:eastAsia="宋体" w:cs="宋体"/>
                <w:color w:val="auto"/>
                <w:szCs w:val="21"/>
                <w:highlight w:val="none"/>
                <w:lang w:val="en-US" w:eastAsia="zh-CN"/>
              </w:rPr>
              <w:t>一档（</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lang w:val="en-US" w:eastAsia="zh-CN"/>
              </w:rPr>
              <w:t>分）：能提供简单的服务实施及管理制度，具有简单的服务实施流程结构图和管理制度，</w:t>
            </w:r>
            <w:r>
              <w:rPr>
                <w:rFonts w:hint="eastAsia" w:ascii="宋体" w:hAnsi="宋体" w:cs="宋体"/>
                <w:color w:val="auto"/>
                <w:szCs w:val="21"/>
                <w:highlight w:val="none"/>
                <w:lang w:val="en-US" w:eastAsia="zh-CN"/>
              </w:rPr>
              <w:t>有</w:t>
            </w:r>
            <w:r>
              <w:rPr>
                <w:rFonts w:hint="eastAsia" w:ascii="宋体" w:hAnsi="宋体" w:eastAsia="宋体" w:cs="宋体"/>
                <w:color w:val="auto"/>
                <w:sz w:val="21"/>
                <w:highlight w:val="none"/>
                <w:lang w:eastAsia="zh-CN"/>
              </w:rPr>
              <w:t>仓储物流方案，</w:t>
            </w:r>
            <w:r>
              <w:rPr>
                <w:rFonts w:hint="eastAsia" w:ascii="宋体" w:hAnsi="宋体" w:cs="宋体"/>
                <w:color w:val="auto"/>
                <w:sz w:val="21"/>
                <w:highlight w:val="none"/>
                <w:lang w:eastAsia="zh-CN"/>
              </w:rPr>
              <w:t>具有一定的</w:t>
            </w:r>
            <w:r>
              <w:rPr>
                <w:rFonts w:hint="eastAsia" w:ascii="宋体" w:hAnsi="宋体" w:eastAsia="宋体" w:cs="宋体"/>
                <w:color w:val="auto"/>
                <w:sz w:val="21"/>
                <w:highlight w:val="none"/>
                <w:lang w:eastAsia="zh-CN"/>
              </w:rPr>
              <w:t>配送能力。</w:t>
            </w:r>
          </w:p>
          <w:p w14:paraId="6FA4B382">
            <w:pPr>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二档（</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lang w:val="en-US" w:eastAsia="zh-CN"/>
              </w:rPr>
              <w:t>分）：能提供详细的服务实施及管理制度，具有合理的、详细的服务实施机构设置组成说明、服务实施计划、服务实施流程结构图和管理制度，</w:t>
            </w:r>
            <w:r>
              <w:rPr>
                <w:rFonts w:hint="eastAsia" w:ascii="宋体" w:hAnsi="宋体" w:cs="宋体"/>
                <w:color w:val="auto"/>
                <w:szCs w:val="21"/>
                <w:highlight w:val="none"/>
                <w:lang w:val="en-US" w:eastAsia="zh-CN"/>
              </w:rPr>
              <w:t>有较细的仓储</w:t>
            </w:r>
            <w:r>
              <w:rPr>
                <w:rFonts w:hint="eastAsia" w:ascii="宋体" w:hAnsi="宋体" w:eastAsia="宋体" w:cs="宋体"/>
                <w:color w:val="auto"/>
                <w:sz w:val="21"/>
                <w:highlight w:val="none"/>
              </w:rPr>
              <w:t>物流方案，具备</w:t>
            </w:r>
            <w:r>
              <w:rPr>
                <w:rFonts w:hint="eastAsia" w:ascii="宋体" w:hAnsi="宋体" w:cs="宋体"/>
                <w:color w:val="auto"/>
                <w:sz w:val="21"/>
                <w:highlight w:val="none"/>
                <w:lang w:eastAsia="zh-CN"/>
              </w:rPr>
              <w:t>较好</w:t>
            </w:r>
            <w:r>
              <w:rPr>
                <w:rFonts w:hint="eastAsia" w:ascii="宋体" w:hAnsi="宋体" w:eastAsia="宋体" w:cs="宋体"/>
                <w:color w:val="auto"/>
                <w:sz w:val="21"/>
                <w:highlight w:val="none"/>
              </w:rPr>
              <w:t>的配送能力</w:t>
            </w:r>
            <w:r>
              <w:rPr>
                <w:rFonts w:hint="eastAsia" w:ascii="宋体" w:hAnsi="宋体" w:eastAsia="宋体" w:cs="宋体"/>
                <w:color w:val="auto"/>
                <w:szCs w:val="21"/>
                <w:highlight w:val="none"/>
                <w:lang w:val="en-US" w:eastAsia="zh-CN"/>
              </w:rPr>
              <w:t>；</w:t>
            </w:r>
          </w:p>
          <w:p w14:paraId="30F123AE">
            <w:pPr>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三档（</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lang w:val="en-US" w:eastAsia="zh-CN"/>
              </w:rPr>
              <w:t>分）：能提供详细的服务实施及管理制度，能够针对本项目制定合理的、详细的服务实施流程结构图和管理制度；具有详细的服务实施计划、仓储运输配送保障、安全保障措施、质量管理、风险管理制度，能提供保证服务按时按质按量完成且具有实际操作性的承诺，</w:t>
            </w:r>
            <w:r>
              <w:rPr>
                <w:rFonts w:hint="eastAsia"/>
                <w:color w:val="auto"/>
                <w:highlight w:val="none"/>
              </w:rPr>
              <w:t xml:space="preserve"> 供货计划详细、科学、可行性强，明确各阶段时间节点（下单、生产、质检、发货、到货），承诺的供货周期短且合理，有完善的应急补货预案。</w:t>
            </w:r>
            <w:r>
              <w:rPr>
                <w:rFonts w:hint="eastAsia" w:ascii="宋体" w:hAnsi="宋体" w:eastAsia="宋体" w:cs="宋体"/>
                <w:color w:val="auto"/>
                <w:sz w:val="21"/>
                <w:highlight w:val="none"/>
              </w:rPr>
              <w:t>自有或拥有稳定合作的现代化仓储设施，物流配送方案高效、可靠（如GPS跟踪、恒温运输等）</w:t>
            </w:r>
          </w:p>
          <w:p w14:paraId="0432AB1D">
            <w:pPr>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注：未提供该项方案或方案不达到最低档要求不得分。</w:t>
            </w:r>
          </w:p>
        </w:tc>
        <w:tc>
          <w:tcPr>
            <w:tcW w:w="1417" w:type="dxa"/>
            <w:vAlign w:val="center"/>
          </w:tcPr>
          <w:p w14:paraId="5192709A">
            <w:pPr>
              <w:spacing w:line="400" w:lineRule="exact"/>
              <w:jc w:val="center"/>
              <w:rPr>
                <w:rFonts w:hint="default" w:ascii="宋体" w:hAnsi="宋体" w:eastAsia="宋体" w:cs="Tahoma"/>
                <w:color w:val="auto"/>
                <w:kern w:val="0"/>
                <w:szCs w:val="21"/>
                <w:highlight w:val="none"/>
                <w:lang w:val="en-US" w:eastAsia="zh-CN"/>
              </w:rPr>
            </w:pPr>
            <w:r>
              <w:rPr>
                <w:rFonts w:hint="eastAsia" w:ascii="宋体" w:hAnsi="宋体" w:cs="Tahoma"/>
                <w:color w:val="auto"/>
                <w:kern w:val="0"/>
                <w:szCs w:val="21"/>
                <w:highlight w:val="none"/>
                <w:lang w:val="en-US" w:eastAsia="zh-CN"/>
              </w:rPr>
              <w:t>20分</w:t>
            </w:r>
          </w:p>
        </w:tc>
      </w:tr>
      <w:tr w14:paraId="6FBB4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7" w:hRule="atLeast"/>
          <w:jc w:val="center"/>
        </w:trPr>
        <w:tc>
          <w:tcPr>
            <w:tcW w:w="622" w:type="dxa"/>
            <w:vAlign w:val="center"/>
          </w:tcPr>
          <w:p w14:paraId="0A432077">
            <w:pPr>
              <w:adjustRightInd w:val="0"/>
              <w:spacing w:line="400" w:lineRule="exact"/>
              <w:ind w:left="-105" w:leftChars="-50" w:right="-105" w:rightChars="-50"/>
              <w:jc w:val="center"/>
              <w:textAlignment w:val="baseline"/>
              <w:rPr>
                <w:rFonts w:hint="eastAsia" w:ascii="宋体" w:hAnsi="宋体" w:eastAsia="宋体"/>
                <w:bCs/>
                <w:color w:val="auto"/>
                <w:kern w:val="0"/>
                <w:szCs w:val="21"/>
                <w:highlight w:val="none"/>
                <w:lang w:eastAsia="zh-CN"/>
              </w:rPr>
            </w:pPr>
            <w:r>
              <w:rPr>
                <w:rFonts w:hint="eastAsia" w:ascii="宋体" w:hAnsi="宋体"/>
                <w:bCs/>
                <w:color w:val="auto"/>
                <w:kern w:val="0"/>
                <w:szCs w:val="21"/>
                <w:highlight w:val="none"/>
              </w:rPr>
              <w:t>2.</w:t>
            </w:r>
            <w:r>
              <w:rPr>
                <w:rFonts w:hint="eastAsia" w:ascii="宋体" w:hAnsi="宋体"/>
                <w:bCs/>
                <w:color w:val="auto"/>
                <w:kern w:val="0"/>
                <w:szCs w:val="21"/>
                <w:highlight w:val="none"/>
                <w:lang w:val="en-US" w:eastAsia="zh-CN"/>
              </w:rPr>
              <w:t>2</w:t>
            </w:r>
          </w:p>
        </w:tc>
        <w:tc>
          <w:tcPr>
            <w:tcW w:w="1275" w:type="dxa"/>
            <w:vAlign w:val="center"/>
          </w:tcPr>
          <w:p w14:paraId="1552BCF0">
            <w:pPr>
              <w:pStyle w:val="23"/>
              <w:spacing w:line="400" w:lineRule="exact"/>
              <w:jc w:val="center"/>
              <w:rPr>
                <w:rFonts w:hint="default" w:ascii="宋体" w:hAnsi="宋体" w:eastAsia="宋体"/>
                <w:color w:val="auto"/>
                <w:szCs w:val="21"/>
                <w:highlight w:val="none"/>
                <w:lang w:val="en-US" w:eastAsia="zh-CN"/>
              </w:rPr>
            </w:pPr>
            <w:r>
              <w:rPr>
                <w:rFonts w:hint="eastAsia" w:hAnsi="宋体" w:cs="宋体"/>
                <w:bCs/>
                <w:color w:val="auto"/>
                <w:sz w:val="21"/>
                <w:highlight w:val="none"/>
              </w:rPr>
              <w:t>产品质量控制措施分</w:t>
            </w:r>
          </w:p>
        </w:tc>
        <w:tc>
          <w:tcPr>
            <w:tcW w:w="6320" w:type="dxa"/>
            <w:vAlign w:val="center"/>
          </w:tcPr>
          <w:p w14:paraId="61402EFE">
            <w:pPr>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一档（</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lang w:val="en-US" w:eastAsia="zh-CN"/>
              </w:rPr>
              <w:t>分）：出具产品质量保障承诺书，承诺严格按合同要求提供物品；</w:t>
            </w:r>
          </w:p>
          <w:p w14:paraId="3271BED3">
            <w:pPr>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二档（</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lang w:val="en-US" w:eastAsia="zh-CN"/>
              </w:rPr>
              <w:t>分）：具有畅通、相对固定和信誉良好的供货渠道</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出具产品质量保障承诺书，承诺严格按合同要求提供物品，并有详细可操作的质量控制措施；</w:t>
            </w:r>
          </w:p>
          <w:p w14:paraId="5B27EEC8">
            <w:pPr>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三档（</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lang w:val="en-US" w:eastAsia="zh-CN"/>
              </w:rPr>
              <w:t>分）：</w:t>
            </w:r>
            <w:r>
              <w:rPr>
                <w:rFonts w:hint="eastAsia" w:ascii="宋体" w:hAnsi="宋体" w:cs="宋体"/>
                <w:color w:val="auto"/>
                <w:szCs w:val="21"/>
                <w:highlight w:val="none"/>
                <w:lang w:val="en-US" w:eastAsia="zh-CN"/>
              </w:rPr>
              <w:t>自有研发生产能力，</w:t>
            </w:r>
            <w:r>
              <w:rPr>
                <w:rFonts w:hint="eastAsia" w:ascii="宋体" w:hAnsi="宋体" w:eastAsia="宋体" w:cs="宋体"/>
                <w:color w:val="auto"/>
                <w:szCs w:val="21"/>
                <w:highlight w:val="none"/>
                <w:lang w:val="en-US" w:eastAsia="zh-CN"/>
              </w:rPr>
              <w:t>具有畅通、相对固定和信誉良好的供货渠道，出具产品质量保障承诺书，承诺严格按合同要求提供物品，并有详细可操作的质量控制措施；有行之有效的物品更换应急响应措施，确保能快速更换。</w:t>
            </w:r>
          </w:p>
          <w:p w14:paraId="77D1621B">
            <w:pPr>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注：未提供该项方案或方案不达到最低档要求不得分。</w:t>
            </w:r>
          </w:p>
        </w:tc>
        <w:tc>
          <w:tcPr>
            <w:tcW w:w="1417" w:type="dxa"/>
            <w:vAlign w:val="center"/>
          </w:tcPr>
          <w:p w14:paraId="6D099E13">
            <w:pPr>
              <w:pStyle w:val="23"/>
              <w:spacing w:line="400" w:lineRule="exact"/>
              <w:jc w:val="center"/>
              <w:rPr>
                <w:rFonts w:hint="default" w:ascii="宋体" w:hAnsi="宋体" w:cs="Tahoma"/>
                <w:color w:val="auto"/>
                <w:kern w:val="0"/>
                <w:szCs w:val="21"/>
                <w:highlight w:val="none"/>
                <w:lang w:val="en-US"/>
              </w:rPr>
            </w:pPr>
            <w:r>
              <w:rPr>
                <w:rFonts w:hint="eastAsia" w:hAnsi="宋体"/>
                <w:bCs/>
                <w:color w:val="auto"/>
                <w:sz w:val="21"/>
                <w:highlight w:val="none"/>
                <w:lang w:val="en-US" w:eastAsia="zh-CN"/>
              </w:rPr>
              <w:t>20</w:t>
            </w:r>
            <w:r>
              <w:rPr>
                <w:rFonts w:hint="eastAsia" w:hAnsi="宋体"/>
                <w:bCs/>
                <w:color w:val="auto"/>
                <w:sz w:val="21"/>
                <w:highlight w:val="none"/>
              </w:rPr>
              <w:t>分</w:t>
            </w:r>
          </w:p>
        </w:tc>
      </w:tr>
      <w:tr w14:paraId="31E70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2" w:type="dxa"/>
            <w:vAlign w:val="center"/>
          </w:tcPr>
          <w:p w14:paraId="0E8DCEC2">
            <w:pPr>
              <w:pStyle w:val="23"/>
              <w:spacing w:line="400" w:lineRule="exact"/>
              <w:jc w:val="center"/>
              <w:rPr>
                <w:rFonts w:hint="eastAsia" w:ascii="宋体" w:hAnsi="宋体" w:eastAsia="宋体"/>
                <w:bCs/>
                <w:color w:val="auto"/>
                <w:kern w:val="0"/>
                <w:szCs w:val="21"/>
                <w:highlight w:val="none"/>
                <w:lang w:eastAsia="zh-CN"/>
              </w:rPr>
            </w:pPr>
            <w:r>
              <w:rPr>
                <w:rFonts w:hint="eastAsia" w:hAnsi="宋体"/>
                <w:bCs/>
                <w:color w:val="auto"/>
                <w:sz w:val="21"/>
                <w:highlight w:val="none"/>
              </w:rPr>
              <w:t>2.</w:t>
            </w:r>
            <w:r>
              <w:rPr>
                <w:rFonts w:hint="eastAsia" w:hAnsi="宋体"/>
                <w:bCs/>
                <w:color w:val="auto"/>
                <w:sz w:val="21"/>
                <w:highlight w:val="none"/>
                <w:lang w:val="en-US" w:eastAsia="zh-CN"/>
              </w:rPr>
              <w:t>3</w:t>
            </w:r>
          </w:p>
        </w:tc>
        <w:tc>
          <w:tcPr>
            <w:tcW w:w="1275" w:type="dxa"/>
            <w:vAlign w:val="center"/>
          </w:tcPr>
          <w:p w14:paraId="335E1572">
            <w:pPr>
              <w:pStyle w:val="23"/>
              <w:spacing w:line="400" w:lineRule="exact"/>
              <w:jc w:val="center"/>
              <w:rPr>
                <w:rFonts w:hint="eastAsia" w:hAnsi="宋体" w:eastAsia="宋体" w:cs="宋体"/>
                <w:bCs/>
                <w:color w:val="auto"/>
                <w:sz w:val="21"/>
                <w:highlight w:val="none"/>
                <w:lang w:eastAsia="zh-CN"/>
              </w:rPr>
            </w:pPr>
            <w:r>
              <w:rPr>
                <w:rFonts w:hint="eastAsia" w:hAnsi="宋体" w:cs="宋体"/>
                <w:bCs/>
                <w:color w:val="auto"/>
                <w:sz w:val="21"/>
                <w:highlight w:val="none"/>
              </w:rPr>
              <w:t>售后服务分</w:t>
            </w:r>
          </w:p>
        </w:tc>
        <w:tc>
          <w:tcPr>
            <w:tcW w:w="6320" w:type="dxa"/>
            <w:vAlign w:val="top"/>
          </w:tcPr>
          <w:p w14:paraId="081C8F2A">
            <w:pPr>
              <w:spacing w:line="400" w:lineRule="exact"/>
              <w:jc w:val="left"/>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一档（</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lang w:val="en-US" w:eastAsia="zh-CN"/>
              </w:rPr>
              <w:t>分）：具有售后措施，售后响应时间小于6小时，</w:t>
            </w:r>
            <w:r>
              <w:rPr>
                <w:rFonts w:hint="eastAsia"/>
                <w:color w:val="auto"/>
                <w:highlight w:val="none"/>
              </w:rPr>
              <w:t>处理流程</w:t>
            </w:r>
            <w:r>
              <w:rPr>
                <w:rFonts w:hint="eastAsia"/>
                <w:color w:val="auto"/>
                <w:highlight w:val="none"/>
                <w:lang w:eastAsia="zh-CN"/>
              </w:rPr>
              <w:t>简单，</w:t>
            </w:r>
            <w:r>
              <w:rPr>
                <w:rFonts w:hint="eastAsia"/>
                <w:color w:val="auto"/>
                <w:highlight w:val="none"/>
              </w:rPr>
              <w:t>简单提及应急保障</w:t>
            </w:r>
            <w:r>
              <w:rPr>
                <w:rFonts w:hint="eastAsia" w:ascii="宋体" w:hAnsi="宋体" w:cs="宋体"/>
                <w:color w:val="auto"/>
                <w:szCs w:val="21"/>
                <w:highlight w:val="none"/>
                <w:lang w:val="en-US" w:eastAsia="zh-CN"/>
              </w:rPr>
              <w:t>。</w:t>
            </w:r>
          </w:p>
          <w:p w14:paraId="15E9A288">
            <w:pPr>
              <w:spacing w:line="400" w:lineRule="exact"/>
              <w:jc w:val="left"/>
              <w:rPr>
                <w:rFonts w:hint="eastAsia"/>
                <w:color w:val="auto"/>
                <w:highlight w:val="none"/>
              </w:rPr>
            </w:pPr>
            <w:r>
              <w:rPr>
                <w:rFonts w:hint="eastAsia" w:ascii="宋体" w:hAnsi="宋体" w:eastAsia="宋体" w:cs="宋体"/>
                <w:color w:val="auto"/>
                <w:szCs w:val="21"/>
                <w:highlight w:val="none"/>
                <w:lang w:val="en-US" w:eastAsia="zh-CN"/>
              </w:rPr>
              <w:t>二档（</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lang w:val="en-US" w:eastAsia="zh-CN"/>
              </w:rPr>
              <w:t>分）：具有较为完善的售后措施，售后响应时间小于4小时，</w:t>
            </w:r>
            <w:r>
              <w:rPr>
                <w:rFonts w:hint="eastAsia"/>
                <w:color w:val="auto"/>
                <w:highlight w:val="none"/>
              </w:rPr>
              <w:t>有基本的问题处理流程</w:t>
            </w:r>
            <w:r>
              <w:rPr>
                <w:rFonts w:hint="eastAsia"/>
                <w:color w:val="auto"/>
                <w:highlight w:val="none"/>
                <w:lang w:eastAsia="zh-CN"/>
              </w:rPr>
              <w:t>，</w:t>
            </w:r>
            <w:r>
              <w:rPr>
                <w:rFonts w:hint="eastAsia"/>
                <w:color w:val="auto"/>
                <w:highlight w:val="none"/>
              </w:rPr>
              <w:t>有基本的应急保障措施。</w:t>
            </w:r>
          </w:p>
          <w:p w14:paraId="4E67BF75">
            <w:pPr>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三档（</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lang w:val="en-US" w:eastAsia="zh-CN"/>
              </w:rPr>
              <w:t>分）：具有详细、完善、且具有操作性的售后措施，售后响应时间小于2小时，</w:t>
            </w:r>
            <w:r>
              <w:rPr>
                <w:rFonts w:hint="eastAsia"/>
                <w:color w:val="auto"/>
                <w:highlight w:val="none"/>
              </w:rPr>
              <w:t>有完善的客诉处理机制和记录追踪</w:t>
            </w:r>
            <w:r>
              <w:rPr>
                <w:rFonts w:hint="eastAsia"/>
                <w:color w:val="auto"/>
                <w:highlight w:val="none"/>
                <w:lang w:eastAsia="zh-CN"/>
              </w:rPr>
              <w:t>，</w:t>
            </w:r>
            <w:r>
              <w:rPr>
                <w:rFonts w:hint="eastAsia"/>
                <w:color w:val="auto"/>
                <w:highlight w:val="none"/>
              </w:rPr>
              <w:t>针对突发性大量需求（如大型接待、紧急补货）、自然灾害、供应链中断等，有详细、可行的应急供应预案（如安全库存、备用产能、替代供应商、快速物流通道）</w:t>
            </w:r>
            <w:r>
              <w:rPr>
                <w:rFonts w:hint="eastAsia"/>
                <w:color w:val="auto"/>
                <w:highlight w:val="none"/>
                <w:lang w:eastAsia="zh-CN"/>
              </w:rPr>
              <w:t>，</w:t>
            </w:r>
            <w:r>
              <w:rPr>
                <w:rFonts w:hint="eastAsia"/>
                <w:color w:val="auto"/>
                <w:highlight w:val="none"/>
              </w:rPr>
              <w:t>承诺定期进行质量回访，主动提供产品优化建议、</w:t>
            </w:r>
            <w:r>
              <w:rPr>
                <w:rFonts w:hint="eastAsia"/>
                <w:color w:val="auto"/>
                <w:highlight w:val="none"/>
                <w:lang w:eastAsia="zh-CN"/>
              </w:rPr>
              <w:t>产品</w:t>
            </w:r>
            <w:r>
              <w:rPr>
                <w:rFonts w:hint="eastAsia"/>
                <w:color w:val="auto"/>
                <w:highlight w:val="none"/>
              </w:rPr>
              <w:t>行业资讯等增值服务</w:t>
            </w:r>
            <w:r>
              <w:rPr>
                <w:rFonts w:hint="eastAsia" w:ascii="宋体" w:hAnsi="宋体" w:eastAsia="宋体" w:cs="宋体"/>
                <w:color w:val="auto"/>
                <w:szCs w:val="21"/>
                <w:highlight w:val="none"/>
                <w:lang w:val="en-US" w:eastAsia="zh-CN"/>
              </w:rPr>
              <w:t>。</w:t>
            </w:r>
          </w:p>
          <w:p w14:paraId="6D4BAFE1">
            <w:pPr>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注：1.人员中需含装卸搬运人员，采购人不提供人员帮助装卸搬运。</w:t>
            </w:r>
          </w:p>
          <w:p w14:paraId="50A880EE">
            <w:pPr>
              <w:keepNext w:val="0"/>
              <w:keepLines w:val="0"/>
              <w:widowControl w:val="0"/>
              <w:numPr>
                <w:ilvl w:val="0"/>
                <w:numId w:val="0"/>
              </w:numPr>
              <w:suppressLineNumbers w:val="0"/>
              <w:spacing w:before="0" w:beforeAutospacing="0" w:after="0" w:afterAutospacing="0"/>
              <w:ind w:right="0" w:rightChars="0"/>
              <w:jc w:val="both"/>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2.未提供或不达到最低档要求不得分。</w:t>
            </w:r>
          </w:p>
        </w:tc>
        <w:tc>
          <w:tcPr>
            <w:tcW w:w="1417" w:type="dxa"/>
            <w:vAlign w:val="center"/>
          </w:tcPr>
          <w:p w14:paraId="5BAC89C5">
            <w:pPr>
              <w:pStyle w:val="23"/>
              <w:spacing w:line="400" w:lineRule="exact"/>
              <w:jc w:val="center"/>
              <w:rPr>
                <w:rFonts w:hint="eastAsia" w:hAnsi="宋体"/>
                <w:bCs/>
                <w:color w:val="auto"/>
                <w:sz w:val="21"/>
                <w:highlight w:val="none"/>
              </w:rPr>
            </w:pPr>
            <w:r>
              <w:rPr>
                <w:rFonts w:hint="eastAsia" w:hAnsi="宋体"/>
                <w:bCs/>
                <w:color w:val="auto"/>
                <w:sz w:val="21"/>
                <w:highlight w:val="none"/>
                <w:lang w:val="en-US" w:eastAsia="zh-CN"/>
              </w:rPr>
              <w:t>20</w:t>
            </w:r>
            <w:r>
              <w:rPr>
                <w:rFonts w:hint="eastAsia" w:hAnsi="宋体"/>
                <w:bCs/>
                <w:color w:val="auto"/>
                <w:sz w:val="21"/>
                <w:highlight w:val="none"/>
              </w:rPr>
              <w:t>分</w:t>
            </w:r>
          </w:p>
        </w:tc>
      </w:tr>
      <w:tr w14:paraId="5C9DB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2" w:type="dxa"/>
            <w:vAlign w:val="center"/>
          </w:tcPr>
          <w:p w14:paraId="734C0AAA">
            <w:pPr>
              <w:widowControl/>
              <w:spacing w:line="400" w:lineRule="exact"/>
              <w:jc w:val="center"/>
              <w:rPr>
                <w:rFonts w:ascii="宋体" w:hAnsi="宋体" w:cs="Tahoma"/>
                <w:b/>
                <w:color w:val="auto"/>
                <w:kern w:val="0"/>
                <w:szCs w:val="21"/>
                <w:highlight w:val="none"/>
              </w:rPr>
            </w:pPr>
            <w:r>
              <w:rPr>
                <w:rFonts w:hint="eastAsia" w:ascii="宋体" w:hAnsi="宋体" w:cs="Tahoma"/>
                <w:b/>
                <w:color w:val="auto"/>
                <w:kern w:val="0"/>
                <w:szCs w:val="21"/>
                <w:highlight w:val="none"/>
              </w:rPr>
              <w:t>3</w:t>
            </w:r>
          </w:p>
        </w:tc>
        <w:tc>
          <w:tcPr>
            <w:tcW w:w="1275" w:type="dxa"/>
            <w:vAlign w:val="center"/>
          </w:tcPr>
          <w:p w14:paraId="3EF1CE69">
            <w:pPr>
              <w:widowControl/>
              <w:spacing w:line="400" w:lineRule="exact"/>
              <w:jc w:val="center"/>
              <w:rPr>
                <w:rFonts w:ascii="宋体" w:hAnsi="宋体" w:cs="Courier New"/>
                <w:b/>
                <w:bCs/>
                <w:color w:val="auto"/>
                <w:szCs w:val="21"/>
                <w:highlight w:val="none"/>
              </w:rPr>
            </w:pPr>
            <w:r>
              <w:rPr>
                <w:rFonts w:hint="eastAsia" w:ascii="宋体" w:hAnsi="宋体" w:cs="Courier New"/>
                <w:b/>
                <w:bCs/>
                <w:color w:val="auto"/>
                <w:szCs w:val="21"/>
                <w:highlight w:val="none"/>
              </w:rPr>
              <w:t>商务分</w:t>
            </w:r>
          </w:p>
        </w:tc>
        <w:tc>
          <w:tcPr>
            <w:tcW w:w="6320" w:type="dxa"/>
            <w:vAlign w:val="center"/>
          </w:tcPr>
          <w:p w14:paraId="05A042A1">
            <w:pPr>
              <w:widowControl/>
              <w:spacing w:line="400" w:lineRule="exact"/>
              <w:jc w:val="center"/>
              <w:rPr>
                <w:rFonts w:ascii="宋体" w:hAnsi="宋体" w:cs="Tahoma"/>
                <w:b/>
                <w:color w:val="auto"/>
                <w:kern w:val="0"/>
                <w:szCs w:val="21"/>
                <w:highlight w:val="none"/>
              </w:rPr>
            </w:pPr>
            <w:r>
              <w:rPr>
                <w:rFonts w:hint="eastAsia" w:ascii="宋体" w:hAnsi="宋体" w:cs="Tahoma"/>
                <w:b/>
                <w:color w:val="auto"/>
                <w:kern w:val="0"/>
                <w:szCs w:val="21"/>
                <w:highlight w:val="none"/>
              </w:rPr>
              <w:t>评审因素</w:t>
            </w:r>
          </w:p>
        </w:tc>
        <w:tc>
          <w:tcPr>
            <w:tcW w:w="1417" w:type="dxa"/>
            <w:vAlign w:val="center"/>
          </w:tcPr>
          <w:p w14:paraId="6ADCB0E4">
            <w:pPr>
              <w:widowControl/>
              <w:spacing w:line="400" w:lineRule="exact"/>
              <w:jc w:val="center"/>
              <w:rPr>
                <w:rFonts w:ascii="宋体" w:hAnsi="宋体" w:cs="Tahoma"/>
                <w:b/>
                <w:color w:val="auto"/>
                <w:kern w:val="0"/>
                <w:szCs w:val="21"/>
                <w:highlight w:val="none"/>
              </w:rPr>
            </w:pPr>
            <w:r>
              <w:rPr>
                <w:rFonts w:hint="eastAsia" w:ascii="宋体" w:hAnsi="宋体" w:cs="Tahoma"/>
                <w:b/>
                <w:color w:val="auto"/>
                <w:kern w:val="0"/>
                <w:szCs w:val="21"/>
                <w:highlight w:val="none"/>
              </w:rPr>
              <w:t>满分</w:t>
            </w:r>
            <w:r>
              <w:rPr>
                <w:rFonts w:hint="eastAsia" w:ascii="宋体" w:hAnsi="宋体" w:cs="Tahoma"/>
                <w:b/>
                <w:color w:val="auto"/>
                <w:kern w:val="0"/>
                <w:szCs w:val="21"/>
                <w:highlight w:val="none"/>
                <w:lang w:val="en-US" w:eastAsia="zh-CN"/>
              </w:rPr>
              <w:t>10</w:t>
            </w:r>
            <w:r>
              <w:rPr>
                <w:rFonts w:hint="eastAsia" w:ascii="宋体" w:hAnsi="宋体" w:cs="Tahoma"/>
                <w:b/>
                <w:color w:val="auto"/>
                <w:kern w:val="0"/>
                <w:szCs w:val="21"/>
                <w:highlight w:val="none"/>
              </w:rPr>
              <w:t>分</w:t>
            </w:r>
          </w:p>
        </w:tc>
      </w:tr>
      <w:tr w14:paraId="606E3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622" w:type="dxa"/>
            <w:vAlign w:val="center"/>
          </w:tcPr>
          <w:p w14:paraId="4AD90A84">
            <w:pPr>
              <w:widowControl/>
              <w:spacing w:line="400" w:lineRule="exact"/>
              <w:jc w:val="center"/>
              <w:rPr>
                <w:rFonts w:hint="eastAsia" w:ascii="宋体" w:hAnsi="宋体" w:eastAsia="宋体" w:cs="Tahoma"/>
                <w:color w:val="auto"/>
                <w:kern w:val="0"/>
                <w:szCs w:val="21"/>
                <w:highlight w:val="none"/>
                <w:lang w:eastAsia="zh-CN"/>
              </w:rPr>
            </w:pPr>
            <w:r>
              <w:rPr>
                <w:rFonts w:ascii="宋体" w:hAnsi="宋体" w:cs="Tahoma"/>
                <w:color w:val="auto"/>
                <w:kern w:val="0"/>
                <w:szCs w:val="21"/>
                <w:highlight w:val="none"/>
              </w:rPr>
              <w:t>3.</w:t>
            </w:r>
            <w:r>
              <w:rPr>
                <w:rFonts w:hint="eastAsia" w:ascii="宋体" w:hAnsi="宋体" w:cs="Tahoma"/>
                <w:color w:val="auto"/>
                <w:kern w:val="0"/>
                <w:szCs w:val="21"/>
                <w:highlight w:val="none"/>
                <w:lang w:val="en-US" w:eastAsia="zh-CN"/>
              </w:rPr>
              <w:t>1</w:t>
            </w:r>
          </w:p>
        </w:tc>
        <w:tc>
          <w:tcPr>
            <w:tcW w:w="1275" w:type="dxa"/>
            <w:vAlign w:val="center"/>
          </w:tcPr>
          <w:p w14:paraId="6616B50D">
            <w:pPr>
              <w:widowControl/>
              <w:spacing w:line="400" w:lineRule="exact"/>
              <w:jc w:val="center"/>
              <w:rPr>
                <w:rFonts w:hint="eastAsia" w:ascii="宋体" w:hAnsi="宋体" w:cs="Courier New"/>
                <w:bCs/>
                <w:color w:val="auto"/>
                <w:szCs w:val="21"/>
                <w:highlight w:val="none"/>
              </w:rPr>
            </w:pPr>
            <w:r>
              <w:rPr>
                <w:rFonts w:hint="eastAsia" w:ascii="宋体" w:hAnsi="宋体" w:cs="Courier New"/>
                <w:bCs/>
                <w:color w:val="auto"/>
                <w:szCs w:val="21"/>
                <w:highlight w:val="none"/>
              </w:rPr>
              <w:t>业绩分</w:t>
            </w:r>
          </w:p>
        </w:tc>
        <w:tc>
          <w:tcPr>
            <w:tcW w:w="6320" w:type="dxa"/>
            <w:vAlign w:val="top"/>
          </w:tcPr>
          <w:p w14:paraId="1206FE85">
            <w:pPr>
              <w:numPr>
                <w:ilvl w:val="0"/>
                <w:numId w:val="0"/>
              </w:numPr>
              <w:spacing w:line="40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2022年1月1日至今，供应商具有类似项目业绩的，响应文件中提供相关证明材料（中标、成交通知书或合同复印件，未提供证明材料或所提供的证明材料不符合要求的不得分），每个得2分，满分10分。</w:t>
            </w:r>
          </w:p>
        </w:tc>
        <w:tc>
          <w:tcPr>
            <w:tcW w:w="1417" w:type="dxa"/>
            <w:vAlign w:val="center"/>
          </w:tcPr>
          <w:p w14:paraId="2C84D25B">
            <w:pPr>
              <w:widowControl/>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tc>
      </w:tr>
      <w:tr w14:paraId="1F41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4" w:type="dxa"/>
            <w:gridSpan w:val="4"/>
          </w:tcPr>
          <w:p w14:paraId="4864BCFE">
            <w:pPr>
              <w:widowControl/>
              <w:spacing w:line="400" w:lineRule="exact"/>
              <w:jc w:val="left"/>
              <w:rPr>
                <w:rFonts w:ascii="宋体" w:hAnsi="宋体" w:cs="Tahoma"/>
                <w:b/>
                <w:color w:val="auto"/>
                <w:kern w:val="0"/>
                <w:szCs w:val="21"/>
                <w:highlight w:val="none"/>
              </w:rPr>
            </w:pPr>
            <w:r>
              <w:rPr>
                <w:rFonts w:hint="eastAsia" w:ascii="宋体" w:hAnsi="宋体" w:cs="Courier New"/>
                <w:b/>
                <w:bCs/>
                <w:color w:val="auto"/>
                <w:szCs w:val="21"/>
                <w:highlight w:val="none"/>
              </w:rPr>
              <w:t>总得分＝1＋2＋3</w:t>
            </w:r>
          </w:p>
        </w:tc>
      </w:tr>
    </w:tbl>
    <w:p w14:paraId="24162848">
      <w:pPr>
        <w:pStyle w:val="23"/>
        <w:spacing w:line="360" w:lineRule="atLeast"/>
        <w:ind w:firstLine="413" w:firstLineChars="196"/>
        <w:rPr>
          <w:rFonts w:hint="eastAsia" w:hAnsi="宋体"/>
          <w:b/>
          <w:color w:val="auto"/>
          <w:kern w:val="2"/>
          <w:sz w:val="21"/>
          <w:highlight w:val="none"/>
        </w:rPr>
      </w:pPr>
    </w:p>
    <w:p w14:paraId="3A1A1E57">
      <w:pPr>
        <w:pStyle w:val="23"/>
        <w:spacing w:line="360" w:lineRule="atLeast"/>
        <w:ind w:firstLine="413" w:firstLineChars="196"/>
        <w:rPr>
          <w:rFonts w:hAnsi="宋体"/>
          <w:b/>
          <w:bCs/>
          <w:color w:val="auto"/>
          <w:sz w:val="21"/>
          <w:highlight w:val="none"/>
        </w:rPr>
      </w:pPr>
      <w:r>
        <w:rPr>
          <w:rFonts w:hint="eastAsia" w:hAnsi="宋体"/>
          <w:b/>
          <w:color w:val="auto"/>
          <w:kern w:val="2"/>
          <w:sz w:val="21"/>
          <w:highlight w:val="none"/>
        </w:rPr>
        <w:t>注：</w:t>
      </w:r>
      <w:r>
        <w:rPr>
          <w:rFonts w:hint="eastAsia" w:hAnsi="宋体"/>
          <w:b/>
          <w:color w:val="auto"/>
          <w:sz w:val="21"/>
          <w:highlight w:val="none"/>
        </w:rPr>
        <w:t>本项目为政府服务类采购，无节能产品、环境标志产品要求。</w:t>
      </w:r>
    </w:p>
    <w:p w14:paraId="3F9834BD">
      <w:pPr>
        <w:spacing w:line="360" w:lineRule="auto"/>
        <w:ind w:firstLine="420" w:firstLineChars="200"/>
        <w:rPr>
          <w:rFonts w:ascii="宋体" w:hAnsi="宋体"/>
          <w:color w:val="auto"/>
          <w:szCs w:val="21"/>
          <w:highlight w:val="none"/>
        </w:rPr>
      </w:pPr>
      <w:r>
        <w:rPr>
          <w:rFonts w:ascii="宋体" w:hAnsi="宋体"/>
          <w:bCs/>
          <w:color w:val="auto"/>
          <w:szCs w:val="21"/>
          <w:highlight w:val="none"/>
        </w:rPr>
        <w:t>7.</w:t>
      </w:r>
      <w:r>
        <w:rPr>
          <w:rFonts w:hint="eastAsia" w:ascii="宋体" w:hAnsi="宋体"/>
          <w:bCs/>
          <w:color w:val="auto"/>
          <w:szCs w:val="21"/>
          <w:highlight w:val="none"/>
        </w:rPr>
        <w:t>由磋商小组根据综合评分情况，按照评审得分由高到低顺序推荐3名以上成交候选供应商，并编写评审报告，</w:t>
      </w:r>
      <w:r>
        <w:rPr>
          <w:rFonts w:hint="eastAsia" w:ascii="宋体" w:hAnsi="宋体" w:cs="宋体"/>
          <w:color w:val="auto"/>
          <w:highlight w:val="none"/>
        </w:rPr>
        <w:t>评审报告</w:t>
      </w:r>
      <w:r>
        <w:rPr>
          <w:rFonts w:hint="eastAsia" w:hAnsi="宋体"/>
          <w:color w:val="auto"/>
          <w:highlight w:val="none"/>
        </w:rPr>
        <w:t>通过电子交易平台向采购人、采购代理机构提交。</w:t>
      </w:r>
      <w:r>
        <w:rPr>
          <w:rFonts w:hint="eastAsia" w:ascii="宋体" w:hAnsi="宋体"/>
          <w:bCs/>
          <w:color w:val="auto"/>
          <w:szCs w:val="21"/>
          <w:highlight w:val="none"/>
        </w:rPr>
        <w:t>符合本章第</w:t>
      </w:r>
      <w:r>
        <w:rPr>
          <w:rFonts w:ascii="宋体" w:hAnsi="宋体"/>
          <w:bCs/>
          <w:color w:val="auto"/>
          <w:szCs w:val="21"/>
          <w:highlight w:val="none"/>
        </w:rPr>
        <w:t>4.3</w:t>
      </w:r>
      <w:r>
        <w:rPr>
          <w:rFonts w:hint="eastAsia" w:ascii="宋体" w:hAnsi="宋体"/>
          <w:bCs/>
          <w:color w:val="auto"/>
          <w:szCs w:val="21"/>
          <w:highlight w:val="none"/>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r>
        <w:rPr>
          <w:color w:val="auto"/>
          <w:highlight w:val="none"/>
        </w:rPr>
        <w:br w:type="page"/>
      </w:r>
    </w:p>
    <w:p w14:paraId="01019E9A">
      <w:pPr>
        <w:rPr>
          <w:color w:val="auto"/>
          <w:highlight w:val="none"/>
        </w:rPr>
      </w:pPr>
    </w:p>
    <w:p w14:paraId="16EB92FE">
      <w:pPr>
        <w:rPr>
          <w:color w:val="auto"/>
          <w:highlight w:val="none"/>
        </w:rPr>
      </w:pPr>
    </w:p>
    <w:p w14:paraId="0326764E">
      <w:pPr>
        <w:rPr>
          <w:color w:val="auto"/>
          <w:highlight w:val="none"/>
        </w:rPr>
      </w:pPr>
    </w:p>
    <w:p w14:paraId="51054B50">
      <w:pPr>
        <w:rPr>
          <w:color w:val="auto"/>
          <w:highlight w:val="none"/>
        </w:rPr>
      </w:pPr>
    </w:p>
    <w:p w14:paraId="05E73086">
      <w:pPr>
        <w:rPr>
          <w:color w:val="auto"/>
          <w:highlight w:val="none"/>
        </w:rPr>
      </w:pPr>
    </w:p>
    <w:p w14:paraId="7AEDF047">
      <w:pPr>
        <w:rPr>
          <w:color w:val="auto"/>
          <w:highlight w:val="none"/>
        </w:rPr>
      </w:pPr>
    </w:p>
    <w:p w14:paraId="0A30C6EC">
      <w:pPr>
        <w:rPr>
          <w:color w:val="auto"/>
          <w:highlight w:val="none"/>
        </w:rPr>
      </w:pPr>
    </w:p>
    <w:p w14:paraId="26801304">
      <w:pPr>
        <w:rPr>
          <w:color w:val="auto"/>
          <w:highlight w:val="none"/>
        </w:rPr>
      </w:pPr>
    </w:p>
    <w:p w14:paraId="32712940">
      <w:pPr>
        <w:rPr>
          <w:color w:val="auto"/>
          <w:highlight w:val="none"/>
        </w:rPr>
      </w:pPr>
    </w:p>
    <w:p w14:paraId="4956E324">
      <w:pPr>
        <w:rPr>
          <w:color w:val="auto"/>
          <w:highlight w:val="none"/>
        </w:rPr>
      </w:pPr>
    </w:p>
    <w:p w14:paraId="021F0A8C">
      <w:pPr>
        <w:rPr>
          <w:color w:val="auto"/>
          <w:highlight w:val="none"/>
        </w:rPr>
      </w:pPr>
    </w:p>
    <w:p w14:paraId="68A0FB2B">
      <w:pPr>
        <w:rPr>
          <w:color w:val="auto"/>
          <w:highlight w:val="none"/>
        </w:rPr>
      </w:pPr>
    </w:p>
    <w:p w14:paraId="534AAAA1">
      <w:pPr>
        <w:rPr>
          <w:color w:val="auto"/>
          <w:highlight w:val="none"/>
        </w:rPr>
      </w:pPr>
    </w:p>
    <w:p w14:paraId="0E4802A3">
      <w:pPr>
        <w:pStyle w:val="3"/>
        <w:jc w:val="center"/>
        <w:rPr>
          <w:color w:val="auto"/>
          <w:highlight w:val="none"/>
        </w:rPr>
      </w:pPr>
      <w:bookmarkStart w:id="68" w:name="_Toc151675540"/>
      <w:r>
        <w:rPr>
          <w:rFonts w:hint="eastAsia"/>
          <w:color w:val="auto"/>
          <w:highlight w:val="none"/>
        </w:rPr>
        <w:t xml:space="preserve">第五章 </w:t>
      </w:r>
      <w:r>
        <w:rPr>
          <w:color w:val="auto"/>
          <w:highlight w:val="none"/>
        </w:rPr>
        <w:t xml:space="preserve"> </w:t>
      </w:r>
      <w:r>
        <w:rPr>
          <w:rFonts w:hint="eastAsia"/>
          <w:color w:val="auto"/>
          <w:highlight w:val="none"/>
        </w:rPr>
        <w:t>响应文件格式</w:t>
      </w:r>
      <w:bookmarkEnd w:id="68"/>
    </w:p>
    <w:p w14:paraId="3E0A0170">
      <w:pPr>
        <w:spacing w:line="240" w:lineRule="atLeast"/>
        <w:rPr>
          <w:rFonts w:ascii="宋体" w:hAnsi="宋体"/>
          <w:b/>
          <w:color w:val="auto"/>
          <w:sz w:val="32"/>
          <w:szCs w:val="32"/>
          <w:highlight w:val="none"/>
        </w:rPr>
      </w:pPr>
    </w:p>
    <w:p w14:paraId="5302BB7B">
      <w:pPr>
        <w:spacing w:line="240" w:lineRule="atLeast"/>
        <w:rPr>
          <w:rFonts w:ascii="宋体" w:hAnsi="宋体"/>
          <w:b/>
          <w:color w:val="auto"/>
          <w:sz w:val="32"/>
          <w:szCs w:val="32"/>
          <w:highlight w:val="none"/>
        </w:rPr>
      </w:pPr>
    </w:p>
    <w:p w14:paraId="234CEFCB">
      <w:pPr>
        <w:spacing w:line="240" w:lineRule="atLeast"/>
        <w:rPr>
          <w:rFonts w:ascii="宋体" w:hAnsi="宋体"/>
          <w:b/>
          <w:color w:val="auto"/>
          <w:sz w:val="32"/>
          <w:szCs w:val="32"/>
          <w:highlight w:val="none"/>
        </w:rPr>
      </w:pPr>
    </w:p>
    <w:p w14:paraId="25C3840A">
      <w:pPr>
        <w:spacing w:line="240" w:lineRule="atLeast"/>
        <w:rPr>
          <w:rFonts w:ascii="宋体" w:hAnsi="宋体"/>
          <w:b/>
          <w:color w:val="auto"/>
          <w:sz w:val="32"/>
          <w:szCs w:val="32"/>
          <w:highlight w:val="none"/>
        </w:rPr>
      </w:pPr>
    </w:p>
    <w:p w14:paraId="4892BE97">
      <w:pPr>
        <w:spacing w:line="240" w:lineRule="atLeast"/>
        <w:rPr>
          <w:rFonts w:ascii="宋体" w:hAnsi="宋体"/>
          <w:b/>
          <w:color w:val="auto"/>
          <w:sz w:val="32"/>
          <w:szCs w:val="32"/>
          <w:highlight w:val="none"/>
        </w:rPr>
      </w:pPr>
    </w:p>
    <w:p w14:paraId="7AF97694">
      <w:pPr>
        <w:spacing w:line="240" w:lineRule="atLeast"/>
        <w:rPr>
          <w:rFonts w:ascii="宋体" w:hAnsi="宋体"/>
          <w:b/>
          <w:color w:val="auto"/>
          <w:sz w:val="32"/>
          <w:szCs w:val="32"/>
          <w:highlight w:val="none"/>
        </w:rPr>
      </w:pPr>
    </w:p>
    <w:p w14:paraId="3CD2269E">
      <w:pPr>
        <w:spacing w:line="240" w:lineRule="atLeast"/>
        <w:rPr>
          <w:rFonts w:ascii="宋体" w:hAnsi="宋体"/>
          <w:b/>
          <w:color w:val="auto"/>
          <w:sz w:val="32"/>
          <w:szCs w:val="32"/>
          <w:highlight w:val="none"/>
        </w:rPr>
      </w:pPr>
    </w:p>
    <w:p w14:paraId="3F841772">
      <w:pPr>
        <w:spacing w:line="240" w:lineRule="atLeast"/>
        <w:rPr>
          <w:rFonts w:ascii="宋体" w:hAnsi="宋体"/>
          <w:b/>
          <w:color w:val="auto"/>
          <w:sz w:val="32"/>
          <w:szCs w:val="32"/>
          <w:highlight w:val="none"/>
        </w:rPr>
      </w:pPr>
    </w:p>
    <w:p w14:paraId="3E858EB3">
      <w:pPr>
        <w:spacing w:line="240" w:lineRule="atLeast"/>
        <w:rPr>
          <w:rFonts w:ascii="宋体" w:hAnsi="宋体"/>
          <w:b/>
          <w:color w:val="auto"/>
          <w:sz w:val="32"/>
          <w:szCs w:val="32"/>
          <w:highlight w:val="none"/>
        </w:rPr>
      </w:pPr>
    </w:p>
    <w:p w14:paraId="619C6A2E">
      <w:pPr>
        <w:spacing w:line="240" w:lineRule="atLeast"/>
        <w:rPr>
          <w:rFonts w:ascii="宋体" w:hAnsi="宋体"/>
          <w:b/>
          <w:color w:val="auto"/>
          <w:sz w:val="32"/>
          <w:szCs w:val="32"/>
          <w:highlight w:val="none"/>
        </w:rPr>
      </w:pPr>
    </w:p>
    <w:p w14:paraId="0961CFA0">
      <w:pPr>
        <w:spacing w:line="240" w:lineRule="atLeast"/>
        <w:rPr>
          <w:rFonts w:ascii="宋体" w:hAnsi="宋体"/>
          <w:b/>
          <w:color w:val="auto"/>
          <w:sz w:val="32"/>
          <w:szCs w:val="32"/>
          <w:highlight w:val="none"/>
        </w:rPr>
      </w:pPr>
    </w:p>
    <w:p w14:paraId="3D86556E">
      <w:pPr>
        <w:rPr>
          <w:color w:val="auto"/>
          <w:highlight w:val="none"/>
        </w:rPr>
      </w:pPr>
    </w:p>
    <w:p w14:paraId="3CF34968">
      <w:pPr>
        <w:rPr>
          <w:color w:val="auto"/>
          <w:highlight w:val="none"/>
        </w:rPr>
      </w:pPr>
    </w:p>
    <w:p w14:paraId="73B44D04">
      <w:pPr>
        <w:snapToGrid w:val="0"/>
        <w:spacing w:before="156" w:beforeLines="50" w:after="50"/>
        <w:jc w:val="center"/>
        <w:rPr>
          <w:rFonts w:ascii="仿宋_GB2312" w:hAnsi="仿宋_GB2312" w:eastAsia="仿宋_GB2312" w:cs="仿宋_GB2312"/>
          <w:bCs/>
          <w:color w:val="auto"/>
          <w:sz w:val="32"/>
          <w:szCs w:val="32"/>
          <w:highlight w:val="none"/>
        </w:rPr>
      </w:pPr>
    </w:p>
    <w:p w14:paraId="1BED4576">
      <w:pPr>
        <w:rPr>
          <w:b/>
          <w:color w:val="auto"/>
          <w:sz w:val="32"/>
          <w:szCs w:val="32"/>
          <w:highlight w:val="none"/>
        </w:rPr>
      </w:pPr>
      <w:bookmarkStart w:id="69" w:name="_Toc31723070"/>
      <w:bookmarkStart w:id="70" w:name="_Toc44229899"/>
      <w:bookmarkStart w:id="71" w:name="_Toc35611516"/>
      <w:bookmarkStart w:id="72" w:name="_Toc71366186"/>
      <w:bookmarkStart w:id="73" w:name="_Toc35611438"/>
      <w:bookmarkStart w:id="74" w:name="_Toc31728084"/>
      <w:r>
        <w:rPr>
          <w:rFonts w:hint="eastAsia"/>
          <w:b/>
          <w:color w:val="auto"/>
          <w:sz w:val="32"/>
          <w:szCs w:val="32"/>
          <w:highlight w:val="none"/>
        </w:rPr>
        <w:t>一、资格证明文件格式</w:t>
      </w:r>
      <w:bookmarkEnd w:id="69"/>
      <w:bookmarkEnd w:id="70"/>
      <w:bookmarkEnd w:id="71"/>
      <w:bookmarkEnd w:id="72"/>
      <w:bookmarkEnd w:id="73"/>
      <w:bookmarkEnd w:id="74"/>
    </w:p>
    <w:p w14:paraId="5958E8B2">
      <w:pPr>
        <w:snapToGrid w:val="0"/>
        <w:spacing w:before="156" w:beforeLines="50" w:after="50" w:line="360" w:lineRule="auto"/>
        <w:jc w:val="left"/>
        <w:rPr>
          <w:rFonts w:ascii="宋体" w:hAnsi="宋体"/>
          <w:b/>
          <w:color w:val="auto"/>
          <w:sz w:val="24"/>
          <w:highlight w:val="none"/>
        </w:rPr>
      </w:pPr>
      <w:r>
        <w:rPr>
          <w:rFonts w:hint="eastAsia" w:ascii="宋体" w:hAnsi="宋体"/>
          <w:b/>
          <w:color w:val="auto"/>
          <w:sz w:val="32"/>
          <w:szCs w:val="32"/>
          <w:highlight w:val="none"/>
        </w:rPr>
        <w:t>1.资格证明文件封面格式：</w:t>
      </w:r>
    </w:p>
    <w:p w14:paraId="7DB088F9">
      <w:pPr>
        <w:snapToGrid w:val="0"/>
        <w:spacing w:before="156" w:beforeLines="50" w:after="50"/>
        <w:jc w:val="center"/>
        <w:rPr>
          <w:rFonts w:ascii="宋体" w:hAnsi="宋体"/>
          <w:color w:val="auto"/>
          <w:sz w:val="44"/>
          <w:szCs w:val="44"/>
          <w:highlight w:val="none"/>
        </w:rPr>
      </w:pPr>
    </w:p>
    <w:p w14:paraId="32AA77FC">
      <w:pPr>
        <w:snapToGrid w:val="0"/>
        <w:spacing w:before="156" w:beforeLines="50" w:after="50"/>
        <w:jc w:val="center"/>
        <w:rPr>
          <w:rFonts w:ascii="宋体" w:hAnsi="宋体"/>
          <w:color w:val="auto"/>
          <w:sz w:val="44"/>
          <w:szCs w:val="44"/>
          <w:highlight w:val="none"/>
        </w:rPr>
      </w:pPr>
      <w:r>
        <w:rPr>
          <w:rFonts w:hint="eastAsia" w:ascii="宋体" w:hAnsi="宋体"/>
          <w:color w:val="auto"/>
          <w:sz w:val="44"/>
          <w:szCs w:val="44"/>
          <w:highlight w:val="none"/>
        </w:rPr>
        <w:t>电子响应文件</w:t>
      </w:r>
    </w:p>
    <w:p w14:paraId="4CBD6F6B">
      <w:pPr>
        <w:snapToGrid w:val="0"/>
        <w:spacing w:before="156" w:beforeLines="50" w:after="50"/>
        <w:rPr>
          <w:rFonts w:ascii="宋体" w:hAnsi="宋体"/>
          <w:color w:val="auto"/>
          <w:sz w:val="24"/>
          <w:szCs w:val="20"/>
          <w:highlight w:val="none"/>
        </w:rPr>
      </w:pPr>
    </w:p>
    <w:p w14:paraId="622B2FF7">
      <w:pPr>
        <w:snapToGrid w:val="0"/>
        <w:spacing w:before="156"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资格证明文件</w:t>
      </w:r>
    </w:p>
    <w:p w14:paraId="648311A7">
      <w:pPr>
        <w:snapToGrid w:val="0"/>
        <w:spacing w:before="156" w:beforeLines="50" w:after="50"/>
        <w:rPr>
          <w:rFonts w:ascii="宋体" w:hAnsi="宋体"/>
          <w:bCs/>
          <w:color w:val="auto"/>
          <w:sz w:val="24"/>
          <w:szCs w:val="20"/>
          <w:highlight w:val="none"/>
        </w:rPr>
      </w:pPr>
    </w:p>
    <w:p w14:paraId="0337F2AF">
      <w:pPr>
        <w:snapToGrid w:val="0"/>
        <w:spacing w:before="156" w:beforeLines="50" w:after="50"/>
        <w:rPr>
          <w:rFonts w:ascii="宋体" w:hAnsi="宋体"/>
          <w:bCs/>
          <w:color w:val="auto"/>
          <w:sz w:val="24"/>
          <w:szCs w:val="20"/>
          <w:highlight w:val="none"/>
        </w:rPr>
      </w:pPr>
    </w:p>
    <w:p w14:paraId="050C6EAC">
      <w:pPr>
        <w:snapToGrid w:val="0"/>
        <w:spacing w:before="156" w:beforeLines="50" w:after="50"/>
        <w:rPr>
          <w:rFonts w:ascii="宋体" w:hAnsi="宋体"/>
          <w:bCs/>
          <w:color w:val="auto"/>
          <w:sz w:val="24"/>
          <w:szCs w:val="20"/>
          <w:highlight w:val="none"/>
        </w:rPr>
      </w:pPr>
    </w:p>
    <w:p w14:paraId="4D9FF6DA">
      <w:pPr>
        <w:snapToGrid w:val="0"/>
        <w:spacing w:before="156" w:beforeLines="50" w:after="50"/>
        <w:rPr>
          <w:rFonts w:ascii="宋体" w:hAnsi="宋体"/>
          <w:bCs/>
          <w:color w:val="auto"/>
          <w:sz w:val="24"/>
          <w:szCs w:val="20"/>
          <w:highlight w:val="none"/>
        </w:rPr>
      </w:pPr>
    </w:p>
    <w:p w14:paraId="30AF6EFB">
      <w:pPr>
        <w:snapToGrid w:val="0"/>
        <w:spacing w:before="156" w:beforeLines="50" w:after="50"/>
        <w:rPr>
          <w:rFonts w:ascii="宋体" w:hAnsi="宋体"/>
          <w:bCs/>
          <w:color w:val="auto"/>
          <w:sz w:val="24"/>
          <w:szCs w:val="20"/>
          <w:highlight w:val="none"/>
        </w:rPr>
      </w:pPr>
    </w:p>
    <w:p w14:paraId="23A4D95B">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778290AC">
      <w:pPr>
        <w:snapToGrid w:val="0"/>
        <w:spacing w:before="156" w:beforeLines="50" w:after="50"/>
        <w:ind w:firstLine="720" w:firstLineChars="225"/>
        <w:rPr>
          <w:rFonts w:ascii="宋体" w:hAnsi="宋体" w:cs="仿宋_GB2312"/>
          <w:bCs/>
          <w:color w:val="auto"/>
          <w:sz w:val="32"/>
          <w:szCs w:val="32"/>
          <w:highlight w:val="none"/>
        </w:rPr>
      </w:pPr>
    </w:p>
    <w:p w14:paraId="337353B7">
      <w:pPr>
        <w:snapToGrid w:val="0"/>
        <w:spacing w:before="156"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29155D23">
      <w:pPr>
        <w:snapToGrid w:val="0"/>
        <w:spacing w:before="156" w:beforeLines="50" w:after="50"/>
        <w:ind w:firstLine="720" w:firstLineChars="225"/>
        <w:rPr>
          <w:rFonts w:ascii="宋体" w:hAnsi="宋体" w:cs="仿宋_GB2312"/>
          <w:bCs/>
          <w:color w:val="auto"/>
          <w:sz w:val="32"/>
          <w:szCs w:val="32"/>
          <w:highlight w:val="none"/>
        </w:rPr>
      </w:pPr>
    </w:p>
    <w:p w14:paraId="2869ED92">
      <w:pPr>
        <w:snapToGrid w:val="0"/>
        <w:spacing w:before="156"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56143BE4">
      <w:pPr>
        <w:snapToGrid w:val="0"/>
        <w:spacing w:before="156" w:beforeLines="50" w:after="50"/>
        <w:ind w:firstLine="720" w:firstLineChars="225"/>
        <w:rPr>
          <w:rFonts w:ascii="宋体" w:hAnsi="宋体" w:cs="仿宋_GB2312"/>
          <w:bCs/>
          <w:color w:val="auto"/>
          <w:sz w:val="32"/>
          <w:szCs w:val="32"/>
          <w:highlight w:val="none"/>
        </w:rPr>
      </w:pPr>
    </w:p>
    <w:p w14:paraId="5B7E6563">
      <w:pPr>
        <w:pStyle w:val="8"/>
        <w:snapToGrid w:val="0"/>
        <w:spacing w:before="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45956277">
      <w:pPr>
        <w:snapToGrid w:val="0"/>
        <w:spacing w:before="156" w:beforeLines="50" w:after="50"/>
        <w:ind w:firstLine="640" w:firstLineChars="200"/>
        <w:rPr>
          <w:rFonts w:ascii="宋体" w:hAnsi="宋体" w:cs="仿宋_GB2312"/>
          <w:bCs/>
          <w:color w:val="auto"/>
          <w:sz w:val="32"/>
          <w:szCs w:val="32"/>
          <w:highlight w:val="none"/>
        </w:rPr>
      </w:pPr>
    </w:p>
    <w:p w14:paraId="726440D0">
      <w:pPr>
        <w:pStyle w:val="8"/>
        <w:snapToGrid w:val="0"/>
        <w:spacing w:before="50" w:after="50"/>
        <w:ind w:firstLine="720" w:firstLineChars="225"/>
        <w:rPr>
          <w:rFonts w:ascii="宋体" w:hAnsi="宋体" w:cs="仿宋_GB2312"/>
          <w:bCs/>
          <w:color w:val="auto"/>
          <w:sz w:val="32"/>
          <w:szCs w:val="32"/>
          <w:highlight w:val="none"/>
        </w:rPr>
      </w:pPr>
    </w:p>
    <w:p w14:paraId="468A00AA">
      <w:pPr>
        <w:pStyle w:val="8"/>
        <w:snapToGrid w:val="0"/>
        <w:spacing w:before="50" w:after="50"/>
        <w:ind w:firstLine="720" w:firstLineChars="225"/>
        <w:rPr>
          <w:rFonts w:ascii="宋体" w:hAnsi="宋体" w:cs="仿宋_GB2312"/>
          <w:bCs/>
          <w:color w:val="auto"/>
          <w:sz w:val="32"/>
          <w:szCs w:val="32"/>
          <w:highlight w:val="none"/>
        </w:rPr>
      </w:pPr>
    </w:p>
    <w:p w14:paraId="14C79850">
      <w:pPr>
        <w:pStyle w:val="8"/>
        <w:snapToGrid w:val="0"/>
        <w:spacing w:before="50" w:after="50"/>
        <w:ind w:firstLine="1280" w:firstLineChars="400"/>
        <w:rPr>
          <w:rFonts w:ascii="宋体" w:hAnsi="宋体" w:cs="仿宋_GB2312"/>
          <w:bCs/>
          <w:color w:val="auto"/>
          <w:sz w:val="32"/>
          <w:szCs w:val="32"/>
          <w:highlight w:val="none"/>
        </w:rPr>
      </w:pPr>
    </w:p>
    <w:p w14:paraId="133F3590">
      <w:pPr>
        <w:snapToGrid w:val="0"/>
        <w:spacing w:before="156"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年月日</w:t>
      </w:r>
    </w:p>
    <w:p w14:paraId="1373F755">
      <w:pPr>
        <w:snapToGrid w:val="0"/>
        <w:spacing w:before="156" w:beforeLines="50" w:after="50" w:line="360" w:lineRule="auto"/>
        <w:ind w:left="142"/>
        <w:jc w:val="left"/>
        <w:rPr>
          <w:rFonts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2.资格证明文件目录</w:t>
      </w:r>
    </w:p>
    <w:p w14:paraId="2A958BAC">
      <w:pPr>
        <w:snapToGrid w:val="0"/>
        <w:spacing w:before="156" w:beforeLines="50" w:after="50" w:line="360" w:lineRule="auto"/>
        <w:ind w:firstLine="645"/>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26CDB6E2">
      <w:pPr>
        <w:snapToGrid w:val="0"/>
        <w:spacing w:before="156" w:beforeLines="50" w:after="50"/>
        <w:rPr>
          <w:rFonts w:ascii="宋体" w:hAnsi="宋体"/>
          <w:color w:val="auto"/>
          <w:sz w:val="24"/>
          <w:szCs w:val="20"/>
          <w:highlight w:val="none"/>
        </w:rPr>
      </w:pPr>
    </w:p>
    <w:p w14:paraId="248D8000">
      <w:pPr>
        <w:spacing w:line="300" w:lineRule="auto"/>
        <w:rPr>
          <w:rFonts w:ascii="宋体" w:hAnsi="宋体"/>
          <w:color w:val="auto"/>
          <w:szCs w:val="21"/>
          <w:highlight w:val="none"/>
        </w:rPr>
      </w:pPr>
    </w:p>
    <w:p w14:paraId="73C785A4">
      <w:pPr>
        <w:spacing w:line="300" w:lineRule="auto"/>
        <w:rPr>
          <w:rFonts w:ascii="宋体" w:hAnsi="宋体"/>
          <w:color w:val="auto"/>
          <w:szCs w:val="21"/>
          <w:highlight w:val="none"/>
        </w:rPr>
      </w:pPr>
    </w:p>
    <w:p w14:paraId="5C0C614B">
      <w:pPr>
        <w:spacing w:line="300" w:lineRule="auto"/>
        <w:rPr>
          <w:rFonts w:ascii="宋体" w:hAnsi="宋体"/>
          <w:color w:val="auto"/>
          <w:szCs w:val="21"/>
          <w:highlight w:val="none"/>
        </w:rPr>
      </w:pPr>
    </w:p>
    <w:p w14:paraId="3CF4EF83">
      <w:pPr>
        <w:spacing w:line="300" w:lineRule="auto"/>
        <w:rPr>
          <w:rFonts w:ascii="宋体" w:hAnsi="宋体"/>
          <w:color w:val="auto"/>
          <w:szCs w:val="21"/>
          <w:highlight w:val="none"/>
        </w:rPr>
      </w:pPr>
    </w:p>
    <w:p w14:paraId="26ABD986">
      <w:pPr>
        <w:spacing w:line="300" w:lineRule="auto"/>
        <w:rPr>
          <w:rFonts w:ascii="宋体" w:hAnsi="宋体"/>
          <w:color w:val="auto"/>
          <w:szCs w:val="21"/>
          <w:highlight w:val="none"/>
        </w:rPr>
      </w:pPr>
    </w:p>
    <w:p w14:paraId="65AEC860">
      <w:pPr>
        <w:spacing w:line="300" w:lineRule="auto"/>
        <w:rPr>
          <w:rFonts w:ascii="宋体" w:hAnsi="宋体"/>
          <w:color w:val="auto"/>
          <w:szCs w:val="21"/>
          <w:highlight w:val="none"/>
        </w:rPr>
      </w:pPr>
    </w:p>
    <w:p w14:paraId="15A63DEA">
      <w:pPr>
        <w:spacing w:line="300" w:lineRule="auto"/>
        <w:rPr>
          <w:rFonts w:ascii="宋体" w:hAnsi="宋体"/>
          <w:color w:val="auto"/>
          <w:szCs w:val="21"/>
          <w:highlight w:val="none"/>
        </w:rPr>
      </w:pPr>
    </w:p>
    <w:p w14:paraId="0056EA67">
      <w:pPr>
        <w:spacing w:line="300" w:lineRule="auto"/>
        <w:rPr>
          <w:rFonts w:ascii="宋体" w:hAnsi="宋体"/>
          <w:color w:val="auto"/>
          <w:szCs w:val="21"/>
          <w:highlight w:val="none"/>
        </w:rPr>
      </w:pPr>
    </w:p>
    <w:p w14:paraId="701FB54E">
      <w:pPr>
        <w:spacing w:line="300" w:lineRule="auto"/>
        <w:rPr>
          <w:rFonts w:ascii="宋体" w:hAnsi="宋体"/>
          <w:color w:val="auto"/>
          <w:szCs w:val="21"/>
          <w:highlight w:val="none"/>
        </w:rPr>
      </w:pPr>
    </w:p>
    <w:p w14:paraId="5DC883DD">
      <w:pPr>
        <w:spacing w:line="300" w:lineRule="auto"/>
        <w:rPr>
          <w:rFonts w:ascii="宋体" w:hAnsi="宋体"/>
          <w:color w:val="auto"/>
          <w:szCs w:val="21"/>
          <w:highlight w:val="none"/>
        </w:rPr>
      </w:pPr>
    </w:p>
    <w:p w14:paraId="4EAE017D">
      <w:pPr>
        <w:spacing w:line="300" w:lineRule="auto"/>
        <w:rPr>
          <w:rFonts w:ascii="宋体" w:hAnsi="宋体"/>
          <w:color w:val="auto"/>
          <w:szCs w:val="21"/>
          <w:highlight w:val="none"/>
        </w:rPr>
      </w:pPr>
    </w:p>
    <w:p w14:paraId="12686C3A">
      <w:pPr>
        <w:spacing w:line="300" w:lineRule="auto"/>
        <w:rPr>
          <w:rFonts w:ascii="宋体" w:hAnsi="宋体"/>
          <w:color w:val="auto"/>
          <w:szCs w:val="21"/>
          <w:highlight w:val="none"/>
        </w:rPr>
      </w:pPr>
    </w:p>
    <w:p w14:paraId="604070B0">
      <w:pPr>
        <w:spacing w:line="300" w:lineRule="auto"/>
        <w:rPr>
          <w:rFonts w:ascii="宋体" w:hAnsi="宋体"/>
          <w:color w:val="auto"/>
          <w:szCs w:val="21"/>
          <w:highlight w:val="none"/>
        </w:rPr>
      </w:pPr>
    </w:p>
    <w:p w14:paraId="60291893">
      <w:pPr>
        <w:spacing w:line="300" w:lineRule="auto"/>
        <w:rPr>
          <w:rFonts w:ascii="宋体" w:hAnsi="宋体"/>
          <w:color w:val="auto"/>
          <w:szCs w:val="21"/>
          <w:highlight w:val="none"/>
        </w:rPr>
      </w:pPr>
    </w:p>
    <w:p w14:paraId="06B28F53">
      <w:pPr>
        <w:spacing w:line="300" w:lineRule="auto"/>
        <w:rPr>
          <w:rFonts w:ascii="宋体" w:hAnsi="宋体"/>
          <w:color w:val="auto"/>
          <w:szCs w:val="21"/>
          <w:highlight w:val="none"/>
        </w:rPr>
      </w:pPr>
    </w:p>
    <w:p w14:paraId="107B28ED">
      <w:pPr>
        <w:spacing w:line="320" w:lineRule="exact"/>
        <w:jc w:val="left"/>
        <w:rPr>
          <w:rFonts w:ascii="宋体" w:hAnsi="宋体"/>
          <w:color w:val="auto"/>
          <w:szCs w:val="21"/>
          <w:highlight w:val="none"/>
        </w:rPr>
      </w:pPr>
      <w:r>
        <w:rPr>
          <w:rFonts w:ascii="宋体" w:hAnsi="宋体"/>
          <w:color w:val="auto"/>
          <w:szCs w:val="21"/>
          <w:highlight w:val="none"/>
        </w:rPr>
        <w:br w:type="page"/>
      </w:r>
    </w:p>
    <w:p w14:paraId="64434A03">
      <w:pPr>
        <w:wordWrap w:val="0"/>
        <w:spacing w:before="156" w:beforeLines="50" w:after="50" w:line="320" w:lineRule="exact"/>
        <w:ind w:right="482" w:firstLine="210" w:firstLineChars="100"/>
        <w:contextualSpacing/>
        <w:jc w:val="center"/>
        <w:rPr>
          <w:rFonts w:ascii="宋体" w:hAnsi="宋体"/>
          <w:color w:val="auto"/>
          <w:szCs w:val="21"/>
          <w:highlight w:val="none"/>
        </w:rPr>
      </w:pPr>
    </w:p>
    <w:p w14:paraId="17908A03">
      <w:pPr>
        <w:spacing w:line="320" w:lineRule="exact"/>
        <w:jc w:val="center"/>
        <w:rPr>
          <w:rFonts w:ascii="宋体" w:hAnsi="宋体"/>
          <w:b/>
          <w:color w:val="auto"/>
          <w:sz w:val="32"/>
          <w:szCs w:val="32"/>
          <w:highlight w:val="none"/>
        </w:rPr>
      </w:pPr>
      <w:r>
        <w:rPr>
          <w:rFonts w:hint="eastAsia" w:ascii="宋体" w:hAnsi="宋体"/>
          <w:b/>
          <w:color w:val="auto"/>
          <w:sz w:val="32"/>
          <w:szCs w:val="32"/>
          <w:highlight w:val="none"/>
        </w:rPr>
        <w:t>供应商直接控股、管理关系信息表</w:t>
      </w:r>
    </w:p>
    <w:p w14:paraId="061EFB4A">
      <w:pPr>
        <w:snapToGrid w:val="0"/>
        <w:spacing w:before="156" w:beforeLines="50" w:after="50" w:line="360" w:lineRule="auto"/>
        <w:jc w:val="center"/>
        <w:rPr>
          <w:rFonts w:ascii="宋体" w:hAnsi="宋体"/>
          <w:b/>
          <w:color w:val="auto"/>
          <w:sz w:val="24"/>
          <w:highlight w:val="none"/>
        </w:rPr>
      </w:pPr>
    </w:p>
    <w:p w14:paraId="3B37EF16">
      <w:pPr>
        <w:spacing w:line="360" w:lineRule="auto"/>
        <w:contextualSpacing/>
        <w:jc w:val="center"/>
        <w:rPr>
          <w:rFonts w:ascii="宋体" w:hAnsi="宋体"/>
          <w:b/>
          <w:color w:val="auto"/>
          <w:sz w:val="32"/>
          <w:szCs w:val="32"/>
          <w:highlight w:val="none"/>
        </w:rPr>
      </w:pPr>
      <w:r>
        <w:rPr>
          <w:rFonts w:hint="eastAsia" w:ascii="宋体" w:hAnsi="宋体"/>
          <w:b/>
          <w:color w:val="auto"/>
          <w:sz w:val="32"/>
          <w:szCs w:val="32"/>
          <w:highlight w:val="none"/>
        </w:rPr>
        <w:t>供应商直接控股股东信息表</w:t>
      </w:r>
    </w:p>
    <w:p w14:paraId="4082785E">
      <w:pPr>
        <w:spacing w:line="360" w:lineRule="auto"/>
        <w:contextualSpacing/>
        <w:jc w:val="center"/>
        <w:rPr>
          <w:rFonts w:ascii="宋体" w:hAnsi="宋体"/>
          <w:b/>
          <w:color w:val="auto"/>
          <w:sz w:val="24"/>
          <w:highlight w:val="none"/>
        </w:rPr>
      </w:pPr>
    </w:p>
    <w:tbl>
      <w:tblPr>
        <w:tblStyle w:val="35"/>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40D7E680">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A1CB1A0">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19039BA">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57AC8C9">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547F801">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FF558E0">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A0CBC4B">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A1A8C4E">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9456E88">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64CDBD2">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195C8C4">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B7A2585">
            <w:pPr>
              <w:widowControl/>
              <w:spacing w:line="360" w:lineRule="auto"/>
              <w:contextualSpacing/>
              <w:jc w:val="center"/>
              <w:rPr>
                <w:rFonts w:ascii="宋体" w:hAnsi="宋体" w:cs="宋体"/>
                <w:color w:val="auto"/>
                <w:kern w:val="0"/>
                <w:sz w:val="24"/>
                <w:highlight w:val="none"/>
              </w:rPr>
            </w:pPr>
          </w:p>
        </w:tc>
      </w:tr>
      <w:tr w14:paraId="6D3F4A5E">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9FEAE44">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F1507C2">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12901D6">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D84044C">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C965822">
            <w:pPr>
              <w:widowControl/>
              <w:spacing w:line="360" w:lineRule="auto"/>
              <w:contextualSpacing/>
              <w:jc w:val="center"/>
              <w:rPr>
                <w:rFonts w:ascii="宋体" w:hAnsi="宋体" w:cs="宋体"/>
                <w:color w:val="auto"/>
                <w:kern w:val="0"/>
                <w:sz w:val="24"/>
                <w:highlight w:val="none"/>
              </w:rPr>
            </w:pPr>
          </w:p>
        </w:tc>
      </w:tr>
      <w:tr w14:paraId="7E0B67CF">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EFBF61D">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85352D8">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601A0E0">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AD479A9">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47DFD73">
            <w:pPr>
              <w:widowControl/>
              <w:spacing w:line="360" w:lineRule="auto"/>
              <w:contextualSpacing/>
              <w:jc w:val="center"/>
              <w:rPr>
                <w:rFonts w:ascii="宋体" w:hAnsi="宋体" w:cs="宋体"/>
                <w:color w:val="auto"/>
                <w:kern w:val="0"/>
                <w:sz w:val="24"/>
                <w:highlight w:val="none"/>
              </w:rPr>
            </w:pPr>
          </w:p>
        </w:tc>
      </w:tr>
      <w:tr w14:paraId="724FAF4E">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AB86A92">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24A79FD">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D148139">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3241876">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3E8E79C">
            <w:pPr>
              <w:widowControl/>
              <w:spacing w:line="360" w:lineRule="auto"/>
              <w:contextualSpacing/>
              <w:jc w:val="center"/>
              <w:rPr>
                <w:rFonts w:ascii="宋体" w:hAnsi="宋体" w:cs="宋体"/>
                <w:color w:val="auto"/>
                <w:kern w:val="0"/>
                <w:sz w:val="24"/>
                <w:highlight w:val="none"/>
              </w:rPr>
            </w:pPr>
          </w:p>
        </w:tc>
      </w:tr>
    </w:tbl>
    <w:p w14:paraId="73DF234A">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注：</w:t>
      </w:r>
    </w:p>
    <w:p w14:paraId="6F985DC3">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7C619D5">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52E1A526">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w:t>
      </w:r>
      <w:r>
        <w:rPr>
          <w:rFonts w:hint="eastAsia" w:ascii="宋体" w:hAnsi="宋体"/>
          <w:color w:val="auto"/>
          <w:sz w:val="24"/>
          <w:highlight w:val="none"/>
        </w:rPr>
        <w:t>则在“直接控股股东名称”填“无”</w:t>
      </w:r>
      <w:r>
        <w:rPr>
          <w:rFonts w:hint="eastAsia" w:ascii="宋体" w:hAnsi="宋体" w:cs="宋体"/>
          <w:color w:val="auto"/>
          <w:sz w:val="24"/>
          <w:highlight w:val="none"/>
        </w:rPr>
        <w:t>。</w:t>
      </w:r>
    </w:p>
    <w:p w14:paraId="6B448CA5">
      <w:pPr>
        <w:spacing w:line="360" w:lineRule="auto"/>
        <w:ind w:firstLine="420" w:firstLineChars="200"/>
        <w:contextualSpacing/>
        <w:jc w:val="left"/>
        <w:rPr>
          <w:rFonts w:ascii="宋体" w:hAnsi="宋体" w:cs="宋体"/>
          <w:color w:val="auto"/>
          <w:szCs w:val="21"/>
          <w:highlight w:val="none"/>
        </w:rPr>
      </w:pPr>
    </w:p>
    <w:p w14:paraId="462CDB84">
      <w:pPr>
        <w:spacing w:line="360" w:lineRule="auto"/>
        <w:ind w:firstLine="560" w:firstLineChars="200"/>
        <w:contextualSpacing/>
        <w:jc w:val="left"/>
        <w:rPr>
          <w:rFonts w:ascii="宋体" w:hAnsi="宋体" w:cs="宋体"/>
          <w:color w:val="auto"/>
          <w:sz w:val="28"/>
          <w:szCs w:val="28"/>
          <w:highlight w:val="none"/>
        </w:rPr>
      </w:pPr>
    </w:p>
    <w:p w14:paraId="180AC186">
      <w:pPr>
        <w:spacing w:line="360" w:lineRule="auto"/>
        <w:ind w:right="480"/>
        <w:contextualSpacing/>
        <w:jc w:val="center"/>
        <w:rPr>
          <w:rFonts w:ascii="宋体" w:hAnsi="宋体"/>
          <w:color w:val="auto"/>
          <w:sz w:val="24"/>
          <w:highlight w:val="none"/>
          <w:u w:val="single"/>
        </w:rPr>
      </w:pPr>
      <w:r>
        <w:rPr>
          <w:rFonts w:hint="eastAsia" w:ascii="宋体" w:hAnsi="宋体"/>
          <w:color w:val="auto"/>
          <w:sz w:val="24"/>
          <w:highlight w:val="none"/>
        </w:rPr>
        <w:t>法定代表人或者委托代理人（签字或者电子签名）：</w:t>
      </w:r>
    </w:p>
    <w:p w14:paraId="2ED9A0B9">
      <w:pPr>
        <w:spacing w:line="360" w:lineRule="auto"/>
        <w:ind w:right="480" w:firstLine="3360" w:firstLineChars="1400"/>
        <w:contextualSpacing/>
        <w:rPr>
          <w:rFonts w:ascii="宋体" w:hAnsi="宋体"/>
          <w:color w:val="auto"/>
          <w:sz w:val="24"/>
          <w:highlight w:val="none"/>
        </w:rPr>
      </w:pPr>
      <w:r>
        <w:rPr>
          <w:rFonts w:hint="eastAsia" w:ascii="宋体" w:hAnsi="宋体"/>
          <w:color w:val="auto"/>
          <w:sz w:val="24"/>
          <w:highlight w:val="none"/>
        </w:rPr>
        <w:t>供应商（电子签章）：</w:t>
      </w:r>
    </w:p>
    <w:p w14:paraId="2C860EED">
      <w:pPr>
        <w:spacing w:line="360" w:lineRule="auto"/>
        <w:ind w:firstLine="4320" w:firstLineChars="1800"/>
        <w:contextualSpacing/>
        <w:jc w:val="left"/>
        <w:rPr>
          <w:rFonts w:ascii="宋体" w:hAnsi="宋体"/>
          <w:color w:val="auto"/>
          <w:sz w:val="28"/>
          <w:szCs w:val="28"/>
          <w:highlight w:val="none"/>
        </w:rPr>
      </w:pPr>
      <w:r>
        <w:rPr>
          <w:rFonts w:hint="eastAsia" w:ascii="宋体" w:hAnsi="宋体"/>
          <w:color w:val="auto"/>
          <w:sz w:val="24"/>
          <w:highlight w:val="none"/>
        </w:rPr>
        <w:t>年月日</w:t>
      </w:r>
    </w:p>
    <w:p w14:paraId="4C5FDC6F">
      <w:pPr>
        <w:snapToGrid w:val="0"/>
        <w:jc w:val="center"/>
        <w:rPr>
          <w:rFonts w:ascii="宋体" w:hAnsi="宋体"/>
          <w:b/>
          <w:color w:val="auto"/>
          <w:sz w:val="28"/>
          <w:szCs w:val="28"/>
          <w:highlight w:val="none"/>
        </w:rPr>
      </w:pPr>
      <w:r>
        <w:rPr>
          <w:rFonts w:ascii="宋体" w:hAnsi="宋体"/>
          <w:b/>
          <w:color w:val="auto"/>
          <w:sz w:val="28"/>
          <w:szCs w:val="28"/>
          <w:highlight w:val="none"/>
        </w:rPr>
        <w:br w:type="page"/>
      </w:r>
    </w:p>
    <w:p w14:paraId="55ACA92C">
      <w:pPr>
        <w:spacing w:line="320" w:lineRule="exact"/>
        <w:jc w:val="center"/>
        <w:rPr>
          <w:rFonts w:ascii="宋体" w:hAnsi="宋体"/>
          <w:b/>
          <w:color w:val="auto"/>
          <w:sz w:val="32"/>
          <w:szCs w:val="32"/>
          <w:highlight w:val="none"/>
        </w:rPr>
      </w:pPr>
      <w:r>
        <w:rPr>
          <w:rFonts w:hint="eastAsia" w:ascii="宋体" w:hAnsi="宋体"/>
          <w:b/>
          <w:color w:val="auto"/>
          <w:sz w:val="32"/>
          <w:szCs w:val="32"/>
          <w:highlight w:val="none"/>
        </w:rPr>
        <w:t>供应商直接管理关系信息表</w:t>
      </w:r>
    </w:p>
    <w:p w14:paraId="592E1214">
      <w:pPr>
        <w:snapToGrid w:val="0"/>
        <w:spacing w:line="360" w:lineRule="auto"/>
        <w:jc w:val="center"/>
        <w:rPr>
          <w:rFonts w:ascii="宋体" w:hAnsi="宋体"/>
          <w:b/>
          <w:color w:val="auto"/>
          <w:sz w:val="24"/>
          <w:highlight w:val="none"/>
        </w:rPr>
      </w:pPr>
    </w:p>
    <w:tbl>
      <w:tblPr>
        <w:tblStyle w:val="35"/>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7FF7ECF9">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A3FEEA7">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3EDA8D0">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545928F">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8CAC89C">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1CB92055">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3FBAA57">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1AF3BC6">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F162C62">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0F2B987">
            <w:pPr>
              <w:widowControl/>
              <w:spacing w:line="360" w:lineRule="auto"/>
              <w:contextualSpacing/>
              <w:jc w:val="center"/>
              <w:rPr>
                <w:rFonts w:ascii="宋体" w:hAnsi="宋体" w:cs="宋体"/>
                <w:color w:val="auto"/>
                <w:kern w:val="0"/>
                <w:sz w:val="24"/>
                <w:highlight w:val="none"/>
              </w:rPr>
            </w:pPr>
          </w:p>
        </w:tc>
      </w:tr>
      <w:tr w14:paraId="0585FC58">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A2F13E">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483CD7B">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57BD5B6">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EECA936">
            <w:pPr>
              <w:widowControl/>
              <w:spacing w:line="360" w:lineRule="auto"/>
              <w:contextualSpacing/>
              <w:jc w:val="center"/>
              <w:rPr>
                <w:rFonts w:ascii="宋体" w:hAnsi="宋体" w:cs="宋体"/>
                <w:color w:val="auto"/>
                <w:kern w:val="0"/>
                <w:sz w:val="24"/>
                <w:highlight w:val="none"/>
              </w:rPr>
            </w:pPr>
          </w:p>
        </w:tc>
      </w:tr>
      <w:tr w14:paraId="3D45DBAD">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6401175">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330ADA9">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A6FC6DD">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44DC38B">
            <w:pPr>
              <w:widowControl/>
              <w:spacing w:line="360" w:lineRule="auto"/>
              <w:contextualSpacing/>
              <w:jc w:val="center"/>
              <w:rPr>
                <w:rFonts w:ascii="宋体" w:hAnsi="宋体" w:cs="宋体"/>
                <w:color w:val="auto"/>
                <w:kern w:val="0"/>
                <w:sz w:val="24"/>
                <w:highlight w:val="none"/>
              </w:rPr>
            </w:pPr>
          </w:p>
        </w:tc>
      </w:tr>
      <w:tr w14:paraId="04BBC01A">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7A39D1C">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D3F716C">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3422699">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CDF4454">
            <w:pPr>
              <w:widowControl/>
              <w:spacing w:line="360" w:lineRule="auto"/>
              <w:contextualSpacing/>
              <w:jc w:val="center"/>
              <w:rPr>
                <w:rFonts w:ascii="宋体" w:hAnsi="宋体" w:cs="宋体"/>
                <w:color w:val="auto"/>
                <w:kern w:val="0"/>
                <w:sz w:val="24"/>
                <w:highlight w:val="none"/>
              </w:rPr>
            </w:pPr>
          </w:p>
        </w:tc>
      </w:tr>
    </w:tbl>
    <w:p w14:paraId="0B8E8EAB">
      <w:pPr>
        <w:spacing w:line="360" w:lineRule="auto"/>
        <w:contextualSpacing/>
        <w:jc w:val="left"/>
        <w:rPr>
          <w:rFonts w:ascii="宋体" w:hAnsi="宋体"/>
          <w:color w:val="auto"/>
          <w:sz w:val="24"/>
          <w:highlight w:val="none"/>
        </w:rPr>
      </w:pPr>
      <w:r>
        <w:rPr>
          <w:rFonts w:hint="eastAsia" w:ascii="宋体" w:hAnsi="宋体"/>
          <w:color w:val="auto"/>
          <w:sz w:val="24"/>
          <w:highlight w:val="none"/>
        </w:rPr>
        <w:t>注：</w:t>
      </w:r>
    </w:p>
    <w:p w14:paraId="1162E081">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329B124D">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68F3FF55">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3.供应商不存在直接管理关系的，则在“直接管理关系单位名称”填“无”。</w:t>
      </w:r>
    </w:p>
    <w:p w14:paraId="2AEE8D41">
      <w:pPr>
        <w:spacing w:line="360" w:lineRule="auto"/>
        <w:contextualSpacing/>
        <w:jc w:val="left"/>
        <w:rPr>
          <w:rFonts w:ascii="宋体" w:hAnsi="宋体"/>
          <w:color w:val="auto"/>
          <w:sz w:val="28"/>
          <w:szCs w:val="28"/>
          <w:highlight w:val="none"/>
        </w:rPr>
      </w:pPr>
    </w:p>
    <w:p w14:paraId="7F738505">
      <w:pPr>
        <w:spacing w:line="360" w:lineRule="auto"/>
        <w:contextualSpacing/>
        <w:jc w:val="left"/>
        <w:rPr>
          <w:rFonts w:ascii="宋体" w:hAnsi="宋体"/>
          <w:color w:val="auto"/>
          <w:sz w:val="28"/>
          <w:szCs w:val="28"/>
          <w:highlight w:val="none"/>
        </w:rPr>
      </w:pPr>
    </w:p>
    <w:p w14:paraId="716751CF">
      <w:pPr>
        <w:spacing w:line="360" w:lineRule="auto"/>
        <w:contextualSpacing/>
        <w:jc w:val="left"/>
        <w:rPr>
          <w:color w:val="auto"/>
          <w:sz w:val="28"/>
          <w:szCs w:val="28"/>
          <w:highlight w:val="none"/>
        </w:rPr>
      </w:pPr>
    </w:p>
    <w:p w14:paraId="238249B8">
      <w:pPr>
        <w:spacing w:line="360" w:lineRule="auto"/>
        <w:contextualSpacing/>
        <w:jc w:val="left"/>
        <w:rPr>
          <w:color w:val="auto"/>
          <w:sz w:val="28"/>
          <w:szCs w:val="28"/>
          <w:highlight w:val="none"/>
        </w:rPr>
      </w:pPr>
    </w:p>
    <w:p w14:paraId="6DB2CBB3">
      <w:pPr>
        <w:spacing w:line="360" w:lineRule="auto"/>
        <w:contextualSpacing/>
        <w:jc w:val="left"/>
        <w:rPr>
          <w:color w:val="auto"/>
          <w:sz w:val="28"/>
          <w:szCs w:val="28"/>
          <w:highlight w:val="none"/>
        </w:rPr>
      </w:pPr>
    </w:p>
    <w:p w14:paraId="59B91A75">
      <w:pPr>
        <w:spacing w:line="360" w:lineRule="auto"/>
        <w:contextualSpacing/>
        <w:jc w:val="left"/>
        <w:rPr>
          <w:rFonts w:ascii="宋体" w:hAnsi="宋体"/>
          <w:color w:val="auto"/>
          <w:sz w:val="28"/>
          <w:szCs w:val="28"/>
          <w:highlight w:val="none"/>
        </w:rPr>
      </w:pPr>
    </w:p>
    <w:p w14:paraId="51FB8C4A">
      <w:pPr>
        <w:spacing w:line="360" w:lineRule="auto"/>
        <w:ind w:right="480"/>
        <w:contextualSpacing/>
        <w:jc w:val="center"/>
        <w:rPr>
          <w:rFonts w:ascii="宋体" w:hAnsi="宋体"/>
          <w:color w:val="auto"/>
          <w:sz w:val="24"/>
          <w:highlight w:val="none"/>
          <w:u w:val="single"/>
        </w:rPr>
      </w:pPr>
      <w:r>
        <w:rPr>
          <w:rFonts w:hint="eastAsia" w:ascii="宋体" w:hAnsi="宋体"/>
          <w:color w:val="auto"/>
          <w:sz w:val="24"/>
          <w:highlight w:val="none"/>
        </w:rPr>
        <w:t>法定代表人或者委托代理人（签字或者电子签名）：</w:t>
      </w:r>
    </w:p>
    <w:p w14:paraId="20CB65E9">
      <w:pPr>
        <w:spacing w:line="360" w:lineRule="auto"/>
        <w:ind w:right="480" w:firstLine="3360" w:firstLineChars="1400"/>
        <w:contextualSpacing/>
        <w:rPr>
          <w:rFonts w:ascii="宋体" w:hAnsi="宋体"/>
          <w:color w:val="auto"/>
          <w:sz w:val="24"/>
          <w:highlight w:val="none"/>
        </w:rPr>
      </w:pPr>
      <w:r>
        <w:rPr>
          <w:rFonts w:hint="eastAsia" w:ascii="宋体" w:hAnsi="宋体"/>
          <w:color w:val="auto"/>
          <w:sz w:val="24"/>
          <w:highlight w:val="none"/>
        </w:rPr>
        <w:t>供应商（电子签章）：</w:t>
      </w:r>
    </w:p>
    <w:p w14:paraId="0943F60D">
      <w:pPr>
        <w:spacing w:line="360" w:lineRule="auto"/>
        <w:ind w:firstLine="4320" w:firstLineChars="1800"/>
        <w:contextualSpacing/>
        <w:jc w:val="left"/>
        <w:rPr>
          <w:rFonts w:ascii="宋体" w:hAnsi="宋体"/>
          <w:color w:val="auto"/>
          <w:sz w:val="28"/>
          <w:szCs w:val="28"/>
          <w:highlight w:val="none"/>
        </w:rPr>
      </w:pPr>
      <w:r>
        <w:rPr>
          <w:rFonts w:hint="eastAsia" w:ascii="宋体" w:hAnsi="宋体"/>
          <w:color w:val="auto"/>
          <w:sz w:val="24"/>
          <w:highlight w:val="none"/>
        </w:rPr>
        <w:t>年月日</w:t>
      </w:r>
    </w:p>
    <w:p w14:paraId="7FF6E58F">
      <w:pPr>
        <w:spacing w:line="320" w:lineRule="exact"/>
        <w:jc w:val="center"/>
        <w:rPr>
          <w:rFonts w:ascii="宋体" w:hAnsi="宋体"/>
          <w:b/>
          <w:color w:val="auto"/>
          <w:sz w:val="32"/>
          <w:szCs w:val="32"/>
          <w:highlight w:val="none"/>
        </w:rPr>
      </w:pPr>
      <w:r>
        <w:rPr>
          <w:rFonts w:ascii="宋体" w:hAnsi="宋体"/>
          <w:color w:val="auto"/>
          <w:sz w:val="28"/>
          <w:szCs w:val="28"/>
          <w:highlight w:val="none"/>
        </w:rPr>
        <w:br w:type="page"/>
      </w:r>
      <w:r>
        <w:rPr>
          <w:rFonts w:hint="eastAsia" w:ascii="宋体" w:hAnsi="宋体"/>
          <w:b/>
          <w:color w:val="auto"/>
          <w:sz w:val="32"/>
          <w:szCs w:val="32"/>
          <w:highlight w:val="none"/>
        </w:rPr>
        <w:t>竞标声明</w:t>
      </w:r>
    </w:p>
    <w:p w14:paraId="409D5810">
      <w:pPr>
        <w:spacing w:line="320" w:lineRule="exact"/>
        <w:jc w:val="center"/>
        <w:rPr>
          <w:rFonts w:ascii="宋体" w:hAnsi="宋体"/>
          <w:color w:val="auto"/>
          <w:sz w:val="24"/>
          <w:szCs w:val="20"/>
          <w:highlight w:val="none"/>
        </w:rPr>
      </w:pPr>
    </w:p>
    <w:p w14:paraId="24F7A40A">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36501F4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p>
    <w:p w14:paraId="13BCEB8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1AC4112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457285B9">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14:paraId="191DF12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3.在此，我方宣布同意如下：</w:t>
      </w:r>
    </w:p>
    <w:p w14:paraId="7F80A0E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6B7F25D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7FDC15A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2CFC53D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（4）响应磋商文件规定的竞标有效期。</w:t>
      </w:r>
    </w:p>
    <w:p w14:paraId="68E7CCF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619C485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7B1726A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261ACC5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264954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A224E8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823D223">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14:paraId="55A455A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7AC69EA3">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191BC3E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5877D41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ACBA603">
      <w:pPr>
        <w:pStyle w:val="23"/>
        <w:spacing w:line="360" w:lineRule="auto"/>
        <w:ind w:firstLine="480" w:firstLineChars="200"/>
        <w:contextualSpacing/>
        <w:rPr>
          <w:rFonts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7.与本磋商有关的一切正式往来信函请寄：邮政编号：</w:t>
      </w:r>
    </w:p>
    <w:p w14:paraId="52430DDC">
      <w:pPr>
        <w:pStyle w:val="23"/>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电话/传真：电子邮箱：</w:t>
      </w:r>
    </w:p>
    <w:p w14:paraId="4B180853">
      <w:pPr>
        <w:pStyle w:val="21"/>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开户银行：帐号：</w:t>
      </w:r>
    </w:p>
    <w:p w14:paraId="2367AED8">
      <w:pPr>
        <w:pStyle w:val="21"/>
        <w:tabs>
          <w:tab w:val="left" w:pos="939"/>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42981BE6">
      <w:pPr>
        <w:pStyle w:val="21"/>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特此承诺。</w:t>
      </w:r>
    </w:p>
    <w:p w14:paraId="08A72840">
      <w:pPr>
        <w:spacing w:line="360" w:lineRule="auto"/>
        <w:contextualSpacing/>
        <w:jc w:val="left"/>
        <w:rPr>
          <w:rFonts w:ascii="宋体" w:hAnsi="宋体"/>
          <w:b/>
          <w:color w:val="auto"/>
          <w:sz w:val="24"/>
          <w:highlight w:val="none"/>
        </w:rPr>
      </w:pPr>
      <w:r>
        <w:rPr>
          <w:rFonts w:hint="eastAsia" w:ascii="宋体" w:hAnsi="宋体" w:cs="宋体"/>
          <w:b/>
          <w:color w:val="auto"/>
          <w:sz w:val="24"/>
          <w:highlight w:val="none"/>
        </w:rPr>
        <w:t>注：</w:t>
      </w:r>
      <w:r>
        <w:rPr>
          <w:rFonts w:hint="eastAsia" w:ascii="宋体" w:hAnsi="宋体"/>
          <w:b/>
          <w:color w:val="auto"/>
          <w:sz w:val="24"/>
          <w:highlight w:val="none"/>
        </w:rPr>
        <w:t>如为联合体竞标，盖章处须加盖联合体牵头人电子签章并由联合体牵头人法定代表人分别签字或者盖章或者电子签名，否则响应文件按无效处理。</w:t>
      </w:r>
    </w:p>
    <w:p w14:paraId="78C5D062">
      <w:pPr>
        <w:spacing w:line="360" w:lineRule="auto"/>
        <w:contextualSpacing/>
        <w:jc w:val="left"/>
        <w:rPr>
          <w:rFonts w:ascii="宋体" w:hAnsi="宋体" w:cs="宋体"/>
          <w:color w:val="auto"/>
          <w:szCs w:val="21"/>
          <w:highlight w:val="none"/>
        </w:rPr>
      </w:pPr>
    </w:p>
    <w:p w14:paraId="56FBE686">
      <w:pPr>
        <w:spacing w:line="360" w:lineRule="auto"/>
        <w:ind w:firstLine="1575" w:firstLineChars="750"/>
        <w:contextualSpacing/>
        <w:rPr>
          <w:color w:val="auto"/>
          <w:highlight w:val="none"/>
        </w:rPr>
      </w:pPr>
      <w:r>
        <w:rPr>
          <w:rFonts w:hint="eastAsia"/>
          <w:color w:val="auto"/>
          <w:highlight w:val="none"/>
        </w:rPr>
        <w:t>法定代表人（</w:t>
      </w:r>
      <w:r>
        <w:rPr>
          <w:rFonts w:hint="eastAsia" w:ascii="宋体" w:hAnsi="宋体"/>
          <w:color w:val="auto"/>
          <w:sz w:val="24"/>
          <w:highlight w:val="none"/>
        </w:rPr>
        <w:t>签字或者盖章或者电子签名</w:t>
      </w:r>
      <w:r>
        <w:rPr>
          <w:rFonts w:hint="eastAsia"/>
          <w:color w:val="auto"/>
          <w:highlight w:val="none"/>
        </w:rPr>
        <w:t>）：</w:t>
      </w:r>
    </w:p>
    <w:p w14:paraId="2C0AABBA">
      <w:pPr>
        <w:spacing w:line="360" w:lineRule="auto"/>
        <w:ind w:firstLine="3780" w:firstLineChars="1800"/>
        <w:contextualSpacing/>
        <w:rPr>
          <w:rFonts w:ascii="宋体" w:hAnsi="宋体" w:cs="宋体"/>
          <w:color w:val="auto"/>
          <w:szCs w:val="21"/>
          <w:highlight w:val="none"/>
          <w:u w:val="single"/>
        </w:rPr>
      </w:pPr>
      <w:r>
        <w:rPr>
          <w:rFonts w:hint="eastAsia"/>
          <w:color w:val="auto"/>
          <w:highlight w:val="none"/>
        </w:rPr>
        <w:t>供应商（电子签章）：</w:t>
      </w:r>
    </w:p>
    <w:p w14:paraId="3777A74C">
      <w:pPr>
        <w:pStyle w:val="21"/>
        <w:tabs>
          <w:tab w:val="left" w:pos="939"/>
        </w:tabs>
        <w:spacing w:line="360" w:lineRule="auto"/>
        <w:ind w:left="0" w:leftChars="0" w:firstLine="3780" w:firstLineChars="1800"/>
        <w:rPr>
          <w:color w:val="auto"/>
          <w:sz w:val="24"/>
          <w:highlight w:val="none"/>
        </w:rPr>
      </w:pPr>
      <w:r>
        <w:rPr>
          <w:rFonts w:hint="eastAsia"/>
          <w:color w:val="auto"/>
          <w:highlight w:val="none"/>
        </w:rPr>
        <w:t>年月日</w:t>
      </w:r>
    </w:p>
    <w:p w14:paraId="6777AAB8">
      <w:pPr>
        <w:pStyle w:val="8"/>
        <w:overflowPunct w:val="0"/>
        <w:spacing w:line="520" w:lineRule="exact"/>
        <w:ind w:firstLine="0"/>
        <w:jc w:val="center"/>
        <w:rPr>
          <w:rFonts w:ascii="方正小标宋简体" w:hAnsi="方正小标宋简体" w:eastAsia="方正小标宋简体" w:cs="方正小标宋简体"/>
          <w:color w:val="auto"/>
          <w:sz w:val="44"/>
          <w:szCs w:val="44"/>
          <w:highlight w:val="none"/>
        </w:rPr>
      </w:pPr>
      <w:r>
        <w:rPr>
          <w:rFonts w:hint="eastAsia"/>
          <w:color w:val="auto"/>
          <w:sz w:val="24"/>
          <w:highlight w:val="none"/>
        </w:rPr>
        <w:br w:type="page"/>
      </w:r>
      <w:r>
        <w:rPr>
          <w:rFonts w:hint="eastAsia" w:ascii="方正小标宋简体" w:hAnsi="方正小标宋简体" w:eastAsia="方正小标宋简体" w:cs="方正小标宋简体"/>
          <w:color w:val="auto"/>
          <w:sz w:val="44"/>
          <w:szCs w:val="44"/>
          <w:highlight w:val="none"/>
        </w:rPr>
        <w:t>联合体竞标协议书</w:t>
      </w:r>
    </w:p>
    <w:p w14:paraId="0B0F2FE3">
      <w:pPr>
        <w:pStyle w:val="8"/>
        <w:overflowPunct w:val="0"/>
        <w:spacing w:line="360" w:lineRule="auto"/>
        <w:ind w:firstLine="0"/>
        <w:rPr>
          <w:rFonts w:ascii="宋体" w:hAnsi="宋体"/>
          <w:color w:val="auto"/>
          <w:sz w:val="24"/>
          <w:szCs w:val="24"/>
          <w:highlight w:val="none"/>
        </w:rPr>
      </w:pPr>
    </w:p>
    <w:p w14:paraId="34DE58B0">
      <w:pPr>
        <w:pStyle w:val="8"/>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（所有成员单位名称）自愿组成（联合体名称）联合体，共同参加（项目名称）采购项目竞标。现就联合体竞标事宜订立如下协议。</w:t>
      </w:r>
    </w:p>
    <w:p w14:paraId="780CABCD">
      <w:pPr>
        <w:pStyle w:val="8"/>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1.</w:t>
      </w:r>
      <w:r>
        <w:rPr>
          <w:rFonts w:hint="eastAsia" w:ascii="宋体" w:hAnsi="宋体" w:cs="仿宋_GB2312"/>
          <w:color w:val="auto"/>
          <w:sz w:val="24"/>
          <w:szCs w:val="24"/>
          <w:highlight w:val="none"/>
          <w:u w:val="single"/>
        </w:rPr>
        <w:tab/>
      </w:r>
      <w:r>
        <w:rPr>
          <w:rFonts w:hint="eastAsia" w:ascii="宋体" w:hAnsi="宋体" w:cs="仿宋_GB2312"/>
          <w:color w:val="auto"/>
          <w:sz w:val="24"/>
          <w:szCs w:val="24"/>
          <w:highlight w:val="none"/>
        </w:rPr>
        <w:t>（某成员单位名称）为（联合体名称）牵头人。</w:t>
      </w:r>
    </w:p>
    <w:p w14:paraId="39C3CE7C">
      <w:pPr>
        <w:pStyle w:val="8"/>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14:paraId="20270FD0">
      <w:pPr>
        <w:pStyle w:val="8"/>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3.联合体牵头人在本项目中签署和盖章的一切文件和处理的一切事宜，联合体各成员均予以承认。联合体各成员将严格按照磋商文件、响应文件和合同的要求全面履行义务，并向采购人承担连带责任。</w:t>
      </w:r>
    </w:p>
    <w:p w14:paraId="5A9B65D8">
      <w:pPr>
        <w:pStyle w:val="8"/>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4.联合体各成员单位内部的职责分工如下：。</w:t>
      </w:r>
    </w:p>
    <w:p w14:paraId="57074908">
      <w:pPr>
        <w:pStyle w:val="8"/>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5.本</w:t>
      </w:r>
      <w:r>
        <w:rPr>
          <w:rFonts w:hint="eastAsia" w:ascii="宋体" w:hAnsi="宋体" w:cs="仿宋_GB2312"/>
          <w:color w:val="auto"/>
          <w:spacing w:val="-6"/>
          <w:sz w:val="24"/>
          <w:szCs w:val="24"/>
          <w:highlight w:val="none"/>
        </w:rPr>
        <w:t>协议书自所有成员单位法定代表人（单位负责人）或者其委托代理人签字或者盖单位章之日起生效，合同履行完毕后自动失效。</w:t>
      </w:r>
    </w:p>
    <w:p w14:paraId="515C8970">
      <w:pPr>
        <w:pStyle w:val="8"/>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6.本协议书一式</w:t>
      </w:r>
      <w:r>
        <w:rPr>
          <w:rFonts w:hint="eastAsia" w:ascii="宋体" w:hAnsi="宋体" w:cs="仿宋_GB2312"/>
          <w:color w:val="auto"/>
          <w:sz w:val="24"/>
          <w:szCs w:val="24"/>
          <w:highlight w:val="none"/>
          <w:u w:val="single"/>
        </w:rPr>
        <w:tab/>
      </w:r>
      <w:r>
        <w:rPr>
          <w:rFonts w:hint="eastAsia" w:ascii="宋体" w:hAnsi="宋体" w:cs="仿宋_GB2312"/>
          <w:color w:val="auto"/>
          <w:sz w:val="24"/>
          <w:szCs w:val="24"/>
          <w:highlight w:val="none"/>
        </w:rPr>
        <w:t>份，联合体成员和采购人各执一份。</w:t>
      </w:r>
    </w:p>
    <w:p w14:paraId="2089201A">
      <w:pPr>
        <w:pStyle w:val="8"/>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注：本协议书应附法定代表人身份证明书；有委托代理的，应附权委托书（格式自拟）。</w:t>
      </w:r>
    </w:p>
    <w:p w14:paraId="590D2F97">
      <w:pPr>
        <w:pStyle w:val="8"/>
        <w:overflowPunct w:val="0"/>
        <w:spacing w:line="360" w:lineRule="auto"/>
        <w:ind w:firstLineChars="175"/>
        <w:contextualSpacing/>
        <w:rPr>
          <w:rFonts w:ascii="宋体" w:hAnsi="宋体" w:cs="仿宋_GB2312"/>
          <w:color w:val="auto"/>
          <w:sz w:val="24"/>
          <w:szCs w:val="24"/>
          <w:highlight w:val="none"/>
        </w:rPr>
      </w:pPr>
    </w:p>
    <w:p w14:paraId="2EB5155C">
      <w:pPr>
        <w:pStyle w:val="8"/>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联合体牵头人名称（电子签章）：</w:t>
      </w:r>
    </w:p>
    <w:p w14:paraId="43DBEE30">
      <w:pPr>
        <w:pStyle w:val="8"/>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14:paraId="237C0311">
      <w:pPr>
        <w:pStyle w:val="8"/>
        <w:overflowPunct w:val="0"/>
        <w:spacing w:line="360" w:lineRule="auto"/>
        <w:ind w:firstLine="0"/>
        <w:contextualSpacing/>
        <w:rPr>
          <w:rFonts w:ascii="宋体" w:hAnsi="宋体" w:cs="仿宋_GB2312"/>
          <w:color w:val="auto"/>
          <w:sz w:val="24"/>
          <w:szCs w:val="24"/>
          <w:highlight w:val="none"/>
        </w:rPr>
      </w:pPr>
    </w:p>
    <w:p w14:paraId="786EA017">
      <w:pPr>
        <w:pStyle w:val="8"/>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联合体成员名称（盖公章或者电子签章）：</w:t>
      </w:r>
    </w:p>
    <w:p w14:paraId="446706F5">
      <w:pPr>
        <w:pStyle w:val="8"/>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14:paraId="50F2DF7E">
      <w:pPr>
        <w:pStyle w:val="8"/>
        <w:overflowPunct w:val="0"/>
        <w:spacing w:line="360" w:lineRule="auto"/>
        <w:ind w:firstLine="0"/>
        <w:contextualSpacing/>
        <w:rPr>
          <w:rFonts w:ascii="宋体" w:hAnsi="宋体" w:cs="仿宋_GB2312"/>
          <w:color w:val="auto"/>
          <w:sz w:val="24"/>
          <w:szCs w:val="24"/>
          <w:highlight w:val="none"/>
        </w:rPr>
      </w:pPr>
    </w:p>
    <w:p w14:paraId="100C3BA1">
      <w:pPr>
        <w:pStyle w:val="8"/>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联合体成员名称（盖公章或者电子签章）：</w:t>
      </w:r>
    </w:p>
    <w:p w14:paraId="271BC76E">
      <w:pPr>
        <w:pStyle w:val="8"/>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14:paraId="367D12BA">
      <w:pPr>
        <w:pStyle w:val="8"/>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w:t>
      </w:r>
    </w:p>
    <w:p w14:paraId="3DD3BBC9">
      <w:pPr>
        <w:spacing w:line="360" w:lineRule="auto"/>
        <w:ind w:right="480" w:firstLine="240" w:firstLineChars="100"/>
        <w:contextualSpacing/>
        <w:jc w:val="center"/>
        <w:rPr>
          <w:rFonts w:ascii="宋体" w:hAnsi="宋体" w:cs="仿宋_GB2312"/>
          <w:color w:val="auto"/>
          <w:sz w:val="24"/>
          <w:highlight w:val="none"/>
        </w:rPr>
      </w:pPr>
    </w:p>
    <w:p w14:paraId="1FFE12C7">
      <w:pPr>
        <w:spacing w:line="360" w:lineRule="auto"/>
        <w:ind w:right="480" w:firstLine="240" w:firstLineChars="100"/>
        <w:contextualSpacing/>
        <w:jc w:val="center"/>
        <w:rPr>
          <w:rFonts w:ascii="宋体" w:hAnsi="宋体"/>
          <w:b/>
          <w:bCs/>
          <w:color w:val="auto"/>
          <w:sz w:val="32"/>
          <w:szCs w:val="32"/>
          <w:highlight w:val="none"/>
        </w:rPr>
      </w:pPr>
      <w:r>
        <w:rPr>
          <w:rFonts w:hint="eastAsia" w:ascii="宋体" w:hAnsi="宋体" w:cs="仿宋_GB2312"/>
          <w:color w:val="auto"/>
          <w:sz w:val="24"/>
          <w:highlight w:val="none"/>
        </w:rPr>
        <w:t>年</w:t>
      </w:r>
      <w:r>
        <w:rPr>
          <w:rFonts w:hint="eastAsia" w:ascii="宋体" w:hAnsi="宋体" w:cs="仿宋_GB2312"/>
          <w:color w:val="auto"/>
          <w:sz w:val="24"/>
          <w:highlight w:val="none"/>
        </w:rPr>
        <w:tab/>
      </w:r>
      <w:r>
        <w:rPr>
          <w:rFonts w:hint="eastAsia" w:ascii="宋体" w:hAnsi="宋体" w:cs="仿宋_GB2312"/>
          <w:color w:val="auto"/>
          <w:sz w:val="24"/>
          <w:highlight w:val="none"/>
        </w:rPr>
        <w:t>月</w:t>
      </w:r>
      <w:r>
        <w:rPr>
          <w:rFonts w:hint="eastAsia" w:ascii="宋体" w:hAnsi="宋体" w:cs="仿宋_GB2312"/>
          <w:color w:val="auto"/>
          <w:sz w:val="24"/>
          <w:highlight w:val="none"/>
        </w:rPr>
        <w:tab/>
      </w:r>
      <w:r>
        <w:rPr>
          <w:rFonts w:hint="eastAsia" w:ascii="宋体" w:hAnsi="宋体" w:cs="仿宋_GB2312"/>
          <w:color w:val="auto"/>
          <w:sz w:val="24"/>
          <w:highlight w:val="none"/>
        </w:rPr>
        <w:t>日</w:t>
      </w:r>
    </w:p>
    <w:p w14:paraId="20BE03C0">
      <w:pPr>
        <w:jc w:val="center"/>
        <w:rPr>
          <w:rFonts w:ascii="方正小标宋简体" w:hAnsi="方正小标宋简体" w:eastAsia="方正小标宋简体" w:cs="方正小标宋简体"/>
          <w:color w:val="auto"/>
          <w:sz w:val="44"/>
          <w:szCs w:val="44"/>
          <w:highlight w:val="none"/>
        </w:rPr>
      </w:pPr>
      <w:r>
        <w:rPr>
          <w:rFonts w:ascii="宋体" w:hAnsi="宋体"/>
          <w:b/>
          <w:bCs/>
          <w:color w:val="auto"/>
          <w:sz w:val="32"/>
          <w:szCs w:val="32"/>
          <w:highlight w:val="none"/>
        </w:rPr>
        <w:br w:type="page"/>
      </w:r>
      <w:bookmarkStart w:id="75" w:name="_Toc71365926"/>
      <w:r>
        <w:rPr>
          <w:rFonts w:hint="eastAsia" w:ascii="方正小标宋简体" w:hAnsi="方正小标宋简体" w:eastAsia="方正小标宋简体" w:cs="方正小标宋简体"/>
          <w:color w:val="auto"/>
          <w:sz w:val="44"/>
          <w:szCs w:val="44"/>
          <w:highlight w:val="none"/>
        </w:rPr>
        <w:t>中小企业声明函（服务）</w:t>
      </w:r>
      <w:bookmarkEnd w:id="75"/>
    </w:p>
    <w:p w14:paraId="7997A16B">
      <w:pPr>
        <w:spacing w:before="2" w:line="500" w:lineRule="exact"/>
        <w:ind w:firstLine="708" w:firstLineChars="294"/>
        <w:rPr>
          <w:rFonts w:ascii="宋体" w:hAnsi="宋体" w:cs="宋体"/>
          <w:b/>
          <w:bCs/>
          <w:color w:val="auto"/>
          <w:sz w:val="24"/>
          <w:highlight w:val="none"/>
        </w:rPr>
      </w:pPr>
    </w:p>
    <w:p w14:paraId="5FD64296">
      <w:pPr>
        <w:pStyle w:val="17"/>
        <w:spacing w:line="500" w:lineRule="exact"/>
        <w:ind w:right="142" w:firstLine="705" w:firstLineChars="294"/>
        <w:rPr>
          <w:rFonts w:ascii="宋体" w:hAnsi="宋体"/>
          <w:color w:val="auto"/>
          <w:sz w:val="24"/>
          <w:highlight w:val="none"/>
        </w:rPr>
      </w:pPr>
      <w:r>
        <w:rPr>
          <w:rFonts w:hint="eastAsia" w:ascii="宋体" w:hAnsi="宋体"/>
          <w:color w:val="auto"/>
          <w:sz w:val="24"/>
          <w:highlight w:val="none"/>
        </w:rPr>
        <w:t>本公司（联合体）郑重声明，根据《政府采购促进中小企业发展管理办法》（财库﹝2020﹞46号）的规定，本公司（联合体）参加</w:t>
      </w:r>
      <w:r>
        <w:rPr>
          <w:rFonts w:hint="eastAsia" w:ascii="宋体" w:hAnsi="宋体"/>
          <w:color w:val="auto"/>
          <w:sz w:val="24"/>
          <w:highlight w:val="none"/>
          <w:u w:val="single"/>
        </w:rPr>
        <w:t>（单位名称）</w:t>
      </w:r>
      <w:r>
        <w:rPr>
          <w:rFonts w:hint="eastAsia" w:ascii="宋体" w:hAnsi="宋体"/>
          <w:color w:val="auto"/>
          <w:sz w:val="24"/>
          <w:highlight w:val="none"/>
        </w:rPr>
        <w:t>的</w:t>
      </w:r>
      <w:r>
        <w:rPr>
          <w:rFonts w:hint="eastAsia" w:ascii="宋体" w:hAnsi="宋体"/>
          <w:color w:val="auto"/>
          <w:sz w:val="24"/>
          <w:highlight w:val="none"/>
          <w:u w:val="single"/>
        </w:rPr>
        <w:t>（项目名称）</w:t>
      </w:r>
      <w:r>
        <w:rPr>
          <w:rFonts w:hint="eastAsia" w:ascii="宋体" w:hAnsi="宋体"/>
          <w:color w:val="auto"/>
          <w:sz w:val="24"/>
          <w:highlight w:val="none"/>
        </w:rPr>
        <w:t>采购活动，服务全部由符合政策要求的中小企业承接。相关企业（含联合体中的中小企业、签订分包意向协议的中小企业）的具体情况如下：</w:t>
      </w:r>
    </w:p>
    <w:p w14:paraId="1FB284E4">
      <w:pPr>
        <w:tabs>
          <w:tab w:val="left" w:pos="1384"/>
          <w:tab w:val="left" w:pos="4562"/>
          <w:tab w:val="left" w:pos="6803"/>
        </w:tabs>
        <w:spacing w:before="13" w:line="500" w:lineRule="exact"/>
        <w:ind w:right="142" w:firstLine="772" w:firstLineChars="322"/>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u w:val="single"/>
        </w:rPr>
        <w:t>（标的名称）</w:t>
      </w:r>
      <w:r>
        <w:rPr>
          <w:rFonts w:hint="eastAsia" w:ascii="宋体" w:hAnsi="宋体"/>
          <w:color w:val="auto"/>
          <w:sz w:val="24"/>
          <w:highlight w:val="none"/>
        </w:rPr>
        <w:t>，属于</w:t>
      </w:r>
      <w:r>
        <w:rPr>
          <w:rFonts w:hint="eastAsia" w:ascii="宋体" w:hAnsi="宋体"/>
          <w:color w:val="auto"/>
          <w:sz w:val="24"/>
          <w:highlight w:val="none"/>
          <w:u w:val="single"/>
        </w:rPr>
        <w:t>（采购文件中明确的所属行业）</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hint="eastAsia" w:ascii="宋体" w:hAnsi="宋体"/>
          <w:color w:val="auto"/>
          <w:sz w:val="24"/>
          <w:highlight w:val="none"/>
        </w:rPr>
        <w:t>万元，属于</w:t>
      </w:r>
      <w:r>
        <w:rPr>
          <w:rFonts w:hint="eastAsia" w:ascii="宋体" w:hAnsi="宋体"/>
          <w:color w:val="auto"/>
          <w:sz w:val="24"/>
          <w:highlight w:val="none"/>
          <w:u w:val="single"/>
        </w:rPr>
        <w:t>（中型企业、小型企业、微型企业）</w:t>
      </w:r>
      <w:r>
        <w:rPr>
          <w:rFonts w:hint="eastAsia" w:ascii="宋体" w:hAnsi="宋体"/>
          <w:color w:val="auto"/>
          <w:sz w:val="24"/>
          <w:highlight w:val="none"/>
        </w:rPr>
        <w:t>；</w:t>
      </w:r>
    </w:p>
    <w:p w14:paraId="09C71AE3">
      <w:pPr>
        <w:tabs>
          <w:tab w:val="left" w:pos="1065"/>
          <w:tab w:val="left" w:pos="4262"/>
          <w:tab w:val="left" w:pos="6477"/>
        </w:tabs>
        <w:spacing w:before="20" w:line="500" w:lineRule="exact"/>
        <w:ind w:right="84" w:firstLine="772" w:firstLineChars="322"/>
        <w:rPr>
          <w:rFonts w:ascii="宋体" w:hAnsi="宋体"/>
          <w:color w:val="auto"/>
          <w:sz w:val="24"/>
          <w:highlight w:val="none"/>
          <w:u w:val="single"/>
        </w:rPr>
      </w:pPr>
      <w:r>
        <w:rPr>
          <w:rFonts w:hint="eastAsia" w:ascii="宋体" w:hAnsi="宋体"/>
          <w:color w:val="auto"/>
          <w:sz w:val="24"/>
          <w:highlight w:val="none"/>
        </w:rPr>
        <w:t>2.</w:t>
      </w:r>
      <w:r>
        <w:rPr>
          <w:rFonts w:hint="eastAsia" w:ascii="宋体" w:hAnsi="宋体"/>
          <w:color w:val="auto"/>
          <w:sz w:val="24"/>
          <w:highlight w:val="none"/>
          <w:u w:val="single"/>
        </w:rPr>
        <w:t>（标的名称）</w:t>
      </w:r>
      <w:r>
        <w:rPr>
          <w:rFonts w:hint="eastAsia" w:ascii="宋体" w:hAnsi="宋体"/>
          <w:color w:val="auto"/>
          <w:sz w:val="24"/>
          <w:highlight w:val="none"/>
        </w:rPr>
        <w:t>，属于</w:t>
      </w:r>
      <w:r>
        <w:rPr>
          <w:rFonts w:hint="eastAsia" w:ascii="宋体" w:hAnsi="宋体"/>
          <w:color w:val="auto"/>
          <w:sz w:val="24"/>
          <w:highlight w:val="none"/>
          <w:u w:val="single"/>
        </w:rPr>
        <w:t>（采购文件中明确的所属行业）</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hint="eastAsia" w:ascii="宋体" w:hAnsi="宋体"/>
          <w:color w:val="auto"/>
          <w:sz w:val="24"/>
          <w:highlight w:val="none"/>
        </w:rPr>
        <w:t>万元，属于</w:t>
      </w:r>
      <w:r>
        <w:rPr>
          <w:rFonts w:hint="eastAsia" w:ascii="宋体" w:hAnsi="宋体"/>
          <w:color w:val="auto"/>
          <w:sz w:val="24"/>
          <w:highlight w:val="none"/>
          <w:u w:val="single"/>
        </w:rPr>
        <w:t>（中型企业、小型企业、微型企业）</w:t>
      </w:r>
      <w:r>
        <w:rPr>
          <w:rFonts w:hint="eastAsia" w:ascii="宋体" w:hAnsi="宋体"/>
          <w:color w:val="auto"/>
          <w:sz w:val="24"/>
          <w:highlight w:val="none"/>
        </w:rPr>
        <w:t>；</w:t>
      </w:r>
    </w:p>
    <w:p w14:paraId="39046AA8">
      <w:pPr>
        <w:pStyle w:val="17"/>
        <w:spacing w:before="34" w:line="500" w:lineRule="exact"/>
        <w:ind w:right="142" w:firstLine="705" w:firstLineChars="294"/>
        <w:rPr>
          <w:rFonts w:ascii="宋体" w:hAnsi="宋体"/>
          <w:color w:val="auto"/>
          <w:sz w:val="24"/>
          <w:highlight w:val="none"/>
        </w:rPr>
      </w:pPr>
      <w:r>
        <w:rPr>
          <w:rFonts w:hint="eastAsia" w:ascii="宋体" w:hAnsi="宋体"/>
          <w:color w:val="auto"/>
          <w:sz w:val="24"/>
          <w:highlight w:val="none"/>
        </w:rPr>
        <w:t>……</w:t>
      </w:r>
    </w:p>
    <w:p w14:paraId="02D09C63">
      <w:pPr>
        <w:pStyle w:val="17"/>
        <w:spacing w:before="34" w:line="500" w:lineRule="exact"/>
        <w:ind w:right="142" w:firstLine="705" w:firstLineChars="294"/>
        <w:rPr>
          <w:rFonts w:ascii="宋体" w:hAnsi="宋体"/>
          <w:color w:val="auto"/>
          <w:sz w:val="24"/>
          <w:highlight w:val="none"/>
        </w:rPr>
      </w:pPr>
      <w:r>
        <w:rPr>
          <w:rFonts w:hint="eastAsia" w:ascii="宋体" w:hAnsi="宋体"/>
          <w:color w:val="auto"/>
          <w:sz w:val="24"/>
          <w:highlight w:val="none"/>
        </w:rPr>
        <w:t>以上企业，不属于大企业的分支机构，不存在控股股东为大企业的情形，也不存在与大企业的负责人为同一人的情形。</w:t>
      </w:r>
    </w:p>
    <w:p w14:paraId="0C928235">
      <w:pPr>
        <w:pStyle w:val="17"/>
        <w:spacing w:before="25" w:line="500" w:lineRule="exact"/>
        <w:ind w:right="142" w:firstLine="705" w:firstLineChars="294"/>
        <w:rPr>
          <w:rFonts w:ascii="宋体" w:hAnsi="宋体"/>
          <w:color w:val="auto"/>
          <w:sz w:val="24"/>
          <w:highlight w:val="none"/>
        </w:rPr>
      </w:pPr>
      <w:r>
        <w:rPr>
          <w:rFonts w:hint="eastAsia" w:ascii="宋体" w:hAnsi="宋体"/>
          <w:color w:val="auto"/>
          <w:sz w:val="24"/>
          <w:highlight w:val="none"/>
        </w:rPr>
        <w:t>本企业对上述声明内容的真实性负责。如有虚假，将依法承担相应责任。</w:t>
      </w:r>
    </w:p>
    <w:p w14:paraId="1AAD201C">
      <w:pPr>
        <w:pStyle w:val="17"/>
        <w:spacing w:before="56" w:line="500" w:lineRule="exact"/>
        <w:ind w:right="1808" w:firstLine="705" w:firstLineChars="294"/>
        <w:rPr>
          <w:rFonts w:ascii="宋体" w:hAnsi="宋体"/>
          <w:color w:val="auto"/>
          <w:sz w:val="24"/>
          <w:highlight w:val="none"/>
        </w:rPr>
      </w:pPr>
    </w:p>
    <w:p w14:paraId="3D70567D">
      <w:pPr>
        <w:pStyle w:val="17"/>
        <w:spacing w:before="56" w:line="500" w:lineRule="exact"/>
        <w:ind w:right="650" w:firstLine="5625" w:firstLineChars="2344"/>
        <w:rPr>
          <w:rFonts w:ascii="宋体" w:hAnsi="宋体"/>
          <w:color w:val="auto"/>
          <w:sz w:val="24"/>
          <w:highlight w:val="none"/>
        </w:rPr>
      </w:pPr>
      <w:r>
        <w:rPr>
          <w:rFonts w:hint="eastAsia" w:ascii="宋体" w:hAnsi="宋体"/>
          <w:color w:val="auto"/>
          <w:sz w:val="24"/>
          <w:highlight w:val="none"/>
        </w:rPr>
        <w:t>企业名称（章）：</w:t>
      </w:r>
    </w:p>
    <w:p w14:paraId="5637E10F">
      <w:pPr>
        <w:pStyle w:val="17"/>
        <w:spacing w:before="56" w:line="500" w:lineRule="exact"/>
        <w:ind w:right="1808" w:firstLine="5625" w:firstLineChars="2344"/>
        <w:rPr>
          <w:rFonts w:ascii="宋体" w:hAnsi="宋体"/>
          <w:color w:val="auto"/>
          <w:sz w:val="24"/>
          <w:highlight w:val="none"/>
        </w:rPr>
      </w:pPr>
      <w:r>
        <w:rPr>
          <w:rFonts w:hint="eastAsia" w:ascii="宋体" w:hAnsi="宋体"/>
          <w:color w:val="auto"/>
          <w:sz w:val="24"/>
          <w:highlight w:val="none"/>
        </w:rPr>
        <w:t>日期：</w:t>
      </w:r>
    </w:p>
    <w:p w14:paraId="17F2DEBD">
      <w:pPr>
        <w:spacing w:line="520" w:lineRule="exact"/>
        <w:jc w:val="left"/>
        <w:rPr>
          <w:rFonts w:ascii="宋体" w:hAnsi="宋体" w:cs="仿宋_GB2312"/>
          <w:color w:val="auto"/>
          <w:sz w:val="24"/>
          <w:highlight w:val="none"/>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480DE126">
      <w:pPr>
        <w:spacing w:line="520" w:lineRule="exact"/>
        <w:jc w:val="center"/>
        <w:rPr>
          <w:rFonts w:ascii="仿宋_GB2312" w:hAnsi="仿宋_GB2312" w:eastAsia="仿宋_GB2312" w:cs="仿宋_GB2312"/>
          <w:color w:val="auto"/>
          <w:sz w:val="32"/>
          <w:szCs w:val="32"/>
          <w:highlight w:val="none"/>
        </w:rPr>
      </w:pPr>
      <w:r>
        <w:rPr>
          <w:rFonts w:hint="eastAsia" w:ascii="宋体" w:hAnsi="宋体"/>
          <w:color w:val="auto"/>
          <w:sz w:val="24"/>
          <w:highlight w:val="none"/>
        </w:rPr>
        <w:br w:type="page"/>
      </w:r>
      <w:r>
        <w:rPr>
          <w:rFonts w:hint="eastAsia" w:ascii="方正小标宋简体" w:hAnsi="方正小标宋简体" w:eastAsia="方正小标宋简体" w:cs="方正小标宋简体"/>
          <w:color w:val="auto"/>
          <w:sz w:val="44"/>
          <w:szCs w:val="44"/>
          <w:highlight w:val="none"/>
        </w:rPr>
        <w:t>残疾人福利性单位声明函</w:t>
      </w:r>
    </w:p>
    <w:p w14:paraId="77F7939F">
      <w:pPr>
        <w:spacing w:line="360" w:lineRule="auto"/>
        <w:rPr>
          <w:rFonts w:ascii="仿宋_GB2312" w:hAnsi="仿宋_GB2312" w:eastAsia="仿宋_GB2312" w:cs="仿宋_GB2312"/>
          <w:color w:val="auto"/>
          <w:sz w:val="32"/>
          <w:szCs w:val="32"/>
          <w:highlight w:val="none"/>
        </w:rPr>
      </w:pPr>
    </w:p>
    <w:p w14:paraId="5D5F04A3">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C6CE12D">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47FF0BFF">
      <w:pPr>
        <w:spacing w:line="360" w:lineRule="auto"/>
        <w:rPr>
          <w:rFonts w:ascii="宋体" w:hAnsi="宋体" w:cs="仿宋_GB2312"/>
          <w:color w:val="auto"/>
          <w:sz w:val="24"/>
          <w:highlight w:val="none"/>
        </w:rPr>
      </w:pPr>
    </w:p>
    <w:p w14:paraId="44DF6F83">
      <w:pPr>
        <w:spacing w:line="360" w:lineRule="auto"/>
        <w:rPr>
          <w:rFonts w:ascii="宋体" w:hAnsi="宋体" w:cs="仿宋_GB2312"/>
          <w:color w:val="auto"/>
          <w:sz w:val="24"/>
          <w:highlight w:val="none"/>
        </w:rPr>
      </w:pPr>
    </w:p>
    <w:p w14:paraId="786947C8">
      <w:pPr>
        <w:spacing w:line="360" w:lineRule="auto"/>
        <w:rPr>
          <w:rFonts w:ascii="宋体" w:hAnsi="宋体" w:cs="仿宋_GB2312"/>
          <w:color w:val="auto"/>
          <w:sz w:val="24"/>
          <w:highlight w:val="none"/>
        </w:rPr>
      </w:pPr>
    </w:p>
    <w:p w14:paraId="6142DF62">
      <w:pPr>
        <w:spacing w:line="360" w:lineRule="auto"/>
        <w:ind w:firstLine="2400" w:firstLineChars="1000"/>
        <w:rPr>
          <w:rFonts w:ascii="宋体" w:hAnsi="宋体" w:cs="仿宋_GB2312"/>
          <w:color w:val="auto"/>
          <w:sz w:val="24"/>
          <w:highlight w:val="none"/>
        </w:rPr>
      </w:pPr>
      <w:r>
        <w:rPr>
          <w:rFonts w:hint="eastAsia" w:ascii="宋体" w:hAnsi="宋体" w:cs="仿宋_GB2312"/>
          <w:color w:val="auto"/>
          <w:sz w:val="24"/>
          <w:highlight w:val="none"/>
        </w:rPr>
        <w:t>单位名称（盖章）：</w:t>
      </w:r>
    </w:p>
    <w:p w14:paraId="6551474D">
      <w:pPr>
        <w:spacing w:line="360" w:lineRule="auto"/>
        <w:ind w:firstLine="3600" w:firstLineChars="1500"/>
        <w:rPr>
          <w:rFonts w:ascii="宋体" w:hAnsi="宋体" w:cs="仿宋_GB2312"/>
          <w:color w:val="auto"/>
          <w:sz w:val="24"/>
          <w:highlight w:val="none"/>
        </w:rPr>
      </w:pPr>
      <w:r>
        <w:rPr>
          <w:rFonts w:hint="eastAsia" w:ascii="宋体" w:hAnsi="宋体" w:cs="仿宋_GB2312"/>
          <w:color w:val="auto"/>
          <w:sz w:val="24"/>
          <w:highlight w:val="none"/>
        </w:rPr>
        <w:t>日期：</w:t>
      </w:r>
    </w:p>
    <w:p w14:paraId="669DCC8B">
      <w:pPr>
        <w:spacing w:line="360" w:lineRule="auto"/>
        <w:rPr>
          <w:rFonts w:ascii="宋体" w:hAnsi="宋体" w:cs="仿宋_GB2312"/>
          <w:color w:val="auto"/>
          <w:sz w:val="24"/>
          <w:highlight w:val="none"/>
        </w:rPr>
      </w:pPr>
    </w:p>
    <w:p w14:paraId="2CDDD368">
      <w:pPr>
        <w:spacing w:line="360" w:lineRule="auto"/>
        <w:rPr>
          <w:rFonts w:ascii="宋体" w:hAnsi="宋体" w:cs="仿宋_GB2312"/>
          <w:color w:val="auto"/>
          <w:sz w:val="24"/>
          <w:highlight w:val="none"/>
        </w:rPr>
      </w:pPr>
    </w:p>
    <w:p w14:paraId="7DC9F9FE">
      <w:pPr>
        <w:spacing w:line="360" w:lineRule="auto"/>
        <w:rPr>
          <w:rFonts w:ascii="宋体" w:hAnsi="宋体" w:cs="仿宋_GB2312"/>
          <w:color w:val="auto"/>
          <w:sz w:val="24"/>
          <w:highlight w:val="none"/>
        </w:rPr>
      </w:pPr>
    </w:p>
    <w:p w14:paraId="2F59C8EA">
      <w:pPr>
        <w:spacing w:line="360" w:lineRule="auto"/>
        <w:rPr>
          <w:rFonts w:ascii="宋体" w:hAnsi="宋体" w:cs="仿宋_GB2312"/>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7D427CEF">
      <w:pPr>
        <w:spacing w:line="360" w:lineRule="auto"/>
        <w:ind w:right="420"/>
        <w:contextualSpacing/>
        <w:jc w:val="left"/>
        <w:rPr>
          <w:rFonts w:ascii="宋体" w:hAnsi="宋体"/>
          <w:b/>
          <w:bCs/>
          <w:color w:val="auto"/>
          <w:sz w:val="32"/>
          <w:szCs w:val="32"/>
          <w:highlight w:val="none"/>
        </w:rPr>
      </w:pPr>
    </w:p>
    <w:p w14:paraId="2B4BDF20">
      <w:pPr>
        <w:spacing w:line="360" w:lineRule="auto"/>
        <w:ind w:right="420"/>
        <w:contextualSpacing/>
        <w:jc w:val="left"/>
        <w:rPr>
          <w:rFonts w:ascii="宋体" w:hAnsi="宋体"/>
          <w:b/>
          <w:bCs/>
          <w:color w:val="auto"/>
          <w:sz w:val="32"/>
          <w:szCs w:val="32"/>
          <w:highlight w:val="none"/>
        </w:rPr>
      </w:pPr>
    </w:p>
    <w:p w14:paraId="34ACE5A6">
      <w:pPr>
        <w:pStyle w:val="44"/>
        <w:ind w:firstLine="480"/>
        <w:rPr>
          <w:color w:val="auto"/>
          <w:highlight w:val="none"/>
        </w:rPr>
      </w:pPr>
    </w:p>
    <w:p w14:paraId="6D4EA0AB">
      <w:pPr>
        <w:rPr>
          <w:color w:val="auto"/>
          <w:highlight w:val="none"/>
        </w:rPr>
      </w:pPr>
    </w:p>
    <w:p w14:paraId="53555D12">
      <w:pPr>
        <w:pStyle w:val="44"/>
        <w:ind w:firstLine="480"/>
        <w:rPr>
          <w:color w:val="auto"/>
          <w:highlight w:val="none"/>
        </w:rPr>
      </w:pPr>
    </w:p>
    <w:p w14:paraId="76A02E4A">
      <w:pPr>
        <w:rPr>
          <w:color w:val="auto"/>
          <w:highlight w:val="none"/>
        </w:rPr>
      </w:pPr>
    </w:p>
    <w:p w14:paraId="4E5F7AAE">
      <w:pPr>
        <w:pStyle w:val="44"/>
        <w:ind w:firstLine="480"/>
        <w:rPr>
          <w:color w:val="auto"/>
          <w:highlight w:val="none"/>
        </w:rPr>
      </w:pPr>
    </w:p>
    <w:p w14:paraId="19009F3F">
      <w:pPr>
        <w:rPr>
          <w:color w:val="auto"/>
          <w:highlight w:val="none"/>
        </w:rPr>
      </w:pPr>
    </w:p>
    <w:p w14:paraId="246F49ED">
      <w:pPr>
        <w:pStyle w:val="44"/>
        <w:ind w:firstLine="480"/>
        <w:rPr>
          <w:color w:val="auto"/>
          <w:highlight w:val="none"/>
        </w:rPr>
      </w:pPr>
    </w:p>
    <w:p w14:paraId="219712F8">
      <w:pPr>
        <w:rPr>
          <w:color w:val="auto"/>
          <w:highlight w:val="none"/>
        </w:rPr>
      </w:pPr>
    </w:p>
    <w:p w14:paraId="79F4A14F">
      <w:pPr>
        <w:spacing w:line="360" w:lineRule="auto"/>
        <w:ind w:right="420"/>
        <w:contextualSpacing/>
        <w:jc w:val="left"/>
        <w:rPr>
          <w:rFonts w:hint="eastAsia" w:ascii="宋体" w:hAnsi="宋体"/>
          <w:b/>
          <w:bCs/>
          <w:color w:val="auto"/>
          <w:sz w:val="32"/>
          <w:szCs w:val="32"/>
          <w:highlight w:val="none"/>
        </w:rPr>
      </w:pPr>
    </w:p>
    <w:p w14:paraId="2AC44E8C">
      <w:pPr>
        <w:spacing w:line="360" w:lineRule="auto"/>
        <w:ind w:right="420"/>
        <w:contextualSpacing/>
        <w:jc w:val="left"/>
        <w:rPr>
          <w:rFonts w:ascii="宋体" w:hAnsi="宋体"/>
          <w:b/>
          <w:color w:val="auto"/>
          <w:sz w:val="32"/>
          <w:szCs w:val="32"/>
          <w:highlight w:val="none"/>
        </w:rPr>
      </w:pPr>
      <w:r>
        <w:rPr>
          <w:rFonts w:hint="eastAsia" w:ascii="宋体" w:hAnsi="宋体"/>
          <w:b/>
          <w:bCs/>
          <w:color w:val="auto"/>
          <w:sz w:val="32"/>
          <w:szCs w:val="32"/>
          <w:highlight w:val="none"/>
        </w:rPr>
        <w:t>二、</w:t>
      </w:r>
      <w:r>
        <w:rPr>
          <w:rFonts w:hint="eastAsia" w:ascii="宋体" w:hAnsi="宋体"/>
          <w:b/>
          <w:color w:val="auto"/>
          <w:sz w:val="32"/>
          <w:szCs w:val="32"/>
          <w:highlight w:val="none"/>
        </w:rPr>
        <w:t>报价文件格式</w:t>
      </w:r>
    </w:p>
    <w:p w14:paraId="70B75026">
      <w:pPr>
        <w:snapToGrid w:val="0"/>
        <w:spacing w:before="156"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1.报价文件封面格式</w:t>
      </w:r>
    </w:p>
    <w:p w14:paraId="1C0E64C1">
      <w:pPr>
        <w:snapToGrid w:val="0"/>
        <w:spacing w:before="156" w:beforeLines="50" w:after="50"/>
        <w:rPr>
          <w:rFonts w:ascii="宋体" w:hAnsi="宋体"/>
          <w:bCs/>
          <w:color w:val="auto"/>
          <w:sz w:val="32"/>
          <w:szCs w:val="20"/>
          <w:highlight w:val="none"/>
        </w:rPr>
      </w:pPr>
    </w:p>
    <w:p w14:paraId="67CBF2AD">
      <w:pPr>
        <w:snapToGrid w:val="0"/>
        <w:spacing w:before="156" w:beforeLines="50" w:after="50"/>
        <w:jc w:val="center"/>
        <w:rPr>
          <w:rFonts w:ascii="宋体" w:hAnsi="宋体"/>
          <w:color w:val="auto"/>
          <w:sz w:val="24"/>
          <w:szCs w:val="20"/>
          <w:highlight w:val="none"/>
        </w:rPr>
      </w:pPr>
      <w:r>
        <w:rPr>
          <w:rFonts w:hint="eastAsia" w:ascii="宋体" w:hAnsi="宋体"/>
          <w:color w:val="auto"/>
          <w:sz w:val="44"/>
          <w:szCs w:val="44"/>
          <w:highlight w:val="none"/>
        </w:rPr>
        <w:t>电子响应文件</w:t>
      </w:r>
    </w:p>
    <w:p w14:paraId="252B8150">
      <w:pPr>
        <w:snapToGrid w:val="0"/>
        <w:spacing w:before="156" w:beforeLines="50" w:after="50"/>
        <w:rPr>
          <w:rFonts w:ascii="宋体" w:hAnsi="宋体"/>
          <w:color w:val="auto"/>
          <w:sz w:val="24"/>
          <w:szCs w:val="20"/>
          <w:highlight w:val="none"/>
        </w:rPr>
      </w:pPr>
    </w:p>
    <w:p w14:paraId="790BD58F">
      <w:pPr>
        <w:snapToGrid w:val="0"/>
        <w:spacing w:before="156" w:beforeLines="50" w:after="50"/>
        <w:rPr>
          <w:rFonts w:ascii="宋体" w:hAnsi="宋体"/>
          <w:color w:val="auto"/>
          <w:sz w:val="24"/>
          <w:szCs w:val="20"/>
          <w:highlight w:val="none"/>
        </w:rPr>
      </w:pPr>
    </w:p>
    <w:p w14:paraId="24437804">
      <w:pPr>
        <w:snapToGrid w:val="0"/>
        <w:spacing w:before="156"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报价文件</w:t>
      </w:r>
    </w:p>
    <w:p w14:paraId="02A1D0AB">
      <w:pPr>
        <w:snapToGrid w:val="0"/>
        <w:spacing w:before="156" w:beforeLines="50" w:after="50"/>
        <w:rPr>
          <w:rFonts w:ascii="宋体" w:hAnsi="宋体"/>
          <w:bCs/>
          <w:color w:val="auto"/>
          <w:sz w:val="24"/>
          <w:szCs w:val="20"/>
          <w:highlight w:val="none"/>
        </w:rPr>
      </w:pPr>
    </w:p>
    <w:p w14:paraId="50FE521E">
      <w:pPr>
        <w:snapToGrid w:val="0"/>
        <w:spacing w:before="156" w:beforeLines="50" w:after="50"/>
        <w:rPr>
          <w:rFonts w:ascii="宋体" w:hAnsi="宋体"/>
          <w:bCs/>
          <w:color w:val="auto"/>
          <w:sz w:val="24"/>
          <w:szCs w:val="20"/>
          <w:highlight w:val="none"/>
        </w:rPr>
      </w:pPr>
    </w:p>
    <w:p w14:paraId="5C635C8A">
      <w:pPr>
        <w:snapToGrid w:val="0"/>
        <w:spacing w:before="156" w:beforeLines="50" w:after="50"/>
        <w:rPr>
          <w:rFonts w:ascii="宋体" w:hAnsi="宋体"/>
          <w:bCs/>
          <w:color w:val="auto"/>
          <w:sz w:val="24"/>
          <w:szCs w:val="20"/>
          <w:highlight w:val="none"/>
        </w:rPr>
      </w:pPr>
    </w:p>
    <w:p w14:paraId="4967163D">
      <w:pPr>
        <w:snapToGrid w:val="0"/>
        <w:spacing w:before="156" w:beforeLines="50" w:after="50"/>
        <w:rPr>
          <w:rFonts w:ascii="宋体" w:hAnsi="宋体"/>
          <w:bCs/>
          <w:color w:val="auto"/>
          <w:sz w:val="24"/>
          <w:szCs w:val="20"/>
          <w:highlight w:val="none"/>
        </w:rPr>
      </w:pPr>
    </w:p>
    <w:p w14:paraId="3F0D263A">
      <w:pPr>
        <w:snapToGrid w:val="0"/>
        <w:spacing w:before="156" w:beforeLines="50" w:after="50"/>
        <w:rPr>
          <w:rFonts w:ascii="宋体" w:hAnsi="宋体"/>
          <w:bCs/>
          <w:color w:val="auto"/>
          <w:sz w:val="24"/>
          <w:szCs w:val="20"/>
          <w:highlight w:val="none"/>
        </w:rPr>
      </w:pPr>
    </w:p>
    <w:p w14:paraId="4A80CF44">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58C6440D">
      <w:pPr>
        <w:snapToGrid w:val="0"/>
        <w:spacing w:before="156" w:beforeLines="50" w:after="50"/>
        <w:ind w:firstLine="720" w:firstLineChars="225"/>
        <w:rPr>
          <w:rFonts w:ascii="宋体" w:hAnsi="宋体" w:cs="仿宋_GB2312"/>
          <w:bCs/>
          <w:color w:val="auto"/>
          <w:sz w:val="32"/>
          <w:szCs w:val="32"/>
          <w:highlight w:val="none"/>
        </w:rPr>
      </w:pPr>
    </w:p>
    <w:p w14:paraId="7EFC20DC">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51668B4B">
      <w:pPr>
        <w:snapToGrid w:val="0"/>
        <w:spacing w:before="156" w:beforeLines="50" w:after="50"/>
        <w:ind w:firstLine="720" w:firstLineChars="225"/>
        <w:rPr>
          <w:rFonts w:ascii="宋体" w:hAnsi="宋体" w:cs="仿宋_GB2312"/>
          <w:bCs/>
          <w:color w:val="auto"/>
          <w:sz w:val="32"/>
          <w:szCs w:val="32"/>
          <w:highlight w:val="none"/>
        </w:rPr>
      </w:pPr>
    </w:p>
    <w:p w14:paraId="273FD1F1">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7C019BCD">
      <w:pPr>
        <w:snapToGrid w:val="0"/>
        <w:spacing w:before="156" w:beforeLines="50" w:after="50"/>
        <w:ind w:firstLine="720" w:firstLineChars="225"/>
        <w:rPr>
          <w:rFonts w:ascii="宋体" w:hAnsi="宋体" w:cs="仿宋_GB2312"/>
          <w:bCs/>
          <w:color w:val="auto"/>
          <w:sz w:val="32"/>
          <w:szCs w:val="32"/>
          <w:highlight w:val="none"/>
        </w:rPr>
      </w:pPr>
    </w:p>
    <w:p w14:paraId="0C7935C4">
      <w:pPr>
        <w:pStyle w:val="8"/>
        <w:snapToGrid w:val="0"/>
        <w:spacing w:before="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6BEBAC6F">
      <w:pPr>
        <w:pStyle w:val="8"/>
        <w:snapToGrid w:val="0"/>
        <w:spacing w:before="50" w:after="50"/>
        <w:ind w:firstLine="640" w:firstLineChars="200"/>
        <w:rPr>
          <w:rFonts w:ascii="宋体" w:hAnsi="宋体" w:cs="仿宋_GB2312"/>
          <w:bCs/>
          <w:color w:val="auto"/>
          <w:sz w:val="32"/>
          <w:szCs w:val="32"/>
          <w:highlight w:val="none"/>
        </w:rPr>
      </w:pPr>
    </w:p>
    <w:p w14:paraId="334EF883">
      <w:pPr>
        <w:pStyle w:val="8"/>
        <w:snapToGrid w:val="0"/>
        <w:spacing w:before="50" w:after="50"/>
        <w:ind w:firstLine="720" w:firstLineChars="225"/>
        <w:rPr>
          <w:rFonts w:ascii="宋体" w:hAnsi="宋体" w:cs="仿宋_GB2312"/>
          <w:bCs/>
          <w:color w:val="auto"/>
          <w:sz w:val="32"/>
          <w:szCs w:val="32"/>
          <w:highlight w:val="none"/>
        </w:rPr>
      </w:pPr>
    </w:p>
    <w:p w14:paraId="7DEFED34">
      <w:pPr>
        <w:pStyle w:val="8"/>
        <w:snapToGrid w:val="0"/>
        <w:spacing w:before="50" w:after="50"/>
        <w:ind w:firstLine="0"/>
        <w:rPr>
          <w:rFonts w:ascii="宋体" w:hAnsi="宋体" w:cs="仿宋_GB2312"/>
          <w:bCs/>
          <w:color w:val="auto"/>
          <w:sz w:val="32"/>
          <w:szCs w:val="32"/>
          <w:highlight w:val="none"/>
        </w:rPr>
      </w:pPr>
    </w:p>
    <w:p w14:paraId="4F1284C9">
      <w:pPr>
        <w:pStyle w:val="8"/>
        <w:snapToGrid w:val="0"/>
        <w:spacing w:before="50" w:after="50"/>
        <w:ind w:firstLine="1280" w:firstLineChars="400"/>
        <w:rPr>
          <w:rFonts w:ascii="宋体" w:hAnsi="宋体" w:cs="仿宋_GB2312"/>
          <w:bCs/>
          <w:color w:val="auto"/>
          <w:sz w:val="32"/>
          <w:szCs w:val="32"/>
          <w:highlight w:val="none"/>
        </w:rPr>
      </w:pPr>
    </w:p>
    <w:p w14:paraId="4A759944">
      <w:pPr>
        <w:snapToGrid w:val="0"/>
        <w:spacing w:before="156"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年月日</w:t>
      </w:r>
    </w:p>
    <w:p w14:paraId="221BCC8F">
      <w:pPr>
        <w:snapToGrid w:val="0"/>
        <w:spacing w:before="156" w:beforeLines="50" w:after="50" w:line="360" w:lineRule="auto"/>
        <w:ind w:left="142"/>
        <w:jc w:val="left"/>
        <w:rPr>
          <w:rFonts w:ascii="宋体" w:hAnsi="宋体"/>
          <w:b/>
          <w:bCs/>
          <w:color w:val="auto"/>
          <w:sz w:val="24"/>
          <w:highlight w:val="none"/>
        </w:rPr>
      </w:pPr>
      <w:r>
        <w:rPr>
          <w:rFonts w:hint="eastAsia" w:ascii="宋体" w:hAnsi="宋体"/>
          <w:color w:val="auto"/>
          <w:szCs w:val="21"/>
          <w:highlight w:val="none"/>
        </w:rPr>
        <w:br w:type="page"/>
      </w:r>
      <w:r>
        <w:rPr>
          <w:rFonts w:hint="eastAsia" w:ascii="宋体" w:hAnsi="宋体"/>
          <w:b/>
          <w:bCs/>
          <w:color w:val="auto"/>
          <w:sz w:val="32"/>
          <w:szCs w:val="32"/>
          <w:highlight w:val="none"/>
        </w:rPr>
        <w:t>2.报价文件目录</w:t>
      </w:r>
    </w:p>
    <w:p w14:paraId="679924FA">
      <w:pPr>
        <w:pStyle w:val="23"/>
        <w:spacing w:line="500" w:lineRule="exact"/>
        <w:jc w:val="center"/>
        <w:rPr>
          <w:rFonts w:ascii="方正小标宋简体" w:hAnsi="方正小标宋简体" w:eastAsia="方正小标宋简体" w:cs="方正小标宋简体"/>
          <w:bCs/>
          <w:color w:val="auto"/>
          <w:kern w:val="2"/>
          <w:sz w:val="44"/>
          <w:szCs w:val="44"/>
          <w:highlight w:val="none"/>
        </w:rPr>
      </w:pPr>
      <w:r>
        <w:rPr>
          <w:rFonts w:hint="eastAsia" w:hAnsi="宋体"/>
          <w:color w:val="auto"/>
          <w:sz w:val="32"/>
          <w:szCs w:val="32"/>
          <w:highlight w:val="none"/>
        </w:rPr>
        <w:t>根据磋商文件规定及供应商提供的材料自行编写目录（部分格式后附）。</w:t>
      </w:r>
      <w:r>
        <w:rPr>
          <w:rFonts w:hAnsi="宋体"/>
          <w:b/>
          <w:bCs/>
          <w:color w:val="auto"/>
          <w:sz w:val="32"/>
          <w:szCs w:val="32"/>
          <w:highlight w:val="none"/>
        </w:rPr>
        <w:br w:type="page"/>
      </w:r>
      <w:r>
        <w:rPr>
          <w:rFonts w:hint="eastAsia" w:ascii="方正小标宋简体" w:hAnsi="方正小标宋简体" w:eastAsia="方正小标宋简体" w:cs="方正小标宋简体"/>
          <w:bCs/>
          <w:color w:val="auto"/>
          <w:kern w:val="2"/>
          <w:sz w:val="44"/>
          <w:szCs w:val="44"/>
          <w:highlight w:val="none"/>
        </w:rPr>
        <w:t>响应函</w:t>
      </w:r>
    </w:p>
    <w:p w14:paraId="273AB97D">
      <w:pPr>
        <w:pStyle w:val="23"/>
        <w:spacing w:line="500" w:lineRule="exact"/>
        <w:rPr>
          <w:rFonts w:hAnsi="宋体" w:cs="宋体"/>
          <w:color w:val="auto"/>
          <w:sz w:val="32"/>
          <w:highlight w:val="none"/>
        </w:rPr>
      </w:pPr>
    </w:p>
    <w:p w14:paraId="7BB2D880">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[采购组织机构]：</w:t>
      </w:r>
    </w:p>
    <w:p w14:paraId="56B711F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我方已仔细阅读了贵方组织的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项目</w:t>
      </w:r>
      <w:r>
        <w:rPr>
          <w:rFonts w:hint="eastAsia" w:ascii="宋体" w:hAnsi="宋体" w:cs="宋体"/>
          <w:color w:val="auto"/>
          <w:sz w:val="24"/>
          <w:highlight w:val="none"/>
          <w:u w:val="single"/>
        </w:rPr>
        <w:t>（项目编号）</w:t>
      </w:r>
      <w:r>
        <w:rPr>
          <w:rFonts w:hint="eastAsia" w:ascii="宋体" w:hAnsi="宋体" w:cs="宋体"/>
          <w:color w:val="auto"/>
          <w:sz w:val="24"/>
          <w:highlight w:val="none"/>
        </w:rPr>
        <w:t>的竞争性磋商采购文件的全部内容，现正式递交下述文件参加贵方组织的本次政府采购活动：</w:t>
      </w:r>
    </w:p>
    <w:p w14:paraId="5CF221E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一、报价文件电子版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份（包含按“第二章 供应商须知”提交的全部文件）；</w:t>
      </w:r>
    </w:p>
    <w:p w14:paraId="64D53633">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二、技术文件电子版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份（包含按“第二章 供应商须知”提交的全部文件）；商务文件电子版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份（包含按“第二章 供应商须知”提交的全部文件）；（商务技术文件已合并装订成册）</w:t>
      </w:r>
    </w:p>
    <w:p w14:paraId="616D050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三、资格证明文件电子版（包含按“第二章供应商须知”提交的全部文件）；</w:t>
      </w:r>
    </w:p>
    <w:p w14:paraId="6C2DB58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据此函，签字人兹宣布：</w:t>
      </w:r>
    </w:p>
    <w:p w14:paraId="301B948B">
      <w:pPr>
        <w:spacing w:line="360" w:lineRule="auto"/>
        <w:ind w:firstLine="480" w:firstLineChars="200"/>
        <w:contextualSpacing/>
        <w:rPr>
          <w:rFonts w:hint="eastAsia" w:ascii="宋体" w:hAnsi="宋体" w:eastAsia="宋体" w:cs="宋体"/>
          <w:color w:val="auto"/>
          <w:sz w:val="24"/>
          <w:highlight w:val="none"/>
          <w:lang w:eastAsia="zh-CN"/>
        </w:rPr>
      </w:pPr>
      <w:r>
        <w:rPr>
          <w:rFonts w:hint="eastAsia" w:ascii="宋体" w:hAnsi="宋体" w:cs="宋体"/>
          <w:color w:val="auto"/>
          <w:sz w:val="24"/>
          <w:highlight w:val="none"/>
        </w:rPr>
        <w:t>1、我方愿意以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的竞标</w:t>
      </w:r>
      <w:r>
        <w:rPr>
          <w:rFonts w:hint="eastAsia" w:ascii="宋体" w:hAnsi="宋体" w:cs="宋体"/>
          <w:color w:val="auto"/>
          <w:sz w:val="24"/>
          <w:highlight w:val="none"/>
          <w:lang w:val="en-US" w:eastAsia="zh-CN"/>
        </w:rPr>
        <w:t>折扣率</w:t>
      </w:r>
      <w:r>
        <w:rPr>
          <w:rFonts w:hint="eastAsia" w:ascii="宋体" w:hAnsi="宋体" w:cs="宋体"/>
          <w:color w:val="auto"/>
          <w:sz w:val="24"/>
          <w:highlight w:val="none"/>
        </w:rPr>
        <w:t>，提供本项目竞争性磋商采购文件第三章“采购需求”中相应的采购内容</w:t>
      </w:r>
      <w:r>
        <w:rPr>
          <w:rFonts w:hint="eastAsia" w:ascii="宋体" w:hAnsi="宋体" w:cs="宋体"/>
          <w:color w:val="auto"/>
          <w:sz w:val="24"/>
          <w:highlight w:val="none"/>
          <w:lang w:eastAsia="zh-CN"/>
        </w:rPr>
        <w:t>；</w:t>
      </w:r>
    </w:p>
    <w:p w14:paraId="48FBD83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2、我方同意自本项目竞争性磋商采购文件采购公告规定的递交响应文件截止时间起遵循本响应函，并承诺在“第二章 供应商须知”规定的响应有效期内不修改、撤销响应文件。</w:t>
      </w:r>
    </w:p>
    <w:p w14:paraId="7965484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3、我方在此声明，所递交的响应文件及有关资料内容完整、真实和准确。</w:t>
      </w:r>
    </w:p>
    <w:p w14:paraId="4459F66C">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4、如本项目采购内容涉及须符合国家强制规定的，我方承诺我方本次竞标均符合国家有关强制规定。</w:t>
      </w:r>
    </w:p>
    <w:p w14:paraId="1A55E6E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51FDA24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6、我方已详细审核竞争性磋商采购文件，我方知道必须放弃提出含糊不清或误解问题的权利。</w:t>
      </w:r>
    </w:p>
    <w:p w14:paraId="1148178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7、我方承诺满足竞争性磋商采购文件第六章“合同文本”的条款，承担完成合同的责任和义务。</w:t>
      </w:r>
    </w:p>
    <w:p w14:paraId="12467AE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8、我方同意应贵方要求提供与本竞标有关的任何数据或资料。若贵方需要，我方愿意提供我方作出的一切承诺的证明材料。</w:t>
      </w:r>
    </w:p>
    <w:p w14:paraId="42F1195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9、我方完全理解贵方不一定接受响应报价最低的竞标人为成交供应商的行为。</w:t>
      </w:r>
    </w:p>
    <w:p w14:paraId="30CAA0D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6B6F62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 提供虚假材料谋取中标、成交的；</w:t>
      </w:r>
    </w:p>
    <w:p w14:paraId="70665EF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 采取不正当手段诋毁、排挤其他供应商的；</w:t>
      </w:r>
    </w:p>
    <w:p w14:paraId="0B2B0311">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 与采购人、其他供应商或者采购代理机构恶意串通的；</w:t>
      </w:r>
    </w:p>
    <w:p w14:paraId="2B35EA81">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 向采购人、采购代理机构行贿或者提供其他不正当利益的；</w:t>
      </w:r>
    </w:p>
    <w:p w14:paraId="3823A5B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 在采购过程中与采购人进行协商磋商的；</w:t>
      </w:r>
    </w:p>
    <w:p w14:paraId="65A46C1C">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 拒绝有关部门监督检查或提供虚假情况的。</w:t>
      </w:r>
    </w:p>
    <w:p w14:paraId="659C10F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11.与本磋商有关的一切正式往来信函请寄：</w:t>
      </w:r>
    </w:p>
    <w:p w14:paraId="587C2021">
      <w:pPr>
        <w:pStyle w:val="23"/>
        <w:spacing w:line="360" w:lineRule="auto"/>
        <w:ind w:firstLine="420"/>
        <w:rPr>
          <w:rFonts w:hAnsi="宋体" w:cs="宋体"/>
          <w:color w:val="auto"/>
          <w:sz w:val="24"/>
          <w:szCs w:val="24"/>
          <w:highlight w:val="none"/>
        </w:rPr>
      </w:pPr>
      <w:r>
        <w:rPr>
          <w:rFonts w:hint="eastAsia" w:hAnsi="宋体" w:cs="宋体"/>
          <w:color w:val="auto"/>
          <w:sz w:val="24"/>
          <w:szCs w:val="24"/>
          <w:highlight w:val="none"/>
        </w:rPr>
        <w:t>地址：</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44732C6D">
      <w:pPr>
        <w:pStyle w:val="23"/>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电话：</w:t>
      </w:r>
      <w:r>
        <w:rPr>
          <w:rFonts w:hint="eastAsia" w:hAnsi="宋体" w:cs="宋体"/>
          <w:color w:val="auto"/>
          <w:sz w:val="24"/>
          <w:szCs w:val="24"/>
          <w:highlight w:val="none"/>
          <w:u w:val="single"/>
        </w:rPr>
        <w:t xml:space="preserve">                                      　　　　　　　　　</w:t>
      </w:r>
    </w:p>
    <w:p w14:paraId="71E70875">
      <w:pPr>
        <w:pStyle w:val="23"/>
        <w:spacing w:line="360" w:lineRule="auto"/>
        <w:ind w:firstLine="420"/>
        <w:rPr>
          <w:rFonts w:hAnsi="宋体" w:cs="宋体"/>
          <w:color w:val="auto"/>
          <w:sz w:val="24"/>
          <w:szCs w:val="24"/>
          <w:highlight w:val="none"/>
        </w:rPr>
      </w:pPr>
      <w:r>
        <w:rPr>
          <w:rFonts w:hint="eastAsia" w:hAnsi="宋体" w:cs="宋体"/>
          <w:color w:val="auto"/>
          <w:sz w:val="24"/>
          <w:szCs w:val="24"/>
          <w:highlight w:val="none"/>
        </w:rPr>
        <w:t>传真：</w:t>
      </w:r>
      <w:r>
        <w:rPr>
          <w:rFonts w:hint="eastAsia" w:hAnsi="宋体" w:cs="宋体"/>
          <w:color w:val="auto"/>
          <w:sz w:val="24"/>
          <w:szCs w:val="24"/>
          <w:highlight w:val="none"/>
          <w:u w:val="single"/>
        </w:rPr>
        <w:t>　　　　　　　　　　　　　　　　　　　　　　　　　　　　</w:t>
      </w:r>
    </w:p>
    <w:p w14:paraId="2FE38450">
      <w:pPr>
        <w:pStyle w:val="23"/>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邮政编码：</w:t>
      </w:r>
      <w:r>
        <w:rPr>
          <w:rFonts w:hint="eastAsia" w:hAnsi="宋体" w:cs="宋体"/>
          <w:color w:val="auto"/>
          <w:sz w:val="24"/>
          <w:szCs w:val="24"/>
          <w:highlight w:val="none"/>
          <w:u w:val="single"/>
        </w:rPr>
        <w:t xml:space="preserve">                                                    </w:t>
      </w:r>
    </w:p>
    <w:p w14:paraId="41917371">
      <w:pPr>
        <w:pStyle w:val="23"/>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开户名称：</w:t>
      </w:r>
      <w:r>
        <w:rPr>
          <w:rFonts w:hint="eastAsia" w:hAnsi="宋体" w:cs="宋体"/>
          <w:color w:val="auto"/>
          <w:sz w:val="24"/>
          <w:szCs w:val="24"/>
          <w:highlight w:val="none"/>
          <w:u w:val="single"/>
        </w:rPr>
        <w:t xml:space="preserve">                                                    </w:t>
      </w:r>
    </w:p>
    <w:p w14:paraId="67CBDA2E">
      <w:pPr>
        <w:pStyle w:val="23"/>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开户银行：</w:t>
      </w:r>
      <w:r>
        <w:rPr>
          <w:rFonts w:hint="eastAsia" w:hAnsi="宋体" w:cs="宋体"/>
          <w:color w:val="auto"/>
          <w:sz w:val="24"/>
          <w:szCs w:val="24"/>
          <w:highlight w:val="none"/>
          <w:u w:val="single"/>
        </w:rPr>
        <w:t xml:space="preserve">                                                    </w:t>
      </w:r>
    </w:p>
    <w:p w14:paraId="59816846">
      <w:pPr>
        <w:pStyle w:val="23"/>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银行账号：</w:t>
      </w:r>
      <w:r>
        <w:rPr>
          <w:rFonts w:hint="eastAsia" w:hAnsi="宋体" w:cs="宋体"/>
          <w:color w:val="auto"/>
          <w:sz w:val="24"/>
          <w:szCs w:val="24"/>
          <w:highlight w:val="none"/>
          <w:u w:val="single"/>
        </w:rPr>
        <w:t xml:space="preserve">                                                    </w:t>
      </w:r>
    </w:p>
    <w:p w14:paraId="4FCBA29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特此承诺。</w:t>
      </w:r>
    </w:p>
    <w:p w14:paraId="5212408D">
      <w:pPr>
        <w:spacing w:line="360" w:lineRule="auto"/>
        <w:ind w:firstLine="480" w:firstLineChars="200"/>
        <w:contextualSpacing/>
        <w:rPr>
          <w:rFonts w:ascii="宋体" w:hAnsi="宋体" w:cs="宋体"/>
          <w:color w:val="auto"/>
          <w:sz w:val="24"/>
          <w:highlight w:val="none"/>
        </w:rPr>
      </w:pPr>
    </w:p>
    <w:p w14:paraId="4FF28CBF">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供应商名称（电子签章）：</w:t>
      </w:r>
    </w:p>
    <w:p w14:paraId="36FA4203">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日期：   年  月   日</w:t>
      </w:r>
    </w:p>
    <w:p w14:paraId="1B398AC1">
      <w:pPr>
        <w:spacing w:line="520" w:lineRule="exact"/>
        <w:jc w:val="center"/>
        <w:rPr>
          <w:rFonts w:ascii="方正小标宋简体" w:hAnsi="方正小标宋简体" w:eastAsia="方正小标宋简体" w:cs="方正小标宋简体"/>
          <w:bCs/>
          <w:color w:val="auto"/>
          <w:sz w:val="44"/>
          <w:szCs w:val="44"/>
          <w:highlight w:val="none"/>
        </w:rPr>
      </w:pPr>
    </w:p>
    <w:p w14:paraId="52AB2C6A">
      <w:pP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br w:type="page"/>
      </w:r>
    </w:p>
    <w:p w14:paraId="65298E13">
      <w:pPr>
        <w:spacing w:line="520" w:lineRule="exact"/>
        <w:jc w:val="center"/>
        <w:rPr>
          <w:rFonts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t>磋商报价表</w:t>
      </w:r>
    </w:p>
    <w:p w14:paraId="46D49E39">
      <w:pPr>
        <w:spacing w:line="440" w:lineRule="exact"/>
        <w:jc w:val="center"/>
        <w:rPr>
          <w:rFonts w:ascii="方正小标宋简体" w:hAnsi="方正小标宋简体" w:eastAsia="方正小标宋简体" w:cs="方正小标宋简体"/>
          <w:bCs/>
          <w:color w:val="auto"/>
          <w:sz w:val="32"/>
          <w:szCs w:val="32"/>
          <w:highlight w:val="none"/>
        </w:rPr>
      </w:pPr>
    </w:p>
    <w:p w14:paraId="6EF248FF">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项目名称：</w:t>
      </w:r>
    </w:p>
    <w:p w14:paraId="156660A5">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项目编号：</w:t>
      </w:r>
    </w:p>
    <w:p w14:paraId="2C88F746">
      <w:pPr>
        <w:spacing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分标（如有）：</w:t>
      </w:r>
    </w:p>
    <w:p w14:paraId="26BD15E4">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供应商名称：</w:t>
      </w:r>
    </w:p>
    <w:tbl>
      <w:tblPr>
        <w:tblStyle w:val="3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3342"/>
        <w:gridCol w:w="885"/>
        <w:gridCol w:w="4472"/>
      </w:tblGrid>
      <w:tr w14:paraId="5E9D8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1012" w:type="dxa"/>
            <w:tcBorders>
              <w:top w:val="single" w:color="auto" w:sz="4" w:space="0"/>
              <w:left w:val="single" w:color="auto" w:sz="4" w:space="0"/>
              <w:bottom w:val="single" w:color="auto" w:sz="4" w:space="0"/>
              <w:right w:val="single" w:color="auto" w:sz="4" w:space="0"/>
            </w:tcBorders>
            <w:vAlign w:val="center"/>
          </w:tcPr>
          <w:p w14:paraId="3C5F8138">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序号</w:t>
            </w:r>
          </w:p>
        </w:tc>
        <w:tc>
          <w:tcPr>
            <w:tcW w:w="3342" w:type="dxa"/>
            <w:tcBorders>
              <w:top w:val="single" w:color="auto" w:sz="4" w:space="0"/>
              <w:left w:val="single" w:color="auto" w:sz="4" w:space="0"/>
              <w:bottom w:val="single" w:color="auto" w:sz="4" w:space="0"/>
              <w:right w:val="single" w:color="auto" w:sz="4" w:space="0"/>
            </w:tcBorders>
            <w:vAlign w:val="center"/>
          </w:tcPr>
          <w:p w14:paraId="7417D821">
            <w:pPr>
              <w:spacing w:line="360" w:lineRule="auto"/>
              <w:jc w:val="center"/>
              <w:rPr>
                <w:rFonts w:ascii="宋体" w:hAnsi="宋体" w:cs="仿宋_GB2312"/>
                <w:color w:val="auto"/>
                <w:sz w:val="24"/>
                <w:highlight w:val="none"/>
              </w:rPr>
            </w:pPr>
            <w:r>
              <w:rPr>
                <w:rFonts w:hint="eastAsia" w:ascii="宋体" w:hAnsi="宋体"/>
                <w:b/>
                <w:color w:val="auto"/>
                <w:sz w:val="24"/>
                <w:highlight w:val="none"/>
              </w:rPr>
              <w:t>标的的名称</w:t>
            </w:r>
          </w:p>
        </w:tc>
        <w:tc>
          <w:tcPr>
            <w:tcW w:w="885" w:type="dxa"/>
            <w:tcBorders>
              <w:top w:val="single" w:color="auto" w:sz="4" w:space="0"/>
              <w:left w:val="single" w:color="auto" w:sz="4" w:space="0"/>
              <w:bottom w:val="single" w:color="auto" w:sz="4" w:space="0"/>
              <w:right w:val="single" w:color="auto" w:sz="4" w:space="0"/>
            </w:tcBorders>
            <w:vAlign w:val="center"/>
          </w:tcPr>
          <w:p w14:paraId="53F458BB">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数量</w:t>
            </w:r>
          </w:p>
        </w:tc>
        <w:tc>
          <w:tcPr>
            <w:tcW w:w="4472" w:type="dxa"/>
            <w:tcBorders>
              <w:top w:val="single" w:color="auto" w:sz="4" w:space="0"/>
              <w:left w:val="single" w:color="auto" w:sz="4" w:space="0"/>
              <w:bottom w:val="single" w:color="auto" w:sz="4" w:space="0"/>
              <w:right w:val="single" w:color="auto" w:sz="4" w:space="0"/>
            </w:tcBorders>
            <w:vAlign w:val="center"/>
          </w:tcPr>
          <w:p w14:paraId="40AB5BB6">
            <w:pPr>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竞标折扣率</w:t>
            </w:r>
          </w:p>
        </w:tc>
      </w:tr>
      <w:tr w14:paraId="7AB81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012" w:type="dxa"/>
            <w:tcBorders>
              <w:top w:val="single" w:color="auto" w:sz="4" w:space="0"/>
              <w:left w:val="single" w:color="auto" w:sz="4" w:space="0"/>
              <w:bottom w:val="single" w:color="auto" w:sz="4" w:space="0"/>
              <w:right w:val="single" w:color="auto" w:sz="4" w:space="0"/>
            </w:tcBorders>
            <w:vAlign w:val="center"/>
          </w:tcPr>
          <w:p w14:paraId="3DF907A8">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1</w:t>
            </w:r>
          </w:p>
        </w:tc>
        <w:tc>
          <w:tcPr>
            <w:tcW w:w="3342" w:type="dxa"/>
            <w:tcBorders>
              <w:top w:val="single" w:color="auto" w:sz="4" w:space="0"/>
              <w:left w:val="single" w:color="auto" w:sz="4" w:space="0"/>
              <w:bottom w:val="single" w:color="auto" w:sz="4" w:space="0"/>
              <w:right w:val="single" w:color="auto" w:sz="4" w:space="0"/>
            </w:tcBorders>
            <w:vAlign w:val="center"/>
          </w:tcPr>
          <w:p w14:paraId="10EADD31">
            <w:pPr>
              <w:spacing w:line="360" w:lineRule="auto"/>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eastAsia="zh-CN"/>
              </w:rPr>
              <w:t>2025年度服务保障物资（材料购置）供应配送服务</w:t>
            </w:r>
          </w:p>
        </w:tc>
        <w:tc>
          <w:tcPr>
            <w:tcW w:w="885" w:type="dxa"/>
            <w:tcBorders>
              <w:top w:val="single" w:color="auto" w:sz="4" w:space="0"/>
              <w:left w:val="single" w:color="auto" w:sz="4" w:space="0"/>
              <w:bottom w:val="single" w:color="auto" w:sz="4" w:space="0"/>
              <w:right w:val="single" w:color="auto" w:sz="4" w:space="0"/>
            </w:tcBorders>
            <w:vAlign w:val="center"/>
          </w:tcPr>
          <w:p w14:paraId="05BDCC6C">
            <w:pPr>
              <w:spacing w:line="360" w:lineRule="auto"/>
              <w:jc w:val="center"/>
              <w:rPr>
                <w:rFonts w:ascii="宋体" w:hAnsi="宋体" w:cs="仿宋_GB2312"/>
                <w:color w:val="auto"/>
                <w:sz w:val="24"/>
                <w:highlight w:val="none"/>
              </w:rPr>
            </w:pPr>
            <w:r>
              <w:rPr>
                <w:rFonts w:ascii="宋体" w:hAnsi="宋体" w:cs="仿宋_GB2312"/>
                <w:color w:val="auto"/>
                <w:sz w:val="24"/>
                <w:highlight w:val="none"/>
              </w:rPr>
              <w:t>1</w:t>
            </w:r>
            <w:r>
              <w:rPr>
                <w:rFonts w:hint="eastAsia" w:ascii="宋体" w:hAnsi="宋体" w:cs="仿宋_GB2312"/>
                <w:color w:val="auto"/>
                <w:sz w:val="24"/>
                <w:highlight w:val="none"/>
              </w:rPr>
              <w:t>项</w:t>
            </w:r>
          </w:p>
        </w:tc>
        <w:tc>
          <w:tcPr>
            <w:tcW w:w="4472" w:type="dxa"/>
            <w:tcBorders>
              <w:top w:val="single" w:color="auto" w:sz="4" w:space="0"/>
              <w:left w:val="single" w:color="auto" w:sz="4" w:space="0"/>
              <w:bottom w:val="single" w:color="auto" w:sz="4" w:space="0"/>
              <w:right w:val="single" w:color="auto" w:sz="4" w:space="0"/>
            </w:tcBorders>
            <w:vAlign w:val="center"/>
          </w:tcPr>
          <w:p w14:paraId="53D9286A">
            <w:pPr>
              <w:spacing w:line="360" w:lineRule="auto"/>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u w:val="single"/>
                <w:lang w:val="en-US" w:eastAsia="zh-CN"/>
              </w:rPr>
              <w:t xml:space="preserve">         </w:t>
            </w:r>
            <w:r>
              <w:rPr>
                <w:rFonts w:hint="eastAsia" w:ascii="宋体" w:hAnsi="宋体" w:cs="仿宋_GB2312"/>
                <w:color w:val="auto"/>
                <w:sz w:val="24"/>
                <w:highlight w:val="none"/>
                <w:lang w:val="en-US" w:eastAsia="zh-CN"/>
              </w:rPr>
              <w:t>%</w:t>
            </w:r>
          </w:p>
        </w:tc>
      </w:tr>
      <w:tr w14:paraId="06FE3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711" w:type="dxa"/>
            <w:gridSpan w:val="4"/>
            <w:tcBorders>
              <w:top w:val="single" w:color="auto" w:sz="4" w:space="0"/>
              <w:left w:val="single" w:color="auto" w:sz="4" w:space="0"/>
              <w:bottom w:val="single" w:color="auto" w:sz="4" w:space="0"/>
              <w:right w:val="single" w:color="auto" w:sz="4" w:space="0"/>
            </w:tcBorders>
            <w:vAlign w:val="center"/>
          </w:tcPr>
          <w:p w14:paraId="52DB6D8C">
            <w:pPr>
              <w:numPr>
                <w:ilvl w:val="0"/>
                <w:numId w:val="0"/>
              </w:numPr>
              <w:snapToGrid w:val="0"/>
              <w:spacing w:before="50" w:after="50" w:line="360" w:lineRule="auto"/>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备注：供应商按折扣率进行报价，供应商应当对整个采购清单作统一的折扣率报价，供应商所报的折扣率应当适用于每一项货品。折扣率有效范围为0%-100%，实际供货单价=每项货品的参考单价*（1—成交折扣率）。例：某项货品参考单价为100元，供应商报价的折扣率为10%，则该项货品的供货单价为100元*（1-10%）=90元。</w:t>
            </w:r>
          </w:p>
        </w:tc>
      </w:tr>
    </w:tbl>
    <w:p w14:paraId="699AD885">
      <w:pPr>
        <w:spacing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 xml:space="preserve">注: </w:t>
      </w:r>
    </w:p>
    <w:p w14:paraId="7A931AD0">
      <w:pPr>
        <w:spacing w:line="360" w:lineRule="auto"/>
        <w:ind w:firstLine="480" w:firstLineChars="200"/>
        <w:contextualSpacing/>
        <w:jc w:val="left"/>
        <w:rPr>
          <w:rFonts w:ascii="宋体" w:hAnsi="宋体" w:cs="仿宋_GB2312"/>
          <w:color w:val="auto"/>
          <w:sz w:val="24"/>
          <w:highlight w:val="none"/>
        </w:rPr>
      </w:pPr>
      <w:r>
        <w:rPr>
          <w:rFonts w:hint="eastAsia" w:ascii="宋体" w:hAnsi="宋体" w:cs="仿宋_GB2312"/>
          <w:color w:val="auto"/>
          <w:sz w:val="24"/>
          <w:highlight w:val="none"/>
        </w:rPr>
        <w:t>1. 供应商的报价表必须加盖供应商电子签章并由法定代表人或者委托代理人签字或者电子签名，</w:t>
      </w:r>
      <w:r>
        <w:rPr>
          <w:rFonts w:hint="eastAsia" w:ascii="宋体" w:hAnsi="宋体" w:cs="仿宋_GB2312"/>
          <w:b/>
          <w:color w:val="auto"/>
          <w:sz w:val="24"/>
          <w:highlight w:val="none"/>
        </w:rPr>
        <w:t>否则其响应文件按无效处理</w:t>
      </w:r>
      <w:r>
        <w:rPr>
          <w:rFonts w:hint="eastAsia" w:ascii="宋体" w:hAnsi="宋体" w:cs="仿宋_GB2312"/>
          <w:color w:val="auto"/>
          <w:sz w:val="24"/>
          <w:highlight w:val="none"/>
        </w:rPr>
        <w:t>。</w:t>
      </w:r>
    </w:p>
    <w:p w14:paraId="70A03AA4">
      <w:pPr>
        <w:spacing w:line="360" w:lineRule="auto"/>
        <w:ind w:firstLine="480" w:firstLineChars="200"/>
        <w:contextualSpacing/>
        <w:jc w:val="left"/>
        <w:rPr>
          <w:rFonts w:ascii="宋体" w:hAnsi="宋体" w:cs="仿宋_GB2312"/>
          <w:b/>
          <w:color w:val="auto"/>
          <w:sz w:val="24"/>
          <w:highlight w:val="none"/>
        </w:rPr>
      </w:pPr>
      <w:r>
        <w:rPr>
          <w:rFonts w:hint="eastAsia" w:ascii="宋体" w:hAnsi="宋体" w:cs="仿宋_GB2312"/>
          <w:bCs/>
          <w:color w:val="auto"/>
          <w:sz w:val="24"/>
          <w:highlight w:val="none"/>
        </w:rPr>
        <w:t>2.</w:t>
      </w:r>
      <w:r>
        <w:rPr>
          <w:rFonts w:hint="eastAsia" w:ascii="宋体" w:hAnsi="宋体" w:cs="仿宋_GB2312"/>
          <w:color w:val="auto"/>
          <w:sz w:val="24"/>
          <w:highlight w:val="none"/>
        </w:rPr>
        <w:t>报价一经涂改，应在涂改处加盖供应商公章或者加盖电子签章或者由法定代表人或者授权委托人签字</w:t>
      </w:r>
      <w:r>
        <w:rPr>
          <w:rFonts w:hint="eastAsia" w:ascii="宋体" w:hAnsi="宋体"/>
          <w:color w:val="auto"/>
          <w:sz w:val="24"/>
          <w:highlight w:val="none"/>
        </w:rPr>
        <w:t>（或者电子签名）</w:t>
      </w:r>
      <w:r>
        <w:rPr>
          <w:rFonts w:hint="eastAsia" w:ascii="宋体" w:hAnsi="宋体" w:cs="仿宋_GB2312"/>
          <w:b/>
          <w:color w:val="auto"/>
          <w:sz w:val="24"/>
          <w:highlight w:val="none"/>
        </w:rPr>
        <w:t>，否则其响应文件按无效处理。</w:t>
      </w:r>
    </w:p>
    <w:p w14:paraId="64403F5E">
      <w:pPr>
        <w:spacing w:line="360" w:lineRule="auto"/>
        <w:ind w:firstLine="480" w:firstLineChars="200"/>
        <w:contextualSpacing/>
        <w:jc w:val="left"/>
        <w:rPr>
          <w:rFonts w:ascii="宋体" w:hAnsi="宋体" w:cs="仿宋_GB2312"/>
          <w:b/>
          <w:color w:val="auto"/>
          <w:sz w:val="24"/>
          <w:highlight w:val="none"/>
        </w:rPr>
      </w:pPr>
      <w:r>
        <w:rPr>
          <w:rFonts w:ascii="宋体" w:hAnsi="宋体" w:cs="仿宋_GB2312"/>
          <w:color w:val="auto"/>
          <w:sz w:val="24"/>
          <w:highlight w:val="none"/>
        </w:rPr>
        <w:t>3</w:t>
      </w:r>
      <w:r>
        <w:rPr>
          <w:rFonts w:hint="eastAsia" w:ascii="宋体" w:hAnsi="宋体" w:cs="仿宋_GB2312"/>
          <w:color w:val="auto"/>
          <w:sz w:val="24"/>
          <w:highlight w:val="none"/>
        </w:rPr>
        <w:t>.如为联合体竞标，“供应商名称”处必须列明联合体各方名称，标注联合体牵头人名称，</w:t>
      </w:r>
      <w:r>
        <w:rPr>
          <w:rFonts w:hint="eastAsia" w:ascii="宋体" w:hAnsi="宋体" w:cs="仿宋_GB2312"/>
          <w:b/>
          <w:color w:val="auto"/>
          <w:sz w:val="24"/>
          <w:highlight w:val="none"/>
        </w:rPr>
        <w:t>否则其响应文件按无效响应处理。</w:t>
      </w:r>
    </w:p>
    <w:p w14:paraId="4A6AF660">
      <w:pPr>
        <w:spacing w:line="360" w:lineRule="auto"/>
        <w:ind w:firstLine="480" w:firstLineChars="200"/>
        <w:contextualSpacing/>
        <w:jc w:val="left"/>
        <w:rPr>
          <w:rFonts w:ascii="宋体" w:hAnsi="宋体" w:cs="仿宋_GB2312"/>
          <w:color w:val="auto"/>
          <w:sz w:val="24"/>
          <w:highlight w:val="none"/>
        </w:rPr>
      </w:pPr>
      <w:r>
        <w:rPr>
          <w:rFonts w:ascii="宋体" w:hAnsi="宋体" w:cs="仿宋_GB2312"/>
          <w:color w:val="auto"/>
          <w:sz w:val="24"/>
          <w:highlight w:val="none"/>
        </w:rPr>
        <w:t>4</w:t>
      </w:r>
      <w:r>
        <w:rPr>
          <w:rFonts w:hint="eastAsia" w:ascii="宋体" w:hAnsi="宋体" w:cs="仿宋_GB2312"/>
          <w:color w:val="auto"/>
          <w:sz w:val="24"/>
          <w:highlight w:val="none"/>
        </w:rPr>
        <w:t>. 如为联合体竞标，</w:t>
      </w:r>
      <w:r>
        <w:rPr>
          <w:rFonts w:hint="eastAsia" w:ascii="宋体" w:hAnsi="宋体"/>
          <w:color w:val="auto"/>
          <w:spacing w:val="-6"/>
          <w:sz w:val="24"/>
          <w:highlight w:val="none"/>
        </w:rPr>
        <w:t>盖章处须加盖联合体牵头人电子签章</w:t>
      </w:r>
      <w:r>
        <w:rPr>
          <w:rFonts w:hint="eastAsia" w:ascii="宋体" w:hAnsi="宋体" w:cs="仿宋_GB2312"/>
          <w:color w:val="auto"/>
          <w:sz w:val="24"/>
          <w:highlight w:val="none"/>
        </w:rPr>
        <w:t>，</w:t>
      </w:r>
      <w:r>
        <w:rPr>
          <w:rFonts w:hint="eastAsia" w:ascii="宋体" w:hAnsi="宋体" w:cs="仿宋_GB2312"/>
          <w:b/>
          <w:color w:val="auto"/>
          <w:sz w:val="24"/>
          <w:highlight w:val="none"/>
        </w:rPr>
        <w:t>否则其响应文件按无效处理。</w:t>
      </w:r>
    </w:p>
    <w:p w14:paraId="3E73140B">
      <w:pPr>
        <w:spacing w:line="360" w:lineRule="auto"/>
        <w:ind w:firstLine="480" w:firstLineChars="200"/>
        <w:contextualSpacing/>
        <w:rPr>
          <w:rFonts w:ascii="宋体" w:hAnsi="宋体" w:cs="仿宋_GB2312"/>
          <w:color w:val="auto"/>
          <w:sz w:val="24"/>
          <w:highlight w:val="none"/>
        </w:rPr>
      </w:pPr>
      <w:r>
        <w:rPr>
          <w:rFonts w:ascii="宋体" w:hAnsi="宋体" w:cs="仿宋_GB2312"/>
          <w:color w:val="auto"/>
          <w:sz w:val="24"/>
          <w:highlight w:val="none"/>
        </w:rPr>
        <w:t>5</w:t>
      </w:r>
      <w:r>
        <w:rPr>
          <w:rFonts w:hint="eastAsia" w:ascii="宋体" w:hAnsi="宋体" w:cs="仿宋_GB2312"/>
          <w:color w:val="auto"/>
          <w:sz w:val="24"/>
          <w:highlight w:val="none"/>
        </w:rPr>
        <w:t>.</w:t>
      </w:r>
      <w:r>
        <w:rPr>
          <w:rFonts w:hint="eastAsia" w:ascii="宋体" w:hAnsi="宋体" w:cs="仿宋_GB2312"/>
          <w:color w:val="auto"/>
          <w:spacing w:val="-6"/>
          <w:sz w:val="24"/>
          <w:highlight w:val="none"/>
        </w:rPr>
        <w:t>如有多分标，分别列明各分标的报价表，</w:t>
      </w:r>
      <w:r>
        <w:rPr>
          <w:rFonts w:hint="eastAsia" w:ascii="宋体" w:hAnsi="宋体" w:cs="仿宋_GB2312"/>
          <w:b/>
          <w:color w:val="auto"/>
          <w:spacing w:val="-6"/>
          <w:sz w:val="24"/>
          <w:highlight w:val="none"/>
        </w:rPr>
        <w:t>否则其响应文件按无效响应处理。</w:t>
      </w:r>
    </w:p>
    <w:p w14:paraId="76024597">
      <w:pPr>
        <w:spacing w:line="360" w:lineRule="auto"/>
        <w:ind w:right="-817" w:rightChars="-389"/>
        <w:contextualSpacing/>
        <w:rPr>
          <w:rFonts w:ascii="宋体" w:hAnsi="宋体" w:cs="仿宋_GB2312"/>
          <w:color w:val="auto"/>
          <w:sz w:val="24"/>
          <w:highlight w:val="none"/>
        </w:rPr>
      </w:pPr>
    </w:p>
    <w:p w14:paraId="3E4AA2C3">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68876C6F">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供应商（电子签章）：</w:t>
      </w:r>
    </w:p>
    <w:p w14:paraId="6C6B53AE">
      <w:pPr>
        <w:spacing w:line="360" w:lineRule="auto"/>
        <w:ind w:right="-817" w:rightChars="-389" w:firstLine="4080" w:firstLineChars="1700"/>
        <w:contextualSpacing/>
        <w:rPr>
          <w:rFonts w:ascii="宋体" w:hAnsi="宋体" w:cs="仿宋_GB2312"/>
          <w:b/>
          <w:color w:val="auto"/>
          <w:sz w:val="24"/>
          <w:highlight w:val="none"/>
        </w:rPr>
      </w:pPr>
      <w:r>
        <w:rPr>
          <w:rFonts w:hint="eastAsia" w:ascii="宋体" w:hAnsi="宋体" w:cs="仿宋_GB2312"/>
          <w:color w:val="auto"/>
          <w:sz w:val="24"/>
          <w:highlight w:val="none"/>
        </w:rPr>
        <w:t>日期：年月日</w:t>
      </w:r>
    </w:p>
    <w:p w14:paraId="74711C51">
      <w:pPr>
        <w:spacing w:line="360" w:lineRule="auto"/>
        <w:ind w:right="420"/>
        <w:contextualSpacing/>
        <w:jc w:val="left"/>
        <w:rPr>
          <w:rFonts w:ascii="宋体" w:hAnsi="宋体"/>
          <w:b/>
          <w:color w:val="auto"/>
          <w:sz w:val="32"/>
          <w:szCs w:val="32"/>
          <w:highlight w:val="none"/>
        </w:rPr>
      </w:pPr>
      <w:r>
        <w:rPr>
          <w:rFonts w:ascii="宋体" w:hAnsi="宋体"/>
          <w:b/>
          <w:bCs/>
          <w:color w:val="auto"/>
          <w:sz w:val="32"/>
          <w:szCs w:val="32"/>
          <w:highlight w:val="none"/>
        </w:rPr>
        <w:br w:type="page"/>
      </w:r>
      <w:r>
        <w:rPr>
          <w:rFonts w:hint="eastAsia" w:ascii="宋体" w:hAnsi="宋体"/>
          <w:b/>
          <w:bCs/>
          <w:color w:val="auto"/>
          <w:sz w:val="32"/>
          <w:szCs w:val="32"/>
          <w:highlight w:val="none"/>
        </w:rPr>
        <w:t>三、</w:t>
      </w:r>
      <w:r>
        <w:rPr>
          <w:rFonts w:hint="eastAsia" w:ascii="宋体" w:hAnsi="宋体"/>
          <w:b/>
          <w:color w:val="auto"/>
          <w:sz w:val="32"/>
          <w:szCs w:val="32"/>
          <w:highlight w:val="none"/>
        </w:rPr>
        <w:t>商务技术文件格式</w:t>
      </w:r>
    </w:p>
    <w:p w14:paraId="2D7A9C4B">
      <w:pPr>
        <w:snapToGrid w:val="0"/>
        <w:spacing w:before="156"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1.商务技术文件封面格式</w:t>
      </w:r>
    </w:p>
    <w:p w14:paraId="7668E121">
      <w:pPr>
        <w:snapToGrid w:val="0"/>
        <w:spacing w:before="156" w:beforeLines="50" w:after="50"/>
        <w:rPr>
          <w:rFonts w:ascii="宋体" w:hAnsi="宋体"/>
          <w:bCs/>
          <w:color w:val="auto"/>
          <w:sz w:val="32"/>
          <w:szCs w:val="20"/>
          <w:highlight w:val="none"/>
        </w:rPr>
      </w:pPr>
    </w:p>
    <w:p w14:paraId="26F67860">
      <w:pPr>
        <w:snapToGrid w:val="0"/>
        <w:spacing w:before="156" w:beforeLines="50" w:after="50"/>
        <w:jc w:val="center"/>
        <w:rPr>
          <w:rFonts w:ascii="宋体" w:hAnsi="宋体"/>
          <w:color w:val="auto"/>
          <w:sz w:val="24"/>
          <w:szCs w:val="20"/>
          <w:highlight w:val="none"/>
        </w:rPr>
      </w:pPr>
      <w:r>
        <w:rPr>
          <w:rFonts w:hint="eastAsia" w:ascii="宋体" w:hAnsi="宋体"/>
          <w:color w:val="auto"/>
          <w:sz w:val="44"/>
          <w:szCs w:val="44"/>
          <w:highlight w:val="none"/>
        </w:rPr>
        <w:t>电子响应文件</w:t>
      </w:r>
    </w:p>
    <w:p w14:paraId="4A2E3908">
      <w:pPr>
        <w:snapToGrid w:val="0"/>
        <w:spacing w:before="156" w:beforeLines="50" w:after="50"/>
        <w:rPr>
          <w:rFonts w:ascii="宋体" w:hAnsi="宋体"/>
          <w:color w:val="auto"/>
          <w:sz w:val="24"/>
          <w:szCs w:val="20"/>
          <w:highlight w:val="none"/>
        </w:rPr>
      </w:pPr>
    </w:p>
    <w:p w14:paraId="491AF97E">
      <w:pPr>
        <w:snapToGrid w:val="0"/>
        <w:spacing w:before="156" w:beforeLines="50" w:after="50"/>
        <w:rPr>
          <w:rFonts w:ascii="宋体" w:hAnsi="宋体"/>
          <w:color w:val="auto"/>
          <w:sz w:val="24"/>
          <w:szCs w:val="20"/>
          <w:highlight w:val="none"/>
        </w:rPr>
      </w:pPr>
    </w:p>
    <w:p w14:paraId="2105DD33">
      <w:pPr>
        <w:snapToGrid w:val="0"/>
        <w:spacing w:before="156"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商务技术文件</w:t>
      </w:r>
    </w:p>
    <w:p w14:paraId="5D72FD6B">
      <w:pPr>
        <w:snapToGrid w:val="0"/>
        <w:spacing w:before="156" w:beforeLines="50" w:after="50"/>
        <w:rPr>
          <w:rFonts w:ascii="宋体" w:hAnsi="宋体"/>
          <w:bCs/>
          <w:color w:val="auto"/>
          <w:sz w:val="24"/>
          <w:szCs w:val="20"/>
          <w:highlight w:val="none"/>
        </w:rPr>
      </w:pPr>
    </w:p>
    <w:p w14:paraId="4E01FEFF">
      <w:pPr>
        <w:snapToGrid w:val="0"/>
        <w:spacing w:before="156" w:beforeLines="50" w:after="50"/>
        <w:rPr>
          <w:rFonts w:ascii="宋体" w:hAnsi="宋体"/>
          <w:bCs/>
          <w:color w:val="auto"/>
          <w:sz w:val="24"/>
          <w:szCs w:val="20"/>
          <w:highlight w:val="none"/>
        </w:rPr>
      </w:pPr>
    </w:p>
    <w:p w14:paraId="14FE3348">
      <w:pPr>
        <w:snapToGrid w:val="0"/>
        <w:spacing w:before="156" w:beforeLines="50" w:after="50"/>
        <w:rPr>
          <w:rFonts w:ascii="宋体" w:hAnsi="宋体"/>
          <w:bCs/>
          <w:color w:val="auto"/>
          <w:sz w:val="24"/>
          <w:szCs w:val="20"/>
          <w:highlight w:val="none"/>
        </w:rPr>
      </w:pPr>
    </w:p>
    <w:p w14:paraId="45C89D1C">
      <w:pPr>
        <w:snapToGrid w:val="0"/>
        <w:spacing w:before="156" w:beforeLines="50" w:after="50"/>
        <w:rPr>
          <w:rFonts w:ascii="宋体" w:hAnsi="宋体"/>
          <w:bCs/>
          <w:color w:val="auto"/>
          <w:sz w:val="24"/>
          <w:szCs w:val="20"/>
          <w:highlight w:val="none"/>
        </w:rPr>
      </w:pPr>
    </w:p>
    <w:p w14:paraId="2474B127">
      <w:pPr>
        <w:snapToGrid w:val="0"/>
        <w:spacing w:before="156" w:beforeLines="50" w:after="50"/>
        <w:rPr>
          <w:rFonts w:ascii="宋体" w:hAnsi="宋体"/>
          <w:bCs/>
          <w:color w:val="auto"/>
          <w:sz w:val="24"/>
          <w:szCs w:val="20"/>
          <w:highlight w:val="none"/>
        </w:rPr>
      </w:pPr>
    </w:p>
    <w:p w14:paraId="790E7FB1">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1B37BFEC">
      <w:pPr>
        <w:snapToGrid w:val="0"/>
        <w:spacing w:before="156" w:beforeLines="50" w:after="50"/>
        <w:ind w:firstLine="720" w:firstLineChars="225"/>
        <w:rPr>
          <w:rFonts w:ascii="宋体" w:hAnsi="宋体" w:cs="仿宋_GB2312"/>
          <w:bCs/>
          <w:color w:val="auto"/>
          <w:sz w:val="32"/>
          <w:szCs w:val="32"/>
          <w:highlight w:val="none"/>
        </w:rPr>
      </w:pPr>
    </w:p>
    <w:p w14:paraId="5FEDDF3E">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5A912B8E">
      <w:pPr>
        <w:snapToGrid w:val="0"/>
        <w:spacing w:before="156" w:beforeLines="50" w:after="50"/>
        <w:ind w:firstLine="720" w:firstLineChars="225"/>
        <w:rPr>
          <w:rFonts w:ascii="宋体" w:hAnsi="宋体" w:cs="仿宋_GB2312"/>
          <w:bCs/>
          <w:color w:val="auto"/>
          <w:sz w:val="32"/>
          <w:szCs w:val="32"/>
          <w:highlight w:val="none"/>
        </w:rPr>
      </w:pPr>
    </w:p>
    <w:p w14:paraId="7572E929">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0BA9A870">
      <w:pPr>
        <w:snapToGrid w:val="0"/>
        <w:spacing w:before="156" w:beforeLines="50" w:after="50"/>
        <w:ind w:firstLine="720" w:firstLineChars="225"/>
        <w:rPr>
          <w:rFonts w:ascii="宋体" w:hAnsi="宋体" w:cs="仿宋_GB2312"/>
          <w:bCs/>
          <w:color w:val="auto"/>
          <w:sz w:val="32"/>
          <w:szCs w:val="32"/>
          <w:highlight w:val="none"/>
        </w:rPr>
      </w:pPr>
    </w:p>
    <w:p w14:paraId="5F867BC9">
      <w:pPr>
        <w:pStyle w:val="8"/>
        <w:snapToGrid w:val="0"/>
        <w:spacing w:before="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193E39C1">
      <w:pPr>
        <w:pStyle w:val="8"/>
        <w:snapToGrid w:val="0"/>
        <w:spacing w:before="50" w:after="50"/>
        <w:ind w:firstLine="640" w:firstLineChars="200"/>
        <w:rPr>
          <w:rFonts w:ascii="宋体" w:hAnsi="宋体" w:cs="仿宋_GB2312"/>
          <w:bCs/>
          <w:color w:val="auto"/>
          <w:sz w:val="32"/>
          <w:szCs w:val="32"/>
          <w:highlight w:val="none"/>
        </w:rPr>
      </w:pPr>
    </w:p>
    <w:p w14:paraId="2EF84F85">
      <w:pPr>
        <w:pStyle w:val="8"/>
        <w:snapToGrid w:val="0"/>
        <w:spacing w:before="50" w:after="50"/>
        <w:ind w:firstLine="720" w:firstLineChars="225"/>
        <w:rPr>
          <w:rFonts w:ascii="宋体" w:hAnsi="宋体" w:cs="仿宋_GB2312"/>
          <w:bCs/>
          <w:color w:val="auto"/>
          <w:sz w:val="32"/>
          <w:szCs w:val="32"/>
          <w:highlight w:val="none"/>
        </w:rPr>
      </w:pPr>
    </w:p>
    <w:p w14:paraId="166A4691">
      <w:pPr>
        <w:pStyle w:val="8"/>
        <w:snapToGrid w:val="0"/>
        <w:spacing w:before="50" w:after="50"/>
        <w:ind w:firstLine="0"/>
        <w:rPr>
          <w:rFonts w:ascii="宋体" w:hAnsi="宋体" w:cs="仿宋_GB2312"/>
          <w:bCs/>
          <w:color w:val="auto"/>
          <w:sz w:val="32"/>
          <w:szCs w:val="32"/>
          <w:highlight w:val="none"/>
        </w:rPr>
      </w:pPr>
    </w:p>
    <w:p w14:paraId="7A2AE078">
      <w:pPr>
        <w:pStyle w:val="8"/>
        <w:snapToGrid w:val="0"/>
        <w:spacing w:before="50" w:after="50"/>
        <w:ind w:firstLine="1280" w:firstLineChars="400"/>
        <w:rPr>
          <w:rFonts w:ascii="宋体" w:hAnsi="宋体" w:cs="仿宋_GB2312"/>
          <w:bCs/>
          <w:color w:val="auto"/>
          <w:sz w:val="32"/>
          <w:szCs w:val="32"/>
          <w:highlight w:val="none"/>
        </w:rPr>
      </w:pPr>
    </w:p>
    <w:p w14:paraId="10854B01">
      <w:pPr>
        <w:snapToGrid w:val="0"/>
        <w:spacing w:before="156"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年月日</w:t>
      </w:r>
    </w:p>
    <w:p w14:paraId="282E4310">
      <w:pPr>
        <w:snapToGrid w:val="0"/>
        <w:spacing w:before="156" w:beforeLines="50" w:after="50" w:line="360" w:lineRule="auto"/>
        <w:ind w:right="480" w:firstLine="240" w:firstLineChars="100"/>
        <w:jc w:val="left"/>
        <w:rPr>
          <w:rFonts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2"/>
          <w:szCs w:val="32"/>
          <w:highlight w:val="none"/>
        </w:rPr>
        <w:t>2.商务技术文件目录</w:t>
      </w:r>
    </w:p>
    <w:p w14:paraId="1EF3E78B">
      <w:pPr>
        <w:snapToGrid w:val="0"/>
        <w:spacing w:before="156" w:beforeLines="50" w:after="50" w:line="360" w:lineRule="auto"/>
        <w:ind w:firstLine="640" w:firstLineChars="200"/>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133DAC6A">
      <w:pPr>
        <w:spacing w:line="400" w:lineRule="exact"/>
        <w:rPr>
          <w:rFonts w:ascii="仿宋_GB2312" w:hAnsi="仿宋_GB2312" w:eastAsia="仿宋_GB2312" w:cs="仿宋_GB2312"/>
          <w:color w:val="auto"/>
          <w:sz w:val="32"/>
          <w:szCs w:val="32"/>
          <w:highlight w:val="none"/>
        </w:rPr>
      </w:pPr>
    </w:p>
    <w:p w14:paraId="70AA7188">
      <w:pPr>
        <w:spacing w:line="520" w:lineRule="exact"/>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无串通竞标行为的承诺函</w:t>
      </w:r>
    </w:p>
    <w:p w14:paraId="47259894">
      <w:pPr>
        <w:spacing w:line="360" w:lineRule="auto"/>
        <w:ind w:firstLine="640" w:firstLineChars="200"/>
        <w:contextualSpacing/>
        <w:rPr>
          <w:rFonts w:ascii="仿宋_GB2312" w:hAnsi="仿宋_GB2312" w:eastAsia="仿宋_GB2312" w:cs="仿宋_GB2312"/>
          <w:color w:val="auto"/>
          <w:sz w:val="32"/>
          <w:szCs w:val="32"/>
          <w:highlight w:val="none"/>
        </w:rPr>
      </w:pPr>
    </w:p>
    <w:p w14:paraId="16570CEA">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3498D1FB">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1.不同供应商的响应文件由同一单位或者个人编制；</w:t>
      </w:r>
    </w:p>
    <w:p w14:paraId="30B92EC6">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611360EA">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3.不同供应商的响应文件载明的项目管理员为同一个人；</w:t>
      </w:r>
    </w:p>
    <w:p w14:paraId="4B2890FB">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同供应商的响应文件异常一致或者竞标报价呈规律性差异；</w:t>
      </w:r>
    </w:p>
    <w:p w14:paraId="21F7ABE3">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148DCB31">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6.不同供应商的磋商保证金从同一单位或者个人账户转出。</w:t>
      </w:r>
    </w:p>
    <w:p w14:paraId="70FA316D">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7AEDB343">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14938D35">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2B070895">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14:paraId="5E0FC473">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73D4F929">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5D3F3AEF">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623CEC6F">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353C7415">
      <w:pPr>
        <w:spacing w:line="360" w:lineRule="auto"/>
        <w:ind w:firstLine="480" w:firstLineChars="200"/>
        <w:contextualSpacing/>
        <w:rPr>
          <w:rFonts w:ascii="宋体" w:hAnsi="宋体" w:cs="仿宋_GB2312"/>
          <w:color w:val="auto"/>
          <w:sz w:val="24"/>
          <w:highlight w:val="none"/>
        </w:rPr>
      </w:pPr>
    </w:p>
    <w:p w14:paraId="7D358C5F">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14108945">
      <w:pPr>
        <w:spacing w:line="360" w:lineRule="auto"/>
        <w:contextualSpacing/>
        <w:rPr>
          <w:rFonts w:ascii="宋体" w:hAnsi="宋体" w:cs="仿宋_GB2312"/>
          <w:color w:val="auto"/>
          <w:sz w:val="24"/>
          <w:highlight w:val="none"/>
        </w:rPr>
      </w:pPr>
    </w:p>
    <w:p w14:paraId="2B69617B">
      <w:pPr>
        <w:spacing w:line="360" w:lineRule="auto"/>
        <w:ind w:firstLine="3600" w:firstLineChars="1500"/>
        <w:contextualSpacing/>
        <w:rPr>
          <w:rFonts w:ascii="宋体" w:hAnsi="宋体" w:cs="仿宋_GB2312"/>
          <w:color w:val="auto"/>
          <w:sz w:val="24"/>
          <w:highlight w:val="none"/>
        </w:rPr>
      </w:pPr>
      <w:r>
        <w:rPr>
          <w:rFonts w:hint="eastAsia" w:ascii="宋体" w:hAnsi="宋体" w:cs="仿宋_GB2312"/>
          <w:color w:val="auto"/>
          <w:sz w:val="24"/>
          <w:highlight w:val="none"/>
        </w:rPr>
        <w:t>供应商（电子签章）：</w:t>
      </w:r>
    </w:p>
    <w:p w14:paraId="666154DC">
      <w:pPr>
        <w:spacing w:line="360" w:lineRule="auto"/>
        <w:ind w:firstLine="480" w:firstLineChars="200"/>
        <w:contextualSpacing/>
        <w:jc w:val="center"/>
        <w:rPr>
          <w:rFonts w:ascii="仿宋_GB2312" w:hAnsi="仿宋_GB2312" w:eastAsia="仿宋_GB2312" w:cs="仿宋_GB2312"/>
          <w:color w:val="auto"/>
          <w:sz w:val="32"/>
          <w:szCs w:val="32"/>
          <w:highlight w:val="none"/>
        </w:rPr>
      </w:pPr>
      <w:r>
        <w:rPr>
          <w:rFonts w:hint="eastAsia" w:ascii="宋体" w:hAnsi="宋体" w:cs="仿宋_GB2312"/>
          <w:color w:val="auto"/>
          <w:sz w:val="24"/>
          <w:highlight w:val="none"/>
        </w:rPr>
        <w:t>年月日</w:t>
      </w:r>
    </w:p>
    <w:p w14:paraId="41C750F5">
      <w:pPr>
        <w:spacing w:line="520" w:lineRule="exact"/>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法定代表人证明书</w:t>
      </w:r>
    </w:p>
    <w:p w14:paraId="4B8B0D6B">
      <w:pPr>
        <w:spacing w:line="360" w:lineRule="auto"/>
        <w:ind w:left="540"/>
        <w:contextualSpacing/>
        <w:rPr>
          <w:rFonts w:ascii="仿宋_GB2312" w:hAnsi="仿宋_GB2312" w:eastAsia="仿宋_GB2312" w:cs="仿宋_GB2312"/>
          <w:color w:val="auto"/>
          <w:sz w:val="32"/>
          <w:szCs w:val="32"/>
          <w:highlight w:val="none"/>
        </w:rPr>
      </w:pPr>
    </w:p>
    <w:p w14:paraId="0BE4ACE7">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供应商名称：</w:t>
      </w:r>
    </w:p>
    <w:p w14:paraId="64F055CA">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地址：</w:t>
      </w:r>
    </w:p>
    <w:p w14:paraId="1609B19D">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姓名：性别：</w:t>
      </w:r>
    </w:p>
    <w:p w14:paraId="78AC1043">
      <w:pPr>
        <w:spacing w:line="360" w:lineRule="auto"/>
        <w:ind w:left="540"/>
        <w:contextualSpacing/>
        <w:rPr>
          <w:rFonts w:ascii="宋体" w:hAnsi="宋体" w:cs="仿宋_GB2312"/>
          <w:color w:val="auto"/>
          <w:sz w:val="24"/>
          <w:highlight w:val="none"/>
          <w:u w:val="single"/>
        </w:rPr>
      </w:pPr>
      <w:r>
        <w:rPr>
          <w:rFonts w:hint="eastAsia" w:ascii="宋体" w:hAnsi="宋体" w:cs="仿宋_GB2312"/>
          <w:color w:val="auto"/>
          <w:sz w:val="24"/>
          <w:highlight w:val="none"/>
        </w:rPr>
        <w:t>年龄：职务：</w:t>
      </w:r>
    </w:p>
    <w:p w14:paraId="34D60307">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身份证号码：</w:t>
      </w:r>
    </w:p>
    <w:p w14:paraId="0239AED3">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的法定代表人。</w:t>
      </w:r>
    </w:p>
    <w:p w14:paraId="3C5E43EA">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特此证明。</w:t>
      </w:r>
    </w:p>
    <w:p w14:paraId="46E79AE4">
      <w:pPr>
        <w:spacing w:line="360" w:lineRule="auto"/>
        <w:ind w:left="540"/>
        <w:contextualSpacing/>
        <w:rPr>
          <w:rFonts w:ascii="宋体" w:hAnsi="宋体" w:cs="仿宋_GB2312"/>
          <w:color w:val="auto"/>
          <w:sz w:val="24"/>
          <w:highlight w:val="none"/>
        </w:rPr>
      </w:pPr>
    </w:p>
    <w:p w14:paraId="702C2E74">
      <w:pPr>
        <w:spacing w:line="360" w:lineRule="auto"/>
        <w:ind w:left="540"/>
        <w:contextualSpacing/>
        <w:rPr>
          <w:rFonts w:ascii="宋体" w:hAnsi="宋体" w:cs="仿宋_GB2312"/>
          <w:color w:val="auto"/>
          <w:sz w:val="24"/>
          <w:highlight w:val="none"/>
        </w:rPr>
      </w:pPr>
    </w:p>
    <w:p w14:paraId="305F17C4">
      <w:pPr>
        <w:spacing w:line="360" w:lineRule="auto"/>
        <w:ind w:left="540"/>
        <w:contextualSpacing/>
        <w:rPr>
          <w:rFonts w:ascii="宋体" w:hAnsi="宋体" w:cs="仿宋_GB2312"/>
          <w:color w:val="auto"/>
          <w:sz w:val="24"/>
          <w:highlight w:val="none"/>
        </w:rPr>
      </w:pPr>
    </w:p>
    <w:p w14:paraId="39813104">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7D8A40CC">
      <w:pPr>
        <w:spacing w:line="360" w:lineRule="auto"/>
        <w:ind w:left="540"/>
        <w:contextualSpacing/>
        <w:rPr>
          <w:rFonts w:ascii="宋体" w:hAnsi="宋体" w:cs="仿宋_GB2312"/>
          <w:color w:val="auto"/>
          <w:sz w:val="24"/>
          <w:highlight w:val="none"/>
        </w:rPr>
      </w:pPr>
    </w:p>
    <w:p w14:paraId="4B7E1F4D">
      <w:pPr>
        <w:spacing w:line="360" w:lineRule="auto"/>
        <w:ind w:left="540"/>
        <w:contextualSpacing/>
        <w:jc w:val="right"/>
        <w:rPr>
          <w:rFonts w:ascii="宋体" w:hAnsi="宋体" w:cs="仿宋_GB2312"/>
          <w:color w:val="auto"/>
          <w:sz w:val="24"/>
          <w:highlight w:val="none"/>
        </w:rPr>
      </w:pPr>
      <w:r>
        <w:rPr>
          <w:rFonts w:hint="eastAsia" w:ascii="宋体" w:hAnsi="宋体" w:cs="仿宋_GB2312"/>
          <w:color w:val="auto"/>
          <w:sz w:val="24"/>
          <w:highlight w:val="none"/>
        </w:rPr>
        <w:t>供应商（电子签章）：</w:t>
      </w:r>
    </w:p>
    <w:p w14:paraId="0A0EE790">
      <w:pPr>
        <w:spacing w:line="360" w:lineRule="auto"/>
        <w:ind w:firstLine="4080" w:firstLineChars="1700"/>
        <w:contextualSpacing/>
        <w:jc w:val="right"/>
        <w:rPr>
          <w:rFonts w:ascii="宋体" w:hAnsi="宋体" w:cs="仿宋_GB2312"/>
          <w:color w:val="auto"/>
          <w:sz w:val="24"/>
          <w:highlight w:val="none"/>
        </w:rPr>
      </w:pPr>
      <w:r>
        <w:rPr>
          <w:rFonts w:hint="eastAsia" w:ascii="宋体" w:hAnsi="宋体" w:cs="仿宋_GB2312"/>
          <w:color w:val="auto"/>
          <w:sz w:val="24"/>
          <w:highlight w:val="none"/>
        </w:rPr>
        <w:t>年月日</w:t>
      </w:r>
    </w:p>
    <w:p w14:paraId="3D803F40">
      <w:pPr>
        <w:spacing w:line="360" w:lineRule="auto"/>
        <w:contextualSpacing/>
        <w:jc w:val="center"/>
        <w:rPr>
          <w:rFonts w:ascii="宋体" w:hAnsi="宋体" w:cs="仿宋_GB2312"/>
          <w:b/>
          <w:color w:val="auto"/>
          <w:sz w:val="24"/>
          <w:highlight w:val="none"/>
        </w:rPr>
      </w:pPr>
    </w:p>
    <w:p w14:paraId="7A77E1CD">
      <w:pPr>
        <w:spacing w:line="360" w:lineRule="auto"/>
        <w:contextualSpacing/>
        <w:jc w:val="left"/>
        <w:rPr>
          <w:rFonts w:ascii="宋体" w:hAnsi="宋体" w:cs="仿宋_GB2312"/>
          <w:color w:val="auto"/>
          <w:sz w:val="24"/>
          <w:highlight w:val="none"/>
        </w:rPr>
      </w:pPr>
    </w:p>
    <w:p w14:paraId="77AE17A0">
      <w:pPr>
        <w:spacing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注：自然人竞标的无需提供，联合体竞标的只需牵头人出具。</w:t>
      </w:r>
    </w:p>
    <w:p w14:paraId="766C10B8">
      <w:pPr>
        <w:adjustRightInd w:val="0"/>
        <w:snapToGrid w:val="0"/>
        <w:spacing w:line="300" w:lineRule="auto"/>
        <w:jc w:val="left"/>
        <w:rPr>
          <w:rFonts w:ascii="宋体" w:hAnsi="宋体"/>
          <w:b/>
          <w:color w:val="auto"/>
          <w:szCs w:val="21"/>
          <w:highlight w:val="none"/>
        </w:rPr>
      </w:pPr>
    </w:p>
    <w:p w14:paraId="1E1F2F97">
      <w:pPr>
        <w:spacing w:line="50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p>
    <w:p w14:paraId="0CAD77A2">
      <w:pPr>
        <w:spacing w:line="520" w:lineRule="exact"/>
        <w:jc w:val="center"/>
        <w:rPr>
          <w:rFonts w:ascii="方正小标宋简体" w:hAnsi="方正小标宋简体" w:eastAsia="方正小标宋简体" w:cs="方正小标宋简体"/>
          <w:color w:val="auto"/>
          <w:sz w:val="44"/>
          <w:szCs w:val="44"/>
          <w:highlight w:val="none"/>
        </w:rPr>
      </w:pPr>
      <w:bookmarkStart w:id="76" w:name="_Hlk65853643"/>
      <w:r>
        <w:rPr>
          <w:rFonts w:hint="eastAsia" w:ascii="方正小标宋简体" w:hAnsi="方正小标宋简体" w:eastAsia="方正小标宋简体" w:cs="方正小标宋简体"/>
          <w:color w:val="auto"/>
          <w:sz w:val="44"/>
          <w:szCs w:val="44"/>
          <w:highlight w:val="none"/>
        </w:rPr>
        <w:t>授权委托书</w:t>
      </w:r>
    </w:p>
    <w:p w14:paraId="0481B4FC">
      <w:pPr>
        <w:spacing w:line="520" w:lineRule="exact"/>
        <w:jc w:val="center"/>
        <w:rPr>
          <w:rFonts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（非联合体竞标格式）</w:t>
      </w:r>
    </w:p>
    <w:p w14:paraId="57337D52">
      <w:pPr>
        <w:spacing w:line="52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32"/>
          <w:szCs w:val="32"/>
          <w:highlight w:val="none"/>
        </w:rPr>
        <w:t>（如有委托时）</w:t>
      </w:r>
    </w:p>
    <w:p w14:paraId="22582D4F">
      <w:pPr>
        <w:spacing w:line="520" w:lineRule="exact"/>
        <w:rPr>
          <w:rFonts w:ascii="仿宋_GB2312" w:hAnsi="仿宋_GB2312" w:eastAsia="仿宋_GB2312" w:cs="仿宋_GB2312"/>
          <w:color w:val="auto"/>
          <w:sz w:val="32"/>
          <w:szCs w:val="32"/>
          <w:highlight w:val="none"/>
        </w:rPr>
      </w:pPr>
    </w:p>
    <w:p w14:paraId="4B3A3C54">
      <w:pPr>
        <w:spacing w:line="360" w:lineRule="auto"/>
        <w:rPr>
          <w:rFonts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0467C127">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（姓名）</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sym w:font="Wingdings 2" w:char="00A3"/>
      </w:r>
      <w:r>
        <w:rPr>
          <w:rFonts w:hint="eastAsia" w:ascii="宋体" w:hAnsi="宋体" w:cs="仿宋_GB2312"/>
          <w:color w:val="auto"/>
          <w:sz w:val="24"/>
          <w:highlight w:val="none"/>
          <w:u w:val="single"/>
        </w:rPr>
        <w:t>法定代表人/□负责人/□自然人本人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（姓名）</w:t>
      </w:r>
      <w:r>
        <w:rPr>
          <w:rFonts w:hint="eastAsia" w:ascii="宋体" w:hAnsi="宋体" w:cs="仿宋_GB2312"/>
          <w:color w:val="auto"/>
          <w:sz w:val="24"/>
          <w:highlight w:val="none"/>
        </w:rPr>
        <w:t>以我方的名义参加项目的竞标活动，并代表我方全权办理针对上述项目的所有采购程序和环节的具体事务和签署相关文件。</w:t>
      </w:r>
    </w:p>
    <w:p w14:paraId="760B4291">
      <w:pPr>
        <w:spacing w:line="360" w:lineRule="auto"/>
        <w:rPr>
          <w:rFonts w:ascii="宋体" w:hAnsi="宋体" w:cs="仿宋_GB2312"/>
          <w:color w:val="auto"/>
          <w:sz w:val="24"/>
          <w:highlight w:val="none"/>
        </w:rPr>
      </w:pPr>
      <w:r>
        <w:rPr>
          <w:rFonts w:hint="eastAsia" w:ascii="宋体" w:hAnsi="宋体" w:cs="仿宋_GB2312"/>
          <w:color w:val="auto"/>
          <w:sz w:val="24"/>
          <w:highlight w:val="none"/>
        </w:rPr>
        <w:t>我方对委托代理人的签字</w:t>
      </w:r>
      <w:r>
        <w:rPr>
          <w:rFonts w:hint="eastAsia" w:ascii="宋体" w:hAnsi="宋体"/>
          <w:color w:val="auto"/>
          <w:sz w:val="24"/>
          <w:highlight w:val="none"/>
        </w:rPr>
        <w:t>或者电子签名</w:t>
      </w:r>
      <w:r>
        <w:rPr>
          <w:rFonts w:hint="eastAsia" w:ascii="宋体" w:hAnsi="宋体" w:cs="仿宋_GB2312"/>
          <w:color w:val="auto"/>
          <w:sz w:val="24"/>
          <w:highlight w:val="none"/>
        </w:rPr>
        <w:t>事项负全部责任。</w:t>
      </w:r>
    </w:p>
    <w:p w14:paraId="0D4C3CEF">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41B4074C">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1C1B0F36">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27263D7F">
      <w:pPr>
        <w:spacing w:line="360" w:lineRule="auto"/>
        <w:rPr>
          <w:rFonts w:ascii="宋体" w:hAnsi="宋体" w:cs="仿宋_GB2312"/>
          <w:color w:val="auto"/>
          <w:sz w:val="24"/>
          <w:highlight w:val="none"/>
        </w:rPr>
      </w:pPr>
    </w:p>
    <w:p w14:paraId="13F5840B">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委托代理人（</w:t>
      </w:r>
      <w:r>
        <w:rPr>
          <w:rFonts w:hint="eastAsia" w:ascii="宋体" w:hAnsi="宋体"/>
          <w:color w:val="auto"/>
          <w:sz w:val="24"/>
          <w:highlight w:val="none"/>
        </w:rPr>
        <w:t>签字或者电子签名</w:t>
      </w:r>
      <w:r>
        <w:rPr>
          <w:rFonts w:hint="eastAsia" w:ascii="宋体" w:hAnsi="宋体" w:cs="仿宋_GB2312"/>
          <w:color w:val="auto"/>
          <w:sz w:val="24"/>
          <w:highlight w:val="none"/>
        </w:rPr>
        <w:t>）：法定代表人（签字或者盖章或者电子签名）：</w:t>
      </w:r>
    </w:p>
    <w:p w14:paraId="2167F65C">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委托代理人身份证号码：</w:t>
      </w:r>
    </w:p>
    <w:p w14:paraId="39AA1973">
      <w:pPr>
        <w:spacing w:line="360" w:lineRule="auto"/>
        <w:contextualSpacing/>
        <w:rPr>
          <w:rFonts w:ascii="宋体" w:hAnsi="宋体" w:cs="仿宋_GB2312"/>
          <w:color w:val="auto"/>
          <w:sz w:val="24"/>
          <w:highlight w:val="none"/>
        </w:rPr>
      </w:pPr>
    </w:p>
    <w:p w14:paraId="5FC58C91">
      <w:pPr>
        <w:spacing w:line="360" w:lineRule="auto"/>
        <w:rPr>
          <w:rFonts w:ascii="宋体" w:hAnsi="宋体" w:cs="仿宋_GB2312"/>
          <w:color w:val="auto"/>
          <w:sz w:val="24"/>
          <w:highlight w:val="none"/>
        </w:rPr>
      </w:pPr>
      <w:r>
        <w:rPr>
          <w:rFonts w:hint="eastAsia" w:ascii="宋体" w:hAnsi="宋体" w:cs="仿宋_GB2312"/>
          <w:color w:val="auto"/>
          <w:sz w:val="24"/>
          <w:highlight w:val="none"/>
        </w:rPr>
        <w:t>供应商（电子签章）：</w:t>
      </w:r>
    </w:p>
    <w:p w14:paraId="3303C090">
      <w:pPr>
        <w:spacing w:line="360" w:lineRule="auto"/>
        <w:rPr>
          <w:rFonts w:ascii="宋体" w:hAnsi="宋体" w:cs="仿宋_GB2312"/>
          <w:color w:val="auto"/>
          <w:sz w:val="24"/>
          <w:highlight w:val="none"/>
        </w:rPr>
      </w:pPr>
      <w:r>
        <w:rPr>
          <w:rFonts w:hint="eastAsia" w:ascii="宋体" w:hAnsi="宋体" w:cs="仿宋_GB2312"/>
          <w:color w:val="auto"/>
          <w:sz w:val="24"/>
          <w:highlight w:val="none"/>
        </w:rPr>
        <w:t>年月日</w:t>
      </w:r>
    </w:p>
    <w:p w14:paraId="5B80C234">
      <w:pPr>
        <w:spacing w:line="360" w:lineRule="auto"/>
        <w:rPr>
          <w:rFonts w:ascii="宋体" w:hAnsi="宋体" w:cs="仿宋_GB2312"/>
          <w:color w:val="auto"/>
          <w:sz w:val="24"/>
          <w:highlight w:val="none"/>
        </w:rPr>
      </w:pPr>
    </w:p>
    <w:p w14:paraId="16A75071">
      <w:pPr>
        <w:spacing w:line="360" w:lineRule="auto"/>
        <w:rPr>
          <w:rFonts w:ascii="宋体" w:hAnsi="宋体" w:cs="仿宋_GB2312"/>
          <w:color w:val="auto"/>
          <w:sz w:val="24"/>
          <w:highlight w:val="none"/>
        </w:rPr>
      </w:pPr>
      <w:r>
        <w:rPr>
          <w:rFonts w:hint="eastAsia" w:ascii="宋体" w:hAnsi="宋体" w:cs="仿宋_GB2312"/>
          <w:color w:val="auto"/>
          <w:sz w:val="24"/>
          <w:highlight w:val="none"/>
        </w:rPr>
        <w:t>注：1. 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否则其响应文件按无效响应处理。</w:t>
      </w:r>
    </w:p>
    <w:p w14:paraId="10FA1444">
      <w:pPr>
        <w:spacing w:line="360" w:lineRule="auto"/>
        <w:ind w:firstLine="480" w:firstLineChars="200"/>
        <w:jc w:val="left"/>
        <w:rPr>
          <w:rFonts w:ascii="宋体" w:hAnsi="宋体" w:cs="仿宋_GB2312"/>
          <w:color w:val="auto"/>
          <w:sz w:val="24"/>
          <w:highlight w:val="none"/>
        </w:rPr>
      </w:pPr>
      <w:r>
        <w:rPr>
          <w:rFonts w:ascii="宋体" w:hAnsi="宋体" w:cs="仿宋_GB2312"/>
          <w:color w:val="auto"/>
          <w:sz w:val="24"/>
          <w:highlight w:val="none"/>
        </w:rPr>
        <w:t>2.</w:t>
      </w:r>
      <w:bookmarkStart w:id="77" w:name="_Hlk65853109"/>
      <w:bookmarkStart w:id="78" w:name="_Hlk65853542"/>
      <w:r>
        <w:rPr>
          <w:rFonts w:hint="eastAsia" w:ascii="宋体" w:hAnsi="宋体" w:cs="仿宋_GB2312"/>
          <w:color w:val="auto"/>
          <w:sz w:val="24"/>
          <w:highlight w:val="none"/>
        </w:rPr>
        <w:t>法人、其他组织竞标时“我方”是指“我单位”，自然人竞标时“我方”是指“本人”。</w:t>
      </w:r>
      <w:bookmarkEnd w:id="77"/>
    </w:p>
    <w:bookmarkEnd w:id="78"/>
    <w:p w14:paraId="7CB69249">
      <w:pPr>
        <w:spacing w:line="360" w:lineRule="auto"/>
        <w:ind w:firstLine="420" w:firstLineChars="200"/>
        <w:jc w:val="left"/>
        <w:rPr>
          <w:rFonts w:ascii="仿宋_GB2312" w:hAnsi="仿宋_GB2312" w:eastAsia="仿宋_GB2312" w:cs="仿宋_GB2312"/>
          <w:color w:val="auto"/>
          <w:szCs w:val="21"/>
          <w:highlight w:val="none"/>
        </w:rPr>
      </w:pPr>
    </w:p>
    <w:p w14:paraId="07EFD27F">
      <w:pPr>
        <w:spacing w:line="500" w:lineRule="exact"/>
        <w:jc w:val="center"/>
        <w:rPr>
          <w:rFonts w:ascii="方正小标宋简体" w:hAnsi="方正小标宋简体" w:eastAsia="方正小标宋简体" w:cs="方正小标宋简体"/>
          <w:color w:val="auto"/>
          <w:sz w:val="44"/>
          <w:szCs w:val="44"/>
          <w:highlight w:val="none"/>
        </w:rPr>
      </w:pPr>
      <w:r>
        <w:rPr>
          <w:rFonts w:ascii="仿宋_GB2312" w:hAnsi="仿宋_GB2312" w:eastAsia="仿宋_GB2312" w:cs="仿宋_GB2312"/>
          <w:color w:val="auto"/>
          <w:szCs w:val="21"/>
          <w:highlight w:val="none"/>
        </w:rPr>
        <w:br w:type="page"/>
      </w:r>
      <w:r>
        <w:rPr>
          <w:rFonts w:hint="eastAsia" w:ascii="方正小标宋简体" w:hAnsi="方正小标宋简体" w:eastAsia="方正小标宋简体" w:cs="方正小标宋简体"/>
          <w:color w:val="auto"/>
          <w:sz w:val="44"/>
          <w:szCs w:val="44"/>
          <w:highlight w:val="none"/>
        </w:rPr>
        <w:t>授权委托书</w:t>
      </w:r>
    </w:p>
    <w:p w14:paraId="64F9E853">
      <w:pPr>
        <w:spacing w:line="500" w:lineRule="exact"/>
        <w:jc w:val="center"/>
        <w:rPr>
          <w:rFonts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（联合体竞标格式）</w:t>
      </w:r>
    </w:p>
    <w:p w14:paraId="7459EC52">
      <w:pPr>
        <w:spacing w:line="50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32"/>
          <w:szCs w:val="32"/>
          <w:highlight w:val="none"/>
        </w:rPr>
        <w:t>（如有委托时）</w:t>
      </w:r>
    </w:p>
    <w:p w14:paraId="52D81C6F">
      <w:pPr>
        <w:spacing w:line="500" w:lineRule="exact"/>
        <w:jc w:val="center"/>
        <w:rPr>
          <w:rFonts w:ascii="方正小标宋简体" w:hAnsi="方正小标宋简体" w:eastAsia="方正小标宋简体" w:cs="方正小标宋简体"/>
          <w:color w:val="auto"/>
          <w:sz w:val="44"/>
          <w:szCs w:val="44"/>
          <w:highlight w:val="none"/>
        </w:rPr>
      </w:pPr>
    </w:p>
    <w:p w14:paraId="770FE6AD">
      <w:pPr>
        <w:spacing w:line="500" w:lineRule="exact"/>
        <w:jc w:val="center"/>
        <w:rPr>
          <w:rFonts w:ascii="仿宋_GB2312" w:hAnsi="仿宋_GB2312" w:eastAsia="仿宋_GB2312" w:cs="仿宋_GB2312"/>
          <w:color w:val="auto"/>
          <w:sz w:val="32"/>
          <w:szCs w:val="32"/>
          <w:highlight w:val="none"/>
        </w:rPr>
      </w:pPr>
    </w:p>
    <w:p w14:paraId="2DC83777">
      <w:pPr>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14:paraId="45FB2592">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我方对委托代理人的</w:t>
      </w:r>
      <w:r>
        <w:rPr>
          <w:rFonts w:hint="eastAsia" w:ascii="宋体" w:hAnsi="宋体"/>
          <w:color w:val="auto"/>
          <w:sz w:val="24"/>
          <w:highlight w:val="none"/>
        </w:rPr>
        <w:t>签字或者电子签名</w:t>
      </w:r>
      <w:r>
        <w:rPr>
          <w:rFonts w:hint="eastAsia" w:ascii="宋体" w:hAnsi="宋体" w:cs="仿宋_GB2312"/>
          <w:color w:val="auto"/>
          <w:sz w:val="24"/>
          <w:highlight w:val="none"/>
        </w:rPr>
        <w:t>事项负全部责任。</w:t>
      </w:r>
    </w:p>
    <w:p w14:paraId="2D01E533">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17F31A2A">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2ADF7E7E">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25DEAF15">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牵头人法定代表人（签字或者盖章或者电子签名）：</w:t>
      </w:r>
    </w:p>
    <w:p w14:paraId="1D72C05D">
      <w:pPr>
        <w:spacing w:line="360" w:lineRule="auto"/>
        <w:ind w:firstLine="3120" w:firstLineChars="1300"/>
        <w:contextualSpacing/>
        <w:rPr>
          <w:rFonts w:ascii="宋体" w:hAnsi="宋体" w:cs="仿宋_GB2312"/>
          <w:color w:val="auto"/>
          <w:sz w:val="24"/>
          <w:highlight w:val="none"/>
        </w:rPr>
      </w:pPr>
      <w:r>
        <w:rPr>
          <w:rFonts w:hint="eastAsia" w:ascii="宋体" w:hAnsi="宋体" w:cs="仿宋_GB2312"/>
          <w:color w:val="auto"/>
          <w:sz w:val="24"/>
          <w:highlight w:val="none"/>
        </w:rPr>
        <w:t>牵头人（电子签章）：</w:t>
      </w:r>
    </w:p>
    <w:p w14:paraId="68ECAD75">
      <w:pPr>
        <w:spacing w:line="360" w:lineRule="auto"/>
        <w:ind w:firstLine="3840" w:firstLineChars="1600"/>
        <w:contextualSpacing/>
        <w:rPr>
          <w:rFonts w:ascii="宋体" w:hAnsi="宋体" w:cs="仿宋_GB2312"/>
          <w:color w:val="auto"/>
          <w:sz w:val="24"/>
          <w:highlight w:val="none"/>
        </w:rPr>
      </w:pPr>
      <w:r>
        <w:rPr>
          <w:rFonts w:hint="eastAsia" w:ascii="宋体" w:hAnsi="宋体" w:cs="仿宋_GB2312"/>
          <w:color w:val="auto"/>
          <w:sz w:val="24"/>
          <w:highlight w:val="none"/>
        </w:rPr>
        <w:t>日期：年月日</w:t>
      </w:r>
    </w:p>
    <w:p w14:paraId="1CD9229E">
      <w:pPr>
        <w:spacing w:line="360" w:lineRule="auto"/>
        <w:contextualSpacing/>
        <w:rPr>
          <w:rFonts w:ascii="宋体" w:hAnsi="宋体" w:cs="仿宋_GB2312"/>
          <w:color w:val="auto"/>
          <w:sz w:val="24"/>
          <w:highlight w:val="none"/>
        </w:rPr>
      </w:pPr>
    </w:p>
    <w:p w14:paraId="1413BC10">
      <w:pPr>
        <w:spacing w:line="360" w:lineRule="auto"/>
        <w:ind w:firstLine="3120" w:firstLineChars="1300"/>
        <w:contextualSpacing/>
        <w:rPr>
          <w:rFonts w:ascii="宋体" w:hAnsi="宋体" w:cs="仿宋_GB2312"/>
          <w:color w:val="auto"/>
          <w:sz w:val="24"/>
          <w:highlight w:val="none"/>
        </w:rPr>
      </w:pPr>
      <w:r>
        <w:rPr>
          <w:rFonts w:hint="eastAsia" w:ascii="宋体" w:hAnsi="宋体" w:cs="仿宋_GB2312"/>
          <w:color w:val="auto"/>
          <w:sz w:val="24"/>
          <w:highlight w:val="none"/>
        </w:rPr>
        <w:t>被授权人（签字或者电子签名）：</w:t>
      </w:r>
    </w:p>
    <w:p w14:paraId="02829422">
      <w:pPr>
        <w:spacing w:line="360" w:lineRule="auto"/>
        <w:ind w:firstLine="3840" w:firstLineChars="1600"/>
        <w:contextualSpacing/>
        <w:rPr>
          <w:rFonts w:ascii="宋体" w:hAnsi="宋体" w:cs="仿宋_GB2312"/>
          <w:color w:val="auto"/>
          <w:sz w:val="24"/>
          <w:highlight w:val="none"/>
        </w:rPr>
      </w:pPr>
      <w:r>
        <w:rPr>
          <w:rFonts w:hint="eastAsia" w:ascii="宋体" w:hAnsi="宋体" w:cs="仿宋_GB2312"/>
          <w:color w:val="auto"/>
          <w:sz w:val="24"/>
          <w:highlight w:val="none"/>
        </w:rPr>
        <w:t>日期：年月日</w:t>
      </w:r>
    </w:p>
    <w:p w14:paraId="774660D9">
      <w:pPr>
        <w:spacing w:line="360" w:lineRule="auto"/>
        <w:contextualSpacing/>
        <w:rPr>
          <w:rFonts w:ascii="宋体" w:hAnsi="宋体" w:cs="仿宋_GB2312"/>
          <w:color w:val="auto"/>
          <w:sz w:val="24"/>
          <w:highlight w:val="none"/>
        </w:rPr>
      </w:pPr>
    </w:p>
    <w:p w14:paraId="369EA60D">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注：1. 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否则其响应文件按无效响应处理。</w:t>
      </w:r>
    </w:p>
    <w:p w14:paraId="5DD086EB">
      <w:pPr>
        <w:spacing w:line="360" w:lineRule="auto"/>
        <w:ind w:firstLine="480" w:firstLineChars="200"/>
        <w:jc w:val="left"/>
        <w:rPr>
          <w:rFonts w:ascii="宋体" w:hAnsi="宋体" w:cs="仿宋_GB2312"/>
          <w:color w:val="auto"/>
          <w:spacing w:val="-11"/>
          <w:sz w:val="24"/>
          <w:highlight w:val="none"/>
        </w:rPr>
      </w:pPr>
      <w:r>
        <w:rPr>
          <w:rFonts w:ascii="宋体" w:hAnsi="宋体" w:cs="仿宋_GB2312"/>
          <w:color w:val="auto"/>
          <w:sz w:val="24"/>
          <w:highlight w:val="none"/>
        </w:rPr>
        <w:t>2.</w:t>
      </w:r>
      <w:r>
        <w:rPr>
          <w:rFonts w:hint="eastAsia" w:ascii="宋体" w:hAnsi="宋体" w:cs="仿宋_GB2312"/>
          <w:color w:val="auto"/>
          <w:sz w:val="24"/>
          <w:highlight w:val="none"/>
        </w:rPr>
        <w:t>法人、其他组织竞标时“我方”是指“我单位”，自然人竞标时“我方”是指“本人”。</w:t>
      </w:r>
    </w:p>
    <w:bookmarkEnd w:id="76"/>
    <w:p w14:paraId="1548B9DC">
      <w:pPr>
        <w:spacing w:line="500" w:lineRule="exact"/>
        <w:jc w:val="center"/>
        <w:rPr>
          <w:rFonts w:ascii="方正小标宋简体" w:hAnsi="方正小标宋简体" w:eastAsia="方正小标宋简体" w:cs="方正小标宋简体"/>
          <w:bCs/>
          <w:color w:val="auto"/>
          <w:sz w:val="44"/>
          <w:szCs w:val="44"/>
          <w:highlight w:val="none"/>
        </w:rPr>
      </w:pPr>
      <w:r>
        <w:rPr>
          <w:rFonts w:hint="eastAsia" w:ascii="仿宋_GB2312" w:hAnsi="仿宋_GB2312" w:eastAsia="仿宋_GB2312" w:cs="仿宋_GB2312"/>
          <w:color w:val="auto"/>
          <w:sz w:val="32"/>
          <w:szCs w:val="32"/>
          <w:highlight w:val="none"/>
        </w:rPr>
        <w:br w:type="page"/>
      </w:r>
      <w:r>
        <w:rPr>
          <w:rFonts w:hint="eastAsia" w:ascii="方正小标宋简体" w:hAnsi="方正小标宋简体" w:eastAsia="方正小标宋简体" w:cs="方正小标宋简体"/>
          <w:bCs/>
          <w:color w:val="auto"/>
          <w:sz w:val="44"/>
          <w:szCs w:val="44"/>
          <w:highlight w:val="none"/>
        </w:rPr>
        <w:t>商务要求偏离表</w:t>
      </w:r>
    </w:p>
    <w:p w14:paraId="0D1B80FC">
      <w:pPr>
        <w:spacing w:line="360" w:lineRule="auto"/>
        <w:contextualSpacing/>
        <w:jc w:val="left"/>
        <w:rPr>
          <w:rFonts w:ascii="宋体" w:hAnsi="宋体"/>
          <w:color w:val="auto"/>
          <w:sz w:val="24"/>
          <w:highlight w:val="none"/>
        </w:rPr>
      </w:pPr>
    </w:p>
    <w:p w14:paraId="020E8EF0">
      <w:pPr>
        <w:pStyle w:val="23"/>
        <w:spacing w:line="360" w:lineRule="auto"/>
        <w:contextualSpacing/>
        <w:rPr>
          <w:rFonts w:hAnsi="宋体" w:cs="仿宋_GB2312"/>
          <w:color w:val="auto"/>
          <w:sz w:val="24"/>
          <w:szCs w:val="24"/>
          <w:highlight w:val="none"/>
        </w:rPr>
      </w:pPr>
      <w:r>
        <w:rPr>
          <w:rFonts w:hint="eastAsia" w:hAnsi="宋体" w:cs="仿宋_GB2312"/>
          <w:color w:val="auto"/>
          <w:sz w:val="24"/>
          <w:szCs w:val="24"/>
          <w:highlight w:val="none"/>
        </w:rPr>
        <w:t>所竞分标：</w:t>
      </w:r>
    </w:p>
    <w:p w14:paraId="4F7D8D96">
      <w:pPr>
        <w:spacing w:line="360" w:lineRule="auto"/>
        <w:contextualSpacing/>
        <w:jc w:val="left"/>
        <w:rPr>
          <w:rFonts w:ascii="宋体" w:hAnsi="宋体" w:cs="仿宋_GB2312"/>
          <w:color w:val="auto"/>
          <w:sz w:val="24"/>
          <w:highlight w:val="none"/>
          <w:u w:val="single"/>
        </w:rPr>
      </w:pPr>
    </w:p>
    <w:tbl>
      <w:tblPr>
        <w:tblStyle w:val="35"/>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9"/>
        <w:gridCol w:w="1089"/>
        <w:gridCol w:w="2668"/>
        <w:gridCol w:w="2350"/>
        <w:gridCol w:w="2112"/>
      </w:tblGrid>
      <w:tr w14:paraId="484761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89" w:type="dxa"/>
            <w:tcBorders>
              <w:top w:val="single" w:color="auto" w:sz="4" w:space="0"/>
              <w:left w:val="single" w:color="auto" w:sz="4" w:space="0"/>
              <w:bottom w:val="single" w:color="auto" w:sz="4" w:space="0"/>
              <w:right w:val="single" w:color="auto" w:sz="4" w:space="0"/>
            </w:tcBorders>
            <w:vAlign w:val="center"/>
          </w:tcPr>
          <w:p w14:paraId="68AEF26F">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序号</w:t>
            </w:r>
          </w:p>
        </w:tc>
        <w:tc>
          <w:tcPr>
            <w:tcW w:w="1089" w:type="dxa"/>
            <w:tcBorders>
              <w:top w:val="single" w:color="auto" w:sz="4" w:space="0"/>
              <w:left w:val="single" w:color="auto" w:sz="4" w:space="0"/>
              <w:bottom w:val="single" w:color="auto" w:sz="4" w:space="0"/>
              <w:right w:val="single" w:color="auto" w:sz="4" w:space="0"/>
            </w:tcBorders>
            <w:vAlign w:val="center"/>
          </w:tcPr>
          <w:p w14:paraId="584794C2">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16A369EC">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磋商文件商务要求</w:t>
            </w:r>
          </w:p>
        </w:tc>
        <w:tc>
          <w:tcPr>
            <w:tcW w:w="2350" w:type="dxa"/>
            <w:tcBorders>
              <w:top w:val="single" w:color="auto" w:sz="4" w:space="0"/>
              <w:left w:val="single" w:color="auto" w:sz="4" w:space="0"/>
              <w:bottom w:val="single" w:color="auto" w:sz="4" w:space="0"/>
              <w:right w:val="single" w:color="auto" w:sz="4" w:space="0"/>
            </w:tcBorders>
            <w:vAlign w:val="center"/>
          </w:tcPr>
          <w:p w14:paraId="77A9FACB">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供应商的响应</w:t>
            </w:r>
          </w:p>
        </w:tc>
        <w:tc>
          <w:tcPr>
            <w:tcW w:w="2112" w:type="dxa"/>
            <w:tcBorders>
              <w:top w:val="single" w:color="auto" w:sz="4" w:space="0"/>
              <w:left w:val="single" w:color="auto" w:sz="4" w:space="0"/>
              <w:bottom w:val="single" w:color="auto" w:sz="4" w:space="0"/>
              <w:right w:val="single" w:color="auto" w:sz="4" w:space="0"/>
            </w:tcBorders>
            <w:vAlign w:val="center"/>
          </w:tcPr>
          <w:p w14:paraId="7E7C17C3">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偏离说明</w:t>
            </w:r>
          </w:p>
        </w:tc>
      </w:tr>
      <w:tr w14:paraId="416A7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089" w:type="dxa"/>
            <w:tcBorders>
              <w:top w:val="single" w:color="auto" w:sz="4" w:space="0"/>
              <w:left w:val="single" w:color="auto" w:sz="4" w:space="0"/>
              <w:bottom w:val="single" w:color="auto" w:sz="4" w:space="0"/>
              <w:right w:val="single" w:color="auto" w:sz="4" w:space="0"/>
            </w:tcBorders>
            <w:vAlign w:val="center"/>
          </w:tcPr>
          <w:p w14:paraId="5278908B">
            <w:pPr>
              <w:jc w:val="center"/>
              <w:rPr>
                <w:rFonts w:ascii="宋体" w:hAnsi="宋体"/>
                <w:color w:val="auto"/>
                <w:sz w:val="24"/>
                <w:highlight w:val="none"/>
              </w:rPr>
            </w:pPr>
          </w:p>
        </w:tc>
        <w:tc>
          <w:tcPr>
            <w:tcW w:w="1089" w:type="dxa"/>
            <w:tcBorders>
              <w:top w:val="single" w:color="auto" w:sz="4" w:space="0"/>
              <w:left w:val="single" w:color="auto" w:sz="4" w:space="0"/>
              <w:bottom w:val="single" w:color="auto" w:sz="4" w:space="0"/>
              <w:right w:val="single" w:color="auto" w:sz="4" w:space="0"/>
            </w:tcBorders>
            <w:vAlign w:val="center"/>
          </w:tcPr>
          <w:p w14:paraId="73A19278">
            <w:pPr>
              <w:jc w:val="center"/>
              <w:rPr>
                <w:rFonts w:ascii="宋体" w:hAnsi="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3CF47BE8">
            <w:pPr>
              <w:spacing w:line="360" w:lineRule="auto"/>
              <w:contextualSpacing/>
              <w:jc w:val="center"/>
              <w:rPr>
                <w:rFonts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4DE1A8E8">
            <w:pPr>
              <w:spacing w:line="360" w:lineRule="auto"/>
              <w:contextualSpacing/>
              <w:jc w:val="center"/>
              <w:rPr>
                <w:rFonts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08E3565E">
            <w:pPr>
              <w:spacing w:line="360" w:lineRule="auto"/>
              <w:contextualSpacing/>
              <w:jc w:val="center"/>
              <w:rPr>
                <w:rFonts w:ascii="宋体" w:hAnsi="宋体" w:cs="仿宋_GB2312"/>
                <w:color w:val="auto"/>
                <w:sz w:val="24"/>
                <w:highlight w:val="none"/>
              </w:rPr>
            </w:pPr>
          </w:p>
        </w:tc>
      </w:tr>
      <w:tr w14:paraId="644EAD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089" w:type="dxa"/>
            <w:tcBorders>
              <w:top w:val="single" w:color="auto" w:sz="4" w:space="0"/>
              <w:left w:val="single" w:color="auto" w:sz="4" w:space="0"/>
              <w:bottom w:val="single" w:color="auto" w:sz="4" w:space="0"/>
              <w:right w:val="single" w:color="auto" w:sz="4" w:space="0"/>
            </w:tcBorders>
            <w:vAlign w:val="center"/>
          </w:tcPr>
          <w:p w14:paraId="6676979C">
            <w:pPr>
              <w:jc w:val="center"/>
              <w:rPr>
                <w:rFonts w:ascii="宋体" w:hAnsi="宋体"/>
                <w:color w:val="auto"/>
                <w:sz w:val="24"/>
                <w:highlight w:val="none"/>
              </w:rPr>
            </w:pPr>
          </w:p>
        </w:tc>
        <w:tc>
          <w:tcPr>
            <w:tcW w:w="1089" w:type="dxa"/>
            <w:tcBorders>
              <w:top w:val="single" w:color="auto" w:sz="4" w:space="0"/>
              <w:left w:val="single" w:color="auto" w:sz="4" w:space="0"/>
              <w:bottom w:val="single" w:color="auto" w:sz="4" w:space="0"/>
              <w:right w:val="single" w:color="auto" w:sz="4" w:space="0"/>
            </w:tcBorders>
            <w:vAlign w:val="center"/>
          </w:tcPr>
          <w:p w14:paraId="1A141223">
            <w:pPr>
              <w:jc w:val="center"/>
              <w:rPr>
                <w:rFonts w:ascii="宋体" w:hAnsi="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22041F01">
            <w:pPr>
              <w:spacing w:line="360" w:lineRule="auto"/>
              <w:contextualSpacing/>
              <w:jc w:val="center"/>
              <w:rPr>
                <w:rFonts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27193DEF">
            <w:pPr>
              <w:spacing w:line="360" w:lineRule="auto"/>
              <w:ind w:left="43"/>
              <w:contextualSpacing/>
              <w:jc w:val="center"/>
              <w:rPr>
                <w:rFonts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5594C321">
            <w:pPr>
              <w:spacing w:line="360" w:lineRule="auto"/>
              <w:ind w:left="43"/>
              <w:contextualSpacing/>
              <w:jc w:val="center"/>
              <w:rPr>
                <w:rFonts w:ascii="宋体" w:hAnsi="宋体" w:cs="仿宋_GB2312"/>
                <w:color w:val="auto"/>
                <w:sz w:val="24"/>
                <w:highlight w:val="none"/>
              </w:rPr>
            </w:pPr>
          </w:p>
        </w:tc>
      </w:tr>
      <w:tr w14:paraId="375EC5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9" w:type="dxa"/>
            <w:tcBorders>
              <w:top w:val="single" w:color="auto" w:sz="4" w:space="0"/>
              <w:left w:val="single" w:color="auto" w:sz="4" w:space="0"/>
              <w:bottom w:val="single" w:color="auto" w:sz="4" w:space="0"/>
              <w:right w:val="single" w:color="auto" w:sz="4" w:space="0"/>
            </w:tcBorders>
            <w:vAlign w:val="center"/>
          </w:tcPr>
          <w:p w14:paraId="45C58548">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w:t>
            </w:r>
          </w:p>
        </w:tc>
        <w:tc>
          <w:tcPr>
            <w:tcW w:w="1089" w:type="dxa"/>
            <w:tcBorders>
              <w:top w:val="single" w:color="auto" w:sz="4" w:space="0"/>
              <w:left w:val="single" w:color="auto" w:sz="4" w:space="0"/>
              <w:bottom w:val="single" w:color="auto" w:sz="4" w:space="0"/>
              <w:right w:val="single" w:color="auto" w:sz="4" w:space="0"/>
            </w:tcBorders>
            <w:vAlign w:val="center"/>
          </w:tcPr>
          <w:p w14:paraId="5F0E6575">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w:t>
            </w:r>
          </w:p>
        </w:tc>
        <w:tc>
          <w:tcPr>
            <w:tcW w:w="2668" w:type="dxa"/>
            <w:tcBorders>
              <w:top w:val="single" w:color="auto" w:sz="4" w:space="0"/>
              <w:left w:val="single" w:color="auto" w:sz="4" w:space="0"/>
              <w:bottom w:val="single" w:color="auto" w:sz="4" w:space="0"/>
              <w:right w:val="single" w:color="auto" w:sz="4" w:space="0"/>
            </w:tcBorders>
            <w:vAlign w:val="center"/>
          </w:tcPr>
          <w:p w14:paraId="34A048BA">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w:t>
            </w:r>
          </w:p>
        </w:tc>
        <w:tc>
          <w:tcPr>
            <w:tcW w:w="2350" w:type="dxa"/>
            <w:tcBorders>
              <w:top w:val="single" w:color="auto" w:sz="4" w:space="0"/>
              <w:left w:val="single" w:color="auto" w:sz="4" w:space="0"/>
              <w:bottom w:val="single" w:color="auto" w:sz="4" w:space="0"/>
              <w:right w:val="single" w:color="auto" w:sz="4" w:space="0"/>
            </w:tcBorders>
            <w:vAlign w:val="center"/>
          </w:tcPr>
          <w:p w14:paraId="0871E7FF">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w:t>
            </w:r>
          </w:p>
        </w:tc>
        <w:tc>
          <w:tcPr>
            <w:tcW w:w="2112" w:type="dxa"/>
            <w:tcBorders>
              <w:top w:val="single" w:color="auto" w:sz="4" w:space="0"/>
              <w:left w:val="single" w:color="auto" w:sz="4" w:space="0"/>
              <w:bottom w:val="single" w:color="auto" w:sz="4" w:space="0"/>
              <w:right w:val="single" w:color="auto" w:sz="4" w:space="0"/>
            </w:tcBorders>
            <w:vAlign w:val="center"/>
          </w:tcPr>
          <w:p w14:paraId="58826550">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w:t>
            </w:r>
          </w:p>
        </w:tc>
      </w:tr>
    </w:tbl>
    <w:p w14:paraId="51B7FE75">
      <w:pPr>
        <w:pStyle w:val="16"/>
        <w:spacing w:after="0" w:line="360" w:lineRule="auto"/>
        <w:contextualSpacing/>
        <w:rPr>
          <w:rFonts w:ascii="宋体" w:hAnsi="宋体"/>
          <w:color w:val="auto"/>
          <w:kern w:val="0"/>
          <w:sz w:val="24"/>
          <w:szCs w:val="24"/>
          <w:highlight w:val="none"/>
        </w:rPr>
      </w:pPr>
      <w:r>
        <w:rPr>
          <w:rFonts w:hint="eastAsia" w:ascii="宋体" w:hAnsi="宋体"/>
          <w:color w:val="auto"/>
          <w:kern w:val="0"/>
          <w:sz w:val="24"/>
          <w:szCs w:val="24"/>
          <w:highlight w:val="none"/>
        </w:rPr>
        <w:t>注：</w:t>
      </w:r>
    </w:p>
    <w:p w14:paraId="54B783C6">
      <w:pPr>
        <w:pStyle w:val="16"/>
        <w:spacing w:after="0" w:line="360" w:lineRule="auto"/>
        <w:contextualSpacing/>
        <w:rPr>
          <w:rFonts w:ascii="宋体" w:hAnsi="宋体"/>
          <w:color w:val="auto"/>
          <w:kern w:val="0"/>
          <w:sz w:val="24"/>
          <w:szCs w:val="24"/>
          <w:highlight w:val="none"/>
        </w:rPr>
      </w:pPr>
      <w:r>
        <w:rPr>
          <w:rFonts w:hint="eastAsia" w:ascii="宋体" w:hAnsi="宋体"/>
          <w:color w:val="auto"/>
          <w:kern w:val="0"/>
          <w:sz w:val="24"/>
          <w:szCs w:val="24"/>
          <w:highlight w:val="none"/>
        </w:rPr>
        <w:t>1. 说明：应对照磋商文件“第三章采购需求”中的商务条款逐条作出明确响应，并作出偏离说明。</w:t>
      </w:r>
    </w:p>
    <w:p w14:paraId="10182B6A">
      <w:pPr>
        <w:spacing w:line="360" w:lineRule="auto"/>
        <w:contextualSpacing/>
        <w:jc w:val="left"/>
        <w:rPr>
          <w:rFonts w:ascii="宋体" w:hAnsi="宋体" w:cs="仿宋_GB2312"/>
          <w:color w:val="auto"/>
          <w:sz w:val="24"/>
          <w:highlight w:val="none"/>
          <w:u w:val="single"/>
        </w:rPr>
      </w:pPr>
      <w:r>
        <w:rPr>
          <w:rFonts w:hint="eastAsia" w:ascii="宋体" w:hAnsi="宋体"/>
          <w:color w:val="auto"/>
          <w:kern w:val="0"/>
          <w:sz w:val="24"/>
          <w:highlight w:val="none"/>
        </w:rPr>
        <w:t>2.供应商应根据自身的承诺，对照磋商文件要求在“偏离说明”中注明“正偏离”、“负偏离”或者“无偏离”。既不属于“正偏离”也不属于“负偏离”即为“无偏离”。</w:t>
      </w:r>
    </w:p>
    <w:p w14:paraId="6ABCD351">
      <w:pPr>
        <w:spacing w:line="360" w:lineRule="auto"/>
        <w:ind w:right="-817" w:rightChars="-389"/>
        <w:contextualSpacing/>
        <w:rPr>
          <w:rFonts w:ascii="宋体" w:hAnsi="宋体" w:cs="仿宋_GB2312"/>
          <w:color w:val="auto"/>
          <w:sz w:val="24"/>
          <w:highlight w:val="none"/>
        </w:rPr>
      </w:pPr>
    </w:p>
    <w:p w14:paraId="7F4AC62B">
      <w:pPr>
        <w:spacing w:line="360" w:lineRule="auto"/>
        <w:ind w:right="-817" w:rightChars="-389"/>
        <w:contextualSpacing/>
        <w:jc w:val="center"/>
        <w:rPr>
          <w:rFonts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108E0304">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供应商（电子签章）：</w:t>
      </w:r>
    </w:p>
    <w:p w14:paraId="2A333656">
      <w:pPr>
        <w:spacing w:line="360" w:lineRule="auto"/>
        <w:ind w:right="-817" w:rightChars="-389" w:firstLine="4080" w:firstLineChars="1700"/>
        <w:contextualSpacing/>
        <w:rPr>
          <w:rFonts w:ascii="仿宋_GB2312" w:hAnsi="仿宋_GB2312" w:eastAsia="仿宋_GB2312" w:cs="仿宋_GB2312"/>
          <w:b/>
          <w:color w:val="auto"/>
          <w:sz w:val="32"/>
          <w:szCs w:val="32"/>
          <w:highlight w:val="none"/>
        </w:rPr>
      </w:pPr>
      <w:r>
        <w:rPr>
          <w:rFonts w:hint="eastAsia" w:ascii="宋体" w:hAnsi="宋体" w:cs="仿宋_GB2312"/>
          <w:color w:val="auto"/>
          <w:sz w:val="24"/>
          <w:highlight w:val="none"/>
        </w:rPr>
        <w:t>日期：年月日</w:t>
      </w:r>
    </w:p>
    <w:p w14:paraId="4B93020E">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07D22431">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6216ACDA">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10E6F93F">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059DC22F">
      <w:pPr>
        <w:adjustRightInd w:val="0"/>
        <w:snapToGrid w:val="0"/>
        <w:spacing w:line="520" w:lineRule="exact"/>
        <w:rPr>
          <w:rFonts w:ascii="宋体" w:hAnsi="宋体"/>
          <w:color w:val="auto"/>
          <w:szCs w:val="21"/>
          <w:highlight w:val="none"/>
          <w:u w:val="single"/>
        </w:rPr>
      </w:pPr>
    </w:p>
    <w:p w14:paraId="187297E9">
      <w:pPr>
        <w:adjustRightInd w:val="0"/>
        <w:snapToGrid w:val="0"/>
        <w:spacing w:line="300" w:lineRule="auto"/>
        <w:jc w:val="center"/>
        <w:rPr>
          <w:rFonts w:ascii="方正小标宋简体" w:hAnsi="方正小标宋简体" w:eastAsia="方正小标宋简体" w:cs="方正小标宋简体"/>
          <w:bCs/>
          <w:color w:val="auto"/>
          <w:sz w:val="44"/>
          <w:szCs w:val="44"/>
          <w:highlight w:val="none"/>
        </w:rPr>
      </w:pPr>
      <w:r>
        <w:rPr>
          <w:rFonts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技术要求偏离表</w:t>
      </w:r>
    </w:p>
    <w:p w14:paraId="222BDDA7">
      <w:pPr>
        <w:spacing w:line="520" w:lineRule="exact"/>
        <w:rPr>
          <w:rFonts w:ascii="仿宋_GB2312" w:hAnsi="仿宋_GB2312" w:eastAsia="仿宋_GB2312" w:cs="仿宋_GB2312"/>
          <w:color w:val="auto"/>
          <w:sz w:val="32"/>
          <w:szCs w:val="32"/>
          <w:highlight w:val="none"/>
        </w:rPr>
      </w:pPr>
    </w:p>
    <w:p w14:paraId="300A32BE">
      <w:pPr>
        <w:spacing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采购项目编号：</w:t>
      </w:r>
    </w:p>
    <w:p w14:paraId="04289CF0">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采购项目名称：</w:t>
      </w:r>
    </w:p>
    <w:p w14:paraId="0C3A06BF">
      <w:pPr>
        <w:spacing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分标号：</w:t>
      </w:r>
    </w:p>
    <w:tbl>
      <w:tblPr>
        <w:tblStyle w:val="35"/>
        <w:tblW w:w="90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6"/>
        <w:gridCol w:w="915"/>
        <w:gridCol w:w="3491"/>
        <w:gridCol w:w="2281"/>
        <w:gridCol w:w="1492"/>
      </w:tblGrid>
      <w:tr w14:paraId="43D8E7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20" w:hRule="atLeast"/>
          <w:jc w:val="center"/>
        </w:trPr>
        <w:tc>
          <w:tcPr>
            <w:tcW w:w="916" w:type="dxa"/>
            <w:vAlign w:val="center"/>
          </w:tcPr>
          <w:p w14:paraId="4FD37F67">
            <w:pPr>
              <w:pStyle w:val="20"/>
              <w:spacing w:line="360" w:lineRule="auto"/>
              <w:ind w:firstLine="0" w:firstLineChars="0"/>
              <w:contextualSpacing/>
              <w:jc w:val="center"/>
              <w:rPr>
                <w:rFonts w:ascii="宋体" w:hAnsi="宋体" w:eastAsia="宋体" w:cs="仿宋_GB2312"/>
                <w:color w:val="auto"/>
                <w:kern w:val="2"/>
                <w:sz w:val="24"/>
                <w:szCs w:val="24"/>
                <w:highlight w:val="none"/>
              </w:rPr>
            </w:pPr>
            <w:bookmarkStart w:id="79" w:name="_Toc373333689"/>
            <w:bookmarkStart w:id="80" w:name="_Toc173211900"/>
            <w:bookmarkStart w:id="81" w:name="_Toc297193185"/>
            <w:bookmarkStart w:id="82" w:name="_Toc254970729"/>
            <w:bookmarkStart w:id="83" w:name="_Toc254970588"/>
            <w:bookmarkStart w:id="84" w:name="_Toc383699906"/>
            <w:bookmarkStart w:id="85" w:name="_Toc173066401"/>
            <w:bookmarkStart w:id="86" w:name="_Toc295404981"/>
            <w:bookmarkStart w:id="87" w:name="_Toc301781611"/>
            <w:r>
              <w:rPr>
                <w:rFonts w:hint="eastAsia" w:ascii="宋体" w:hAnsi="宋体" w:eastAsia="宋体" w:cs="仿宋_GB2312"/>
                <w:color w:val="auto"/>
                <w:kern w:val="2"/>
                <w:sz w:val="24"/>
                <w:szCs w:val="24"/>
                <w:highlight w:val="none"/>
              </w:rPr>
              <w:t>序号</w:t>
            </w:r>
            <w:bookmarkEnd w:id="79"/>
            <w:bookmarkEnd w:id="80"/>
            <w:bookmarkEnd w:id="81"/>
            <w:bookmarkEnd w:id="82"/>
            <w:bookmarkEnd w:id="83"/>
            <w:bookmarkEnd w:id="84"/>
            <w:bookmarkEnd w:id="85"/>
            <w:bookmarkEnd w:id="86"/>
            <w:bookmarkEnd w:id="87"/>
          </w:p>
        </w:tc>
        <w:tc>
          <w:tcPr>
            <w:tcW w:w="915" w:type="dxa"/>
            <w:tcBorders>
              <w:right w:val="single" w:color="auto" w:sz="4" w:space="0"/>
            </w:tcBorders>
            <w:vAlign w:val="center"/>
          </w:tcPr>
          <w:p w14:paraId="57BE30DF">
            <w:pPr>
              <w:pStyle w:val="20"/>
              <w:spacing w:line="360" w:lineRule="auto"/>
              <w:ind w:firstLine="0" w:firstLineChars="0"/>
              <w:contextualSpacing/>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名称</w:t>
            </w:r>
          </w:p>
        </w:tc>
        <w:tc>
          <w:tcPr>
            <w:tcW w:w="3491" w:type="dxa"/>
            <w:tcBorders>
              <w:left w:val="single" w:color="auto" w:sz="4" w:space="0"/>
            </w:tcBorders>
            <w:vAlign w:val="center"/>
          </w:tcPr>
          <w:p w14:paraId="2852394B">
            <w:pPr>
              <w:pStyle w:val="20"/>
              <w:spacing w:line="360" w:lineRule="auto"/>
              <w:ind w:firstLine="0" w:firstLineChars="0"/>
              <w:contextualSpacing/>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磋商文件</w:t>
            </w:r>
            <w:r>
              <w:rPr>
                <w:rFonts w:hint="eastAsia" w:ascii="宋体" w:hAnsi="宋体" w:eastAsia="宋体" w:cs="仿宋_GB2312"/>
                <w:color w:val="auto"/>
                <w:kern w:val="2"/>
                <w:sz w:val="24"/>
                <w:szCs w:val="24"/>
                <w:highlight w:val="none"/>
                <w:lang w:val="en-US" w:eastAsia="zh-CN"/>
              </w:rPr>
              <w:t>项目要求及技术需求</w:t>
            </w:r>
          </w:p>
        </w:tc>
        <w:tc>
          <w:tcPr>
            <w:tcW w:w="2281" w:type="dxa"/>
            <w:vAlign w:val="center"/>
          </w:tcPr>
          <w:p w14:paraId="3FF38FFB">
            <w:pPr>
              <w:pStyle w:val="20"/>
              <w:spacing w:line="360" w:lineRule="auto"/>
              <w:ind w:firstLine="0" w:firstLineChars="0"/>
              <w:contextualSpacing/>
              <w:jc w:val="center"/>
              <w:rPr>
                <w:rFonts w:ascii="宋体" w:hAnsi="宋体" w:eastAsia="宋体" w:cs="仿宋_GB2312"/>
                <w:color w:val="auto"/>
                <w:kern w:val="2"/>
                <w:sz w:val="24"/>
                <w:szCs w:val="24"/>
                <w:highlight w:val="none"/>
              </w:rPr>
            </w:pPr>
            <w:bookmarkStart w:id="88" w:name="_Toc254970590"/>
            <w:bookmarkStart w:id="89" w:name="_Toc173211902"/>
            <w:bookmarkStart w:id="90" w:name="_Toc254970731"/>
            <w:bookmarkStart w:id="91" w:name="_Toc301781613"/>
            <w:bookmarkStart w:id="92" w:name="_Toc295404983"/>
            <w:bookmarkStart w:id="93" w:name="_Toc173066403"/>
            <w:bookmarkStart w:id="94" w:name="_Toc297193187"/>
            <w:bookmarkStart w:id="95" w:name="_Toc383699908"/>
            <w:bookmarkStart w:id="96" w:name="_Toc373333691"/>
            <w:r>
              <w:rPr>
                <w:rFonts w:hint="eastAsia" w:ascii="宋体" w:hAnsi="宋体" w:eastAsia="宋体" w:cs="仿宋_GB2312"/>
                <w:color w:val="auto"/>
                <w:kern w:val="2"/>
                <w:sz w:val="24"/>
                <w:szCs w:val="24"/>
                <w:highlight w:val="none"/>
              </w:rPr>
              <w:t>竞标响应</w:t>
            </w:r>
            <w:bookmarkEnd w:id="88"/>
            <w:bookmarkEnd w:id="89"/>
            <w:bookmarkEnd w:id="90"/>
            <w:bookmarkEnd w:id="91"/>
            <w:bookmarkEnd w:id="92"/>
            <w:bookmarkEnd w:id="93"/>
            <w:bookmarkEnd w:id="94"/>
            <w:bookmarkEnd w:id="95"/>
            <w:bookmarkEnd w:id="96"/>
          </w:p>
        </w:tc>
        <w:tc>
          <w:tcPr>
            <w:tcW w:w="1492" w:type="dxa"/>
            <w:vAlign w:val="center"/>
          </w:tcPr>
          <w:p w14:paraId="57ED6AB6">
            <w:pPr>
              <w:pStyle w:val="20"/>
              <w:spacing w:line="360" w:lineRule="auto"/>
              <w:ind w:firstLine="0" w:firstLineChars="0"/>
              <w:contextualSpacing/>
              <w:jc w:val="center"/>
              <w:rPr>
                <w:rFonts w:ascii="宋体" w:hAnsi="宋体" w:eastAsia="宋体" w:cs="仿宋_GB2312"/>
                <w:color w:val="auto"/>
                <w:kern w:val="2"/>
                <w:sz w:val="24"/>
                <w:szCs w:val="24"/>
                <w:highlight w:val="none"/>
              </w:rPr>
            </w:pPr>
            <w:bookmarkStart w:id="97" w:name="_Toc254970591"/>
            <w:bookmarkStart w:id="98" w:name="_Toc173211903"/>
            <w:bookmarkStart w:id="99" w:name="_Toc173066404"/>
            <w:bookmarkStart w:id="100" w:name="_Toc383699909"/>
            <w:bookmarkStart w:id="101" w:name="_Toc297193188"/>
            <w:bookmarkStart w:id="102" w:name="_Toc373333692"/>
            <w:bookmarkStart w:id="103" w:name="_Toc301781614"/>
            <w:bookmarkStart w:id="104" w:name="_Toc295404984"/>
            <w:bookmarkStart w:id="105" w:name="_Toc254970732"/>
            <w:r>
              <w:rPr>
                <w:rFonts w:hint="eastAsia" w:ascii="宋体" w:hAnsi="宋体" w:eastAsia="宋体" w:cs="仿宋_GB2312"/>
                <w:color w:val="auto"/>
                <w:kern w:val="2"/>
                <w:sz w:val="24"/>
                <w:szCs w:val="24"/>
                <w:highlight w:val="none"/>
              </w:rPr>
              <w:t>偏离</w:t>
            </w:r>
            <w:bookmarkEnd w:id="97"/>
            <w:bookmarkEnd w:id="98"/>
            <w:bookmarkEnd w:id="99"/>
            <w:bookmarkEnd w:id="100"/>
            <w:bookmarkEnd w:id="101"/>
            <w:bookmarkEnd w:id="102"/>
            <w:bookmarkEnd w:id="103"/>
            <w:bookmarkEnd w:id="104"/>
            <w:bookmarkEnd w:id="105"/>
            <w:bookmarkStart w:id="106" w:name="_Toc173066405"/>
            <w:bookmarkStart w:id="107" w:name="_Toc295404985"/>
            <w:bookmarkStart w:id="108" w:name="_Toc297193189"/>
            <w:bookmarkStart w:id="109" w:name="_Toc301781615"/>
            <w:bookmarkStart w:id="110" w:name="_Toc254970592"/>
            <w:bookmarkStart w:id="111" w:name="_Toc173211904"/>
            <w:bookmarkStart w:id="112" w:name="_Toc373333693"/>
            <w:bookmarkStart w:id="113" w:name="_Toc254970733"/>
            <w:bookmarkStart w:id="114" w:name="_Toc383699910"/>
            <w:r>
              <w:rPr>
                <w:rFonts w:hint="eastAsia" w:ascii="宋体" w:hAnsi="宋体" w:eastAsia="宋体" w:cs="仿宋_GB2312"/>
                <w:color w:val="auto"/>
                <w:kern w:val="2"/>
                <w:sz w:val="24"/>
                <w:szCs w:val="24"/>
                <w:highlight w:val="none"/>
              </w:rPr>
              <w:t>说明</w:t>
            </w:r>
            <w:bookmarkEnd w:id="106"/>
            <w:bookmarkEnd w:id="107"/>
            <w:bookmarkEnd w:id="108"/>
            <w:bookmarkEnd w:id="109"/>
            <w:bookmarkEnd w:id="110"/>
            <w:bookmarkEnd w:id="111"/>
            <w:bookmarkEnd w:id="112"/>
            <w:bookmarkEnd w:id="113"/>
            <w:bookmarkEnd w:id="114"/>
          </w:p>
        </w:tc>
      </w:tr>
      <w:tr w14:paraId="5FEBBA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09DF9620">
            <w:pPr>
              <w:pStyle w:val="20"/>
              <w:spacing w:line="360" w:lineRule="auto"/>
              <w:ind w:firstLine="0" w:firstLineChars="0"/>
              <w:contextualSpacing/>
              <w:jc w:val="center"/>
              <w:rPr>
                <w:rFonts w:ascii="宋体" w:hAnsi="宋体" w:eastAsia="宋体" w:cs="仿宋_GB2312"/>
                <w:color w:val="auto"/>
                <w:kern w:val="2"/>
                <w:sz w:val="24"/>
                <w:szCs w:val="24"/>
                <w:highlight w:val="none"/>
              </w:rPr>
            </w:pPr>
          </w:p>
        </w:tc>
        <w:tc>
          <w:tcPr>
            <w:tcW w:w="915" w:type="dxa"/>
            <w:tcBorders>
              <w:right w:val="single" w:color="auto" w:sz="4" w:space="0"/>
            </w:tcBorders>
            <w:vAlign w:val="center"/>
          </w:tcPr>
          <w:p w14:paraId="1D33F2A7">
            <w:pPr>
              <w:pStyle w:val="20"/>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491" w:type="dxa"/>
            <w:tcBorders>
              <w:left w:val="single" w:color="auto" w:sz="4" w:space="0"/>
            </w:tcBorders>
            <w:vAlign w:val="center"/>
          </w:tcPr>
          <w:p w14:paraId="3E6D0B89">
            <w:pPr>
              <w:pStyle w:val="20"/>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281" w:type="dxa"/>
            <w:vAlign w:val="center"/>
          </w:tcPr>
          <w:p w14:paraId="53C37544">
            <w:pPr>
              <w:pStyle w:val="20"/>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492" w:type="dxa"/>
            <w:vAlign w:val="center"/>
          </w:tcPr>
          <w:p w14:paraId="199099D4">
            <w:pPr>
              <w:pStyle w:val="20"/>
              <w:spacing w:line="360" w:lineRule="auto"/>
              <w:ind w:firstLine="0" w:firstLineChars="0"/>
              <w:contextualSpacing/>
              <w:jc w:val="center"/>
              <w:rPr>
                <w:rFonts w:ascii="宋体" w:hAnsi="宋体" w:eastAsia="宋体" w:cs="仿宋_GB2312"/>
                <w:color w:val="auto"/>
                <w:kern w:val="2"/>
                <w:sz w:val="24"/>
                <w:szCs w:val="24"/>
                <w:highlight w:val="none"/>
              </w:rPr>
            </w:pPr>
          </w:p>
        </w:tc>
      </w:tr>
      <w:tr w14:paraId="62060E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37A66071">
            <w:pPr>
              <w:pStyle w:val="20"/>
              <w:spacing w:line="360" w:lineRule="auto"/>
              <w:ind w:firstLine="0" w:firstLineChars="0"/>
              <w:contextualSpacing/>
              <w:jc w:val="center"/>
              <w:rPr>
                <w:rFonts w:ascii="宋体" w:hAnsi="宋体" w:eastAsia="宋体" w:cs="仿宋_GB2312"/>
                <w:color w:val="auto"/>
                <w:kern w:val="2"/>
                <w:sz w:val="24"/>
                <w:szCs w:val="24"/>
                <w:highlight w:val="none"/>
              </w:rPr>
            </w:pPr>
          </w:p>
        </w:tc>
        <w:tc>
          <w:tcPr>
            <w:tcW w:w="915" w:type="dxa"/>
            <w:tcBorders>
              <w:right w:val="single" w:color="auto" w:sz="4" w:space="0"/>
            </w:tcBorders>
            <w:vAlign w:val="center"/>
          </w:tcPr>
          <w:p w14:paraId="42897B4B">
            <w:pPr>
              <w:pStyle w:val="20"/>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491" w:type="dxa"/>
            <w:tcBorders>
              <w:left w:val="single" w:color="auto" w:sz="4" w:space="0"/>
            </w:tcBorders>
            <w:vAlign w:val="center"/>
          </w:tcPr>
          <w:p w14:paraId="60BFD853">
            <w:pPr>
              <w:pStyle w:val="20"/>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281" w:type="dxa"/>
            <w:vAlign w:val="center"/>
          </w:tcPr>
          <w:p w14:paraId="2DF44096">
            <w:pPr>
              <w:pStyle w:val="20"/>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492" w:type="dxa"/>
            <w:vAlign w:val="center"/>
          </w:tcPr>
          <w:p w14:paraId="33F95415">
            <w:pPr>
              <w:pStyle w:val="20"/>
              <w:spacing w:line="360" w:lineRule="auto"/>
              <w:ind w:firstLine="0" w:firstLineChars="0"/>
              <w:contextualSpacing/>
              <w:jc w:val="center"/>
              <w:rPr>
                <w:rFonts w:ascii="宋体" w:hAnsi="宋体" w:eastAsia="宋体" w:cs="仿宋_GB2312"/>
                <w:color w:val="auto"/>
                <w:kern w:val="2"/>
                <w:sz w:val="24"/>
                <w:szCs w:val="24"/>
                <w:highlight w:val="none"/>
              </w:rPr>
            </w:pPr>
          </w:p>
        </w:tc>
      </w:tr>
      <w:tr w14:paraId="129AAD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13B0BCB7">
            <w:pPr>
              <w:pStyle w:val="20"/>
              <w:spacing w:line="360" w:lineRule="auto"/>
              <w:ind w:firstLine="0" w:firstLineChars="0"/>
              <w:contextualSpacing/>
              <w:jc w:val="center"/>
              <w:rPr>
                <w:rFonts w:ascii="宋体" w:hAnsi="宋体" w:eastAsia="宋体" w:cs="仿宋_GB2312"/>
                <w:color w:val="auto"/>
                <w:kern w:val="2"/>
                <w:sz w:val="24"/>
                <w:szCs w:val="24"/>
                <w:highlight w:val="none"/>
              </w:rPr>
            </w:pPr>
          </w:p>
        </w:tc>
        <w:tc>
          <w:tcPr>
            <w:tcW w:w="915" w:type="dxa"/>
            <w:tcBorders>
              <w:right w:val="single" w:color="auto" w:sz="4" w:space="0"/>
            </w:tcBorders>
            <w:vAlign w:val="center"/>
          </w:tcPr>
          <w:p w14:paraId="4FF5261C">
            <w:pPr>
              <w:pStyle w:val="20"/>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491" w:type="dxa"/>
            <w:tcBorders>
              <w:left w:val="single" w:color="auto" w:sz="4" w:space="0"/>
            </w:tcBorders>
            <w:vAlign w:val="center"/>
          </w:tcPr>
          <w:p w14:paraId="750A3B08">
            <w:pPr>
              <w:pStyle w:val="20"/>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281" w:type="dxa"/>
            <w:vAlign w:val="center"/>
          </w:tcPr>
          <w:p w14:paraId="315072B7">
            <w:pPr>
              <w:pStyle w:val="20"/>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492" w:type="dxa"/>
            <w:vAlign w:val="center"/>
          </w:tcPr>
          <w:p w14:paraId="564C2E5A">
            <w:pPr>
              <w:pStyle w:val="20"/>
              <w:spacing w:line="360" w:lineRule="auto"/>
              <w:ind w:firstLine="0" w:firstLineChars="0"/>
              <w:contextualSpacing/>
              <w:jc w:val="center"/>
              <w:rPr>
                <w:rFonts w:ascii="宋体" w:hAnsi="宋体" w:eastAsia="宋体" w:cs="仿宋_GB2312"/>
                <w:color w:val="auto"/>
                <w:kern w:val="2"/>
                <w:sz w:val="24"/>
                <w:szCs w:val="24"/>
                <w:highlight w:val="none"/>
              </w:rPr>
            </w:pPr>
          </w:p>
        </w:tc>
      </w:tr>
      <w:tr w14:paraId="69D614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3C44AE54">
            <w:pPr>
              <w:pStyle w:val="20"/>
              <w:spacing w:line="360" w:lineRule="auto"/>
              <w:ind w:firstLine="0" w:firstLineChars="0"/>
              <w:contextualSpacing/>
              <w:jc w:val="center"/>
              <w:rPr>
                <w:rFonts w:ascii="宋体" w:hAnsi="宋体" w:eastAsia="宋体" w:cs="仿宋_GB2312"/>
                <w:color w:val="auto"/>
                <w:kern w:val="2"/>
                <w:sz w:val="24"/>
                <w:szCs w:val="24"/>
                <w:highlight w:val="none"/>
              </w:rPr>
            </w:pPr>
          </w:p>
        </w:tc>
        <w:tc>
          <w:tcPr>
            <w:tcW w:w="915" w:type="dxa"/>
            <w:tcBorders>
              <w:right w:val="single" w:color="auto" w:sz="4" w:space="0"/>
            </w:tcBorders>
            <w:vAlign w:val="center"/>
          </w:tcPr>
          <w:p w14:paraId="149D3598">
            <w:pPr>
              <w:pStyle w:val="20"/>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491" w:type="dxa"/>
            <w:tcBorders>
              <w:left w:val="single" w:color="auto" w:sz="4" w:space="0"/>
            </w:tcBorders>
            <w:vAlign w:val="center"/>
          </w:tcPr>
          <w:p w14:paraId="3D812AD6">
            <w:pPr>
              <w:pStyle w:val="20"/>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281" w:type="dxa"/>
            <w:vAlign w:val="center"/>
          </w:tcPr>
          <w:p w14:paraId="737E28A5">
            <w:pPr>
              <w:pStyle w:val="20"/>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492" w:type="dxa"/>
            <w:vAlign w:val="center"/>
          </w:tcPr>
          <w:p w14:paraId="3ECA6D77">
            <w:pPr>
              <w:pStyle w:val="20"/>
              <w:spacing w:line="360" w:lineRule="auto"/>
              <w:ind w:firstLine="0" w:firstLineChars="0"/>
              <w:contextualSpacing/>
              <w:jc w:val="center"/>
              <w:rPr>
                <w:rFonts w:ascii="宋体" w:hAnsi="宋体" w:eastAsia="宋体" w:cs="仿宋_GB2312"/>
                <w:color w:val="auto"/>
                <w:kern w:val="2"/>
                <w:sz w:val="24"/>
                <w:szCs w:val="24"/>
                <w:highlight w:val="none"/>
              </w:rPr>
            </w:pPr>
          </w:p>
        </w:tc>
      </w:tr>
      <w:tr w14:paraId="10107C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74452023">
            <w:pPr>
              <w:pStyle w:val="20"/>
              <w:spacing w:line="360" w:lineRule="auto"/>
              <w:ind w:firstLine="0" w:firstLineChars="0"/>
              <w:contextualSpacing/>
              <w:jc w:val="center"/>
              <w:rPr>
                <w:rFonts w:ascii="宋体" w:hAnsi="宋体" w:eastAsia="宋体" w:cs="仿宋_GB2312"/>
                <w:color w:val="auto"/>
                <w:kern w:val="2"/>
                <w:sz w:val="24"/>
                <w:szCs w:val="24"/>
                <w:highlight w:val="none"/>
              </w:rPr>
            </w:pPr>
          </w:p>
        </w:tc>
        <w:tc>
          <w:tcPr>
            <w:tcW w:w="915" w:type="dxa"/>
            <w:tcBorders>
              <w:right w:val="single" w:color="auto" w:sz="4" w:space="0"/>
            </w:tcBorders>
            <w:vAlign w:val="center"/>
          </w:tcPr>
          <w:p w14:paraId="175777ED">
            <w:pPr>
              <w:pStyle w:val="20"/>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491" w:type="dxa"/>
            <w:tcBorders>
              <w:left w:val="single" w:color="auto" w:sz="4" w:space="0"/>
            </w:tcBorders>
            <w:vAlign w:val="center"/>
          </w:tcPr>
          <w:p w14:paraId="6908B3AD">
            <w:pPr>
              <w:pStyle w:val="20"/>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281" w:type="dxa"/>
            <w:vAlign w:val="center"/>
          </w:tcPr>
          <w:p w14:paraId="2821DEF3">
            <w:pPr>
              <w:pStyle w:val="20"/>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492" w:type="dxa"/>
            <w:vAlign w:val="center"/>
          </w:tcPr>
          <w:p w14:paraId="1E922A20">
            <w:pPr>
              <w:pStyle w:val="20"/>
              <w:spacing w:line="360" w:lineRule="auto"/>
              <w:ind w:firstLine="0" w:firstLineChars="0"/>
              <w:contextualSpacing/>
              <w:jc w:val="center"/>
              <w:rPr>
                <w:rFonts w:ascii="宋体" w:hAnsi="宋体" w:eastAsia="宋体" w:cs="仿宋_GB2312"/>
                <w:color w:val="auto"/>
                <w:kern w:val="2"/>
                <w:sz w:val="24"/>
                <w:szCs w:val="24"/>
                <w:highlight w:val="none"/>
              </w:rPr>
            </w:pPr>
          </w:p>
        </w:tc>
      </w:tr>
      <w:tr w14:paraId="1A5301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6" w:type="dxa"/>
            <w:vAlign w:val="center"/>
          </w:tcPr>
          <w:p w14:paraId="1A9E9A2A">
            <w:pPr>
              <w:pStyle w:val="20"/>
              <w:spacing w:line="360" w:lineRule="auto"/>
              <w:ind w:firstLine="0" w:firstLineChars="0"/>
              <w:contextualSpacing/>
              <w:jc w:val="center"/>
              <w:rPr>
                <w:rFonts w:ascii="宋体" w:hAnsi="宋体" w:eastAsia="宋体" w:cs="仿宋_GB2312"/>
                <w:color w:val="auto"/>
                <w:kern w:val="2"/>
                <w:sz w:val="24"/>
                <w:szCs w:val="24"/>
                <w:highlight w:val="none"/>
              </w:rPr>
            </w:pPr>
            <w:bookmarkStart w:id="115" w:name="_Toc301781621"/>
            <w:bookmarkStart w:id="116" w:name="_Toc173211914"/>
            <w:bookmarkStart w:id="117" w:name="_Toc295404991"/>
            <w:bookmarkStart w:id="118" w:name="_Toc254970743"/>
            <w:bookmarkStart w:id="119" w:name="_Toc254970602"/>
            <w:bookmarkStart w:id="120" w:name="_Toc173066415"/>
            <w:bookmarkStart w:id="121" w:name="_Toc373333699"/>
            <w:bookmarkStart w:id="122" w:name="_Toc297193195"/>
            <w:bookmarkStart w:id="123" w:name="_Toc383699916"/>
            <w:r>
              <w:rPr>
                <w:rFonts w:hint="eastAsia" w:ascii="宋体" w:hAnsi="宋体" w:eastAsia="宋体" w:cs="仿宋_GB2312"/>
                <w:color w:val="auto"/>
                <w:kern w:val="2"/>
                <w:sz w:val="24"/>
                <w:szCs w:val="24"/>
                <w:highlight w:val="none"/>
              </w:rPr>
              <w:t>…</w:t>
            </w:r>
            <w:bookmarkEnd w:id="115"/>
            <w:bookmarkEnd w:id="116"/>
            <w:bookmarkEnd w:id="117"/>
            <w:bookmarkEnd w:id="118"/>
            <w:bookmarkEnd w:id="119"/>
            <w:bookmarkEnd w:id="120"/>
            <w:bookmarkEnd w:id="121"/>
            <w:bookmarkEnd w:id="122"/>
            <w:bookmarkEnd w:id="123"/>
          </w:p>
        </w:tc>
        <w:tc>
          <w:tcPr>
            <w:tcW w:w="915" w:type="dxa"/>
            <w:tcBorders>
              <w:right w:val="single" w:color="auto" w:sz="4" w:space="0"/>
            </w:tcBorders>
            <w:vAlign w:val="center"/>
          </w:tcPr>
          <w:p w14:paraId="1EDB4D14">
            <w:pPr>
              <w:pStyle w:val="20"/>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491" w:type="dxa"/>
            <w:tcBorders>
              <w:left w:val="single" w:color="auto" w:sz="4" w:space="0"/>
            </w:tcBorders>
            <w:vAlign w:val="center"/>
          </w:tcPr>
          <w:p w14:paraId="6FFB234F">
            <w:pPr>
              <w:pStyle w:val="20"/>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281" w:type="dxa"/>
            <w:vAlign w:val="center"/>
          </w:tcPr>
          <w:p w14:paraId="72D754FA">
            <w:pPr>
              <w:pStyle w:val="20"/>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492" w:type="dxa"/>
            <w:tcBorders>
              <w:right w:val="single" w:color="auto" w:sz="4" w:space="0"/>
            </w:tcBorders>
            <w:vAlign w:val="center"/>
          </w:tcPr>
          <w:p w14:paraId="7D343721">
            <w:pPr>
              <w:pStyle w:val="20"/>
              <w:spacing w:line="360" w:lineRule="auto"/>
              <w:ind w:firstLine="0" w:firstLineChars="0"/>
              <w:contextualSpacing/>
              <w:jc w:val="center"/>
              <w:rPr>
                <w:rFonts w:ascii="宋体" w:hAnsi="宋体" w:eastAsia="宋体" w:cs="仿宋_GB2312"/>
                <w:color w:val="auto"/>
                <w:kern w:val="2"/>
                <w:sz w:val="24"/>
                <w:szCs w:val="24"/>
                <w:highlight w:val="none"/>
              </w:rPr>
            </w:pPr>
          </w:p>
        </w:tc>
      </w:tr>
    </w:tbl>
    <w:p w14:paraId="41392B5D">
      <w:pPr>
        <w:adjustRightInd w:val="0"/>
        <w:spacing w:line="360" w:lineRule="auto"/>
        <w:contextualSpacing/>
        <w:rPr>
          <w:rFonts w:ascii="宋体" w:hAnsi="宋体" w:cs="仿宋_GB2312"/>
          <w:color w:val="auto"/>
          <w:sz w:val="24"/>
          <w:highlight w:val="none"/>
        </w:rPr>
      </w:pPr>
    </w:p>
    <w:p w14:paraId="43340CE1">
      <w:pPr>
        <w:pStyle w:val="20"/>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w:t>
      </w:r>
    </w:p>
    <w:p w14:paraId="13D8DD8B">
      <w:pPr>
        <w:pStyle w:val="20"/>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 说明：应对照磋商文件“第三章采购需求”中的技术要求逐条作出明确响应，并作出偏离说明。</w:t>
      </w:r>
    </w:p>
    <w:p w14:paraId="7F508356">
      <w:pPr>
        <w:pStyle w:val="20"/>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2.供应商应根据自身的承诺，对照磋商文件要求，在“偏离说明”中注明“正偏离”、“负偏离”或者“无偏离”。既不属于“正偏离”也不属于“负偏离”即为“无偏离”。</w:t>
      </w:r>
    </w:p>
    <w:p w14:paraId="08AC945F">
      <w:pPr>
        <w:spacing w:line="360" w:lineRule="auto"/>
        <w:ind w:right="-817" w:rightChars="-389"/>
        <w:contextualSpacing/>
        <w:rPr>
          <w:rFonts w:ascii="宋体" w:hAnsi="宋体" w:cs="仿宋_GB2312"/>
          <w:color w:val="auto"/>
          <w:sz w:val="24"/>
          <w:highlight w:val="none"/>
        </w:rPr>
      </w:pPr>
    </w:p>
    <w:p w14:paraId="17498DF1">
      <w:pPr>
        <w:spacing w:line="360" w:lineRule="auto"/>
        <w:ind w:right="-817" w:rightChars="-389"/>
        <w:contextualSpacing/>
        <w:jc w:val="center"/>
        <w:rPr>
          <w:rFonts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470EDAE9">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供应商（电子签章）：</w:t>
      </w:r>
    </w:p>
    <w:p w14:paraId="0A725001">
      <w:pPr>
        <w:spacing w:line="360" w:lineRule="auto"/>
        <w:ind w:right="-817" w:rightChars="-389" w:firstLine="4080" w:firstLineChars="1700"/>
        <w:contextualSpacing/>
        <w:rPr>
          <w:rFonts w:ascii="宋体" w:hAnsi="宋体" w:cs="仿宋_GB2312"/>
          <w:color w:val="auto"/>
          <w:sz w:val="24"/>
          <w:highlight w:val="none"/>
        </w:rPr>
      </w:pPr>
      <w:r>
        <w:rPr>
          <w:rFonts w:hint="eastAsia" w:ascii="宋体" w:hAnsi="宋体" w:cs="仿宋_GB2312"/>
          <w:color w:val="auto"/>
          <w:sz w:val="24"/>
          <w:highlight w:val="none"/>
        </w:rPr>
        <w:t>日期：年月日</w:t>
      </w:r>
    </w:p>
    <w:p w14:paraId="41AC84D0">
      <w:pPr>
        <w:snapToGrid w:val="0"/>
        <w:spacing w:before="156" w:beforeLines="50" w:after="50"/>
        <w:ind w:left="142"/>
        <w:jc w:val="left"/>
        <w:rPr>
          <w:rFonts w:ascii="宋体" w:hAnsi="宋体"/>
          <w:b/>
          <w:color w:val="auto"/>
          <w:sz w:val="24"/>
          <w:highlight w:val="none"/>
        </w:rPr>
      </w:pPr>
      <w:r>
        <w:rPr>
          <w:rFonts w:ascii="宋体" w:hAnsi="宋体" w:cs="仿宋_GB2312"/>
          <w:color w:val="auto"/>
          <w:sz w:val="24"/>
          <w:highlight w:val="none"/>
        </w:rPr>
        <w:br w:type="page"/>
      </w:r>
      <w:r>
        <w:rPr>
          <w:rFonts w:hint="eastAsia" w:ascii="宋体" w:hAnsi="宋体"/>
          <w:b/>
          <w:color w:val="auto"/>
          <w:sz w:val="24"/>
          <w:highlight w:val="none"/>
        </w:rPr>
        <w:t>项目实施人员一览表格式</w:t>
      </w:r>
    </w:p>
    <w:p w14:paraId="7B18CAC4">
      <w:pPr>
        <w:snapToGrid w:val="0"/>
        <w:spacing w:before="156" w:beforeLines="50" w:after="50"/>
        <w:ind w:left="142"/>
        <w:jc w:val="left"/>
        <w:rPr>
          <w:rFonts w:ascii="宋体" w:hAnsi="宋体"/>
          <w:b/>
          <w:color w:val="auto"/>
          <w:sz w:val="24"/>
          <w:highlight w:val="none"/>
        </w:rPr>
      </w:pPr>
    </w:p>
    <w:p w14:paraId="2DD6CC03">
      <w:pPr>
        <w:spacing w:line="360" w:lineRule="auto"/>
        <w:ind w:left="142"/>
        <w:contextualSpacing/>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w:t>
      </w:r>
    </w:p>
    <w:tbl>
      <w:tblPr>
        <w:tblStyle w:val="35"/>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9"/>
        <w:gridCol w:w="589"/>
        <w:gridCol w:w="1036"/>
        <w:gridCol w:w="1247"/>
        <w:gridCol w:w="1787"/>
        <w:gridCol w:w="3094"/>
        <w:gridCol w:w="1608"/>
      </w:tblGrid>
      <w:tr w14:paraId="65B09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trPr>
        <w:tc>
          <w:tcPr>
            <w:tcW w:w="296" w:type="pct"/>
            <w:vAlign w:val="center"/>
          </w:tcPr>
          <w:p w14:paraId="649F23A1">
            <w:pPr>
              <w:spacing w:line="360" w:lineRule="auto"/>
              <w:contextualSpacing/>
              <w:jc w:val="center"/>
              <w:rPr>
                <w:rFonts w:hint="eastAsia" w:ascii="宋体" w:hAnsi="宋体" w:eastAsia="宋体"/>
                <w:color w:val="auto"/>
                <w:sz w:val="24"/>
                <w:szCs w:val="20"/>
                <w:highlight w:val="none"/>
                <w:lang w:eastAsia="zh-CN"/>
              </w:rPr>
            </w:pPr>
            <w:r>
              <w:rPr>
                <w:rFonts w:hint="eastAsia" w:ascii="宋体" w:hAnsi="宋体"/>
                <w:color w:val="auto"/>
                <w:sz w:val="24"/>
                <w:szCs w:val="20"/>
                <w:highlight w:val="none"/>
                <w:lang w:eastAsia="zh-CN"/>
              </w:rPr>
              <w:t>序号</w:t>
            </w:r>
          </w:p>
        </w:tc>
        <w:tc>
          <w:tcPr>
            <w:tcW w:w="296" w:type="pct"/>
            <w:vAlign w:val="center"/>
          </w:tcPr>
          <w:p w14:paraId="3B433844">
            <w:pPr>
              <w:spacing w:line="360"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姓名</w:t>
            </w:r>
          </w:p>
        </w:tc>
        <w:tc>
          <w:tcPr>
            <w:tcW w:w="520" w:type="pct"/>
            <w:vAlign w:val="center"/>
          </w:tcPr>
          <w:p w14:paraId="57210F62">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职务</w:t>
            </w:r>
          </w:p>
        </w:tc>
        <w:tc>
          <w:tcPr>
            <w:tcW w:w="626" w:type="pct"/>
            <w:vAlign w:val="center"/>
          </w:tcPr>
          <w:p w14:paraId="0EAF2686">
            <w:pPr>
              <w:spacing w:line="360" w:lineRule="auto"/>
              <w:contextualSpacing/>
              <w:jc w:val="center"/>
              <w:rPr>
                <w:rFonts w:hint="eastAsia" w:ascii="宋体" w:hAnsi="宋体" w:eastAsia="宋体"/>
                <w:color w:val="auto"/>
                <w:sz w:val="24"/>
                <w:szCs w:val="20"/>
                <w:highlight w:val="none"/>
                <w:lang w:val="en-US" w:eastAsia="zh-CN"/>
              </w:rPr>
            </w:pPr>
            <w:r>
              <w:rPr>
                <w:rFonts w:hint="eastAsia" w:ascii="宋体" w:hAnsi="宋体"/>
                <w:color w:val="auto"/>
                <w:sz w:val="24"/>
                <w:szCs w:val="20"/>
                <w:highlight w:val="none"/>
                <w:lang w:val="en-US" w:eastAsia="zh-CN"/>
              </w:rPr>
              <w:t>学历</w:t>
            </w:r>
          </w:p>
        </w:tc>
        <w:tc>
          <w:tcPr>
            <w:tcW w:w="897" w:type="pct"/>
            <w:vAlign w:val="center"/>
          </w:tcPr>
          <w:p w14:paraId="77A89BB7">
            <w:pPr>
              <w:spacing w:line="360" w:lineRule="auto"/>
              <w:contextualSpacing/>
              <w:jc w:val="center"/>
              <w:rPr>
                <w:rFonts w:hint="default" w:ascii="宋体" w:hAnsi="宋体"/>
                <w:color w:val="auto"/>
                <w:sz w:val="24"/>
                <w:szCs w:val="20"/>
                <w:highlight w:val="none"/>
                <w:lang w:val="en-US"/>
              </w:rPr>
            </w:pPr>
            <w:r>
              <w:rPr>
                <w:rFonts w:hint="eastAsia" w:ascii="宋体" w:hAnsi="宋体"/>
                <w:color w:val="auto"/>
                <w:sz w:val="24"/>
                <w:szCs w:val="20"/>
                <w:highlight w:val="none"/>
                <w:lang w:val="en-US" w:eastAsia="zh-CN"/>
              </w:rPr>
              <w:t>相关工作经验年限</w:t>
            </w:r>
          </w:p>
        </w:tc>
        <w:tc>
          <w:tcPr>
            <w:tcW w:w="1553" w:type="pct"/>
            <w:vAlign w:val="center"/>
          </w:tcPr>
          <w:p w14:paraId="6A26E4D0">
            <w:pPr>
              <w:spacing w:line="360" w:lineRule="auto"/>
              <w:contextualSpacing/>
              <w:jc w:val="center"/>
              <w:rPr>
                <w:rFonts w:hint="default" w:ascii="宋体" w:hAnsi="宋体" w:eastAsia="宋体"/>
                <w:color w:val="auto"/>
                <w:sz w:val="24"/>
                <w:szCs w:val="20"/>
                <w:highlight w:val="none"/>
                <w:lang w:val="en-US" w:eastAsia="zh-CN"/>
              </w:rPr>
            </w:pPr>
            <w:r>
              <w:rPr>
                <w:rFonts w:hint="eastAsia" w:ascii="宋体" w:hAnsi="宋体"/>
                <w:color w:val="auto"/>
                <w:sz w:val="24"/>
                <w:szCs w:val="20"/>
                <w:highlight w:val="none"/>
              </w:rPr>
              <w:t>专业技术资格（职称）或者职业资格或者执业资格证或者其他证书</w:t>
            </w:r>
          </w:p>
        </w:tc>
        <w:tc>
          <w:tcPr>
            <w:tcW w:w="807" w:type="pct"/>
            <w:vAlign w:val="center"/>
          </w:tcPr>
          <w:p w14:paraId="43AD79B9">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证书编号</w:t>
            </w:r>
          </w:p>
        </w:tc>
      </w:tr>
      <w:tr w14:paraId="4D755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96" w:type="pct"/>
            <w:vAlign w:val="center"/>
          </w:tcPr>
          <w:p w14:paraId="351F76A6">
            <w:pPr>
              <w:spacing w:line="360" w:lineRule="auto"/>
              <w:contextualSpacing/>
              <w:jc w:val="center"/>
              <w:rPr>
                <w:rFonts w:ascii="宋体" w:hAnsi="宋体"/>
                <w:color w:val="auto"/>
                <w:sz w:val="24"/>
                <w:szCs w:val="20"/>
                <w:highlight w:val="none"/>
              </w:rPr>
            </w:pPr>
          </w:p>
        </w:tc>
        <w:tc>
          <w:tcPr>
            <w:tcW w:w="296" w:type="pct"/>
            <w:vAlign w:val="center"/>
          </w:tcPr>
          <w:p w14:paraId="511DF72F">
            <w:pPr>
              <w:spacing w:line="360" w:lineRule="auto"/>
              <w:contextualSpacing/>
              <w:jc w:val="center"/>
              <w:rPr>
                <w:rFonts w:ascii="宋体" w:hAnsi="宋体"/>
                <w:color w:val="auto"/>
                <w:sz w:val="24"/>
                <w:szCs w:val="20"/>
                <w:highlight w:val="none"/>
              </w:rPr>
            </w:pPr>
          </w:p>
        </w:tc>
        <w:tc>
          <w:tcPr>
            <w:tcW w:w="520" w:type="pct"/>
            <w:vAlign w:val="center"/>
          </w:tcPr>
          <w:p w14:paraId="51B04518">
            <w:pPr>
              <w:spacing w:line="360" w:lineRule="auto"/>
              <w:contextualSpacing/>
              <w:jc w:val="center"/>
              <w:rPr>
                <w:rFonts w:ascii="宋体" w:hAnsi="宋体"/>
                <w:color w:val="auto"/>
                <w:sz w:val="24"/>
                <w:szCs w:val="20"/>
                <w:highlight w:val="none"/>
              </w:rPr>
            </w:pPr>
          </w:p>
        </w:tc>
        <w:tc>
          <w:tcPr>
            <w:tcW w:w="626" w:type="pct"/>
            <w:vAlign w:val="center"/>
          </w:tcPr>
          <w:p w14:paraId="14283AC3">
            <w:pPr>
              <w:spacing w:line="360" w:lineRule="auto"/>
              <w:contextualSpacing/>
              <w:jc w:val="center"/>
              <w:rPr>
                <w:rFonts w:ascii="宋体" w:hAnsi="宋体"/>
                <w:color w:val="auto"/>
                <w:sz w:val="24"/>
                <w:szCs w:val="20"/>
                <w:highlight w:val="none"/>
              </w:rPr>
            </w:pPr>
          </w:p>
        </w:tc>
        <w:tc>
          <w:tcPr>
            <w:tcW w:w="897" w:type="pct"/>
            <w:vAlign w:val="center"/>
          </w:tcPr>
          <w:p w14:paraId="2853B48E">
            <w:pPr>
              <w:spacing w:line="360" w:lineRule="auto"/>
              <w:contextualSpacing/>
              <w:jc w:val="center"/>
              <w:rPr>
                <w:rFonts w:ascii="宋体" w:hAnsi="宋体"/>
                <w:color w:val="auto"/>
                <w:sz w:val="24"/>
                <w:szCs w:val="20"/>
                <w:highlight w:val="none"/>
              </w:rPr>
            </w:pPr>
          </w:p>
        </w:tc>
        <w:tc>
          <w:tcPr>
            <w:tcW w:w="1553" w:type="pct"/>
            <w:vAlign w:val="center"/>
          </w:tcPr>
          <w:p w14:paraId="2578DEBC">
            <w:pPr>
              <w:spacing w:line="360" w:lineRule="auto"/>
              <w:contextualSpacing/>
              <w:jc w:val="center"/>
              <w:rPr>
                <w:rFonts w:ascii="宋体" w:hAnsi="宋体"/>
                <w:color w:val="auto"/>
                <w:sz w:val="24"/>
                <w:szCs w:val="20"/>
                <w:highlight w:val="none"/>
              </w:rPr>
            </w:pPr>
          </w:p>
        </w:tc>
        <w:tc>
          <w:tcPr>
            <w:tcW w:w="807" w:type="pct"/>
            <w:vAlign w:val="center"/>
          </w:tcPr>
          <w:p w14:paraId="591B4F32">
            <w:pPr>
              <w:spacing w:line="360" w:lineRule="auto"/>
              <w:contextualSpacing/>
              <w:jc w:val="center"/>
              <w:rPr>
                <w:rFonts w:ascii="宋体" w:hAnsi="宋体"/>
                <w:color w:val="auto"/>
                <w:sz w:val="24"/>
                <w:szCs w:val="20"/>
                <w:highlight w:val="none"/>
              </w:rPr>
            </w:pPr>
          </w:p>
        </w:tc>
      </w:tr>
      <w:tr w14:paraId="6C9A4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96" w:type="pct"/>
            <w:vAlign w:val="center"/>
          </w:tcPr>
          <w:p w14:paraId="3167C6A6">
            <w:pPr>
              <w:spacing w:line="360" w:lineRule="auto"/>
              <w:contextualSpacing/>
              <w:jc w:val="center"/>
              <w:rPr>
                <w:rFonts w:ascii="宋体" w:hAnsi="宋体"/>
                <w:color w:val="auto"/>
                <w:sz w:val="24"/>
                <w:szCs w:val="20"/>
                <w:highlight w:val="none"/>
              </w:rPr>
            </w:pPr>
          </w:p>
        </w:tc>
        <w:tc>
          <w:tcPr>
            <w:tcW w:w="296" w:type="pct"/>
            <w:vAlign w:val="center"/>
          </w:tcPr>
          <w:p w14:paraId="596D08B6">
            <w:pPr>
              <w:spacing w:line="360" w:lineRule="auto"/>
              <w:contextualSpacing/>
              <w:jc w:val="center"/>
              <w:rPr>
                <w:rFonts w:ascii="宋体" w:hAnsi="宋体"/>
                <w:color w:val="auto"/>
                <w:sz w:val="24"/>
                <w:szCs w:val="20"/>
                <w:highlight w:val="none"/>
              </w:rPr>
            </w:pPr>
          </w:p>
        </w:tc>
        <w:tc>
          <w:tcPr>
            <w:tcW w:w="520" w:type="pct"/>
            <w:vAlign w:val="center"/>
          </w:tcPr>
          <w:p w14:paraId="5DB1CD79">
            <w:pPr>
              <w:spacing w:line="360" w:lineRule="auto"/>
              <w:contextualSpacing/>
              <w:jc w:val="center"/>
              <w:rPr>
                <w:rFonts w:ascii="宋体" w:hAnsi="宋体"/>
                <w:color w:val="auto"/>
                <w:sz w:val="24"/>
                <w:szCs w:val="20"/>
                <w:highlight w:val="none"/>
              </w:rPr>
            </w:pPr>
          </w:p>
        </w:tc>
        <w:tc>
          <w:tcPr>
            <w:tcW w:w="626" w:type="pct"/>
            <w:vAlign w:val="center"/>
          </w:tcPr>
          <w:p w14:paraId="5CB1B847">
            <w:pPr>
              <w:spacing w:line="360" w:lineRule="auto"/>
              <w:contextualSpacing/>
              <w:jc w:val="center"/>
              <w:rPr>
                <w:rFonts w:ascii="宋体" w:hAnsi="宋体"/>
                <w:color w:val="auto"/>
                <w:sz w:val="24"/>
                <w:szCs w:val="20"/>
                <w:highlight w:val="none"/>
              </w:rPr>
            </w:pPr>
          </w:p>
        </w:tc>
        <w:tc>
          <w:tcPr>
            <w:tcW w:w="897" w:type="pct"/>
            <w:vAlign w:val="center"/>
          </w:tcPr>
          <w:p w14:paraId="315C2122">
            <w:pPr>
              <w:spacing w:line="360" w:lineRule="auto"/>
              <w:contextualSpacing/>
              <w:jc w:val="center"/>
              <w:rPr>
                <w:rFonts w:ascii="宋体" w:hAnsi="宋体"/>
                <w:color w:val="auto"/>
                <w:sz w:val="24"/>
                <w:szCs w:val="20"/>
                <w:highlight w:val="none"/>
              </w:rPr>
            </w:pPr>
          </w:p>
        </w:tc>
        <w:tc>
          <w:tcPr>
            <w:tcW w:w="1553" w:type="pct"/>
            <w:vAlign w:val="center"/>
          </w:tcPr>
          <w:p w14:paraId="1E5E1B71">
            <w:pPr>
              <w:spacing w:line="360" w:lineRule="auto"/>
              <w:contextualSpacing/>
              <w:jc w:val="center"/>
              <w:rPr>
                <w:rFonts w:ascii="宋体" w:hAnsi="宋体"/>
                <w:color w:val="auto"/>
                <w:sz w:val="24"/>
                <w:szCs w:val="20"/>
                <w:highlight w:val="none"/>
              </w:rPr>
            </w:pPr>
          </w:p>
        </w:tc>
        <w:tc>
          <w:tcPr>
            <w:tcW w:w="807" w:type="pct"/>
            <w:vAlign w:val="center"/>
          </w:tcPr>
          <w:p w14:paraId="7BE8A337">
            <w:pPr>
              <w:spacing w:line="360" w:lineRule="auto"/>
              <w:contextualSpacing/>
              <w:jc w:val="center"/>
              <w:rPr>
                <w:rFonts w:ascii="宋体" w:hAnsi="宋体"/>
                <w:color w:val="auto"/>
                <w:sz w:val="24"/>
                <w:szCs w:val="20"/>
                <w:highlight w:val="none"/>
              </w:rPr>
            </w:pPr>
          </w:p>
        </w:tc>
      </w:tr>
      <w:tr w14:paraId="30E4D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96" w:type="pct"/>
            <w:vAlign w:val="center"/>
          </w:tcPr>
          <w:p w14:paraId="261B5DE1">
            <w:pPr>
              <w:spacing w:line="360" w:lineRule="auto"/>
              <w:contextualSpacing/>
              <w:jc w:val="center"/>
              <w:rPr>
                <w:rFonts w:ascii="宋体" w:hAnsi="宋体"/>
                <w:color w:val="auto"/>
                <w:sz w:val="24"/>
                <w:szCs w:val="20"/>
                <w:highlight w:val="none"/>
              </w:rPr>
            </w:pPr>
          </w:p>
        </w:tc>
        <w:tc>
          <w:tcPr>
            <w:tcW w:w="296" w:type="pct"/>
            <w:vAlign w:val="center"/>
          </w:tcPr>
          <w:p w14:paraId="3ED72961">
            <w:pPr>
              <w:spacing w:line="360" w:lineRule="auto"/>
              <w:contextualSpacing/>
              <w:jc w:val="center"/>
              <w:rPr>
                <w:rFonts w:ascii="宋体" w:hAnsi="宋体"/>
                <w:color w:val="auto"/>
                <w:sz w:val="24"/>
                <w:szCs w:val="20"/>
                <w:highlight w:val="none"/>
              </w:rPr>
            </w:pPr>
          </w:p>
        </w:tc>
        <w:tc>
          <w:tcPr>
            <w:tcW w:w="520" w:type="pct"/>
            <w:vAlign w:val="center"/>
          </w:tcPr>
          <w:p w14:paraId="2028EE1B">
            <w:pPr>
              <w:spacing w:line="360" w:lineRule="auto"/>
              <w:contextualSpacing/>
              <w:jc w:val="center"/>
              <w:rPr>
                <w:rFonts w:ascii="宋体" w:hAnsi="宋体"/>
                <w:color w:val="auto"/>
                <w:sz w:val="24"/>
                <w:szCs w:val="20"/>
                <w:highlight w:val="none"/>
              </w:rPr>
            </w:pPr>
          </w:p>
        </w:tc>
        <w:tc>
          <w:tcPr>
            <w:tcW w:w="626" w:type="pct"/>
            <w:vAlign w:val="center"/>
          </w:tcPr>
          <w:p w14:paraId="5B3F0F76">
            <w:pPr>
              <w:spacing w:line="360" w:lineRule="auto"/>
              <w:contextualSpacing/>
              <w:jc w:val="center"/>
              <w:rPr>
                <w:rFonts w:ascii="宋体" w:hAnsi="宋体"/>
                <w:color w:val="auto"/>
                <w:sz w:val="24"/>
                <w:szCs w:val="20"/>
                <w:highlight w:val="none"/>
              </w:rPr>
            </w:pPr>
          </w:p>
        </w:tc>
        <w:tc>
          <w:tcPr>
            <w:tcW w:w="897" w:type="pct"/>
            <w:vAlign w:val="center"/>
          </w:tcPr>
          <w:p w14:paraId="16139D22">
            <w:pPr>
              <w:spacing w:line="360" w:lineRule="auto"/>
              <w:contextualSpacing/>
              <w:jc w:val="center"/>
              <w:rPr>
                <w:rFonts w:ascii="宋体" w:hAnsi="宋体"/>
                <w:color w:val="auto"/>
                <w:sz w:val="24"/>
                <w:szCs w:val="20"/>
                <w:highlight w:val="none"/>
              </w:rPr>
            </w:pPr>
          </w:p>
        </w:tc>
        <w:tc>
          <w:tcPr>
            <w:tcW w:w="1553" w:type="pct"/>
            <w:vAlign w:val="center"/>
          </w:tcPr>
          <w:p w14:paraId="774577D0">
            <w:pPr>
              <w:spacing w:line="360" w:lineRule="auto"/>
              <w:contextualSpacing/>
              <w:jc w:val="center"/>
              <w:rPr>
                <w:rFonts w:ascii="宋体" w:hAnsi="宋体"/>
                <w:color w:val="auto"/>
                <w:sz w:val="24"/>
                <w:szCs w:val="20"/>
                <w:highlight w:val="none"/>
              </w:rPr>
            </w:pPr>
          </w:p>
        </w:tc>
        <w:tc>
          <w:tcPr>
            <w:tcW w:w="807" w:type="pct"/>
            <w:vAlign w:val="center"/>
          </w:tcPr>
          <w:p w14:paraId="281ADE6F">
            <w:pPr>
              <w:spacing w:line="360" w:lineRule="auto"/>
              <w:contextualSpacing/>
              <w:jc w:val="center"/>
              <w:rPr>
                <w:rFonts w:ascii="宋体" w:hAnsi="宋体"/>
                <w:color w:val="auto"/>
                <w:sz w:val="24"/>
                <w:szCs w:val="20"/>
                <w:highlight w:val="none"/>
              </w:rPr>
            </w:pPr>
          </w:p>
        </w:tc>
      </w:tr>
    </w:tbl>
    <w:p w14:paraId="75B50ABD">
      <w:pPr>
        <w:spacing w:line="360" w:lineRule="auto"/>
        <w:contextualSpacing/>
        <w:jc w:val="left"/>
        <w:rPr>
          <w:rFonts w:hint="eastAsia" w:ascii="宋体" w:hAnsi="宋体"/>
          <w:color w:val="auto"/>
          <w:sz w:val="24"/>
          <w:szCs w:val="20"/>
          <w:highlight w:val="none"/>
        </w:rPr>
      </w:pPr>
      <w:r>
        <w:rPr>
          <w:rFonts w:hint="eastAsia" w:ascii="宋体" w:hAnsi="宋体"/>
          <w:color w:val="auto"/>
          <w:sz w:val="24"/>
          <w:szCs w:val="20"/>
          <w:highlight w:val="none"/>
        </w:rPr>
        <w:t>注：</w:t>
      </w:r>
      <w:r>
        <w:rPr>
          <w:rFonts w:hint="eastAsia" w:ascii="宋体" w:hAnsi="宋体"/>
          <w:color w:val="auto"/>
          <w:sz w:val="24"/>
          <w:szCs w:val="20"/>
          <w:highlight w:val="none"/>
          <w:lang w:val="en-US" w:eastAsia="zh-CN"/>
        </w:rPr>
        <w:t>1.</w:t>
      </w:r>
      <w:r>
        <w:rPr>
          <w:rFonts w:hint="eastAsia" w:ascii="宋体" w:hAnsi="宋体"/>
          <w:color w:val="auto"/>
          <w:sz w:val="24"/>
          <w:szCs w:val="20"/>
          <w:highlight w:val="none"/>
        </w:rPr>
        <w:t>在填写时，如本表格不适合供应商的实际情况，可根据本表格式自行制表填写。</w:t>
      </w:r>
    </w:p>
    <w:p w14:paraId="414F279F">
      <w:pPr>
        <w:spacing w:line="360" w:lineRule="auto"/>
        <w:contextualSpacing/>
        <w:jc w:val="left"/>
        <w:rPr>
          <w:rFonts w:hint="default" w:ascii="宋体" w:hAnsi="宋体" w:eastAsia="宋体"/>
          <w:color w:val="auto"/>
          <w:sz w:val="24"/>
          <w:szCs w:val="20"/>
          <w:highlight w:val="none"/>
          <w:lang w:val="en-US" w:eastAsia="zh-CN"/>
        </w:rPr>
      </w:pPr>
      <w:r>
        <w:rPr>
          <w:rFonts w:hint="eastAsia" w:ascii="宋体" w:hAnsi="宋体"/>
          <w:color w:val="auto"/>
          <w:sz w:val="24"/>
          <w:szCs w:val="20"/>
          <w:highlight w:val="none"/>
          <w:lang w:val="en-US" w:eastAsia="zh-CN"/>
        </w:rPr>
        <w:t>2.需提供相关证明材料</w:t>
      </w:r>
    </w:p>
    <w:p w14:paraId="372F4477">
      <w:pPr>
        <w:spacing w:line="360" w:lineRule="auto"/>
        <w:contextualSpacing/>
        <w:rPr>
          <w:rFonts w:hint="eastAsia" w:ascii="宋体" w:hAnsi="宋体"/>
          <w:color w:val="auto"/>
          <w:sz w:val="24"/>
          <w:highlight w:val="none"/>
        </w:rPr>
      </w:pPr>
    </w:p>
    <w:p w14:paraId="69B923F3">
      <w:pPr>
        <w:spacing w:line="360" w:lineRule="auto"/>
        <w:contextualSpacing/>
        <w:rPr>
          <w:rFonts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p>
    <w:p w14:paraId="7E7D8E1B">
      <w:pPr>
        <w:spacing w:line="360" w:lineRule="auto"/>
        <w:contextualSpacing/>
        <w:jc w:val="left"/>
        <w:rPr>
          <w:rFonts w:hint="eastAsia" w:ascii="宋体" w:hAnsi="宋体"/>
          <w:color w:val="auto"/>
          <w:spacing w:val="20"/>
          <w:sz w:val="24"/>
          <w:highlight w:val="none"/>
        </w:rPr>
      </w:pPr>
      <w:r>
        <w:rPr>
          <w:rFonts w:hint="eastAsia" w:ascii="宋体" w:hAnsi="宋体"/>
          <w:color w:val="auto"/>
          <w:spacing w:val="20"/>
          <w:sz w:val="24"/>
          <w:highlight w:val="none"/>
        </w:rPr>
        <w:t>供应商（电子签章）：</w:t>
      </w:r>
    </w:p>
    <w:p w14:paraId="2FF4A489">
      <w:pPr>
        <w:spacing w:line="360" w:lineRule="auto"/>
        <w:contextualSpacing/>
        <w:jc w:val="left"/>
        <w:rPr>
          <w:rFonts w:ascii="宋体" w:hAnsi="宋体"/>
          <w:color w:val="auto"/>
          <w:sz w:val="24"/>
          <w:szCs w:val="20"/>
          <w:highlight w:val="none"/>
        </w:rPr>
      </w:pPr>
      <w:r>
        <w:rPr>
          <w:rFonts w:hint="eastAsia" w:ascii="宋体" w:hAnsi="宋体"/>
          <w:color w:val="auto"/>
          <w:spacing w:val="20"/>
          <w:sz w:val="24"/>
          <w:highlight w:val="none"/>
        </w:rPr>
        <w:t>日期：</w:t>
      </w:r>
    </w:p>
    <w:p w14:paraId="419588A5">
      <w:pPr>
        <w:snapToGrid w:val="0"/>
        <w:spacing w:before="50" w:after="50" w:line="360" w:lineRule="auto"/>
        <w:ind w:right="-817" w:rightChars="-389" w:firstLine="5461" w:firstLineChars="1700"/>
        <w:rPr>
          <w:rFonts w:ascii="仿宋_GB2312" w:hAnsi="仿宋_GB2312" w:eastAsia="仿宋_GB2312" w:cs="仿宋_GB2312"/>
          <w:b/>
          <w:color w:val="auto"/>
          <w:sz w:val="32"/>
          <w:szCs w:val="32"/>
          <w:highlight w:val="none"/>
        </w:rPr>
      </w:pPr>
    </w:p>
    <w:p w14:paraId="793E3F60">
      <w:pPr>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br w:type="page"/>
      </w:r>
    </w:p>
    <w:p w14:paraId="4B25F74A">
      <w:pPr>
        <w:snapToGrid w:val="0"/>
        <w:spacing w:before="156" w:beforeLines="50" w:after="50"/>
        <w:ind w:left="142"/>
        <w:jc w:val="left"/>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lang w:val="en-US" w:eastAsia="zh-CN"/>
        </w:rPr>
        <w:t>供应商</w:t>
      </w:r>
      <w:r>
        <w:rPr>
          <w:rFonts w:hint="eastAsia" w:ascii="宋体" w:hAnsi="宋体" w:eastAsia="宋体" w:cs="Times New Roman"/>
          <w:b/>
          <w:color w:val="auto"/>
          <w:sz w:val="24"/>
          <w:highlight w:val="none"/>
        </w:rPr>
        <w:t>业绩证明材料</w:t>
      </w:r>
    </w:p>
    <w:p w14:paraId="7426014E">
      <w:pPr>
        <w:pStyle w:val="28"/>
        <w:snapToGrid w:val="0"/>
        <w:ind w:left="480" w:hanging="480"/>
        <w:rPr>
          <w:rFonts w:hint="eastAsia" w:ascii="宋体" w:hAnsi="宋体"/>
          <w:color w:val="auto"/>
          <w:sz w:val="24"/>
          <w:highlight w:val="none"/>
        </w:rPr>
      </w:pPr>
    </w:p>
    <w:p w14:paraId="372003BB">
      <w:pPr>
        <w:spacing w:line="360" w:lineRule="auto"/>
        <w:ind w:left="142"/>
        <w:contextualSpacing/>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lang w:val="en-US" w:eastAsia="zh-CN"/>
        </w:rPr>
        <w:t>供应商</w:t>
      </w:r>
      <w:r>
        <w:rPr>
          <w:rFonts w:hint="eastAsia" w:ascii="宋体" w:hAnsi="宋体" w:eastAsia="宋体" w:cs="Times New Roman"/>
          <w:b/>
          <w:color w:val="auto"/>
          <w:sz w:val="32"/>
          <w:szCs w:val="32"/>
          <w:highlight w:val="none"/>
        </w:rPr>
        <w:t xml:space="preserve">业绩情况一览表 </w:t>
      </w:r>
    </w:p>
    <w:tbl>
      <w:tblPr>
        <w:tblStyle w:val="35"/>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492"/>
        <w:gridCol w:w="2067"/>
        <w:gridCol w:w="2067"/>
        <w:gridCol w:w="1668"/>
        <w:gridCol w:w="1668"/>
      </w:tblGrid>
      <w:tr w14:paraId="6DFBC8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23" w:hRule="atLeast"/>
        </w:trPr>
        <w:tc>
          <w:tcPr>
            <w:tcW w:w="1250" w:type="pct"/>
            <w:tcBorders>
              <w:top w:val="single" w:color="auto" w:sz="4" w:space="0"/>
              <w:left w:val="single" w:color="auto" w:sz="4" w:space="0"/>
              <w:bottom w:val="single" w:color="auto" w:sz="4" w:space="0"/>
              <w:right w:val="single" w:color="auto" w:sz="4" w:space="0"/>
            </w:tcBorders>
            <w:noWrap w:val="0"/>
            <w:vAlign w:val="center"/>
          </w:tcPr>
          <w:p w14:paraId="59AA5EE9">
            <w:pPr>
              <w:snapToGrid w:val="0"/>
              <w:spacing w:line="240" w:lineRule="auto"/>
              <w:jc w:val="center"/>
              <w:rPr>
                <w:rFonts w:hint="eastAsia" w:ascii="宋体" w:hAnsi="宋体"/>
                <w:color w:val="auto"/>
                <w:sz w:val="24"/>
                <w:highlight w:val="none"/>
              </w:rPr>
            </w:pPr>
            <w:r>
              <w:rPr>
                <w:rFonts w:hint="eastAsia" w:ascii="宋体" w:hAnsi="宋体"/>
                <w:color w:val="auto"/>
                <w:sz w:val="24"/>
                <w:highlight w:val="none"/>
              </w:rPr>
              <w:t>采购人名称</w:t>
            </w:r>
          </w:p>
        </w:tc>
        <w:tc>
          <w:tcPr>
            <w:tcW w:w="1037" w:type="pct"/>
            <w:tcBorders>
              <w:top w:val="single" w:color="auto" w:sz="4" w:space="0"/>
              <w:left w:val="single" w:color="auto" w:sz="4" w:space="0"/>
              <w:bottom w:val="single" w:color="auto" w:sz="4" w:space="0"/>
              <w:right w:val="single" w:color="auto" w:sz="4" w:space="0"/>
            </w:tcBorders>
            <w:noWrap w:val="0"/>
            <w:vAlign w:val="center"/>
          </w:tcPr>
          <w:p w14:paraId="5D242C6B">
            <w:pPr>
              <w:snapToGrid w:val="0"/>
              <w:spacing w:line="240" w:lineRule="auto"/>
              <w:jc w:val="center"/>
              <w:rPr>
                <w:rFonts w:hint="eastAsia" w:ascii="宋体" w:hAnsi="宋体"/>
                <w:color w:val="auto"/>
                <w:sz w:val="24"/>
                <w:highlight w:val="none"/>
              </w:rPr>
            </w:pPr>
            <w:r>
              <w:rPr>
                <w:rFonts w:hint="eastAsia" w:ascii="宋体" w:hAnsi="宋体"/>
                <w:color w:val="auto"/>
                <w:sz w:val="24"/>
                <w:highlight w:val="none"/>
              </w:rPr>
              <w:t>项目名称</w:t>
            </w:r>
          </w:p>
        </w:tc>
        <w:tc>
          <w:tcPr>
            <w:tcW w:w="1037" w:type="pct"/>
            <w:tcBorders>
              <w:top w:val="single" w:color="auto" w:sz="4" w:space="0"/>
              <w:left w:val="single" w:color="auto" w:sz="4" w:space="0"/>
              <w:bottom w:val="single" w:color="auto" w:sz="4" w:space="0"/>
              <w:right w:val="single" w:color="auto" w:sz="4" w:space="0"/>
            </w:tcBorders>
            <w:noWrap w:val="0"/>
            <w:vAlign w:val="center"/>
          </w:tcPr>
          <w:p w14:paraId="6FFA1273">
            <w:pPr>
              <w:snapToGrid w:val="0"/>
              <w:spacing w:line="240" w:lineRule="auto"/>
              <w:jc w:val="center"/>
              <w:rPr>
                <w:rFonts w:hint="eastAsia" w:ascii="宋体" w:hAnsi="宋体"/>
                <w:color w:val="auto"/>
                <w:sz w:val="24"/>
                <w:highlight w:val="none"/>
              </w:rPr>
            </w:pPr>
            <w:r>
              <w:rPr>
                <w:rFonts w:hint="eastAsia" w:ascii="宋体" w:hAnsi="宋体"/>
                <w:color w:val="auto"/>
                <w:sz w:val="24"/>
                <w:highlight w:val="none"/>
              </w:rPr>
              <w:t>合同金额</w:t>
            </w:r>
          </w:p>
          <w:p w14:paraId="07BBF34B">
            <w:pPr>
              <w:snapToGrid w:val="0"/>
              <w:spacing w:line="240" w:lineRule="auto"/>
              <w:jc w:val="center"/>
              <w:rPr>
                <w:rFonts w:hint="eastAsia" w:ascii="宋体" w:hAnsi="宋体"/>
                <w:color w:val="auto"/>
                <w:sz w:val="24"/>
                <w:highlight w:val="none"/>
              </w:rPr>
            </w:pPr>
            <w:r>
              <w:rPr>
                <w:rFonts w:hint="eastAsia" w:ascii="宋体" w:hAnsi="宋体"/>
                <w:color w:val="auto"/>
                <w:sz w:val="24"/>
                <w:highlight w:val="none"/>
              </w:rPr>
              <w:t>（万元）</w:t>
            </w:r>
          </w:p>
        </w:tc>
        <w:tc>
          <w:tcPr>
            <w:tcW w:w="837" w:type="pct"/>
            <w:tcBorders>
              <w:top w:val="single" w:color="auto" w:sz="4" w:space="0"/>
              <w:left w:val="single" w:color="auto" w:sz="4" w:space="0"/>
              <w:right w:val="single" w:color="auto" w:sz="4" w:space="0"/>
            </w:tcBorders>
            <w:noWrap w:val="0"/>
            <w:vAlign w:val="center"/>
          </w:tcPr>
          <w:p w14:paraId="70DB5ED1">
            <w:pPr>
              <w:snapToGrid w:val="0"/>
              <w:spacing w:line="240" w:lineRule="auto"/>
              <w:jc w:val="center"/>
              <w:rPr>
                <w:rFonts w:hint="eastAsia" w:ascii="宋体" w:hAnsi="宋体"/>
                <w:color w:val="auto"/>
                <w:sz w:val="24"/>
                <w:highlight w:val="none"/>
              </w:rPr>
            </w:pPr>
            <w:r>
              <w:rPr>
                <w:rFonts w:hint="eastAsia" w:ascii="宋体" w:hAnsi="宋体"/>
                <w:color w:val="auto"/>
                <w:sz w:val="24"/>
                <w:highlight w:val="none"/>
              </w:rPr>
              <w:t>采购人联系人及联系电话</w:t>
            </w:r>
          </w:p>
        </w:tc>
        <w:tc>
          <w:tcPr>
            <w:tcW w:w="837" w:type="pct"/>
            <w:tcBorders>
              <w:top w:val="single" w:color="auto" w:sz="4" w:space="0"/>
              <w:left w:val="single" w:color="auto" w:sz="4" w:space="0"/>
              <w:bottom w:val="single" w:color="auto" w:sz="4" w:space="0"/>
              <w:right w:val="single" w:color="auto" w:sz="4" w:space="0"/>
            </w:tcBorders>
            <w:noWrap w:val="0"/>
            <w:vAlign w:val="center"/>
          </w:tcPr>
          <w:p w14:paraId="07BB0D50">
            <w:pPr>
              <w:snapToGrid w:val="0"/>
              <w:spacing w:line="24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中标（成交）通知书或合同签订日期</w:t>
            </w:r>
          </w:p>
        </w:tc>
      </w:tr>
      <w:tr w14:paraId="2C81CE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50" w:type="pct"/>
            <w:tcBorders>
              <w:top w:val="single" w:color="auto" w:sz="4" w:space="0"/>
              <w:left w:val="single" w:color="auto" w:sz="4" w:space="0"/>
              <w:bottom w:val="single" w:color="auto" w:sz="4" w:space="0"/>
              <w:right w:val="single" w:color="auto" w:sz="4" w:space="0"/>
            </w:tcBorders>
            <w:noWrap w:val="0"/>
            <w:vAlign w:val="top"/>
          </w:tcPr>
          <w:p w14:paraId="0273A70F">
            <w:pPr>
              <w:snapToGrid w:val="0"/>
              <w:spacing w:line="240" w:lineRule="auto"/>
              <w:jc w:val="left"/>
              <w:rPr>
                <w:rFonts w:hint="eastAsia" w:ascii="宋体" w:hAnsi="宋体"/>
                <w:color w:val="auto"/>
                <w:sz w:val="24"/>
                <w:highlight w:val="none"/>
              </w:rPr>
            </w:pPr>
          </w:p>
        </w:tc>
        <w:tc>
          <w:tcPr>
            <w:tcW w:w="1037" w:type="pct"/>
            <w:tcBorders>
              <w:top w:val="single" w:color="auto" w:sz="4" w:space="0"/>
              <w:left w:val="single" w:color="auto" w:sz="4" w:space="0"/>
              <w:bottom w:val="single" w:color="auto" w:sz="4" w:space="0"/>
              <w:right w:val="single" w:color="auto" w:sz="4" w:space="0"/>
            </w:tcBorders>
            <w:noWrap w:val="0"/>
            <w:vAlign w:val="top"/>
          </w:tcPr>
          <w:p w14:paraId="79BB415D">
            <w:pPr>
              <w:snapToGrid w:val="0"/>
              <w:spacing w:line="240" w:lineRule="auto"/>
              <w:jc w:val="left"/>
              <w:rPr>
                <w:rFonts w:hint="eastAsia" w:ascii="宋体" w:hAnsi="宋体"/>
                <w:color w:val="auto"/>
                <w:sz w:val="24"/>
                <w:highlight w:val="none"/>
              </w:rPr>
            </w:pPr>
          </w:p>
        </w:tc>
        <w:tc>
          <w:tcPr>
            <w:tcW w:w="1037" w:type="pct"/>
            <w:tcBorders>
              <w:top w:val="single" w:color="auto" w:sz="4" w:space="0"/>
              <w:left w:val="single" w:color="auto" w:sz="4" w:space="0"/>
              <w:bottom w:val="single" w:color="auto" w:sz="4" w:space="0"/>
              <w:right w:val="single" w:color="auto" w:sz="4" w:space="0"/>
            </w:tcBorders>
            <w:noWrap w:val="0"/>
            <w:vAlign w:val="top"/>
          </w:tcPr>
          <w:p w14:paraId="22080BA8">
            <w:pPr>
              <w:snapToGrid w:val="0"/>
              <w:spacing w:line="240" w:lineRule="auto"/>
              <w:jc w:val="left"/>
              <w:rPr>
                <w:rFonts w:hint="eastAsia" w:ascii="宋体" w:hAnsi="宋体"/>
                <w:color w:val="auto"/>
                <w:sz w:val="24"/>
                <w:highlight w:val="none"/>
              </w:rPr>
            </w:pPr>
          </w:p>
        </w:tc>
        <w:tc>
          <w:tcPr>
            <w:tcW w:w="837" w:type="pct"/>
            <w:tcBorders>
              <w:top w:val="single" w:color="auto" w:sz="4" w:space="0"/>
              <w:left w:val="single" w:color="auto" w:sz="4" w:space="0"/>
              <w:bottom w:val="single" w:color="auto" w:sz="4" w:space="0"/>
              <w:right w:val="single" w:color="auto" w:sz="4" w:space="0"/>
            </w:tcBorders>
            <w:noWrap w:val="0"/>
            <w:vAlign w:val="top"/>
          </w:tcPr>
          <w:p w14:paraId="1B1698F1">
            <w:pPr>
              <w:snapToGrid w:val="0"/>
              <w:spacing w:line="240" w:lineRule="auto"/>
              <w:jc w:val="left"/>
              <w:rPr>
                <w:rFonts w:hint="eastAsia" w:ascii="宋体" w:hAnsi="宋体"/>
                <w:color w:val="auto"/>
                <w:sz w:val="24"/>
                <w:highlight w:val="none"/>
              </w:rPr>
            </w:pPr>
          </w:p>
        </w:tc>
        <w:tc>
          <w:tcPr>
            <w:tcW w:w="837" w:type="pct"/>
            <w:tcBorders>
              <w:top w:val="single" w:color="auto" w:sz="4" w:space="0"/>
              <w:left w:val="single" w:color="auto" w:sz="4" w:space="0"/>
              <w:bottom w:val="single" w:color="auto" w:sz="4" w:space="0"/>
              <w:right w:val="single" w:color="auto" w:sz="4" w:space="0"/>
            </w:tcBorders>
            <w:noWrap w:val="0"/>
            <w:vAlign w:val="top"/>
          </w:tcPr>
          <w:p w14:paraId="2D1744E6">
            <w:pPr>
              <w:snapToGrid w:val="0"/>
              <w:spacing w:line="240" w:lineRule="auto"/>
              <w:jc w:val="left"/>
              <w:rPr>
                <w:rFonts w:hint="eastAsia" w:ascii="宋体" w:hAnsi="宋体"/>
                <w:color w:val="auto"/>
                <w:sz w:val="24"/>
                <w:highlight w:val="none"/>
              </w:rPr>
            </w:pPr>
          </w:p>
        </w:tc>
      </w:tr>
      <w:tr w14:paraId="035518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14:paraId="15490998">
            <w:pPr>
              <w:snapToGrid w:val="0"/>
              <w:spacing w:before="50" w:after="120" w:afterLines="50" w:line="240" w:lineRule="auto"/>
              <w:jc w:val="left"/>
              <w:rPr>
                <w:rFonts w:hint="eastAsia" w:ascii="宋体" w:hAnsi="宋体"/>
                <w:color w:val="auto"/>
                <w:sz w:val="24"/>
                <w:highlight w:val="none"/>
              </w:rPr>
            </w:pPr>
          </w:p>
        </w:tc>
        <w:tc>
          <w:tcPr>
            <w:tcW w:w="1037" w:type="pct"/>
            <w:tcBorders>
              <w:top w:val="single" w:color="auto" w:sz="4" w:space="0"/>
              <w:left w:val="single" w:color="auto" w:sz="4" w:space="0"/>
              <w:bottom w:val="single" w:color="auto" w:sz="4" w:space="0"/>
              <w:right w:val="single" w:color="auto" w:sz="4" w:space="0"/>
            </w:tcBorders>
            <w:noWrap w:val="0"/>
            <w:vAlign w:val="top"/>
          </w:tcPr>
          <w:p w14:paraId="1BD5BBEC">
            <w:pPr>
              <w:snapToGrid w:val="0"/>
              <w:spacing w:before="50" w:after="120" w:afterLines="50" w:line="240" w:lineRule="auto"/>
              <w:jc w:val="left"/>
              <w:rPr>
                <w:rFonts w:hint="eastAsia" w:ascii="宋体" w:hAnsi="宋体"/>
                <w:color w:val="auto"/>
                <w:sz w:val="24"/>
                <w:highlight w:val="none"/>
              </w:rPr>
            </w:pPr>
          </w:p>
        </w:tc>
        <w:tc>
          <w:tcPr>
            <w:tcW w:w="1037" w:type="pct"/>
            <w:tcBorders>
              <w:top w:val="single" w:color="auto" w:sz="4" w:space="0"/>
              <w:left w:val="single" w:color="auto" w:sz="4" w:space="0"/>
              <w:bottom w:val="single" w:color="auto" w:sz="4" w:space="0"/>
              <w:right w:val="single" w:color="auto" w:sz="4" w:space="0"/>
            </w:tcBorders>
            <w:noWrap w:val="0"/>
            <w:vAlign w:val="top"/>
          </w:tcPr>
          <w:p w14:paraId="174CC809">
            <w:pPr>
              <w:snapToGrid w:val="0"/>
              <w:spacing w:before="50" w:after="120" w:afterLines="50" w:line="240" w:lineRule="auto"/>
              <w:jc w:val="left"/>
              <w:rPr>
                <w:rFonts w:hint="eastAsia" w:ascii="宋体" w:hAnsi="宋体"/>
                <w:color w:val="auto"/>
                <w:sz w:val="24"/>
                <w:highlight w:val="none"/>
              </w:rPr>
            </w:pPr>
          </w:p>
        </w:tc>
        <w:tc>
          <w:tcPr>
            <w:tcW w:w="837" w:type="pct"/>
            <w:tcBorders>
              <w:top w:val="single" w:color="auto" w:sz="4" w:space="0"/>
              <w:left w:val="single" w:color="auto" w:sz="4" w:space="0"/>
              <w:bottom w:val="single" w:color="auto" w:sz="4" w:space="0"/>
              <w:right w:val="single" w:color="auto" w:sz="4" w:space="0"/>
            </w:tcBorders>
            <w:noWrap w:val="0"/>
            <w:vAlign w:val="top"/>
          </w:tcPr>
          <w:p w14:paraId="53F0D264">
            <w:pPr>
              <w:snapToGrid w:val="0"/>
              <w:spacing w:before="50" w:after="120" w:afterLines="50" w:line="240" w:lineRule="auto"/>
              <w:jc w:val="left"/>
              <w:rPr>
                <w:rFonts w:hint="eastAsia" w:ascii="宋体" w:hAnsi="宋体"/>
                <w:color w:val="auto"/>
                <w:sz w:val="24"/>
                <w:highlight w:val="none"/>
              </w:rPr>
            </w:pPr>
          </w:p>
        </w:tc>
        <w:tc>
          <w:tcPr>
            <w:tcW w:w="837" w:type="pct"/>
            <w:tcBorders>
              <w:top w:val="single" w:color="auto" w:sz="4" w:space="0"/>
              <w:left w:val="single" w:color="auto" w:sz="4" w:space="0"/>
              <w:bottom w:val="single" w:color="auto" w:sz="4" w:space="0"/>
              <w:right w:val="single" w:color="auto" w:sz="4" w:space="0"/>
            </w:tcBorders>
            <w:noWrap w:val="0"/>
            <w:vAlign w:val="top"/>
          </w:tcPr>
          <w:p w14:paraId="5D354740">
            <w:pPr>
              <w:snapToGrid w:val="0"/>
              <w:spacing w:before="50" w:after="120" w:afterLines="50" w:line="240" w:lineRule="auto"/>
              <w:jc w:val="left"/>
              <w:rPr>
                <w:rFonts w:hint="eastAsia" w:ascii="宋体" w:hAnsi="宋体"/>
                <w:color w:val="auto"/>
                <w:sz w:val="24"/>
                <w:highlight w:val="none"/>
              </w:rPr>
            </w:pPr>
          </w:p>
        </w:tc>
      </w:tr>
      <w:tr w14:paraId="413F59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50" w:type="pct"/>
            <w:tcBorders>
              <w:top w:val="single" w:color="auto" w:sz="4" w:space="0"/>
              <w:left w:val="single" w:color="auto" w:sz="4" w:space="0"/>
              <w:bottom w:val="single" w:color="auto" w:sz="4" w:space="0"/>
              <w:right w:val="single" w:color="auto" w:sz="4" w:space="0"/>
            </w:tcBorders>
            <w:noWrap w:val="0"/>
            <w:vAlign w:val="top"/>
          </w:tcPr>
          <w:p w14:paraId="3BE77A46">
            <w:pPr>
              <w:snapToGrid w:val="0"/>
              <w:spacing w:before="50" w:after="120" w:afterLines="50" w:line="240" w:lineRule="auto"/>
              <w:jc w:val="left"/>
              <w:rPr>
                <w:rFonts w:hint="eastAsia" w:ascii="宋体" w:hAnsi="宋体"/>
                <w:color w:val="auto"/>
                <w:sz w:val="24"/>
                <w:highlight w:val="none"/>
              </w:rPr>
            </w:pPr>
          </w:p>
        </w:tc>
        <w:tc>
          <w:tcPr>
            <w:tcW w:w="1037" w:type="pct"/>
            <w:tcBorders>
              <w:top w:val="single" w:color="auto" w:sz="4" w:space="0"/>
              <w:left w:val="single" w:color="auto" w:sz="4" w:space="0"/>
              <w:bottom w:val="single" w:color="auto" w:sz="4" w:space="0"/>
              <w:right w:val="single" w:color="auto" w:sz="4" w:space="0"/>
            </w:tcBorders>
            <w:noWrap w:val="0"/>
            <w:vAlign w:val="top"/>
          </w:tcPr>
          <w:p w14:paraId="75D8C86A">
            <w:pPr>
              <w:snapToGrid w:val="0"/>
              <w:spacing w:before="50" w:after="120" w:afterLines="50" w:line="240" w:lineRule="auto"/>
              <w:jc w:val="left"/>
              <w:rPr>
                <w:rFonts w:hint="eastAsia" w:ascii="宋体" w:hAnsi="宋体"/>
                <w:color w:val="auto"/>
                <w:sz w:val="24"/>
                <w:highlight w:val="none"/>
              </w:rPr>
            </w:pPr>
          </w:p>
        </w:tc>
        <w:tc>
          <w:tcPr>
            <w:tcW w:w="1037" w:type="pct"/>
            <w:tcBorders>
              <w:top w:val="single" w:color="auto" w:sz="4" w:space="0"/>
              <w:left w:val="single" w:color="auto" w:sz="4" w:space="0"/>
              <w:bottom w:val="single" w:color="auto" w:sz="4" w:space="0"/>
              <w:right w:val="single" w:color="auto" w:sz="4" w:space="0"/>
            </w:tcBorders>
            <w:noWrap w:val="0"/>
            <w:vAlign w:val="top"/>
          </w:tcPr>
          <w:p w14:paraId="04FDEAB6">
            <w:pPr>
              <w:snapToGrid w:val="0"/>
              <w:spacing w:before="50" w:after="120" w:afterLines="50" w:line="240" w:lineRule="auto"/>
              <w:jc w:val="left"/>
              <w:rPr>
                <w:rFonts w:hint="eastAsia" w:ascii="宋体" w:hAnsi="宋体"/>
                <w:color w:val="auto"/>
                <w:sz w:val="24"/>
                <w:highlight w:val="none"/>
              </w:rPr>
            </w:pPr>
          </w:p>
        </w:tc>
        <w:tc>
          <w:tcPr>
            <w:tcW w:w="837" w:type="pct"/>
            <w:tcBorders>
              <w:top w:val="single" w:color="auto" w:sz="4" w:space="0"/>
              <w:left w:val="single" w:color="auto" w:sz="4" w:space="0"/>
              <w:bottom w:val="single" w:color="auto" w:sz="4" w:space="0"/>
              <w:right w:val="single" w:color="auto" w:sz="4" w:space="0"/>
            </w:tcBorders>
            <w:noWrap w:val="0"/>
            <w:vAlign w:val="top"/>
          </w:tcPr>
          <w:p w14:paraId="6DCEF421">
            <w:pPr>
              <w:snapToGrid w:val="0"/>
              <w:spacing w:before="50" w:after="120" w:afterLines="50" w:line="240" w:lineRule="auto"/>
              <w:jc w:val="left"/>
              <w:rPr>
                <w:rFonts w:hint="eastAsia" w:ascii="宋体" w:hAnsi="宋体"/>
                <w:color w:val="auto"/>
                <w:sz w:val="24"/>
                <w:highlight w:val="none"/>
              </w:rPr>
            </w:pPr>
          </w:p>
        </w:tc>
        <w:tc>
          <w:tcPr>
            <w:tcW w:w="837" w:type="pct"/>
            <w:tcBorders>
              <w:top w:val="single" w:color="auto" w:sz="4" w:space="0"/>
              <w:left w:val="single" w:color="auto" w:sz="4" w:space="0"/>
              <w:bottom w:val="single" w:color="auto" w:sz="4" w:space="0"/>
              <w:right w:val="single" w:color="auto" w:sz="4" w:space="0"/>
            </w:tcBorders>
            <w:noWrap w:val="0"/>
            <w:vAlign w:val="top"/>
          </w:tcPr>
          <w:p w14:paraId="052FF701">
            <w:pPr>
              <w:snapToGrid w:val="0"/>
              <w:spacing w:before="50" w:after="120" w:afterLines="50" w:line="240" w:lineRule="auto"/>
              <w:jc w:val="left"/>
              <w:rPr>
                <w:rFonts w:hint="eastAsia" w:ascii="宋体" w:hAnsi="宋体"/>
                <w:color w:val="auto"/>
                <w:sz w:val="24"/>
                <w:highlight w:val="none"/>
              </w:rPr>
            </w:pPr>
          </w:p>
        </w:tc>
      </w:tr>
      <w:tr w14:paraId="2645D9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14:paraId="0A15ABE5">
            <w:pPr>
              <w:snapToGrid w:val="0"/>
              <w:spacing w:before="50" w:after="120" w:afterLines="50" w:line="240" w:lineRule="auto"/>
              <w:jc w:val="left"/>
              <w:rPr>
                <w:rFonts w:hint="eastAsia" w:ascii="宋体" w:hAnsi="宋体"/>
                <w:color w:val="auto"/>
                <w:sz w:val="24"/>
                <w:highlight w:val="none"/>
              </w:rPr>
            </w:pPr>
          </w:p>
        </w:tc>
        <w:tc>
          <w:tcPr>
            <w:tcW w:w="1037" w:type="pct"/>
            <w:tcBorders>
              <w:top w:val="single" w:color="auto" w:sz="4" w:space="0"/>
              <w:left w:val="single" w:color="auto" w:sz="4" w:space="0"/>
              <w:bottom w:val="single" w:color="auto" w:sz="4" w:space="0"/>
              <w:right w:val="single" w:color="auto" w:sz="4" w:space="0"/>
            </w:tcBorders>
            <w:noWrap w:val="0"/>
            <w:vAlign w:val="top"/>
          </w:tcPr>
          <w:p w14:paraId="02FE01E0">
            <w:pPr>
              <w:snapToGrid w:val="0"/>
              <w:spacing w:before="50" w:after="120" w:afterLines="50" w:line="240" w:lineRule="auto"/>
              <w:jc w:val="left"/>
              <w:rPr>
                <w:rFonts w:hint="eastAsia" w:ascii="宋体" w:hAnsi="宋体"/>
                <w:color w:val="auto"/>
                <w:sz w:val="24"/>
                <w:highlight w:val="none"/>
              </w:rPr>
            </w:pPr>
          </w:p>
        </w:tc>
        <w:tc>
          <w:tcPr>
            <w:tcW w:w="1037" w:type="pct"/>
            <w:tcBorders>
              <w:top w:val="single" w:color="auto" w:sz="4" w:space="0"/>
              <w:left w:val="single" w:color="auto" w:sz="4" w:space="0"/>
              <w:bottom w:val="single" w:color="auto" w:sz="4" w:space="0"/>
              <w:right w:val="single" w:color="auto" w:sz="4" w:space="0"/>
            </w:tcBorders>
            <w:noWrap w:val="0"/>
            <w:vAlign w:val="top"/>
          </w:tcPr>
          <w:p w14:paraId="7C77CCD7">
            <w:pPr>
              <w:snapToGrid w:val="0"/>
              <w:spacing w:before="50" w:after="120" w:afterLines="50" w:line="240" w:lineRule="auto"/>
              <w:jc w:val="left"/>
              <w:rPr>
                <w:rFonts w:hint="eastAsia" w:ascii="宋体" w:hAnsi="宋体"/>
                <w:color w:val="auto"/>
                <w:sz w:val="24"/>
                <w:highlight w:val="none"/>
              </w:rPr>
            </w:pPr>
          </w:p>
        </w:tc>
        <w:tc>
          <w:tcPr>
            <w:tcW w:w="837" w:type="pct"/>
            <w:tcBorders>
              <w:top w:val="single" w:color="auto" w:sz="4" w:space="0"/>
              <w:left w:val="single" w:color="auto" w:sz="4" w:space="0"/>
              <w:bottom w:val="single" w:color="auto" w:sz="4" w:space="0"/>
              <w:right w:val="single" w:color="auto" w:sz="4" w:space="0"/>
            </w:tcBorders>
            <w:noWrap w:val="0"/>
            <w:vAlign w:val="top"/>
          </w:tcPr>
          <w:p w14:paraId="598CB325">
            <w:pPr>
              <w:snapToGrid w:val="0"/>
              <w:spacing w:before="50" w:after="120" w:afterLines="50" w:line="240" w:lineRule="auto"/>
              <w:jc w:val="left"/>
              <w:rPr>
                <w:rFonts w:hint="eastAsia" w:ascii="宋体" w:hAnsi="宋体"/>
                <w:color w:val="auto"/>
                <w:sz w:val="24"/>
                <w:highlight w:val="none"/>
              </w:rPr>
            </w:pPr>
          </w:p>
        </w:tc>
        <w:tc>
          <w:tcPr>
            <w:tcW w:w="837" w:type="pct"/>
            <w:tcBorders>
              <w:top w:val="single" w:color="auto" w:sz="4" w:space="0"/>
              <w:left w:val="single" w:color="auto" w:sz="4" w:space="0"/>
              <w:bottom w:val="single" w:color="auto" w:sz="4" w:space="0"/>
              <w:right w:val="single" w:color="auto" w:sz="4" w:space="0"/>
            </w:tcBorders>
            <w:noWrap w:val="0"/>
            <w:vAlign w:val="top"/>
          </w:tcPr>
          <w:p w14:paraId="251F561B">
            <w:pPr>
              <w:snapToGrid w:val="0"/>
              <w:spacing w:before="50" w:after="120" w:afterLines="50" w:line="240" w:lineRule="auto"/>
              <w:jc w:val="left"/>
              <w:rPr>
                <w:rFonts w:hint="eastAsia" w:ascii="宋体" w:hAnsi="宋体"/>
                <w:color w:val="auto"/>
                <w:sz w:val="24"/>
                <w:highlight w:val="none"/>
              </w:rPr>
            </w:pPr>
          </w:p>
        </w:tc>
      </w:tr>
      <w:tr w14:paraId="2BED0F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14:paraId="2AED36AD">
            <w:pPr>
              <w:snapToGrid w:val="0"/>
              <w:spacing w:before="50" w:after="120" w:afterLines="50" w:line="240" w:lineRule="auto"/>
              <w:jc w:val="left"/>
              <w:rPr>
                <w:rFonts w:hint="eastAsia" w:ascii="宋体" w:hAnsi="宋体"/>
                <w:color w:val="auto"/>
                <w:sz w:val="24"/>
                <w:highlight w:val="none"/>
              </w:rPr>
            </w:pPr>
          </w:p>
        </w:tc>
        <w:tc>
          <w:tcPr>
            <w:tcW w:w="1037" w:type="pct"/>
            <w:tcBorders>
              <w:top w:val="single" w:color="auto" w:sz="4" w:space="0"/>
              <w:left w:val="single" w:color="auto" w:sz="4" w:space="0"/>
              <w:bottom w:val="single" w:color="auto" w:sz="4" w:space="0"/>
              <w:right w:val="single" w:color="auto" w:sz="4" w:space="0"/>
            </w:tcBorders>
            <w:noWrap w:val="0"/>
            <w:vAlign w:val="top"/>
          </w:tcPr>
          <w:p w14:paraId="4A068ACD">
            <w:pPr>
              <w:snapToGrid w:val="0"/>
              <w:spacing w:before="50" w:after="120" w:afterLines="50" w:line="240" w:lineRule="auto"/>
              <w:jc w:val="left"/>
              <w:rPr>
                <w:rFonts w:hint="eastAsia" w:ascii="宋体" w:hAnsi="宋体"/>
                <w:color w:val="auto"/>
                <w:sz w:val="24"/>
                <w:highlight w:val="none"/>
              </w:rPr>
            </w:pPr>
          </w:p>
        </w:tc>
        <w:tc>
          <w:tcPr>
            <w:tcW w:w="1037" w:type="pct"/>
            <w:tcBorders>
              <w:top w:val="single" w:color="auto" w:sz="4" w:space="0"/>
              <w:left w:val="single" w:color="auto" w:sz="4" w:space="0"/>
              <w:bottom w:val="single" w:color="auto" w:sz="4" w:space="0"/>
              <w:right w:val="single" w:color="auto" w:sz="4" w:space="0"/>
            </w:tcBorders>
            <w:noWrap w:val="0"/>
            <w:vAlign w:val="top"/>
          </w:tcPr>
          <w:p w14:paraId="015644A8">
            <w:pPr>
              <w:snapToGrid w:val="0"/>
              <w:spacing w:before="50" w:after="120" w:afterLines="50" w:line="240" w:lineRule="auto"/>
              <w:jc w:val="left"/>
              <w:rPr>
                <w:rFonts w:hint="eastAsia" w:ascii="宋体" w:hAnsi="宋体"/>
                <w:color w:val="auto"/>
                <w:sz w:val="24"/>
                <w:highlight w:val="none"/>
              </w:rPr>
            </w:pPr>
          </w:p>
        </w:tc>
        <w:tc>
          <w:tcPr>
            <w:tcW w:w="837" w:type="pct"/>
            <w:tcBorders>
              <w:top w:val="single" w:color="auto" w:sz="4" w:space="0"/>
              <w:left w:val="single" w:color="auto" w:sz="4" w:space="0"/>
              <w:bottom w:val="single" w:color="auto" w:sz="4" w:space="0"/>
              <w:right w:val="single" w:color="auto" w:sz="4" w:space="0"/>
            </w:tcBorders>
            <w:noWrap w:val="0"/>
            <w:vAlign w:val="top"/>
          </w:tcPr>
          <w:p w14:paraId="5719A7D0">
            <w:pPr>
              <w:snapToGrid w:val="0"/>
              <w:spacing w:before="50" w:after="120" w:afterLines="50" w:line="240" w:lineRule="auto"/>
              <w:jc w:val="left"/>
              <w:rPr>
                <w:rFonts w:hint="eastAsia" w:ascii="宋体" w:hAnsi="宋体"/>
                <w:color w:val="auto"/>
                <w:sz w:val="24"/>
                <w:highlight w:val="none"/>
              </w:rPr>
            </w:pPr>
          </w:p>
        </w:tc>
        <w:tc>
          <w:tcPr>
            <w:tcW w:w="837" w:type="pct"/>
            <w:tcBorders>
              <w:top w:val="single" w:color="auto" w:sz="4" w:space="0"/>
              <w:left w:val="single" w:color="auto" w:sz="4" w:space="0"/>
              <w:bottom w:val="single" w:color="auto" w:sz="4" w:space="0"/>
              <w:right w:val="single" w:color="auto" w:sz="4" w:space="0"/>
            </w:tcBorders>
            <w:noWrap w:val="0"/>
            <w:vAlign w:val="top"/>
          </w:tcPr>
          <w:p w14:paraId="0F1783FD">
            <w:pPr>
              <w:snapToGrid w:val="0"/>
              <w:spacing w:before="50" w:after="120" w:afterLines="50" w:line="240" w:lineRule="auto"/>
              <w:jc w:val="left"/>
              <w:rPr>
                <w:rFonts w:hint="eastAsia" w:ascii="宋体" w:hAnsi="宋体"/>
                <w:color w:val="auto"/>
                <w:sz w:val="24"/>
                <w:highlight w:val="none"/>
              </w:rPr>
            </w:pPr>
          </w:p>
        </w:tc>
      </w:tr>
    </w:tbl>
    <w:p w14:paraId="066ED616">
      <w:pPr>
        <w:pStyle w:val="14"/>
        <w:spacing w:before="0" w:after="0" w:line="360" w:lineRule="auto"/>
        <w:contextualSpacing/>
        <w:rPr>
          <w:rFonts w:hint="eastAsia" w:ascii="宋体" w:hAnsi="宋体" w:eastAsia="宋体"/>
          <w:color w:val="auto"/>
          <w:sz w:val="24"/>
          <w:szCs w:val="24"/>
          <w:highlight w:val="none"/>
        </w:rPr>
      </w:pPr>
    </w:p>
    <w:p w14:paraId="181F1359">
      <w:pPr>
        <w:pStyle w:val="14"/>
        <w:spacing w:before="0" w:after="0" w:line="360" w:lineRule="auto"/>
        <w:contextualSpacing/>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注：</w:t>
      </w:r>
      <w:r>
        <w:rPr>
          <w:rFonts w:hint="eastAsia" w:ascii="宋体" w:hAnsi="宋体" w:eastAsia="宋体"/>
          <w:color w:val="auto"/>
          <w:sz w:val="24"/>
          <w:highlight w:val="none"/>
          <w:lang w:eastAsia="zh-CN"/>
        </w:rPr>
        <w:t>供应商</w:t>
      </w:r>
      <w:r>
        <w:rPr>
          <w:rFonts w:hint="eastAsia" w:ascii="宋体" w:hAnsi="宋体"/>
          <w:color w:val="auto"/>
          <w:sz w:val="24"/>
          <w:highlight w:val="none"/>
        </w:rPr>
        <w:t>根据评标标准具体要求附业绩证明材料。</w:t>
      </w:r>
    </w:p>
    <w:p w14:paraId="73C4D0EC">
      <w:pPr>
        <w:pStyle w:val="14"/>
        <w:spacing w:before="0" w:after="0" w:line="360" w:lineRule="auto"/>
        <w:contextualSpacing/>
        <w:jc w:val="left"/>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rPr>
        <w:t>法定代表人（负责人）或者委托代理人（签字或者电子签名）：</w:t>
      </w:r>
      <w:r>
        <w:rPr>
          <w:rFonts w:hint="eastAsia" w:ascii="宋体" w:hAnsi="宋体" w:eastAsia="宋体"/>
          <w:color w:val="auto"/>
          <w:sz w:val="24"/>
          <w:szCs w:val="24"/>
          <w:highlight w:val="none"/>
          <w:u w:val="single"/>
        </w:rPr>
        <w:t>　　　　　</w:t>
      </w:r>
    </w:p>
    <w:p w14:paraId="2D8B38F7">
      <w:pPr>
        <w:spacing w:line="360" w:lineRule="auto"/>
        <w:ind w:right="480"/>
        <w:contextualSpacing/>
        <w:jc w:val="left"/>
        <w:rPr>
          <w:rFonts w:hint="eastAsia" w:ascii="宋体" w:hAnsi="宋体"/>
          <w:color w:val="auto"/>
          <w:sz w:val="24"/>
          <w:szCs w:val="20"/>
          <w:highlight w:val="none"/>
        </w:rPr>
      </w:pPr>
      <w:r>
        <w:rPr>
          <w:rFonts w:hint="eastAsia" w:ascii="宋体" w:hAnsi="宋体" w:cs="Arial"/>
          <w:color w:val="auto"/>
          <w:sz w:val="24"/>
          <w:highlight w:val="none"/>
          <w:lang w:eastAsia="zh-CN"/>
        </w:rPr>
        <w:t>供应商</w:t>
      </w:r>
      <w:r>
        <w:rPr>
          <w:rFonts w:hint="eastAsia" w:ascii="宋体" w:hAnsi="宋体" w:cs="Arial"/>
          <w:color w:val="auto"/>
          <w:sz w:val="24"/>
          <w:highlight w:val="none"/>
        </w:rPr>
        <w:t xml:space="preserve">名称（电子签章）：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月    日</w:t>
      </w:r>
    </w:p>
    <w:p w14:paraId="54D7E242">
      <w:pPr>
        <w:spacing w:line="300" w:lineRule="auto"/>
        <w:rPr>
          <w:rFonts w:ascii="宋体" w:hAnsi="宋体"/>
          <w:color w:val="auto"/>
          <w:szCs w:val="21"/>
          <w:highlight w:val="none"/>
        </w:rPr>
      </w:pPr>
      <w:r>
        <w:rPr>
          <w:rFonts w:ascii="宋体" w:hAnsi="宋体"/>
          <w:b/>
          <w:bCs/>
          <w:color w:val="auto"/>
          <w:sz w:val="24"/>
          <w:highlight w:val="none"/>
        </w:rPr>
        <w:br w:type="page"/>
      </w:r>
      <w:r>
        <w:rPr>
          <w:rFonts w:hint="eastAsia" w:ascii="宋体" w:hAnsi="宋体"/>
          <w:b/>
          <w:bCs/>
          <w:color w:val="auto"/>
          <w:sz w:val="24"/>
          <w:highlight w:val="none"/>
        </w:rPr>
        <w:t>其他文书、文件格式</w:t>
      </w:r>
    </w:p>
    <w:p w14:paraId="3AD5E4FA">
      <w:pPr>
        <w:spacing w:line="360" w:lineRule="auto"/>
        <w:jc w:val="center"/>
        <w:rPr>
          <w:rFonts w:ascii="宋体" w:hAnsi="宋体" w:cs="仿宋_GB2312"/>
          <w:color w:val="auto"/>
          <w:sz w:val="24"/>
          <w:highlight w:val="none"/>
        </w:rPr>
      </w:pPr>
    </w:p>
    <w:p w14:paraId="28A8D0C7">
      <w:pPr>
        <w:spacing w:line="360" w:lineRule="auto"/>
        <w:jc w:val="center"/>
        <w:rPr>
          <w:rFonts w:ascii="宋体" w:hAnsi="宋体"/>
          <w:b/>
          <w:bCs/>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质疑函（格式）</w:t>
      </w:r>
    </w:p>
    <w:p w14:paraId="35063477">
      <w:pPr>
        <w:pStyle w:val="23"/>
        <w:spacing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一、质疑供应商基本信息：</w:t>
      </w:r>
    </w:p>
    <w:p w14:paraId="7C70E6AC">
      <w:pPr>
        <w:pStyle w:val="23"/>
        <w:spacing w:line="360" w:lineRule="auto"/>
        <w:ind w:firstLine="480" w:firstLineChars="200"/>
        <w:contextualSpacing/>
        <w:rPr>
          <w:rFonts w:hAnsi="宋体"/>
          <w:bCs/>
          <w:color w:val="auto"/>
          <w:sz w:val="24"/>
          <w:szCs w:val="24"/>
          <w:highlight w:val="none"/>
          <w:u w:val="single"/>
        </w:rPr>
      </w:pPr>
      <w:r>
        <w:rPr>
          <w:rFonts w:hint="eastAsia" w:hAnsi="宋体"/>
          <w:bCs/>
          <w:color w:val="auto"/>
          <w:sz w:val="24"/>
          <w:szCs w:val="24"/>
          <w:highlight w:val="none"/>
        </w:rPr>
        <w:t>质疑供应商：</w:t>
      </w:r>
    </w:p>
    <w:p w14:paraId="09BF659E">
      <w:pPr>
        <w:pStyle w:val="23"/>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14:paraId="21725C88">
      <w:pPr>
        <w:pStyle w:val="23"/>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Ansi="宋体"/>
          <w:bCs/>
          <w:color w:val="auto"/>
          <w:sz w:val="24"/>
          <w:szCs w:val="24"/>
          <w:highlight w:val="none"/>
        </w:rPr>
        <w:t>联系电话</w:t>
      </w:r>
      <w:r>
        <w:rPr>
          <w:rFonts w:hint="eastAsia" w:hAnsi="宋体"/>
          <w:bCs/>
          <w:color w:val="auto"/>
          <w:sz w:val="24"/>
          <w:szCs w:val="24"/>
          <w:highlight w:val="none"/>
        </w:rPr>
        <w:t>：</w:t>
      </w:r>
    </w:p>
    <w:p w14:paraId="222D9EB6">
      <w:pPr>
        <w:pStyle w:val="23"/>
        <w:spacing w:line="360" w:lineRule="auto"/>
        <w:ind w:firstLine="480" w:firstLineChars="200"/>
        <w:contextualSpacing/>
        <w:rPr>
          <w:rFonts w:hAnsi="宋体"/>
          <w:bCs/>
          <w:color w:val="auto"/>
          <w:sz w:val="24"/>
          <w:szCs w:val="24"/>
          <w:highlight w:val="none"/>
        </w:rPr>
      </w:pPr>
      <w:r>
        <w:rPr>
          <w:rFonts w:hint="eastAsia" w:hAnsi="宋体"/>
          <w:bCs/>
          <w:color w:val="auto"/>
          <w:sz w:val="24"/>
          <w:szCs w:val="24"/>
          <w:highlight w:val="none"/>
        </w:rPr>
        <w:t>授权代表：</w:t>
      </w:r>
    </w:p>
    <w:p w14:paraId="5391DE62">
      <w:pPr>
        <w:pStyle w:val="23"/>
        <w:spacing w:line="360" w:lineRule="auto"/>
        <w:ind w:firstLine="480" w:firstLineChars="200"/>
        <w:contextualSpacing/>
        <w:rPr>
          <w:rFonts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p>
    <w:p w14:paraId="03496274">
      <w:pPr>
        <w:pStyle w:val="23"/>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14:paraId="3AB8E2A8">
      <w:pPr>
        <w:pStyle w:val="23"/>
        <w:spacing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二、质疑项目基本情况：</w:t>
      </w:r>
    </w:p>
    <w:p w14:paraId="51E33AA1">
      <w:pPr>
        <w:pStyle w:val="23"/>
        <w:spacing w:line="360" w:lineRule="auto"/>
        <w:ind w:left="25" w:leftChars="12" w:firstLine="472" w:firstLineChars="197"/>
        <w:contextualSpacing/>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p>
    <w:p w14:paraId="76B3F3F1">
      <w:pPr>
        <w:pStyle w:val="23"/>
        <w:spacing w:line="360" w:lineRule="auto"/>
        <w:ind w:left="25" w:leftChars="12" w:firstLine="472" w:firstLineChars="197"/>
        <w:contextualSpacing/>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p>
    <w:p w14:paraId="26F372C1">
      <w:pPr>
        <w:pStyle w:val="23"/>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采购人名称：</w:t>
      </w:r>
    </w:p>
    <w:p w14:paraId="376EEB93">
      <w:pPr>
        <w:pStyle w:val="23"/>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w:t>
      </w:r>
    </w:p>
    <w:p w14:paraId="56CFD70F">
      <w:pPr>
        <w:pStyle w:val="23"/>
        <w:spacing w:line="360" w:lineRule="auto"/>
        <w:ind w:left="25" w:leftChars="12" w:firstLine="352" w:firstLineChars="147"/>
        <w:contextualSpacing/>
        <w:rPr>
          <w:rFonts w:hAnsi="宋体"/>
          <w:color w:val="auto"/>
          <w:sz w:val="24"/>
          <w:szCs w:val="24"/>
          <w:highlight w:val="none"/>
        </w:rPr>
      </w:pPr>
      <w:r>
        <w:rPr>
          <w:rFonts w:hint="eastAsia" w:hAnsi="宋体"/>
          <w:color w:val="auto"/>
          <w:sz w:val="24"/>
          <w:szCs w:val="24"/>
          <w:highlight w:val="none"/>
        </w:rPr>
        <w:t>□采购文件采购文件获取日期：</w:t>
      </w:r>
    </w:p>
    <w:p w14:paraId="6879521F">
      <w:pPr>
        <w:pStyle w:val="23"/>
        <w:spacing w:line="360" w:lineRule="auto"/>
        <w:ind w:left="25" w:leftChars="12" w:firstLine="352" w:firstLineChars="147"/>
        <w:contextualSpacing/>
        <w:rPr>
          <w:rFonts w:hAnsi="宋体"/>
          <w:color w:val="auto"/>
          <w:sz w:val="24"/>
          <w:szCs w:val="24"/>
          <w:highlight w:val="none"/>
        </w:rPr>
      </w:pPr>
      <w:r>
        <w:rPr>
          <w:rFonts w:hint="eastAsia" w:hAnsi="宋体"/>
          <w:color w:val="auto"/>
          <w:sz w:val="24"/>
          <w:szCs w:val="24"/>
          <w:highlight w:val="none"/>
        </w:rPr>
        <w:t>□采购过程</w:t>
      </w:r>
    </w:p>
    <w:p w14:paraId="27C6AAEC">
      <w:pPr>
        <w:pStyle w:val="23"/>
        <w:spacing w:line="360" w:lineRule="auto"/>
        <w:ind w:left="25" w:leftChars="12" w:firstLine="352" w:firstLineChars="147"/>
        <w:contextualSpacing/>
        <w:rPr>
          <w:rFonts w:hAnsi="宋体"/>
          <w:bCs/>
          <w:color w:val="auto"/>
          <w:sz w:val="24"/>
          <w:szCs w:val="24"/>
          <w:highlight w:val="none"/>
          <w:u w:val="single"/>
        </w:rPr>
      </w:pPr>
      <w:r>
        <w:rPr>
          <w:rFonts w:hint="eastAsia" w:hAnsi="宋体"/>
          <w:color w:val="auto"/>
          <w:sz w:val="24"/>
          <w:szCs w:val="24"/>
          <w:highlight w:val="none"/>
        </w:rPr>
        <w:t>□成交结果</w:t>
      </w:r>
    </w:p>
    <w:p w14:paraId="6DBD1564">
      <w:pPr>
        <w:pStyle w:val="23"/>
        <w:spacing w:line="360" w:lineRule="auto"/>
        <w:ind w:left="25" w:leftChars="12" w:firstLine="472" w:firstLineChars="196"/>
        <w:contextualSpacing/>
        <w:rPr>
          <w:rFonts w:hAnsi="宋体"/>
          <w:b/>
          <w:color w:val="auto"/>
          <w:sz w:val="24"/>
          <w:szCs w:val="24"/>
          <w:highlight w:val="none"/>
        </w:rPr>
      </w:pPr>
      <w:r>
        <w:rPr>
          <w:rFonts w:hint="eastAsia" w:hAnsi="宋体"/>
          <w:b/>
          <w:color w:val="auto"/>
          <w:sz w:val="24"/>
          <w:szCs w:val="24"/>
          <w:highlight w:val="none"/>
        </w:rPr>
        <w:t>三、质疑事项具体内容</w:t>
      </w:r>
    </w:p>
    <w:p w14:paraId="25636895">
      <w:pPr>
        <w:pStyle w:val="23"/>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质疑事项1：</w:t>
      </w:r>
    </w:p>
    <w:p w14:paraId="3C0139F6">
      <w:pPr>
        <w:pStyle w:val="23"/>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事实依据：</w:t>
      </w:r>
    </w:p>
    <w:p w14:paraId="373BAC26">
      <w:pPr>
        <w:pStyle w:val="23"/>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法律依据：</w:t>
      </w:r>
    </w:p>
    <w:p w14:paraId="43F23E2D">
      <w:pPr>
        <w:pStyle w:val="23"/>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质疑事项2</w:t>
      </w:r>
    </w:p>
    <w:p w14:paraId="1A7EF318">
      <w:pPr>
        <w:pStyle w:val="23"/>
        <w:spacing w:line="360" w:lineRule="auto"/>
        <w:ind w:left="25" w:leftChars="12" w:firstLine="472" w:firstLineChars="197"/>
        <w:contextualSpacing/>
        <w:rPr>
          <w:rFonts w:hAnsi="宋体"/>
          <w:color w:val="auto"/>
          <w:sz w:val="24"/>
          <w:szCs w:val="24"/>
          <w:highlight w:val="none"/>
        </w:rPr>
      </w:pPr>
      <w:r>
        <w:rPr>
          <w:rFonts w:hAnsi="宋体"/>
          <w:color w:val="auto"/>
          <w:sz w:val="24"/>
          <w:szCs w:val="24"/>
          <w:highlight w:val="none"/>
        </w:rPr>
        <w:t>……</w:t>
      </w:r>
    </w:p>
    <w:p w14:paraId="7674AE5E">
      <w:pPr>
        <w:pStyle w:val="23"/>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四、与质疑事项相关的质疑请求：</w:t>
      </w:r>
    </w:p>
    <w:p w14:paraId="1FCF1C6F">
      <w:pPr>
        <w:pStyle w:val="23"/>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请求：</w:t>
      </w:r>
    </w:p>
    <w:p w14:paraId="58D09236">
      <w:pPr>
        <w:pStyle w:val="23"/>
        <w:spacing w:line="360" w:lineRule="auto"/>
        <w:ind w:left="25" w:leftChars="12" w:firstLine="352" w:firstLineChars="147"/>
        <w:contextualSpacing/>
        <w:rPr>
          <w:rFonts w:hAnsi="宋体"/>
          <w:color w:val="auto"/>
          <w:sz w:val="24"/>
          <w:szCs w:val="24"/>
          <w:highlight w:val="none"/>
        </w:rPr>
      </w:pPr>
    </w:p>
    <w:p w14:paraId="76EA7071">
      <w:pPr>
        <w:pStyle w:val="23"/>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签字（签章）：公章：</w:t>
      </w:r>
    </w:p>
    <w:p w14:paraId="45B7A12F">
      <w:pPr>
        <w:pStyle w:val="23"/>
        <w:spacing w:line="360" w:lineRule="auto"/>
        <w:ind w:firstLine="480" w:firstLineChars="200"/>
        <w:contextualSpacing/>
        <w:rPr>
          <w:rFonts w:hAnsi="宋体"/>
          <w:b/>
          <w:color w:val="auto"/>
          <w:sz w:val="24"/>
          <w:szCs w:val="24"/>
          <w:highlight w:val="none"/>
        </w:rPr>
      </w:pPr>
      <w:r>
        <w:rPr>
          <w:rFonts w:hint="eastAsia" w:hAnsi="宋体"/>
          <w:color w:val="auto"/>
          <w:sz w:val="24"/>
          <w:szCs w:val="24"/>
          <w:highlight w:val="none"/>
        </w:rPr>
        <w:t>日期：</w:t>
      </w:r>
    </w:p>
    <w:p w14:paraId="4B823E90">
      <w:pPr>
        <w:pStyle w:val="23"/>
        <w:spacing w:line="360" w:lineRule="auto"/>
        <w:contextualSpacing/>
        <w:rPr>
          <w:rFonts w:hAnsi="宋体"/>
          <w:b/>
          <w:color w:val="auto"/>
          <w:sz w:val="24"/>
          <w:szCs w:val="24"/>
          <w:highlight w:val="none"/>
        </w:rPr>
      </w:pPr>
      <w:r>
        <w:rPr>
          <w:rFonts w:hint="eastAsia" w:hAnsi="宋体"/>
          <w:b/>
          <w:color w:val="auto"/>
          <w:sz w:val="24"/>
          <w:szCs w:val="24"/>
          <w:highlight w:val="none"/>
        </w:rPr>
        <w:t>说明：</w:t>
      </w:r>
    </w:p>
    <w:p w14:paraId="78464223">
      <w:pPr>
        <w:pStyle w:val="23"/>
        <w:spacing w:line="360" w:lineRule="auto"/>
        <w:ind w:left="25" w:leftChars="12" w:firstLine="354" w:firstLineChars="147"/>
        <w:contextualSpacing/>
        <w:rPr>
          <w:rFonts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4C5680B2">
      <w:pPr>
        <w:pStyle w:val="23"/>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545EF25">
      <w:pPr>
        <w:pStyle w:val="23"/>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642F98EE">
      <w:pPr>
        <w:pStyle w:val="23"/>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4.质疑函的质疑请求应与质疑事项相关。</w:t>
      </w:r>
    </w:p>
    <w:p w14:paraId="3660480C">
      <w:pPr>
        <w:pStyle w:val="23"/>
        <w:spacing w:line="360" w:lineRule="auto"/>
        <w:ind w:left="25" w:leftChars="12" w:firstLine="354" w:firstLineChars="147"/>
        <w:contextualSpacing/>
        <w:rPr>
          <w:rFonts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3902BF5A">
      <w:pPr>
        <w:pStyle w:val="23"/>
        <w:snapToGrid w:val="0"/>
        <w:rPr>
          <w:b/>
          <w:color w:val="auto"/>
          <w:sz w:val="24"/>
          <w:szCs w:val="24"/>
          <w:highlight w:val="none"/>
        </w:rPr>
      </w:pPr>
    </w:p>
    <w:p w14:paraId="40D1CAE9">
      <w:pPr>
        <w:rPr>
          <w:color w:val="auto"/>
          <w:sz w:val="32"/>
          <w:szCs w:val="40"/>
          <w:highlight w:val="none"/>
        </w:rPr>
      </w:pPr>
    </w:p>
    <w:p w14:paraId="04C94FF2">
      <w:pPr>
        <w:rPr>
          <w:color w:val="auto"/>
          <w:sz w:val="32"/>
          <w:szCs w:val="40"/>
          <w:highlight w:val="none"/>
        </w:rPr>
      </w:pPr>
    </w:p>
    <w:p w14:paraId="41305703">
      <w:pPr>
        <w:rPr>
          <w:color w:val="auto"/>
          <w:sz w:val="32"/>
          <w:szCs w:val="40"/>
          <w:highlight w:val="none"/>
        </w:rPr>
      </w:pPr>
    </w:p>
    <w:p w14:paraId="3AA2683B">
      <w:pPr>
        <w:rPr>
          <w:color w:val="auto"/>
          <w:sz w:val="32"/>
          <w:szCs w:val="40"/>
          <w:highlight w:val="none"/>
        </w:rPr>
      </w:pPr>
    </w:p>
    <w:p w14:paraId="58D7310F">
      <w:pPr>
        <w:rPr>
          <w:color w:val="auto"/>
          <w:sz w:val="32"/>
          <w:szCs w:val="40"/>
          <w:highlight w:val="none"/>
        </w:rPr>
      </w:pPr>
    </w:p>
    <w:p w14:paraId="29474A18">
      <w:pPr>
        <w:rPr>
          <w:color w:val="auto"/>
          <w:sz w:val="32"/>
          <w:szCs w:val="40"/>
          <w:highlight w:val="none"/>
        </w:rPr>
      </w:pPr>
    </w:p>
    <w:p w14:paraId="70452106">
      <w:pPr>
        <w:rPr>
          <w:color w:val="auto"/>
          <w:sz w:val="32"/>
          <w:szCs w:val="40"/>
          <w:highlight w:val="none"/>
        </w:rPr>
      </w:pPr>
    </w:p>
    <w:p w14:paraId="39E8686E">
      <w:pPr>
        <w:rPr>
          <w:color w:val="auto"/>
          <w:sz w:val="32"/>
          <w:szCs w:val="40"/>
          <w:highlight w:val="none"/>
        </w:rPr>
      </w:pPr>
    </w:p>
    <w:p w14:paraId="65683E53">
      <w:pPr>
        <w:rPr>
          <w:color w:val="auto"/>
          <w:sz w:val="32"/>
          <w:szCs w:val="40"/>
          <w:highlight w:val="none"/>
        </w:rPr>
      </w:pPr>
    </w:p>
    <w:p w14:paraId="3A1AED13">
      <w:pPr>
        <w:rPr>
          <w:color w:val="auto"/>
          <w:sz w:val="32"/>
          <w:szCs w:val="40"/>
          <w:highlight w:val="none"/>
        </w:rPr>
      </w:pPr>
    </w:p>
    <w:p w14:paraId="30576C25">
      <w:pPr>
        <w:rPr>
          <w:color w:val="auto"/>
          <w:sz w:val="32"/>
          <w:szCs w:val="40"/>
          <w:highlight w:val="none"/>
        </w:rPr>
      </w:pPr>
    </w:p>
    <w:p w14:paraId="27F324CF">
      <w:pPr>
        <w:rPr>
          <w:color w:val="auto"/>
          <w:sz w:val="32"/>
          <w:szCs w:val="40"/>
          <w:highlight w:val="none"/>
        </w:rPr>
      </w:pPr>
    </w:p>
    <w:p w14:paraId="5C55FAEE">
      <w:pPr>
        <w:rPr>
          <w:color w:val="auto"/>
          <w:sz w:val="32"/>
          <w:szCs w:val="40"/>
          <w:highlight w:val="none"/>
        </w:rPr>
      </w:pPr>
    </w:p>
    <w:p w14:paraId="759974C4">
      <w:pPr>
        <w:rPr>
          <w:color w:val="auto"/>
          <w:sz w:val="32"/>
          <w:szCs w:val="40"/>
          <w:highlight w:val="none"/>
        </w:rPr>
      </w:pPr>
    </w:p>
    <w:p w14:paraId="4F2691DE">
      <w:pPr>
        <w:pStyle w:val="44"/>
        <w:ind w:firstLine="480"/>
        <w:rPr>
          <w:color w:val="auto"/>
          <w:highlight w:val="none"/>
        </w:rPr>
      </w:pPr>
    </w:p>
    <w:p w14:paraId="212E8A3A">
      <w:pPr>
        <w:rPr>
          <w:color w:val="auto"/>
          <w:highlight w:val="none"/>
        </w:rPr>
      </w:pPr>
    </w:p>
    <w:p w14:paraId="180D1E84">
      <w:pPr>
        <w:spacing w:line="360" w:lineRule="auto"/>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投诉书（格式）</w:t>
      </w:r>
    </w:p>
    <w:p w14:paraId="42100154">
      <w:pPr>
        <w:pStyle w:val="23"/>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14:paraId="51F4A232">
      <w:pPr>
        <w:pStyle w:val="23"/>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供应商：</w:t>
      </w:r>
    </w:p>
    <w:p w14:paraId="52887785">
      <w:pPr>
        <w:pStyle w:val="23"/>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14:paraId="4D44D24F">
      <w:pPr>
        <w:pStyle w:val="23"/>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法定代表人/主要负责人：</w:t>
      </w:r>
    </w:p>
    <w:p w14:paraId="1E5CDDF6">
      <w:pPr>
        <w:pStyle w:val="23"/>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p>
    <w:p w14:paraId="2B0B7517">
      <w:pPr>
        <w:pStyle w:val="23"/>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授权代表：</w:t>
      </w:r>
      <w:r>
        <w:rPr>
          <w:rFonts w:hAnsi="宋体"/>
          <w:bCs/>
          <w:color w:val="auto"/>
          <w:sz w:val="24"/>
          <w:szCs w:val="24"/>
          <w:highlight w:val="none"/>
        </w:rPr>
        <w:t>联系</w:t>
      </w:r>
      <w:r>
        <w:rPr>
          <w:rFonts w:hint="eastAsia" w:hAnsi="宋体"/>
          <w:bCs/>
          <w:color w:val="auto"/>
          <w:sz w:val="24"/>
          <w:szCs w:val="24"/>
          <w:highlight w:val="none"/>
        </w:rPr>
        <w:t>电话：</w:t>
      </w:r>
    </w:p>
    <w:p w14:paraId="6F62A067">
      <w:pPr>
        <w:pStyle w:val="23"/>
        <w:snapToGrid w:val="0"/>
        <w:spacing w:line="360" w:lineRule="auto"/>
        <w:ind w:firstLine="480" w:firstLineChars="200"/>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p>
    <w:p w14:paraId="617D6B23">
      <w:pPr>
        <w:pStyle w:val="23"/>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p>
    <w:p w14:paraId="26FA52FA">
      <w:pPr>
        <w:pStyle w:val="23"/>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被投诉人1：</w:t>
      </w:r>
    </w:p>
    <w:p w14:paraId="7380E7CC">
      <w:pPr>
        <w:pStyle w:val="23"/>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地址：</w:t>
      </w:r>
    </w:p>
    <w:p w14:paraId="536CEC39">
      <w:pPr>
        <w:pStyle w:val="23"/>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p>
    <w:p w14:paraId="767E7414">
      <w:pPr>
        <w:pStyle w:val="23"/>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联系人：</w:t>
      </w:r>
      <w:r>
        <w:rPr>
          <w:rFonts w:hAnsi="宋体"/>
          <w:bCs/>
          <w:color w:val="auto"/>
          <w:sz w:val="24"/>
          <w:szCs w:val="24"/>
          <w:highlight w:val="none"/>
        </w:rPr>
        <w:t>联系</w:t>
      </w:r>
      <w:r>
        <w:rPr>
          <w:rFonts w:hint="eastAsia" w:hAnsi="宋体"/>
          <w:bCs/>
          <w:color w:val="auto"/>
          <w:sz w:val="24"/>
          <w:szCs w:val="24"/>
          <w:highlight w:val="none"/>
        </w:rPr>
        <w:t>电话：</w:t>
      </w:r>
    </w:p>
    <w:p w14:paraId="077846CC">
      <w:pPr>
        <w:pStyle w:val="23"/>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被投诉人2：</w:t>
      </w:r>
    </w:p>
    <w:p w14:paraId="5970475B">
      <w:pPr>
        <w:pStyle w:val="23"/>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w:t>
      </w:r>
    </w:p>
    <w:p w14:paraId="41A65C51">
      <w:pPr>
        <w:pStyle w:val="23"/>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相关供应商：</w:t>
      </w:r>
    </w:p>
    <w:p w14:paraId="381933CD">
      <w:pPr>
        <w:pStyle w:val="23"/>
        <w:snapToGrid w:val="0"/>
        <w:spacing w:line="360" w:lineRule="auto"/>
        <w:ind w:firstLine="480" w:firstLineChars="200"/>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14:paraId="7418504A">
      <w:pPr>
        <w:pStyle w:val="23"/>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联系人：</w:t>
      </w:r>
      <w:r>
        <w:rPr>
          <w:rFonts w:hAnsi="宋体"/>
          <w:bCs/>
          <w:color w:val="auto"/>
          <w:sz w:val="24"/>
          <w:szCs w:val="24"/>
          <w:highlight w:val="none"/>
        </w:rPr>
        <w:t>联系</w:t>
      </w:r>
      <w:r>
        <w:rPr>
          <w:rFonts w:hint="eastAsia" w:hAnsi="宋体"/>
          <w:bCs/>
          <w:color w:val="auto"/>
          <w:sz w:val="24"/>
          <w:szCs w:val="24"/>
          <w:highlight w:val="none"/>
        </w:rPr>
        <w:t>电话：</w:t>
      </w:r>
    </w:p>
    <w:p w14:paraId="6C945226">
      <w:pPr>
        <w:pStyle w:val="23"/>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二、投诉项目基本情况：</w:t>
      </w:r>
    </w:p>
    <w:p w14:paraId="5474CBD4">
      <w:pPr>
        <w:pStyle w:val="23"/>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p>
    <w:p w14:paraId="2D084EB7">
      <w:pPr>
        <w:pStyle w:val="23"/>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p>
    <w:p w14:paraId="4AEF4377">
      <w:pPr>
        <w:pStyle w:val="23"/>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采购人名称：</w:t>
      </w:r>
    </w:p>
    <w:p w14:paraId="74205C3B">
      <w:pPr>
        <w:pStyle w:val="23"/>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代理机构名称：</w:t>
      </w:r>
    </w:p>
    <w:p w14:paraId="6DAB33FF">
      <w:pPr>
        <w:pStyle w:val="23"/>
        <w:spacing w:line="360" w:lineRule="auto"/>
        <w:ind w:left="25" w:leftChars="12" w:firstLine="472" w:firstLineChars="197"/>
        <w:rPr>
          <w:rFonts w:hAnsi="宋体"/>
          <w:bCs/>
          <w:color w:val="auto"/>
          <w:sz w:val="24"/>
          <w:szCs w:val="24"/>
          <w:highlight w:val="none"/>
          <w:u w:val="single"/>
        </w:rPr>
      </w:pPr>
      <w:r>
        <w:rPr>
          <w:rFonts w:hint="eastAsia" w:hAnsi="宋体"/>
          <w:bCs/>
          <w:color w:val="auto"/>
          <w:sz w:val="24"/>
          <w:szCs w:val="24"/>
          <w:highlight w:val="none"/>
        </w:rPr>
        <w:t>采购文件公告：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p>
    <w:p w14:paraId="4CDA8C23">
      <w:pPr>
        <w:pStyle w:val="23"/>
        <w:spacing w:line="360" w:lineRule="auto"/>
        <w:ind w:left="25" w:leftChars="12" w:firstLine="472" w:firstLineChars="197"/>
        <w:rPr>
          <w:rFonts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p>
    <w:p w14:paraId="12E363B9">
      <w:pPr>
        <w:pStyle w:val="23"/>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三、质疑基本情况</w:t>
      </w:r>
    </w:p>
    <w:p w14:paraId="3E8B9198">
      <w:pPr>
        <w:pStyle w:val="23"/>
        <w:spacing w:line="360" w:lineRule="auto"/>
        <w:ind w:firstLine="480" w:firstLineChars="200"/>
        <w:rPr>
          <w:rFonts w:hAnsi="宋体"/>
          <w:color w:val="auto"/>
          <w:sz w:val="24"/>
          <w:szCs w:val="24"/>
          <w:highlight w:val="none"/>
        </w:rPr>
      </w:pPr>
      <w:r>
        <w:rPr>
          <w:rFonts w:hint="eastAsia" w:hAnsi="宋体"/>
          <w:color w:val="auto"/>
          <w:sz w:val="24"/>
          <w:szCs w:val="24"/>
          <w:highlight w:val="none"/>
        </w:rPr>
        <w:t>投诉人于年月日，向提出质疑，质疑事项为：</w:t>
      </w:r>
    </w:p>
    <w:p w14:paraId="3D2C58E6">
      <w:pPr>
        <w:pStyle w:val="23"/>
        <w:spacing w:line="360" w:lineRule="auto"/>
        <w:ind w:firstLine="241"/>
        <w:rPr>
          <w:rFonts w:hAnsi="宋体"/>
          <w:bCs/>
          <w:color w:val="auto"/>
          <w:sz w:val="24"/>
          <w:szCs w:val="24"/>
          <w:highlight w:val="none"/>
          <w:u w:val="single"/>
        </w:rPr>
      </w:pPr>
    </w:p>
    <w:p w14:paraId="0F7A2905">
      <w:pPr>
        <w:pStyle w:val="23"/>
        <w:spacing w:line="360" w:lineRule="auto"/>
        <w:ind w:firstLine="241"/>
        <w:rPr>
          <w:rFonts w:hAnsi="宋体"/>
          <w:bCs/>
          <w:color w:val="auto"/>
          <w:sz w:val="24"/>
          <w:szCs w:val="24"/>
          <w:highlight w:val="none"/>
          <w:u w:val="single"/>
        </w:rPr>
      </w:pPr>
    </w:p>
    <w:p w14:paraId="554BAED6">
      <w:pPr>
        <w:pStyle w:val="23"/>
        <w:spacing w:line="360" w:lineRule="auto"/>
        <w:ind w:firstLine="480" w:firstLineChars="200"/>
        <w:rPr>
          <w:rFonts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rPr>
        <w:t>年月日，</w:t>
      </w:r>
      <w:r>
        <w:rPr>
          <w:rFonts w:hint="eastAsia" w:hAnsi="宋体"/>
          <w:bCs/>
          <w:color w:val="auto"/>
          <w:sz w:val="24"/>
          <w:szCs w:val="24"/>
          <w:highlight w:val="none"/>
        </w:rPr>
        <w:t>就质疑事项作出了答复/没有在法定期限内作出答复。</w:t>
      </w:r>
    </w:p>
    <w:p w14:paraId="28A28F89">
      <w:pPr>
        <w:pStyle w:val="23"/>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四、投诉事项具体内容</w:t>
      </w:r>
    </w:p>
    <w:p w14:paraId="32DC69FD">
      <w:pPr>
        <w:pStyle w:val="23"/>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投诉事项1：</w:t>
      </w:r>
    </w:p>
    <w:p w14:paraId="28948F8B">
      <w:pPr>
        <w:pStyle w:val="23"/>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事实依据：</w:t>
      </w:r>
    </w:p>
    <w:p w14:paraId="5DF1CB57">
      <w:pPr>
        <w:pStyle w:val="23"/>
        <w:spacing w:line="360" w:lineRule="auto"/>
        <w:ind w:left="25" w:leftChars="12" w:firstLine="472" w:firstLineChars="197"/>
        <w:rPr>
          <w:rFonts w:hAnsi="宋体"/>
          <w:color w:val="auto"/>
          <w:sz w:val="24"/>
          <w:szCs w:val="24"/>
          <w:highlight w:val="none"/>
        </w:rPr>
      </w:pPr>
    </w:p>
    <w:p w14:paraId="4C433491">
      <w:pPr>
        <w:pStyle w:val="23"/>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法律依据：</w:t>
      </w:r>
    </w:p>
    <w:p w14:paraId="065BFA77">
      <w:pPr>
        <w:pStyle w:val="23"/>
        <w:spacing w:line="360" w:lineRule="auto"/>
        <w:ind w:left="25" w:leftChars="12" w:firstLine="352" w:firstLineChars="147"/>
        <w:rPr>
          <w:rFonts w:hAnsi="宋体"/>
          <w:bCs/>
          <w:color w:val="auto"/>
          <w:sz w:val="24"/>
          <w:szCs w:val="24"/>
          <w:highlight w:val="none"/>
          <w:u w:val="single"/>
        </w:rPr>
      </w:pPr>
    </w:p>
    <w:p w14:paraId="159427BA">
      <w:pPr>
        <w:pStyle w:val="23"/>
        <w:spacing w:line="360" w:lineRule="auto"/>
        <w:ind w:left="25" w:leftChars="12" w:firstLine="472" w:firstLineChars="197"/>
        <w:rPr>
          <w:rFonts w:hAnsi="宋体"/>
          <w:bCs/>
          <w:color w:val="auto"/>
          <w:sz w:val="24"/>
          <w:szCs w:val="24"/>
          <w:highlight w:val="none"/>
        </w:rPr>
      </w:pPr>
      <w:r>
        <w:rPr>
          <w:rFonts w:hint="eastAsia" w:hAnsi="宋体"/>
          <w:color w:val="auto"/>
          <w:sz w:val="24"/>
          <w:szCs w:val="24"/>
          <w:highlight w:val="none"/>
        </w:rPr>
        <w:t xml:space="preserve">投诉事项2  </w:t>
      </w:r>
    </w:p>
    <w:p w14:paraId="6870D8A7">
      <w:pPr>
        <w:pStyle w:val="23"/>
        <w:spacing w:line="360" w:lineRule="auto"/>
        <w:ind w:left="25" w:leftChars="12" w:firstLine="472" w:firstLineChars="197"/>
        <w:rPr>
          <w:rFonts w:hAnsi="宋体"/>
          <w:bCs/>
          <w:color w:val="auto"/>
          <w:sz w:val="24"/>
          <w:szCs w:val="24"/>
          <w:highlight w:val="none"/>
        </w:rPr>
      </w:pPr>
      <w:r>
        <w:rPr>
          <w:rFonts w:hAnsi="宋体"/>
          <w:bCs/>
          <w:color w:val="auto"/>
          <w:sz w:val="24"/>
          <w:szCs w:val="24"/>
          <w:highlight w:val="none"/>
        </w:rPr>
        <w:t>……</w:t>
      </w:r>
    </w:p>
    <w:p w14:paraId="5B899376">
      <w:pPr>
        <w:pStyle w:val="23"/>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五、与投诉事项相关的投诉请求：</w:t>
      </w:r>
    </w:p>
    <w:p w14:paraId="3FE6781C">
      <w:pPr>
        <w:pStyle w:val="23"/>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请求：</w:t>
      </w:r>
    </w:p>
    <w:p w14:paraId="59CD67FD">
      <w:pPr>
        <w:pStyle w:val="23"/>
        <w:spacing w:line="360" w:lineRule="auto"/>
        <w:ind w:left="25" w:leftChars="12" w:firstLine="352" w:firstLineChars="147"/>
        <w:rPr>
          <w:rFonts w:hAnsi="宋体"/>
          <w:color w:val="auto"/>
          <w:sz w:val="24"/>
          <w:szCs w:val="24"/>
          <w:highlight w:val="none"/>
        </w:rPr>
      </w:pPr>
    </w:p>
    <w:p w14:paraId="13D3834C">
      <w:pPr>
        <w:pStyle w:val="23"/>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签字（签章）：公章：</w:t>
      </w:r>
    </w:p>
    <w:p w14:paraId="3D984519">
      <w:pPr>
        <w:pStyle w:val="23"/>
        <w:spacing w:line="360" w:lineRule="auto"/>
        <w:ind w:left="25" w:leftChars="12" w:firstLine="352" w:firstLineChars="147"/>
        <w:rPr>
          <w:rFonts w:hAnsi="宋体"/>
          <w:color w:val="auto"/>
          <w:sz w:val="24"/>
          <w:szCs w:val="24"/>
          <w:highlight w:val="none"/>
        </w:rPr>
      </w:pPr>
    </w:p>
    <w:p w14:paraId="7D41D108">
      <w:pPr>
        <w:pStyle w:val="23"/>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日期：</w:t>
      </w:r>
    </w:p>
    <w:p w14:paraId="2B258917">
      <w:pPr>
        <w:pStyle w:val="23"/>
        <w:spacing w:line="360" w:lineRule="auto"/>
        <w:ind w:left="25" w:leftChars="12" w:firstLine="475" w:firstLineChars="197"/>
        <w:rPr>
          <w:rFonts w:hAnsi="宋体"/>
          <w:b/>
          <w:color w:val="auto"/>
          <w:sz w:val="24"/>
          <w:szCs w:val="24"/>
          <w:highlight w:val="none"/>
        </w:rPr>
      </w:pPr>
    </w:p>
    <w:p w14:paraId="5B737FE4">
      <w:pPr>
        <w:pStyle w:val="23"/>
        <w:snapToGrid w:val="0"/>
        <w:spacing w:line="360" w:lineRule="auto"/>
        <w:rPr>
          <w:rFonts w:hAnsi="宋体"/>
          <w:b/>
          <w:color w:val="auto"/>
          <w:sz w:val="24"/>
          <w:szCs w:val="24"/>
          <w:highlight w:val="none"/>
        </w:rPr>
      </w:pPr>
      <w:r>
        <w:rPr>
          <w:rFonts w:hint="eastAsia" w:hAnsi="宋体"/>
          <w:b/>
          <w:color w:val="auto"/>
          <w:sz w:val="24"/>
          <w:szCs w:val="24"/>
          <w:highlight w:val="none"/>
        </w:rPr>
        <w:t>说明：</w:t>
      </w:r>
    </w:p>
    <w:p w14:paraId="711762E0">
      <w:pPr>
        <w:pStyle w:val="23"/>
        <w:spacing w:line="360" w:lineRule="auto"/>
        <w:ind w:left="25" w:leftChars="12" w:firstLine="354" w:firstLineChars="147"/>
        <w:rPr>
          <w:rFonts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24CBC843">
      <w:pPr>
        <w:pStyle w:val="23"/>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A7F64B7">
      <w:pPr>
        <w:pStyle w:val="23"/>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79152EE6">
      <w:pPr>
        <w:pStyle w:val="23"/>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22A799B6">
      <w:pPr>
        <w:pStyle w:val="23"/>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5.投诉书的投诉请求应与投诉事项相关。</w:t>
      </w:r>
    </w:p>
    <w:p w14:paraId="6CF55802">
      <w:pPr>
        <w:pStyle w:val="23"/>
        <w:spacing w:line="360" w:lineRule="auto"/>
        <w:ind w:left="25" w:leftChars="12" w:firstLine="354" w:firstLineChars="147"/>
        <w:rPr>
          <w:rFonts w:hAnsi="宋体"/>
          <w:b/>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p w14:paraId="0BEAD423">
      <w:pPr>
        <w:pStyle w:val="3"/>
        <w:jc w:val="center"/>
        <w:rPr>
          <w:color w:val="auto"/>
          <w:highlight w:val="none"/>
        </w:rPr>
      </w:pPr>
      <w:bookmarkStart w:id="124" w:name="_Toc151675541"/>
      <w:r>
        <w:rPr>
          <w:rFonts w:hint="eastAsia"/>
          <w:color w:val="auto"/>
          <w:highlight w:val="none"/>
        </w:rPr>
        <w:t xml:space="preserve">第六章 </w:t>
      </w:r>
      <w:r>
        <w:rPr>
          <w:color w:val="auto"/>
          <w:highlight w:val="none"/>
        </w:rPr>
        <w:t xml:space="preserve"> </w:t>
      </w:r>
      <w:r>
        <w:rPr>
          <w:rFonts w:hint="eastAsia"/>
          <w:color w:val="auto"/>
          <w:highlight w:val="none"/>
        </w:rPr>
        <w:t>合同文本</w:t>
      </w:r>
      <w:bookmarkEnd w:id="124"/>
    </w:p>
    <w:p w14:paraId="4F2F7BD6">
      <w:pPr>
        <w:spacing w:line="520" w:lineRule="exact"/>
        <w:rPr>
          <w:rFonts w:ascii="宋体" w:hAnsi="宋体" w:cs="Courier New"/>
          <w:b/>
          <w:color w:val="auto"/>
          <w:sz w:val="32"/>
          <w:szCs w:val="32"/>
          <w:highlight w:val="none"/>
        </w:rPr>
      </w:pPr>
    </w:p>
    <w:p w14:paraId="23BD69D3">
      <w:pPr>
        <w:snapToGrid w:val="0"/>
        <w:spacing w:line="400" w:lineRule="exact"/>
        <w:jc w:val="center"/>
        <w:rPr>
          <w:rFonts w:cs="宋体"/>
          <w:b/>
          <w:bCs/>
          <w:color w:val="auto"/>
          <w:sz w:val="32"/>
          <w:szCs w:val="32"/>
          <w:highlight w:val="none"/>
        </w:rPr>
      </w:pPr>
      <w:r>
        <w:rPr>
          <w:rFonts w:hint="eastAsia" w:cs="宋体"/>
          <w:b/>
          <w:bCs/>
          <w:color w:val="auto"/>
          <w:sz w:val="32"/>
          <w:szCs w:val="32"/>
          <w:highlight w:val="none"/>
        </w:rPr>
        <w:t>《广西壮族自治区政府采购合同》</w:t>
      </w:r>
    </w:p>
    <w:p w14:paraId="7C6643A4">
      <w:pPr>
        <w:spacing w:line="520" w:lineRule="exact"/>
        <w:rPr>
          <w:rFonts w:ascii="宋体" w:hAnsi="宋体" w:cs="Courier New"/>
          <w:b/>
          <w:color w:val="auto"/>
          <w:sz w:val="32"/>
          <w:szCs w:val="32"/>
          <w:highlight w:val="none"/>
        </w:rPr>
      </w:pPr>
    </w:p>
    <w:p w14:paraId="08EAEBF8">
      <w:pPr>
        <w:snapToGrid w:val="0"/>
        <w:spacing w:line="360" w:lineRule="exact"/>
        <w:ind w:right="480"/>
        <w:jc w:val="left"/>
        <w:rPr>
          <w:rFonts w:ascii="宋体" w:hAnsi="宋体" w:cs="宋体"/>
          <w:bCs/>
          <w:color w:val="auto"/>
          <w:sz w:val="24"/>
          <w:highlight w:val="none"/>
          <w:u w:val="single"/>
        </w:rPr>
      </w:pPr>
      <w:r>
        <w:rPr>
          <w:rFonts w:hint="eastAsia" w:ascii="宋体" w:hAnsi="宋体" w:cs="宋体"/>
          <w:bCs/>
          <w:color w:val="auto"/>
          <w:sz w:val="24"/>
          <w:highlight w:val="none"/>
        </w:rPr>
        <w:t xml:space="preserve">合同编号：                                           </w:t>
      </w:r>
    </w:p>
    <w:p w14:paraId="3431D92B">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采购单位（甲方）：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1EAE3DAF">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供 应 商（乙方）：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0E07286B">
      <w:pPr>
        <w:snapToGrid w:val="0"/>
        <w:spacing w:line="440" w:lineRule="exact"/>
        <w:jc w:val="left"/>
        <w:rPr>
          <w:rFonts w:ascii="宋体" w:hAnsi="宋体" w:cs="宋体"/>
          <w:color w:val="auto"/>
          <w:sz w:val="24"/>
          <w:highlight w:val="none"/>
          <w:u w:val="single"/>
        </w:rPr>
      </w:pPr>
      <w:r>
        <w:rPr>
          <w:rFonts w:hint="eastAsia" w:ascii="宋体" w:hAnsi="宋体" w:cs="宋体"/>
          <w:color w:val="auto"/>
          <w:spacing w:val="-20"/>
          <w:sz w:val="24"/>
          <w:highlight w:val="none"/>
        </w:rPr>
        <w:t>采购计划号：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w:t>
      </w:r>
      <w:r>
        <w:rPr>
          <w:rFonts w:hint="eastAsia" w:ascii="宋体" w:hAnsi="宋体" w:cs="宋体"/>
          <w:color w:val="auto"/>
          <w:spacing w:val="-20"/>
          <w:sz w:val="24"/>
          <w:highlight w:val="none"/>
        </w:rPr>
        <w:t>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4EB1ACCF">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47A28522">
      <w:pPr>
        <w:snapToGrid w:val="0"/>
        <w:spacing w:line="360" w:lineRule="exact"/>
        <w:rPr>
          <w:rFonts w:ascii="宋体" w:hAnsi="宋体" w:cs="宋体"/>
          <w:color w:val="auto"/>
          <w:sz w:val="24"/>
          <w:highlight w:val="none"/>
          <w:u w:val="single"/>
        </w:rPr>
      </w:pPr>
      <w:r>
        <w:rPr>
          <w:rFonts w:hint="eastAsia" w:ascii="宋体" w:hAnsi="宋体" w:cs="宋体"/>
          <w:color w:val="auto"/>
          <w:sz w:val="24"/>
          <w:highlight w:val="none"/>
        </w:rPr>
        <w:t>签订地点：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签订时间：</w:t>
      </w:r>
      <w:r>
        <w:rPr>
          <w:rFonts w:hint="eastAsia" w:ascii="宋体" w:hAnsi="宋体" w:cs="宋体"/>
          <w:color w:val="auto"/>
          <w:sz w:val="24"/>
          <w:highlight w:val="none"/>
          <w:u w:val="single"/>
        </w:rPr>
        <w:t xml:space="preserve">       年   月  日 </w:t>
      </w:r>
    </w:p>
    <w:p w14:paraId="005C1329">
      <w:pPr>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p>
    <w:p w14:paraId="2DCC8A3B">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根据《中华人民共和国政府采购法》、《政府采购货物和服务招标投标管理办法》、《中华人民共和国民法典》等法律、法规规定，按照采购文件规定和乙方响应文件及其承诺，甲乙双方签订本合同。</w:t>
      </w:r>
    </w:p>
    <w:p w14:paraId="4CD68D1B">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第一条 合同标的</w:t>
      </w:r>
    </w:p>
    <w:p w14:paraId="3C677193">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1.服务内容一览表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1560"/>
        <w:gridCol w:w="1233"/>
        <w:gridCol w:w="1095"/>
        <w:gridCol w:w="975"/>
        <w:gridCol w:w="1665"/>
        <w:gridCol w:w="1520"/>
      </w:tblGrid>
      <w:tr w14:paraId="733E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009" w:type="dxa"/>
            <w:vAlign w:val="center"/>
          </w:tcPr>
          <w:p w14:paraId="40EBF050">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560" w:type="dxa"/>
            <w:vAlign w:val="center"/>
          </w:tcPr>
          <w:p w14:paraId="2C0D834C">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233" w:type="dxa"/>
            <w:vAlign w:val="center"/>
          </w:tcPr>
          <w:p w14:paraId="2FFCB8D7">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服务内容</w:t>
            </w:r>
          </w:p>
        </w:tc>
        <w:tc>
          <w:tcPr>
            <w:tcW w:w="1095" w:type="dxa"/>
            <w:vAlign w:val="center"/>
          </w:tcPr>
          <w:p w14:paraId="4C88262D">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975" w:type="dxa"/>
            <w:vAlign w:val="center"/>
          </w:tcPr>
          <w:p w14:paraId="53F8F19A">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单位</w:t>
            </w:r>
          </w:p>
        </w:tc>
        <w:tc>
          <w:tcPr>
            <w:tcW w:w="1665" w:type="dxa"/>
            <w:vAlign w:val="center"/>
          </w:tcPr>
          <w:p w14:paraId="587A3459">
            <w:pPr>
              <w:snapToGrid w:val="0"/>
              <w:spacing w:line="400" w:lineRule="exact"/>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成交折扣率</w:t>
            </w:r>
          </w:p>
        </w:tc>
        <w:tc>
          <w:tcPr>
            <w:tcW w:w="1520" w:type="dxa"/>
            <w:vAlign w:val="center"/>
          </w:tcPr>
          <w:p w14:paraId="50AB0D14">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金额（元）</w:t>
            </w:r>
          </w:p>
        </w:tc>
      </w:tr>
      <w:tr w14:paraId="41D74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09" w:type="dxa"/>
            <w:vAlign w:val="center"/>
          </w:tcPr>
          <w:p w14:paraId="2B3C180E">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1560" w:type="dxa"/>
            <w:vAlign w:val="center"/>
          </w:tcPr>
          <w:p w14:paraId="5DE2BE3E">
            <w:pPr>
              <w:snapToGrid w:val="0"/>
              <w:spacing w:line="400" w:lineRule="exact"/>
              <w:jc w:val="center"/>
              <w:rPr>
                <w:rFonts w:hint="eastAsia" w:ascii="宋体" w:hAnsi="宋体" w:eastAsia="宋体" w:cs="宋体"/>
                <w:color w:val="auto"/>
                <w:sz w:val="24"/>
                <w:highlight w:val="none"/>
                <w:lang w:eastAsia="zh-CN"/>
              </w:rPr>
            </w:pPr>
          </w:p>
        </w:tc>
        <w:tc>
          <w:tcPr>
            <w:tcW w:w="1233" w:type="dxa"/>
            <w:vAlign w:val="center"/>
          </w:tcPr>
          <w:p w14:paraId="367152E7">
            <w:pPr>
              <w:snapToGrid w:val="0"/>
              <w:spacing w:line="400" w:lineRule="exact"/>
              <w:jc w:val="center"/>
              <w:rPr>
                <w:rFonts w:ascii="宋体" w:hAnsi="宋体" w:cs="宋体"/>
                <w:color w:val="auto"/>
                <w:sz w:val="24"/>
                <w:highlight w:val="none"/>
              </w:rPr>
            </w:pPr>
          </w:p>
        </w:tc>
        <w:tc>
          <w:tcPr>
            <w:tcW w:w="1095" w:type="dxa"/>
            <w:vAlign w:val="center"/>
          </w:tcPr>
          <w:p w14:paraId="60E6CA8A">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975" w:type="dxa"/>
            <w:vAlign w:val="center"/>
          </w:tcPr>
          <w:p w14:paraId="6CDF467D">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项</w:t>
            </w:r>
          </w:p>
        </w:tc>
        <w:tc>
          <w:tcPr>
            <w:tcW w:w="1665" w:type="dxa"/>
            <w:vAlign w:val="center"/>
          </w:tcPr>
          <w:p w14:paraId="2B9123B9">
            <w:pPr>
              <w:snapToGrid w:val="0"/>
              <w:spacing w:line="400" w:lineRule="exact"/>
              <w:jc w:val="center"/>
              <w:rPr>
                <w:rFonts w:ascii="宋体" w:hAnsi="宋体" w:cs="宋体"/>
                <w:color w:val="auto"/>
                <w:sz w:val="24"/>
                <w:highlight w:val="none"/>
              </w:rPr>
            </w:pPr>
          </w:p>
        </w:tc>
        <w:tc>
          <w:tcPr>
            <w:tcW w:w="1520" w:type="dxa"/>
            <w:vAlign w:val="center"/>
          </w:tcPr>
          <w:p w14:paraId="6958FE3C">
            <w:pPr>
              <w:snapToGrid w:val="0"/>
              <w:spacing w:line="400" w:lineRule="exact"/>
              <w:jc w:val="center"/>
              <w:rPr>
                <w:rFonts w:ascii="宋体" w:hAnsi="宋体" w:cs="宋体"/>
                <w:color w:val="auto"/>
                <w:sz w:val="24"/>
                <w:highlight w:val="none"/>
              </w:rPr>
            </w:pPr>
          </w:p>
        </w:tc>
      </w:tr>
      <w:tr w14:paraId="11916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057" w:type="dxa"/>
            <w:gridSpan w:val="7"/>
            <w:vAlign w:val="center"/>
          </w:tcPr>
          <w:p w14:paraId="5A5A0B12">
            <w:pPr>
              <w:snapToGrid w:val="0"/>
              <w:spacing w:line="400" w:lineRule="exact"/>
              <w:jc w:val="left"/>
              <w:rPr>
                <w:rFonts w:ascii="宋体" w:hAnsi="宋体" w:cs="宋体"/>
                <w:color w:val="auto"/>
                <w:sz w:val="24"/>
                <w:highlight w:val="none"/>
              </w:rPr>
            </w:pPr>
            <w:r>
              <w:rPr>
                <w:rFonts w:hint="eastAsia" w:ascii="宋体" w:hAnsi="宋体" w:cs="宋体"/>
                <w:color w:val="auto"/>
                <w:sz w:val="24"/>
                <w:highlight w:val="none"/>
              </w:rPr>
              <w:t xml:space="preserve">人民币合计金额（大写）                          （小写）            </w:t>
            </w:r>
          </w:p>
        </w:tc>
      </w:tr>
    </w:tbl>
    <w:p w14:paraId="1401BF23">
      <w:pPr>
        <w:pStyle w:val="23"/>
        <w:spacing w:line="440" w:lineRule="exact"/>
        <w:ind w:firstLine="480" w:firstLineChars="200"/>
        <w:jc w:val="left"/>
        <w:rPr>
          <w:rFonts w:hAnsi="宋体" w:cs="宋体"/>
          <w:b/>
          <w:color w:val="auto"/>
          <w:sz w:val="24"/>
          <w:szCs w:val="24"/>
          <w:highlight w:val="none"/>
        </w:rPr>
      </w:pPr>
      <w:r>
        <w:rPr>
          <w:rFonts w:hint="eastAsia" w:hAnsi="宋体" w:cs="宋体"/>
          <w:color w:val="auto"/>
          <w:sz w:val="24"/>
          <w:szCs w:val="24"/>
          <w:highlight w:val="none"/>
        </w:rPr>
        <w:t xml:space="preserve">2.合同合计金额包括服务、备件、专用工具、安装调试、检验、技术培训、技术资料、包装、运输、税金等类似服务内容的全部费用。如采购文件对其另有规定的，从其规定。 </w:t>
      </w:r>
    </w:p>
    <w:p w14:paraId="432E2299">
      <w:pPr>
        <w:snapToGrid w:val="0"/>
        <w:spacing w:line="440" w:lineRule="exact"/>
        <w:ind w:firstLine="482" w:firstLineChars="200"/>
        <w:jc w:val="left"/>
        <w:rPr>
          <w:rFonts w:ascii="宋体" w:hAnsi="宋体" w:cs="宋体"/>
          <w:color w:val="auto"/>
          <w:sz w:val="24"/>
          <w:highlight w:val="none"/>
        </w:rPr>
      </w:pPr>
      <w:r>
        <w:rPr>
          <w:rFonts w:hint="eastAsia" w:ascii="宋体" w:hAnsi="宋体" w:cs="宋体"/>
          <w:b/>
          <w:color w:val="auto"/>
          <w:sz w:val="24"/>
          <w:highlight w:val="none"/>
        </w:rPr>
        <w:t>第二条  质量保证</w:t>
      </w:r>
    </w:p>
    <w:p w14:paraId="1E6F3215">
      <w:pPr>
        <w:pStyle w:val="23"/>
        <w:spacing w:line="44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1.乙方所提供的服务内容必须与采购文件、投标（响应）文件及其承诺相一致且符合相应的服务规范及标准。</w:t>
      </w:r>
    </w:p>
    <w:p w14:paraId="090D9FB3">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2.乙方提供不符合采购文件、投标（响应）文件及其承诺和本合同规定的服务内容，甲方有权拒绝接受。</w:t>
      </w:r>
    </w:p>
    <w:p w14:paraId="499FD3EA">
      <w:pPr>
        <w:snapToGrid w:val="0"/>
        <w:spacing w:line="440" w:lineRule="exact"/>
        <w:ind w:firstLine="482" w:firstLineChars="200"/>
        <w:jc w:val="left"/>
        <w:rPr>
          <w:rFonts w:ascii="宋体" w:hAnsi="宋体" w:cs="宋体"/>
          <w:color w:val="auto"/>
          <w:sz w:val="24"/>
          <w:highlight w:val="none"/>
        </w:rPr>
      </w:pPr>
      <w:r>
        <w:rPr>
          <w:rFonts w:hint="eastAsia" w:ascii="宋体" w:hAnsi="宋体" w:cs="宋体"/>
          <w:b/>
          <w:color w:val="auto"/>
          <w:sz w:val="24"/>
          <w:highlight w:val="none"/>
        </w:rPr>
        <w:t>第三条  权利保证</w:t>
      </w:r>
    </w:p>
    <w:p w14:paraId="0756BFE8">
      <w:pPr>
        <w:pStyle w:val="23"/>
        <w:spacing w:line="44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1.乙方应保证所提供的服务在使用时不会侵犯任何第三方的专利权、商标权、工业设计权或其他权利。</w:t>
      </w:r>
    </w:p>
    <w:p w14:paraId="44158C70">
      <w:pPr>
        <w:pStyle w:val="23"/>
        <w:spacing w:line="44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2.乙方应按采购文件规定的时间向甲方提供服务的有关技术资料。</w:t>
      </w:r>
    </w:p>
    <w:p w14:paraId="7636F609">
      <w:pPr>
        <w:pStyle w:val="23"/>
        <w:spacing w:line="44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如有泄漏，乙方需承担相应的法律责任。</w:t>
      </w:r>
    </w:p>
    <w:p w14:paraId="34019649">
      <w:pPr>
        <w:pStyle w:val="23"/>
        <w:spacing w:line="44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4.如采购项目涉及采购标的的知识产权归属的，产权归属为：</w:t>
      </w:r>
      <w:r>
        <w:rPr>
          <w:rFonts w:hint="eastAsia" w:hAnsi="宋体" w:cs="宋体"/>
          <w:color w:val="auto"/>
          <w:sz w:val="24"/>
          <w:szCs w:val="24"/>
          <w:highlight w:val="none"/>
          <w:u w:val="single"/>
        </w:rPr>
        <w:t>甲方所有</w:t>
      </w:r>
      <w:r>
        <w:rPr>
          <w:rFonts w:hint="eastAsia" w:hAnsi="宋体" w:cs="宋体"/>
          <w:color w:val="auto"/>
          <w:sz w:val="24"/>
          <w:szCs w:val="24"/>
          <w:highlight w:val="none"/>
        </w:rPr>
        <w:t>。</w:t>
      </w:r>
    </w:p>
    <w:p w14:paraId="43B9B4B4">
      <w:pPr>
        <w:pStyle w:val="23"/>
        <w:spacing w:line="44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5.如果甲方在使用乙方提供的服务时，受到第三方提出的侵犯其知识产权的起诉，给甲方造成经济损失的，乙方应当赔偿甲方的经济损失。</w:t>
      </w:r>
    </w:p>
    <w:p w14:paraId="6D427A30">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第四条  服务期限、服务内容和验收</w:t>
      </w:r>
    </w:p>
    <w:p w14:paraId="3A1ABAA4">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1.服务期限：</w:t>
      </w:r>
      <w:r>
        <w:rPr>
          <w:rFonts w:hint="eastAsia" w:ascii="宋体" w:hAnsi="宋体" w:cs="宋体"/>
          <w:bCs/>
          <w:color w:val="auto"/>
          <w:sz w:val="24"/>
          <w:highlight w:val="none"/>
          <w:u w:val="single"/>
          <w:lang w:val="en-US" w:eastAsia="zh-CN"/>
        </w:rPr>
        <w:t>20  年  月  日</w:t>
      </w:r>
      <w:r>
        <w:rPr>
          <w:rFonts w:hint="eastAsia" w:ascii="宋体" w:hAnsi="宋体" w:cs="宋体"/>
          <w:bCs/>
          <w:color w:val="auto"/>
          <w:sz w:val="24"/>
          <w:highlight w:val="none"/>
          <w:u w:val="single"/>
        </w:rPr>
        <w:t>起至</w:t>
      </w:r>
      <w:r>
        <w:rPr>
          <w:rFonts w:hint="eastAsia" w:ascii="宋体" w:hAnsi="宋体" w:cs="宋体"/>
          <w:bCs/>
          <w:color w:val="auto"/>
          <w:sz w:val="24"/>
          <w:highlight w:val="none"/>
          <w:u w:val="single"/>
          <w:lang w:val="en-US" w:eastAsia="zh-CN"/>
        </w:rPr>
        <w:t>20  年  月  日</w:t>
      </w:r>
      <w:r>
        <w:rPr>
          <w:rFonts w:hint="eastAsia" w:ascii="宋体" w:hAnsi="宋体" w:cs="宋体"/>
          <w:bCs/>
          <w:color w:val="auto"/>
          <w:sz w:val="24"/>
          <w:highlight w:val="none"/>
        </w:rPr>
        <w:t xml:space="preserve">。服务地点： </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eastAsia="zh-CN"/>
        </w:rPr>
        <w:t>中共广西区委党校</w:t>
      </w:r>
      <w:r>
        <w:rPr>
          <w:rFonts w:hint="eastAsia" w:ascii="宋体" w:hAnsi="宋体" w:cs="宋体"/>
          <w:bCs/>
          <w:color w:val="auto"/>
          <w:sz w:val="24"/>
          <w:highlight w:val="none"/>
          <w:u w:val="single"/>
        </w:rPr>
        <w:t xml:space="preserve">甲方指定地点 </w:t>
      </w:r>
      <w:r>
        <w:rPr>
          <w:rFonts w:hint="eastAsia" w:ascii="宋体" w:hAnsi="宋体" w:cs="宋体"/>
          <w:bCs/>
          <w:color w:val="auto"/>
          <w:sz w:val="24"/>
          <w:highlight w:val="none"/>
        </w:rPr>
        <w:t>。</w:t>
      </w:r>
    </w:p>
    <w:p w14:paraId="5504AFA0">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2.乙方应按投标（响应）文件的承诺向甲方提供相应的服务，并提供所服务内容的相关技术资料。</w:t>
      </w:r>
    </w:p>
    <w:p w14:paraId="1E52AD2C">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3.乙方提供不符合投标（响应）文件和本合同规定的服务成果，甲方有权拒绝接受。</w:t>
      </w:r>
    </w:p>
    <w:p w14:paraId="44A32032">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4.乙方完成服务后应及时书面通知甲方进行验收，验收合格后由甲乙双方签署验收单并加盖采购人公章，甲乙双方各执一份。</w:t>
      </w:r>
    </w:p>
    <w:p w14:paraId="7C52485A">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5.甲乙双方应按照《广西壮族自治区政府采购项目履约验收管理办法》、采购文件、双方政府采购合同、投标（响应）文件验收。</w:t>
      </w:r>
    </w:p>
    <w:p w14:paraId="3072BEC8">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6.甲方委托第三方组织的验收项目，其验收时间以该项目验收方案确定的验收时间为准，验收结果以该项目验收报告结论为准。在验收过程中发现乙方有违约问题，可暂缓资金结算，待违约问题解决后，方可办理资金结算事宜。</w:t>
      </w:r>
    </w:p>
    <w:p w14:paraId="74C41022">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7.甲方在初步验收或者最终验收过程中如发现乙方提供的服务成果不满足响应文件及本合同规定的，可暂缓向乙方付款，直到乙方及时完善并提交相应的服务成果且经甲方验收合格后，方可办理付款。</w:t>
      </w:r>
    </w:p>
    <w:p w14:paraId="3A682E0C">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8.甲方验收时以书面形式提出异议的，乙方应自收到甲方书面异议后五个工作日内及时予以解决，否则甲方有权不出具服务验收合格单。</w:t>
      </w:r>
    </w:p>
    <w:p w14:paraId="6B8C9256">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 xml:space="preserve">第五条  履约保证金   </w:t>
      </w:r>
    </w:p>
    <w:p w14:paraId="096489B3">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本合同履约保证金金额：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04BB5F4">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第六条  税费</w:t>
      </w:r>
    </w:p>
    <w:p w14:paraId="0D9F71ED">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本合同执行中相关的一切税费均由乙方负担。</w:t>
      </w:r>
    </w:p>
    <w:p w14:paraId="3CF476D6">
      <w:pPr>
        <w:snapToGrid w:val="0"/>
        <w:spacing w:line="440" w:lineRule="exact"/>
        <w:ind w:firstLine="482" w:firstLineChars="200"/>
        <w:jc w:val="left"/>
        <w:rPr>
          <w:rFonts w:ascii="宋体" w:hAnsi="宋体" w:cs="宋体"/>
          <w:color w:val="auto"/>
          <w:sz w:val="24"/>
          <w:highlight w:val="none"/>
        </w:rPr>
      </w:pPr>
      <w:r>
        <w:rPr>
          <w:rFonts w:hint="eastAsia" w:ascii="宋体" w:hAnsi="宋体" w:cs="宋体"/>
          <w:b/>
          <w:color w:val="auto"/>
          <w:sz w:val="24"/>
          <w:highlight w:val="none"/>
        </w:rPr>
        <w:t>第七条  付款方式</w:t>
      </w:r>
    </w:p>
    <w:p w14:paraId="0FB19D92">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1.资金性质：</w:t>
      </w:r>
      <w:r>
        <w:rPr>
          <w:rFonts w:hint="eastAsia" w:ascii="宋体" w:hAnsi="宋体" w:cs="宋体"/>
          <w:color w:val="auto"/>
          <w:sz w:val="24"/>
          <w:highlight w:val="none"/>
          <w:u w:val="single"/>
        </w:rPr>
        <w:t>财政性资金</w:t>
      </w:r>
      <w:r>
        <w:rPr>
          <w:rFonts w:hint="eastAsia" w:ascii="宋体" w:hAnsi="宋体" w:cs="宋体"/>
          <w:color w:val="auto"/>
          <w:sz w:val="24"/>
          <w:highlight w:val="none"/>
        </w:rPr>
        <w:t>。</w:t>
      </w:r>
    </w:p>
    <w:p w14:paraId="03BFAD35">
      <w:pPr>
        <w:snapToGrid w:val="0"/>
        <w:spacing w:line="440" w:lineRule="exact"/>
        <w:ind w:firstLine="480" w:firstLineChars="200"/>
        <w:jc w:val="left"/>
        <w:rPr>
          <w:rFonts w:hint="eastAsia" w:ascii="宋体" w:hAnsi="宋体" w:cs="宋体"/>
          <w:color w:val="auto"/>
          <w:sz w:val="24"/>
          <w:highlight w:val="none"/>
          <w:u w:val="single"/>
          <w:lang w:val="en-US" w:eastAsia="zh-CN"/>
        </w:rPr>
      </w:pPr>
      <w:r>
        <w:rPr>
          <w:rFonts w:hint="eastAsia" w:ascii="宋体" w:hAnsi="宋体" w:cs="宋体"/>
          <w:color w:val="auto"/>
          <w:sz w:val="24"/>
          <w:highlight w:val="none"/>
        </w:rPr>
        <w:t>2.付款方式：</w:t>
      </w:r>
      <w:r>
        <w:rPr>
          <w:rFonts w:hint="eastAsia" w:ascii="宋体" w:hAnsi="宋体" w:cs="宋体"/>
          <w:color w:val="auto"/>
          <w:sz w:val="24"/>
          <w:highlight w:val="none"/>
          <w:u w:val="single"/>
          <w:lang w:val="en-US" w:eastAsia="zh-CN"/>
        </w:rPr>
        <w:t>（1）服务期内所有货品均按供货单价付款，按照货品实际批次到货数量验收合格后分批次进行付款，乙方根据甲方每次的订购清单验收确认无误后，乙方5个工作日内开具发票给甲方，甲方收到发票后原则上10个工作日内按实际数量通过银行转账方式进行结算。</w:t>
      </w:r>
    </w:p>
    <w:p w14:paraId="54AC5CA9">
      <w:pPr>
        <w:snapToGrid w:val="0"/>
        <w:spacing w:line="440" w:lineRule="exact"/>
        <w:ind w:firstLine="480" w:firstLineChars="200"/>
        <w:jc w:val="left"/>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u w:val="single"/>
          <w:lang w:val="en-US" w:eastAsia="zh-CN"/>
        </w:rPr>
        <w:t xml:space="preserve">（2）票据要求：乙方必须按照甲方要求提供真实、有效、合法的正式发票。一旦发现乙方提供虚假发票，除须向甲方补开合法发票外，须赔偿甲方发票票面金额一倍的违约金，且甲方有权终止合同，乙方不得提出异议，因终止合同而产生的一切损失均由乙方承担。 </w:t>
      </w:r>
    </w:p>
    <w:p w14:paraId="5A36B8B7">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3.货款支付形式为：</w:t>
      </w:r>
      <w:r>
        <w:rPr>
          <w:rFonts w:hint="eastAsia" w:ascii="宋体" w:hAnsi="宋体" w:cs="宋体"/>
          <w:color w:val="auto"/>
          <w:sz w:val="24"/>
          <w:highlight w:val="none"/>
          <w:u w:val="single"/>
        </w:rPr>
        <w:t>转账</w:t>
      </w:r>
      <w:r>
        <w:rPr>
          <w:rFonts w:hint="eastAsia" w:ascii="宋体" w:hAnsi="宋体" w:cs="宋体"/>
          <w:color w:val="auto"/>
          <w:sz w:val="24"/>
          <w:highlight w:val="none"/>
        </w:rPr>
        <w:t>。</w:t>
      </w:r>
    </w:p>
    <w:p w14:paraId="4346ED01">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第八条  违约责任</w:t>
      </w:r>
    </w:p>
    <w:p w14:paraId="26FE89B9">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1.乙方提供的服务如侵犯了第三方合法权益而引发的任何纠纷或诉讼，均由乙方负责交涉并承担全部责任。</w:t>
      </w:r>
    </w:p>
    <w:p w14:paraId="08497396">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2.乙方未按本合同和投标（响应）文件中规定的服务承诺提供服务或所提供的服务质量不合格的，乙方应按本合同合计金额 5% 向甲方支付违约金并赔偿甲方经济损失。</w:t>
      </w:r>
    </w:p>
    <w:p w14:paraId="0A138D4A">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3.乙方有其它违约行为的，每发生一次按违约货款额5%收取违约金。乙方因违约给甲方造成的损失的，应向甲方赔偿全部经济损失（包括但不限于委托人的直接损失、预期利益损失、为索赔支出的费用、律师费、诉讼费、公证费、鉴定费等）。</w:t>
      </w:r>
    </w:p>
    <w:p w14:paraId="4F91DD7A">
      <w:pPr>
        <w:snapToGrid w:val="0"/>
        <w:spacing w:line="440" w:lineRule="exact"/>
        <w:ind w:firstLine="480" w:firstLineChars="200"/>
        <w:jc w:val="left"/>
        <w:rPr>
          <w:rFonts w:ascii="宋体" w:hAnsi="宋体" w:cs="宋体"/>
          <w:b/>
          <w:color w:val="auto"/>
          <w:sz w:val="24"/>
          <w:highlight w:val="none"/>
        </w:rPr>
      </w:pPr>
      <w:r>
        <w:rPr>
          <w:rFonts w:hint="eastAsia" w:ascii="宋体" w:hAnsi="宋体" w:cs="宋体"/>
          <w:bCs/>
          <w:color w:val="auto"/>
          <w:sz w:val="24"/>
          <w:highlight w:val="none"/>
        </w:rPr>
        <w:t>4.未经甲方书面同意，乙方不得转让其应履行的合同义务。若乙方违反该条约定，甲方有权解除合同。甲方因此解除合同的，有权不予支付任何款项给乙方，已经支付的，乙方应当自甲方要求返还之日起5日内予以返还，此外乙方还应支付合同总价15%的违约金给甲方并赔偿甲方经济损失。若甲方没有因此解除合同，甲方有权要求乙方支付合同总价15%的违约金给甲方并赔偿甲方经济损失，并要求乙方继续履行合同约定的义务。</w:t>
      </w:r>
    </w:p>
    <w:p w14:paraId="2C48C936">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第九条  不可抗力事件处理</w:t>
      </w:r>
    </w:p>
    <w:p w14:paraId="7BBDF02B">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1.在合同有效期内，任何一方因不可抗力事件导致不能履行合同，则合同履行期可延长，其延长期与不可抗力影响期相同。</w:t>
      </w:r>
    </w:p>
    <w:p w14:paraId="7980FC37">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2.不可抗力事件发生后，应立即书面通知对方，并寄送有关权威机构出具的证明。</w:t>
      </w:r>
    </w:p>
    <w:p w14:paraId="20250B54">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3.不可抗力事件延续一百二十天以上，双方应通过友好协商，确定是否继续履行合同。</w:t>
      </w:r>
    </w:p>
    <w:p w14:paraId="535EA586">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第十条  合同争议解决</w:t>
      </w:r>
    </w:p>
    <w:p w14:paraId="6D39F878">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1.因履行本合同引起的或与本合同有关的争议，甲乙双方应首先通过友好协商解决，如果协商不能解决，可向甲方所在地人民法院提起诉讼。</w:t>
      </w:r>
    </w:p>
    <w:p w14:paraId="5AD92DF5">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2.诉讼期间，本合同继续履行。</w:t>
      </w:r>
    </w:p>
    <w:p w14:paraId="4C5A2130">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第十一条  合同生效及其它</w:t>
      </w:r>
    </w:p>
    <w:p w14:paraId="2B6576E7">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1．合同经双方法定代表人或授权代表签字并加盖单位公章后生效。</w:t>
      </w:r>
    </w:p>
    <w:p w14:paraId="5E12D5D0">
      <w:pPr>
        <w:snapToGrid w:val="0"/>
        <w:spacing w:line="440" w:lineRule="exact"/>
        <w:ind w:firstLine="480" w:firstLineChars="200"/>
        <w:jc w:val="left"/>
        <w:rPr>
          <w:rFonts w:ascii="宋体" w:hAnsi="宋体" w:cs="宋体"/>
          <w:bCs/>
          <w:color w:val="auto"/>
          <w:kern w:val="21"/>
          <w:sz w:val="24"/>
          <w:highlight w:val="none"/>
        </w:rPr>
      </w:pPr>
      <w:r>
        <w:rPr>
          <w:rFonts w:hint="eastAsia" w:ascii="宋体" w:hAnsi="宋体" w:cs="宋体"/>
          <w:bCs/>
          <w:color w:val="auto"/>
          <w:kern w:val="21"/>
          <w:sz w:val="24"/>
          <w:highlight w:val="none"/>
        </w:rPr>
        <w:t>2．合同执行中涉及采购资金和采购内容修改或补充的，须经财政部门审批，并签书面补充协议报财政部门备案，方可作为主合同不可分割的一部分。</w:t>
      </w:r>
    </w:p>
    <w:p w14:paraId="0900F5BB">
      <w:pPr>
        <w:snapToGrid w:val="0"/>
        <w:spacing w:line="440" w:lineRule="exact"/>
        <w:ind w:firstLine="480" w:firstLineChars="200"/>
        <w:jc w:val="left"/>
        <w:rPr>
          <w:rFonts w:ascii="宋体" w:hAnsi="宋体" w:cs="宋体"/>
          <w:b/>
          <w:color w:val="auto"/>
          <w:kern w:val="21"/>
          <w:sz w:val="24"/>
          <w:highlight w:val="none"/>
        </w:rPr>
      </w:pPr>
      <w:r>
        <w:rPr>
          <w:rFonts w:hint="eastAsia" w:ascii="宋体" w:hAnsi="宋体" w:cs="宋体"/>
          <w:bCs/>
          <w:color w:val="auto"/>
          <w:kern w:val="21"/>
          <w:sz w:val="24"/>
          <w:highlight w:val="none"/>
        </w:rPr>
        <w:t>3．本合同未尽事宜，由双方协商，签订补充协议。</w:t>
      </w:r>
    </w:p>
    <w:p w14:paraId="3363325E">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第十二条  签订本合同依据</w:t>
      </w:r>
    </w:p>
    <w:p w14:paraId="55731D26">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1.采购文件；</w:t>
      </w:r>
    </w:p>
    <w:p w14:paraId="572DE076">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2.乙方提供的投标</w:t>
      </w:r>
      <w:r>
        <w:rPr>
          <w:rFonts w:hint="eastAsia" w:ascii="宋体" w:hAnsi="宋体" w:cs="宋体"/>
          <w:color w:val="auto"/>
          <w:sz w:val="24"/>
          <w:highlight w:val="none"/>
        </w:rPr>
        <w:t>（响应）</w:t>
      </w:r>
      <w:r>
        <w:rPr>
          <w:rFonts w:hint="eastAsia" w:ascii="宋体" w:hAnsi="宋体" w:cs="宋体"/>
          <w:bCs/>
          <w:color w:val="auto"/>
          <w:sz w:val="24"/>
          <w:highlight w:val="none"/>
        </w:rPr>
        <w:t>文件；</w:t>
      </w:r>
    </w:p>
    <w:p w14:paraId="167AD49D">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3.投标资格声明函（竞标声明函）；</w:t>
      </w:r>
    </w:p>
    <w:p w14:paraId="3AA95262">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4.中标（成交）通知书。</w:t>
      </w:r>
    </w:p>
    <w:p w14:paraId="614D1975">
      <w:pPr>
        <w:snapToGrid w:val="0"/>
        <w:spacing w:line="440" w:lineRule="exact"/>
        <w:ind w:firstLine="482" w:firstLineChars="200"/>
        <w:jc w:val="left"/>
        <w:rPr>
          <w:rFonts w:ascii="宋体" w:hAnsi="宋体" w:cs="宋体"/>
          <w:bCs/>
          <w:color w:val="auto"/>
          <w:sz w:val="24"/>
          <w:highlight w:val="none"/>
        </w:rPr>
      </w:pPr>
      <w:r>
        <w:rPr>
          <w:rFonts w:hint="eastAsia" w:ascii="宋体" w:hAnsi="宋体" w:cs="宋体"/>
          <w:b/>
          <w:color w:val="auto"/>
          <w:sz w:val="24"/>
          <w:highlight w:val="none"/>
        </w:rPr>
        <w:t xml:space="preserve">第十三条 </w:t>
      </w:r>
      <w:r>
        <w:rPr>
          <w:rFonts w:hint="eastAsia" w:ascii="宋体" w:hAnsi="宋体" w:cs="宋体"/>
          <w:bCs/>
          <w:color w:val="auto"/>
          <w:sz w:val="24"/>
          <w:highlight w:val="none"/>
        </w:rPr>
        <w:t>本合同一式六份，具有同等法律效力。政府采购监督管理部门、采购代理机构各一份，甲方二份，乙方二份。</w:t>
      </w:r>
    </w:p>
    <w:p w14:paraId="1BE434CA">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本合同经甲乙双方法定代表人或授权代表签字并加盖单位公章后生效。</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7"/>
        <w:gridCol w:w="4688"/>
      </w:tblGrid>
      <w:tr w14:paraId="2268D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4437" w:type="dxa"/>
            <w:tcBorders>
              <w:top w:val="single" w:color="auto" w:sz="4" w:space="0"/>
              <w:left w:val="single" w:color="auto" w:sz="4" w:space="0"/>
              <w:bottom w:val="single" w:color="auto" w:sz="4" w:space="0"/>
              <w:right w:val="single" w:color="auto" w:sz="4" w:space="0"/>
            </w:tcBorders>
            <w:vAlign w:val="center"/>
          </w:tcPr>
          <w:p w14:paraId="3AC4D078">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 xml:space="preserve">甲方（章）           </w:t>
            </w:r>
          </w:p>
        </w:tc>
        <w:tc>
          <w:tcPr>
            <w:tcW w:w="4688" w:type="dxa"/>
            <w:tcBorders>
              <w:top w:val="single" w:color="auto" w:sz="4" w:space="0"/>
              <w:left w:val="nil"/>
              <w:bottom w:val="single" w:color="auto" w:sz="4" w:space="0"/>
              <w:right w:val="single" w:color="auto" w:sz="4" w:space="0"/>
            </w:tcBorders>
            <w:vAlign w:val="center"/>
          </w:tcPr>
          <w:p w14:paraId="74740281">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 xml:space="preserve">乙方（章）              </w:t>
            </w:r>
          </w:p>
        </w:tc>
      </w:tr>
      <w:tr w14:paraId="3806D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4437" w:type="dxa"/>
            <w:tcBorders>
              <w:top w:val="single" w:color="auto" w:sz="4" w:space="0"/>
              <w:left w:val="single" w:color="auto" w:sz="4" w:space="0"/>
              <w:bottom w:val="single" w:color="auto" w:sz="4" w:space="0"/>
              <w:right w:val="single" w:color="auto" w:sz="4" w:space="0"/>
            </w:tcBorders>
            <w:vAlign w:val="center"/>
          </w:tcPr>
          <w:p w14:paraId="2BE3B1F7">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单位地址：</w:t>
            </w:r>
          </w:p>
        </w:tc>
        <w:tc>
          <w:tcPr>
            <w:tcW w:w="4688" w:type="dxa"/>
            <w:tcBorders>
              <w:top w:val="single" w:color="auto" w:sz="4" w:space="0"/>
              <w:left w:val="nil"/>
              <w:bottom w:val="single" w:color="auto" w:sz="4" w:space="0"/>
              <w:right w:val="single" w:color="auto" w:sz="4" w:space="0"/>
            </w:tcBorders>
            <w:vAlign w:val="center"/>
          </w:tcPr>
          <w:p w14:paraId="11FF5582">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单位地址：</w:t>
            </w:r>
          </w:p>
        </w:tc>
      </w:tr>
      <w:tr w14:paraId="4977A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437" w:type="dxa"/>
            <w:tcBorders>
              <w:top w:val="single" w:color="auto" w:sz="4" w:space="0"/>
              <w:left w:val="single" w:color="auto" w:sz="4" w:space="0"/>
              <w:bottom w:val="single" w:color="auto" w:sz="4" w:space="0"/>
              <w:right w:val="single" w:color="auto" w:sz="4" w:space="0"/>
            </w:tcBorders>
            <w:vAlign w:val="center"/>
          </w:tcPr>
          <w:p w14:paraId="69ADB7CB">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法定代表人：</w:t>
            </w:r>
          </w:p>
        </w:tc>
        <w:tc>
          <w:tcPr>
            <w:tcW w:w="4688" w:type="dxa"/>
            <w:tcBorders>
              <w:top w:val="single" w:color="auto" w:sz="4" w:space="0"/>
              <w:left w:val="nil"/>
              <w:bottom w:val="single" w:color="auto" w:sz="4" w:space="0"/>
              <w:right w:val="single" w:color="auto" w:sz="4" w:space="0"/>
            </w:tcBorders>
            <w:vAlign w:val="center"/>
          </w:tcPr>
          <w:p w14:paraId="25925B9D">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法定代表人：</w:t>
            </w:r>
          </w:p>
        </w:tc>
      </w:tr>
      <w:tr w14:paraId="394BD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4437" w:type="dxa"/>
            <w:tcBorders>
              <w:top w:val="single" w:color="auto" w:sz="4" w:space="0"/>
              <w:left w:val="single" w:color="auto" w:sz="4" w:space="0"/>
              <w:bottom w:val="single" w:color="auto" w:sz="4" w:space="0"/>
              <w:right w:val="single" w:color="auto" w:sz="4" w:space="0"/>
            </w:tcBorders>
            <w:vAlign w:val="center"/>
          </w:tcPr>
          <w:p w14:paraId="19D5BFC5">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委托代理人：</w:t>
            </w:r>
          </w:p>
        </w:tc>
        <w:tc>
          <w:tcPr>
            <w:tcW w:w="4688" w:type="dxa"/>
            <w:tcBorders>
              <w:top w:val="single" w:color="auto" w:sz="4" w:space="0"/>
              <w:left w:val="nil"/>
              <w:bottom w:val="single" w:color="auto" w:sz="4" w:space="0"/>
              <w:right w:val="single" w:color="auto" w:sz="4" w:space="0"/>
            </w:tcBorders>
            <w:vAlign w:val="center"/>
          </w:tcPr>
          <w:p w14:paraId="546C00C3">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委托代理人</w:t>
            </w:r>
          </w:p>
        </w:tc>
      </w:tr>
      <w:tr w14:paraId="5B601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4437" w:type="dxa"/>
            <w:tcBorders>
              <w:top w:val="single" w:color="auto" w:sz="4" w:space="0"/>
              <w:left w:val="single" w:color="auto" w:sz="4" w:space="0"/>
              <w:bottom w:val="single" w:color="auto" w:sz="4" w:space="0"/>
              <w:right w:val="single" w:color="auto" w:sz="4" w:space="0"/>
            </w:tcBorders>
            <w:vAlign w:val="center"/>
          </w:tcPr>
          <w:p w14:paraId="03B4E99A">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电话：</w:t>
            </w:r>
          </w:p>
        </w:tc>
        <w:tc>
          <w:tcPr>
            <w:tcW w:w="4688" w:type="dxa"/>
            <w:tcBorders>
              <w:top w:val="single" w:color="auto" w:sz="4" w:space="0"/>
              <w:left w:val="nil"/>
              <w:bottom w:val="single" w:color="auto" w:sz="4" w:space="0"/>
              <w:right w:val="single" w:color="auto" w:sz="4" w:space="0"/>
            </w:tcBorders>
            <w:vAlign w:val="center"/>
          </w:tcPr>
          <w:p w14:paraId="31675306">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电话：</w:t>
            </w:r>
          </w:p>
        </w:tc>
      </w:tr>
      <w:tr w14:paraId="6C0E4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437" w:type="dxa"/>
            <w:tcBorders>
              <w:top w:val="single" w:color="auto" w:sz="4" w:space="0"/>
              <w:left w:val="single" w:color="auto" w:sz="4" w:space="0"/>
              <w:bottom w:val="single" w:color="auto" w:sz="4" w:space="0"/>
              <w:right w:val="single" w:color="auto" w:sz="4" w:space="0"/>
            </w:tcBorders>
            <w:vAlign w:val="center"/>
          </w:tcPr>
          <w:p w14:paraId="172608FF">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电子邮箱：</w:t>
            </w:r>
          </w:p>
        </w:tc>
        <w:tc>
          <w:tcPr>
            <w:tcW w:w="4688" w:type="dxa"/>
            <w:tcBorders>
              <w:top w:val="single" w:color="auto" w:sz="4" w:space="0"/>
              <w:left w:val="nil"/>
              <w:bottom w:val="single" w:color="auto" w:sz="4" w:space="0"/>
              <w:right w:val="single" w:color="auto" w:sz="4" w:space="0"/>
            </w:tcBorders>
            <w:vAlign w:val="center"/>
          </w:tcPr>
          <w:p w14:paraId="29D0D471">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电子邮箱：</w:t>
            </w:r>
          </w:p>
        </w:tc>
      </w:tr>
      <w:tr w14:paraId="32353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437" w:type="dxa"/>
            <w:tcBorders>
              <w:top w:val="single" w:color="auto" w:sz="4" w:space="0"/>
              <w:left w:val="single" w:color="auto" w:sz="4" w:space="0"/>
              <w:bottom w:val="single" w:color="auto" w:sz="4" w:space="0"/>
              <w:right w:val="single" w:color="auto" w:sz="4" w:space="0"/>
            </w:tcBorders>
            <w:vAlign w:val="center"/>
          </w:tcPr>
          <w:p w14:paraId="5476F02E">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开户银行：</w:t>
            </w:r>
          </w:p>
        </w:tc>
        <w:tc>
          <w:tcPr>
            <w:tcW w:w="4688" w:type="dxa"/>
            <w:tcBorders>
              <w:top w:val="single" w:color="auto" w:sz="4" w:space="0"/>
              <w:left w:val="nil"/>
              <w:bottom w:val="single" w:color="auto" w:sz="4" w:space="0"/>
              <w:right w:val="single" w:color="auto" w:sz="4" w:space="0"/>
            </w:tcBorders>
            <w:vAlign w:val="center"/>
          </w:tcPr>
          <w:p w14:paraId="4039FF91">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开户银行：</w:t>
            </w:r>
          </w:p>
        </w:tc>
      </w:tr>
      <w:tr w14:paraId="3E781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4437" w:type="dxa"/>
            <w:tcBorders>
              <w:top w:val="single" w:color="auto" w:sz="4" w:space="0"/>
              <w:left w:val="single" w:color="auto" w:sz="4" w:space="0"/>
              <w:bottom w:val="single" w:color="auto" w:sz="4" w:space="0"/>
              <w:right w:val="single" w:color="auto" w:sz="4" w:space="0"/>
            </w:tcBorders>
            <w:vAlign w:val="center"/>
          </w:tcPr>
          <w:p w14:paraId="4C0779E2">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账号：</w:t>
            </w:r>
          </w:p>
        </w:tc>
        <w:tc>
          <w:tcPr>
            <w:tcW w:w="4688" w:type="dxa"/>
            <w:tcBorders>
              <w:top w:val="single" w:color="auto" w:sz="4" w:space="0"/>
              <w:left w:val="nil"/>
              <w:bottom w:val="single" w:color="auto" w:sz="4" w:space="0"/>
              <w:right w:val="single" w:color="auto" w:sz="4" w:space="0"/>
            </w:tcBorders>
            <w:vAlign w:val="center"/>
          </w:tcPr>
          <w:p w14:paraId="361065F1">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账号：</w:t>
            </w:r>
          </w:p>
        </w:tc>
      </w:tr>
      <w:tr w14:paraId="4A75B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4437" w:type="dxa"/>
            <w:tcBorders>
              <w:top w:val="single" w:color="auto" w:sz="4" w:space="0"/>
              <w:left w:val="single" w:color="auto" w:sz="4" w:space="0"/>
              <w:bottom w:val="single" w:color="auto" w:sz="4" w:space="0"/>
              <w:right w:val="single" w:color="auto" w:sz="4" w:space="0"/>
            </w:tcBorders>
            <w:vAlign w:val="center"/>
          </w:tcPr>
          <w:p w14:paraId="36FC881E">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邮政编码：</w:t>
            </w:r>
          </w:p>
        </w:tc>
        <w:tc>
          <w:tcPr>
            <w:tcW w:w="4688" w:type="dxa"/>
            <w:tcBorders>
              <w:top w:val="single" w:color="auto" w:sz="4" w:space="0"/>
              <w:left w:val="nil"/>
              <w:bottom w:val="single" w:color="auto" w:sz="4" w:space="0"/>
              <w:right w:val="single" w:color="auto" w:sz="4" w:space="0"/>
            </w:tcBorders>
            <w:vAlign w:val="center"/>
          </w:tcPr>
          <w:p w14:paraId="41E566AB">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邮政编码：</w:t>
            </w:r>
          </w:p>
        </w:tc>
      </w:tr>
      <w:tr w14:paraId="4944C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25" w:type="dxa"/>
            <w:gridSpan w:val="2"/>
            <w:tcBorders>
              <w:top w:val="single" w:color="auto" w:sz="4" w:space="0"/>
              <w:left w:val="single" w:color="auto" w:sz="4" w:space="0"/>
              <w:bottom w:val="single" w:color="auto" w:sz="4" w:space="0"/>
              <w:right w:val="single" w:color="auto" w:sz="4" w:space="0"/>
            </w:tcBorders>
          </w:tcPr>
          <w:p w14:paraId="2AAEC24C">
            <w:pPr>
              <w:snapToGrid w:val="0"/>
              <w:spacing w:line="360" w:lineRule="exact"/>
              <w:ind w:firstLine="720" w:firstLineChars="300"/>
              <w:jc w:val="right"/>
              <w:rPr>
                <w:rFonts w:ascii="宋体" w:hAnsi="宋体" w:cs="宋体"/>
                <w:color w:val="auto"/>
                <w:sz w:val="24"/>
                <w:highlight w:val="none"/>
              </w:rPr>
            </w:pPr>
            <w:r>
              <w:rPr>
                <w:rFonts w:hint="eastAsia" w:ascii="宋体" w:hAnsi="宋体" w:cs="宋体"/>
                <w:color w:val="auto"/>
                <w:sz w:val="24"/>
                <w:highlight w:val="none"/>
              </w:rPr>
              <w:t xml:space="preserve">  签订日期：    年    月    日</w:t>
            </w:r>
          </w:p>
        </w:tc>
      </w:tr>
    </w:tbl>
    <w:p w14:paraId="054C08D8">
      <w:pPr>
        <w:snapToGrid w:val="0"/>
        <w:spacing w:line="400" w:lineRule="exact"/>
        <w:ind w:left="120" w:hanging="120" w:hangingChars="200"/>
        <w:rPr>
          <w:rFonts w:ascii="方正小标宋简体" w:hAnsi="方正小标宋简体" w:eastAsia="方正小标宋简体" w:cs="方正小标宋简体"/>
          <w:color w:val="auto"/>
          <w:sz w:val="6"/>
          <w:szCs w:val="6"/>
          <w:highlight w:val="none"/>
        </w:rPr>
      </w:pPr>
    </w:p>
    <w:sectPr>
      <w:footerReference r:id="rId10" w:type="first"/>
      <w:footerReference r:id="rId9" w:type="default"/>
      <w:pgSz w:w="11906" w:h="16838"/>
      <w:pgMar w:top="1440" w:right="1080" w:bottom="1440" w:left="1080"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C58FBDE-DB7D-496F-9F6A-13665F8F4E6D}"/>
  </w:font>
  <w:font w:name="黑体">
    <w:panose1 w:val="02010609060101010101"/>
    <w:charset w:val="86"/>
    <w:family w:val="auto"/>
    <w:pitch w:val="default"/>
    <w:sig w:usb0="800002BF" w:usb1="38CF7CFA" w:usb2="00000016" w:usb3="00000000" w:csb0="00040001" w:csb1="00000000"/>
    <w:embedRegular r:id="rId2" w:fontKey="{40906436-019C-4607-B169-53A9298F5041}"/>
  </w:font>
  <w:font w:name="Courier New">
    <w:panose1 w:val="02070309020205020404"/>
    <w:charset w:val="01"/>
    <w:family w:val="modern"/>
    <w:pitch w:val="default"/>
    <w:sig w:usb0="E0002EFF" w:usb1="C0007843" w:usb2="00000009" w:usb3="00000000" w:csb0="400001FF" w:csb1="FFFF0000"/>
    <w:embedRegular r:id="rId3" w:fontKey="{533DEB21-D5C2-44AF-8F28-A5116538E895}"/>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embedRegular r:id="rId4" w:fontKey="{843A472F-E62C-49AD-B70A-E9288A62B8B4}"/>
  </w:font>
  <w:font w:name="仿宋">
    <w:panose1 w:val="02010609060101010101"/>
    <w:charset w:val="86"/>
    <w:family w:val="auto"/>
    <w:pitch w:val="default"/>
    <w:sig w:usb0="800002BF" w:usb1="38CF7CFA" w:usb2="00000016" w:usb3="00000000" w:csb0="00040001" w:csb1="00000000"/>
    <w:embedRegular r:id="rId5" w:fontKey="{4320EFFC-0A92-4C3D-9273-40AECA02C8AD}"/>
  </w:font>
  <w:font w:name="Tahoma">
    <w:panose1 w:val="020B0604030504040204"/>
    <w:charset w:val="00"/>
    <w:family w:val="swiss"/>
    <w:pitch w:val="default"/>
    <w:sig w:usb0="E1002EFF" w:usb1="C000605B" w:usb2="00000029" w:usb3="00000000" w:csb0="200101FF" w:csb1="20280000"/>
    <w:embedRegular r:id="rId6" w:fontKey="{706F5D4B-F040-463D-AC4A-5BC3CF9BBA9C}"/>
  </w:font>
  <w:font w:name="Helvetica">
    <w:altName w:val="Arial"/>
    <w:panose1 w:val="020B0604020202020204"/>
    <w:charset w:val="00"/>
    <w:family w:val="swiss"/>
    <w:pitch w:val="default"/>
    <w:sig w:usb0="00000000" w:usb1="00000000" w:usb2="00000000" w:usb3="00000000" w:csb0="00000000" w:csb1="00000000"/>
  </w:font>
  <w:font w:name="华文新魏">
    <w:panose1 w:val="02010800040101010101"/>
    <w:charset w:val="86"/>
    <w:family w:val="auto"/>
    <w:pitch w:val="default"/>
    <w:sig w:usb0="00000001" w:usb1="080F0000" w:usb2="00000000" w:usb3="00000000" w:csb0="00040000" w:csb1="00000000"/>
    <w:embedRegular r:id="rId7" w:fontKey="{C9BA8860-AB51-4C6A-A11D-D4FA2A35BCDD}"/>
  </w:font>
  <w:font w:name="Segoe UI Symbol">
    <w:panose1 w:val="020B0502040204020203"/>
    <w:charset w:val="00"/>
    <w:family w:val="swiss"/>
    <w:pitch w:val="default"/>
    <w:sig w:usb0="800001E3" w:usb1="1200FFEF" w:usb2="00040000" w:usb3="04000000" w:csb0="00000001" w:csb1="40000000"/>
    <w:embedRegular r:id="rId8" w:fontKey="{6EC500B0-D5BC-4247-AE42-790A4FED9569}"/>
  </w:font>
  <w:font w:name="新宋体">
    <w:panose1 w:val="02010609030101010101"/>
    <w:charset w:val="86"/>
    <w:family w:val="modern"/>
    <w:pitch w:val="default"/>
    <w:sig w:usb0="00000203" w:usb1="288F0000" w:usb2="00000006" w:usb3="00000000" w:csb0="00040001" w:csb1="00000000"/>
    <w:embedRegular r:id="rId9" w:fontKey="{7EA0B1A9-A81F-4DCA-8441-BD1D9EB6506A}"/>
  </w:font>
  <w:font w:name="微软雅黑">
    <w:panose1 w:val="020B0503020204020204"/>
    <w:charset w:val="86"/>
    <w:family w:val="swiss"/>
    <w:pitch w:val="default"/>
    <w:sig w:usb0="80000287" w:usb1="2ACF3C50" w:usb2="00000016" w:usb3="00000000" w:csb0="0004001F" w:csb1="00000000"/>
    <w:embedRegular r:id="rId10" w:fontKey="{F9D5ED71-7642-4D21-B256-A710482229C2}"/>
  </w:font>
  <w:font w:name="___WRD_EMBED_SUB_45">
    <w:altName w:val="宋体"/>
    <w:panose1 w:val="00000000000000000000"/>
    <w:charset w:val="86"/>
    <w:family w:val="modern"/>
    <w:pitch w:val="default"/>
    <w:sig w:usb0="00000000" w:usb1="00000000" w:usb2="00000000" w:usb3="00000000" w:csb0="00040000" w:csb1="00000000"/>
    <w:embedRegular r:id="rId11" w:fontKey="{1F878CEC-8662-4FD7-98B7-C8022F7E70CF}"/>
  </w:font>
  <w:font w:name="方正小标宋简体">
    <w:altName w:val="黑体"/>
    <w:panose1 w:val="02000000000000000000"/>
    <w:charset w:val="86"/>
    <w:family w:val="script"/>
    <w:pitch w:val="default"/>
    <w:sig w:usb0="00000000" w:usb1="00000000" w:usb2="00000012" w:usb3="00000000" w:csb0="00040001" w:csb1="00000000"/>
    <w:embedRegular r:id="rId12" w:fontKey="{B804AFC2-B7A4-4FD4-945D-D2C41695FA32}"/>
  </w:font>
  <w:font w:name="Wingdings 2">
    <w:panose1 w:val="05020102010507070707"/>
    <w:charset w:val="02"/>
    <w:family w:val="roman"/>
    <w:pitch w:val="default"/>
    <w:sig w:usb0="00000000" w:usb1="00000000" w:usb2="00000000" w:usb3="00000000" w:csb0="80000000" w:csb1="00000000"/>
    <w:embedRegular r:id="rId13" w:fontKey="{0B183428-C5B0-416E-B446-F2F08C01A98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FFB25">
    <w:pPr>
      <w:pStyle w:val="2"/>
      <w:tabs>
        <w:tab w:val="center" w:pos="4439"/>
        <w:tab w:val="clear" w:pos="4153"/>
      </w:tabs>
      <w:jc w:val="both"/>
    </w:pPr>
  </w:p>
  <w:p w14:paraId="11FBABC1">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D5203">
    <w:pPr>
      <w:pStyle w:val="2"/>
      <w:tabs>
        <w:tab w:val="center" w:pos="443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53035"/>
              <wp:effectExtent l="0" t="0" r="0" b="0"/>
              <wp:wrapNone/>
              <wp:docPr id="4" name="文本框 5124"/>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a:effectLst/>
                    </wps:spPr>
                    <wps:txbx>
                      <w:txbxContent>
                        <w:p w14:paraId="66CCE622"/>
                      </w:txbxContent>
                    </wps:txbx>
                    <wps:bodyPr wrap="none" lIns="0" tIns="0" rIns="0" bIns="0" anchor="t" anchorCtr="0">
                      <a:spAutoFit/>
                    </wps:bodyPr>
                  </wps:wsp>
                </a:graphicData>
              </a:graphic>
            </wp:anchor>
          </w:drawing>
        </mc:Choice>
        <mc:Fallback>
          <w:pict>
            <v:shape id="文本框 5124" o:spid="_x0000_s1026" o:spt="202" type="#_x0000_t202" style="position:absolute;left:0pt;margin-top:0pt;height:12.05pt;width:9.05pt;mso-position-horizontal:center;mso-position-horizontal-relative:margin;mso-wrap-style:none;z-index:251659264;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JBU+a0AAAAAMBAAAPAAAAAAAAAAEAIAAA&#10;ACIAAABkcnMvZG93bnJldi54bWxQSwECFAAUAAAACACHTuJAWTzIctsBAAC1AwAADgAAAAAAAAAB&#10;ACAAAAAfAQAAZHJzL2Uyb0RvYy54bWxQSwUGAAAAAAYABgBZAQAAbAUAAAAA&#10;">
              <v:fill on="f" focussize="0,0"/>
              <v:stroke on="f"/>
              <v:imagedata o:title=""/>
              <o:lock v:ext="edit" aspectratio="f"/>
              <v:textbox inset="0mm,0mm,0mm,0mm" style="mso-fit-shape-to-text:t;">
                <w:txbxContent>
                  <w:p w14:paraId="66CCE622"/>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1026A">
    <w:pPr>
      <w:pStyle w:val="2"/>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00EC37">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700EC37">
                    <w:pPr>
                      <w:pStyle w:val="2"/>
                    </w:pPr>
                    <w:r>
                      <w:fldChar w:fldCharType="begin"/>
                    </w:r>
                    <w:r>
                      <w:instrText xml:space="preserve"> PAGE  \* MERGEFORMAT </w:instrText>
                    </w:r>
                    <w:r>
                      <w:fldChar w:fldCharType="separate"/>
                    </w:r>
                    <w:r>
                      <w:t>2</w:t>
                    </w:r>
                    <w:r>
                      <w:fldChar w:fldCharType="end"/>
                    </w:r>
                  </w:p>
                </w:txbxContent>
              </v:textbox>
            </v:shape>
          </w:pict>
        </mc:Fallback>
      </mc:AlternateContent>
    </w:r>
  </w:p>
  <w:p w14:paraId="63ACFB2E">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AE7A6">
    <w:pPr>
      <w:pStyle w:val="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B2998D">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EB2998D">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E1C18">
    <w:pPr>
      <w:pStyle w:val="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6DE0A5">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96DE0A5">
                    <w:pPr>
                      <w:pStyle w:val="2"/>
                    </w:pPr>
                    <w:r>
                      <w:fldChar w:fldCharType="begin"/>
                    </w:r>
                    <w:r>
                      <w:instrText xml:space="preserve"> PAGE  \* MERGEFORMAT </w:instrText>
                    </w:r>
                    <w:r>
                      <w:fldChar w:fldCharType="separate"/>
                    </w:r>
                    <w:r>
                      <w:t>2</w:t>
                    </w:r>
                    <w:r>
                      <w:fldChar w:fldCharType="end"/>
                    </w:r>
                  </w:p>
                </w:txbxContent>
              </v:textbox>
            </v:shape>
          </w:pict>
        </mc:Fallback>
      </mc:AlternateContent>
    </w:r>
  </w:p>
  <w:p w14:paraId="7FC016B5">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825DA">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C6B932">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5C6B932">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1B374">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48749">
    <w:pPr>
      <w:pStyle w:val="2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232D5D"/>
    <w:multiLevelType w:val="multilevel"/>
    <w:tmpl w:val="2A232D5D"/>
    <w:lvl w:ilvl="0" w:tentative="0">
      <w:start w:val="1"/>
      <w:numFmt w:val="decimal"/>
      <w:pStyle w:val="107"/>
      <w:lvlText w:val="%1."/>
      <w:lvlJc w:val="left"/>
      <w:pPr>
        <w:ind w:left="0" w:firstLine="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339A5395"/>
    <w:multiLevelType w:val="multilevel"/>
    <w:tmpl w:val="339A5395"/>
    <w:lvl w:ilvl="0" w:tentative="0">
      <w:start w:val="1"/>
      <w:numFmt w:val="decimal"/>
      <w:pStyle w:val="106"/>
      <w:lvlText w:val="%1)"/>
      <w:lvlJc w:val="left"/>
      <w:pPr>
        <w:ind w:left="0" w:firstLine="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D5557BB"/>
    <w:multiLevelType w:val="multilevel"/>
    <w:tmpl w:val="5D5557BB"/>
    <w:lvl w:ilvl="0" w:tentative="0">
      <w:start w:val="1"/>
      <w:numFmt w:val="decimal"/>
      <w:pStyle w:val="104"/>
      <w:lvlText w:val="%1."/>
      <w:lvlJc w:val="left"/>
      <w:pPr>
        <w:ind w:left="0" w:firstLine="0"/>
      </w:p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
    <w:nsid w:val="69233C06"/>
    <w:multiLevelType w:val="multilevel"/>
    <w:tmpl w:val="69233C06"/>
    <w:lvl w:ilvl="0" w:tentative="0">
      <w:start w:val="1"/>
      <w:numFmt w:val="bullet"/>
      <w:pStyle w:val="105"/>
      <w:lvlText w:val=""/>
      <w:lvlJc w:val="left"/>
      <w:pPr>
        <w:ind w:left="0" w:firstLine="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B3173AD"/>
    <w:multiLevelType w:val="multilevel"/>
    <w:tmpl w:val="6B3173AD"/>
    <w:lvl w:ilvl="0" w:tentative="0">
      <w:start w:val="1"/>
      <w:numFmt w:val="decimal"/>
      <w:pStyle w:val="108"/>
      <w:lvlText w:val="%1)"/>
      <w:lvlJc w:val="left"/>
      <w:pPr>
        <w:ind w:left="0" w:firstLine="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6CAB4F03"/>
    <w:multiLevelType w:val="singleLevel"/>
    <w:tmpl w:val="6CAB4F03"/>
    <w:lvl w:ilvl="0" w:tentative="0">
      <w:start w:val="2"/>
      <w:numFmt w:val="decimal"/>
      <w:lvlText w:val="%1."/>
      <w:lvlJc w:val="left"/>
      <w:pPr>
        <w:tabs>
          <w:tab w:val="left" w:pos="312"/>
        </w:tabs>
      </w:pPr>
    </w:lvl>
  </w:abstractNum>
  <w:abstractNum w:abstractNumId="6">
    <w:nsid w:val="71EF22EB"/>
    <w:multiLevelType w:val="multilevel"/>
    <w:tmpl w:val="71EF22EB"/>
    <w:lvl w:ilvl="0" w:tentative="0">
      <w:start w:val="1"/>
      <w:numFmt w:val="bullet"/>
      <w:pStyle w:val="109"/>
      <w:lvlText w:val=""/>
      <w:lvlJc w:val="left"/>
      <w:pPr>
        <w:ind w:left="0" w:firstLine="0"/>
      </w:pPr>
      <w:rPr>
        <w:rFonts w:hint="default" w:ascii="Wingdings" w:hAnsi="Wingdings"/>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num w:numId="1">
    <w:abstractNumId w:val="2"/>
  </w:num>
  <w:num w:numId="2">
    <w:abstractNumId w:val="3"/>
  </w:num>
  <w:num w:numId="3">
    <w:abstractNumId w:val="1"/>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4MDVlYTNjYjkwZjVhZGZiNGM0MmE1ZWU4ZTg5OTAifQ=="/>
  </w:docVars>
  <w:rsids>
    <w:rsidRoot w:val="00F34B14"/>
    <w:rsid w:val="000002E0"/>
    <w:rsid w:val="00000672"/>
    <w:rsid w:val="00001013"/>
    <w:rsid w:val="00001799"/>
    <w:rsid w:val="00001AF2"/>
    <w:rsid w:val="00001ECA"/>
    <w:rsid w:val="00002D29"/>
    <w:rsid w:val="00003B93"/>
    <w:rsid w:val="0000474D"/>
    <w:rsid w:val="00005FDF"/>
    <w:rsid w:val="0000644A"/>
    <w:rsid w:val="000070B3"/>
    <w:rsid w:val="000076B8"/>
    <w:rsid w:val="000109DC"/>
    <w:rsid w:val="00010D39"/>
    <w:rsid w:val="0001172C"/>
    <w:rsid w:val="00011BC9"/>
    <w:rsid w:val="00012053"/>
    <w:rsid w:val="00012854"/>
    <w:rsid w:val="00012C21"/>
    <w:rsid w:val="00012EA6"/>
    <w:rsid w:val="00013359"/>
    <w:rsid w:val="000139CF"/>
    <w:rsid w:val="00013AA4"/>
    <w:rsid w:val="00013DFE"/>
    <w:rsid w:val="000141EA"/>
    <w:rsid w:val="0001469F"/>
    <w:rsid w:val="00016ABC"/>
    <w:rsid w:val="000177DB"/>
    <w:rsid w:val="000179C9"/>
    <w:rsid w:val="00017CCC"/>
    <w:rsid w:val="00020227"/>
    <w:rsid w:val="00020263"/>
    <w:rsid w:val="000203B7"/>
    <w:rsid w:val="00020455"/>
    <w:rsid w:val="00020813"/>
    <w:rsid w:val="000215D0"/>
    <w:rsid w:val="00021813"/>
    <w:rsid w:val="000220B2"/>
    <w:rsid w:val="0002264C"/>
    <w:rsid w:val="00022731"/>
    <w:rsid w:val="00022792"/>
    <w:rsid w:val="00023E38"/>
    <w:rsid w:val="00024463"/>
    <w:rsid w:val="00025461"/>
    <w:rsid w:val="00025636"/>
    <w:rsid w:val="00025E36"/>
    <w:rsid w:val="00026855"/>
    <w:rsid w:val="00026886"/>
    <w:rsid w:val="0002785D"/>
    <w:rsid w:val="000279D2"/>
    <w:rsid w:val="000307BE"/>
    <w:rsid w:val="000329E0"/>
    <w:rsid w:val="000352E9"/>
    <w:rsid w:val="00035494"/>
    <w:rsid w:val="00035DD6"/>
    <w:rsid w:val="00036125"/>
    <w:rsid w:val="00036A07"/>
    <w:rsid w:val="0003780B"/>
    <w:rsid w:val="00040571"/>
    <w:rsid w:val="00040973"/>
    <w:rsid w:val="0004156E"/>
    <w:rsid w:val="00041713"/>
    <w:rsid w:val="00042B13"/>
    <w:rsid w:val="0004440C"/>
    <w:rsid w:val="00046B5E"/>
    <w:rsid w:val="000470CB"/>
    <w:rsid w:val="000509D9"/>
    <w:rsid w:val="000512AF"/>
    <w:rsid w:val="00051ACB"/>
    <w:rsid w:val="000533E7"/>
    <w:rsid w:val="00055D41"/>
    <w:rsid w:val="00056EF6"/>
    <w:rsid w:val="00057CD6"/>
    <w:rsid w:val="00060DCE"/>
    <w:rsid w:val="000610E3"/>
    <w:rsid w:val="000614F3"/>
    <w:rsid w:val="000623B4"/>
    <w:rsid w:val="00062405"/>
    <w:rsid w:val="000634A7"/>
    <w:rsid w:val="00063B0B"/>
    <w:rsid w:val="00063F81"/>
    <w:rsid w:val="00064847"/>
    <w:rsid w:val="00065E08"/>
    <w:rsid w:val="00066C2B"/>
    <w:rsid w:val="000673E2"/>
    <w:rsid w:val="000677E3"/>
    <w:rsid w:val="00067EF1"/>
    <w:rsid w:val="0007063F"/>
    <w:rsid w:val="000707FD"/>
    <w:rsid w:val="00070949"/>
    <w:rsid w:val="000711E4"/>
    <w:rsid w:val="00071E9B"/>
    <w:rsid w:val="000720A1"/>
    <w:rsid w:val="000724D9"/>
    <w:rsid w:val="00072AED"/>
    <w:rsid w:val="00073F47"/>
    <w:rsid w:val="00074604"/>
    <w:rsid w:val="0007492F"/>
    <w:rsid w:val="00074ED8"/>
    <w:rsid w:val="00075B7E"/>
    <w:rsid w:val="00077ACA"/>
    <w:rsid w:val="00077C70"/>
    <w:rsid w:val="000802FA"/>
    <w:rsid w:val="00080468"/>
    <w:rsid w:val="00080FD3"/>
    <w:rsid w:val="000813B5"/>
    <w:rsid w:val="0008191E"/>
    <w:rsid w:val="00081AFA"/>
    <w:rsid w:val="00081BA3"/>
    <w:rsid w:val="00081D2E"/>
    <w:rsid w:val="00081F89"/>
    <w:rsid w:val="00082619"/>
    <w:rsid w:val="00082D02"/>
    <w:rsid w:val="0008381A"/>
    <w:rsid w:val="00083871"/>
    <w:rsid w:val="00083AD2"/>
    <w:rsid w:val="00083B91"/>
    <w:rsid w:val="00084104"/>
    <w:rsid w:val="0008473C"/>
    <w:rsid w:val="00084BB3"/>
    <w:rsid w:val="0008520B"/>
    <w:rsid w:val="000857DE"/>
    <w:rsid w:val="000860BD"/>
    <w:rsid w:val="00086286"/>
    <w:rsid w:val="000871B8"/>
    <w:rsid w:val="00087B0A"/>
    <w:rsid w:val="000916DA"/>
    <w:rsid w:val="00091AAB"/>
    <w:rsid w:val="00092442"/>
    <w:rsid w:val="000929EF"/>
    <w:rsid w:val="00092C26"/>
    <w:rsid w:val="000933BE"/>
    <w:rsid w:val="00093B37"/>
    <w:rsid w:val="0009560F"/>
    <w:rsid w:val="0009588E"/>
    <w:rsid w:val="000959EE"/>
    <w:rsid w:val="00096DB9"/>
    <w:rsid w:val="00097183"/>
    <w:rsid w:val="000972CB"/>
    <w:rsid w:val="00097608"/>
    <w:rsid w:val="000A0E76"/>
    <w:rsid w:val="000A0F35"/>
    <w:rsid w:val="000A1175"/>
    <w:rsid w:val="000A13F3"/>
    <w:rsid w:val="000A23B1"/>
    <w:rsid w:val="000A2B0E"/>
    <w:rsid w:val="000A398F"/>
    <w:rsid w:val="000A448C"/>
    <w:rsid w:val="000A509C"/>
    <w:rsid w:val="000A54A7"/>
    <w:rsid w:val="000A5A17"/>
    <w:rsid w:val="000A5DF3"/>
    <w:rsid w:val="000A6007"/>
    <w:rsid w:val="000A65A6"/>
    <w:rsid w:val="000A70E3"/>
    <w:rsid w:val="000A7275"/>
    <w:rsid w:val="000A7A12"/>
    <w:rsid w:val="000A7A72"/>
    <w:rsid w:val="000A7DAC"/>
    <w:rsid w:val="000A7F5C"/>
    <w:rsid w:val="000B1202"/>
    <w:rsid w:val="000B1801"/>
    <w:rsid w:val="000B1D0C"/>
    <w:rsid w:val="000B2273"/>
    <w:rsid w:val="000B2BC6"/>
    <w:rsid w:val="000B2D03"/>
    <w:rsid w:val="000B37F2"/>
    <w:rsid w:val="000B3815"/>
    <w:rsid w:val="000B3C7B"/>
    <w:rsid w:val="000B3E68"/>
    <w:rsid w:val="000B4321"/>
    <w:rsid w:val="000B4AC4"/>
    <w:rsid w:val="000B6A6B"/>
    <w:rsid w:val="000B6C95"/>
    <w:rsid w:val="000B79FC"/>
    <w:rsid w:val="000C1679"/>
    <w:rsid w:val="000C1DAF"/>
    <w:rsid w:val="000C1EE3"/>
    <w:rsid w:val="000C3AE7"/>
    <w:rsid w:val="000C3CC9"/>
    <w:rsid w:val="000C446C"/>
    <w:rsid w:val="000C59C6"/>
    <w:rsid w:val="000C59FD"/>
    <w:rsid w:val="000C6DE4"/>
    <w:rsid w:val="000C7202"/>
    <w:rsid w:val="000D0A89"/>
    <w:rsid w:val="000D1389"/>
    <w:rsid w:val="000D1798"/>
    <w:rsid w:val="000D2626"/>
    <w:rsid w:val="000D411D"/>
    <w:rsid w:val="000D4589"/>
    <w:rsid w:val="000D4809"/>
    <w:rsid w:val="000D73DD"/>
    <w:rsid w:val="000E1C51"/>
    <w:rsid w:val="000E28AB"/>
    <w:rsid w:val="000E2E3E"/>
    <w:rsid w:val="000E3583"/>
    <w:rsid w:val="000E3AF0"/>
    <w:rsid w:val="000E4E04"/>
    <w:rsid w:val="000E5C8B"/>
    <w:rsid w:val="000E693B"/>
    <w:rsid w:val="000E6D5C"/>
    <w:rsid w:val="000E6EC9"/>
    <w:rsid w:val="000E70B4"/>
    <w:rsid w:val="000E725F"/>
    <w:rsid w:val="000E7B62"/>
    <w:rsid w:val="000F0E1E"/>
    <w:rsid w:val="000F1A1B"/>
    <w:rsid w:val="000F2A95"/>
    <w:rsid w:val="000F3281"/>
    <w:rsid w:val="000F32FD"/>
    <w:rsid w:val="000F3733"/>
    <w:rsid w:val="000F5F8B"/>
    <w:rsid w:val="000F6153"/>
    <w:rsid w:val="000F64AA"/>
    <w:rsid w:val="000F74C6"/>
    <w:rsid w:val="000F7AF4"/>
    <w:rsid w:val="000F7C33"/>
    <w:rsid w:val="000F7F0C"/>
    <w:rsid w:val="001004D6"/>
    <w:rsid w:val="00101D1B"/>
    <w:rsid w:val="00102676"/>
    <w:rsid w:val="00103646"/>
    <w:rsid w:val="00103918"/>
    <w:rsid w:val="00104185"/>
    <w:rsid w:val="00104897"/>
    <w:rsid w:val="00104EDE"/>
    <w:rsid w:val="00104F54"/>
    <w:rsid w:val="00105CDA"/>
    <w:rsid w:val="00106BEE"/>
    <w:rsid w:val="001070E4"/>
    <w:rsid w:val="0010711C"/>
    <w:rsid w:val="00107368"/>
    <w:rsid w:val="00107BDF"/>
    <w:rsid w:val="00107C74"/>
    <w:rsid w:val="001104B2"/>
    <w:rsid w:val="0011091C"/>
    <w:rsid w:val="00111266"/>
    <w:rsid w:val="001112EB"/>
    <w:rsid w:val="0011247D"/>
    <w:rsid w:val="00112C88"/>
    <w:rsid w:val="0011352D"/>
    <w:rsid w:val="00113678"/>
    <w:rsid w:val="00113A7D"/>
    <w:rsid w:val="00113C3E"/>
    <w:rsid w:val="00114202"/>
    <w:rsid w:val="00114254"/>
    <w:rsid w:val="0011465D"/>
    <w:rsid w:val="00115E11"/>
    <w:rsid w:val="00115EEE"/>
    <w:rsid w:val="00115F56"/>
    <w:rsid w:val="00116CA9"/>
    <w:rsid w:val="00116F38"/>
    <w:rsid w:val="001170A4"/>
    <w:rsid w:val="00117AE7"/>
    <w:rsid w:val="00117B85"/>
    <w:rsid w:val="00117CBD"/>
    <w:rsid w:val="0012006A"/>
    <w:rsid w:val="001203BD"/>
    <w:rsid w:val="00121979"/>
    <w:rsid w:val="00122064"/>
    <w:rsid w:val="001223BF"/>
    <w:rsid w:val="00123CCB"/>
    <w:rsid w:val="00124341"/>
    <w:rsid w:val="00124492"/>
    <w:rsid w:val="00124B12"/>
    <w:rsid w:val="001250A0"/>
    <w:rsid w:val="001263B8"/>
    <w:rsid w:val="001268D1"/>
    <w:rsid w:val="00127F8A"/>
    <w:rsid w:val="00130217"/>
    <w:rsid w:val="00130783"/>
    <w:rsid w:val="00130A47"/>
    <w:rsid w:val="00130FB0"/>
    <w:rsid w:val="00132B47"/>
    <w:rsid w:val="001337F8"/>
    <w:rsid w:val="001348B4"/>
    <w:rsid w:val="001351CB"/>
    <w:rsid w:val="00135530"/>
    <w:rsid w:val="00135947"/>
    <w:rsid w:val="001359A2"/>
    <w:rsid w:val="00135F92"/>
    <w:rsid w:val="00136020"/>
    <w:rsid w:val="00136445"/>
    <w:rsid w:val="00136A9C"/>
    <w:rsid w:val="00137389"/>
    <w:rsid w:val="00140132"/>
    <w:rsid w:val="00141C3A"/>
    <w:rsid w:val="00141C9C"/>
    <w:rsid w:val="00142344"/>
    <w:rsid w:val="00142351"/>
    <w:rsid w:val="0014277F"/>
    <w:rsid w:val="001434BE"/>
    <w:rsid w:val="00143AAD"/>
    <w:rsid w:val="00144050"/>
    <w:rsid w:val="00144369"/>
    <w:rsid w:val="0014479F"/>
    <w:rsid w:val="001452B4"/>
    <w:rsid w:val="00145320"/>
    <w:rsid w:val="001476D3"/>
    <w:rsid w:val="0014786A"/>
    <w:rsid w:val="001509CF"/>
    <w:rsid w:val="00150D1D"/>
    <w:rsid w:val="001525AA"/>
    <w:rsid w:val="00152A87"/>
    <w:rsid w:val="00152AC1"/>
    <w:rsid w:val="00153BB5"/>
    <w:rsid w:val="00154396"/>
    <w:rsid w:val="00154518"/>
    <w:rsid w:val="00156359"/>
    <w:rsid w:val="00156DD6"/>
    <w:rsid w:val="0016086E"/>
    <w:rsid w:val="001609B9"/>
    <w:rsid w:val="00160D0C"/>
    <w:rsid w:val="00160DD1"/>
    <w:rsid w:val="00161172"/>
    <w:rsid w:val="0016186C"/>
    <w:rsid w:val="00161998"/>
    <w:rsid w:val="00161E65"/>
    <w:rsid w:val="00162597"/>
    <w:rsid w:val="001629AF"/>
    <w:rsid w:val="001629FD"/>
    <w:rsid w:val="0016428A"/>
    <w:rsid w:val="001647C9"/>
    <w:rsid w:val="00165627"/>
    <w:rsid w:val="00166033"/>
    <w:rsid w:val="001661A3"/>
    <w:rsid w:val="00166F19"/>
    <w:rsid w:val="00167226"/>
    <w:rsid w:val="0016782B"/>
    <w:rsid w:val="0016784D"/>
    <w:rsid w:val="00167853"/>
    <w:rsid w:val="00167887"/>
    <w:rsid w:val="00172CA8"/>
    <w:rsid w:val="00173256"/>
    <w:rsid w:val="001737B9"/>
    <w:rsid w:val="00173B0E"/>
    <w:rsid w:val="00173E03"/>
    <w:rsid w:val="0017512C"/>
    <w:rsid w:val="001756AF"/>
    <w:rsid w:val="0017586A"/>
    <w:rsid w:val="00175BA6"/>
    <w:rsid w:val="00176CA7"/>
    <w:rsid w:val="00176D0C"/>
    <w:rsid w:val="00176F8E"/>
    <w:rsid w:val="001778C5"/>
    <w:rsid w:val="00177E56"/>
    <w:rsid w:val="00177F0A"/>
    <w:rsid w:val="00180DA0"/>
    <w:rsid w:val="00181014"/>
    <w:rsid w:val="00181EAD"/>
    <w:rsid w:val="00182862"/>
    <w:rsid w:val="00184F57"/>
    <w:rsid w:val="00185091"/>
    <w:rsid w:val="00185544"/>
    <w:rsid w:val="00185617"/>
    <w:rsid w:val="00186FE1"/>
    <w:rsid w:val="00187A14"/>
    <w:rsid w:val="0019171E"/>
    <w:rsid w:val="00192368"/>
    <w:rsid w:val="001923A0"/>
    <w:rsid w:val="001928B1"/>
    <w:rsid w:val="00192AE9"/>
    <w:rsid w:val="00193537"/>
    <w:rsid w:val="00193846"/>
    <w:rsid w:val="00195379"/>
    <w:rsid w:val="00195424"/>
    <w:rsid w:val="001955FF"/>
    <w:rsid w:val="00197EDD"/>
    <w:rsid w:val="001A02B3"/>
    <w:rsid w:val="001A04BB"/>
    <w:rsid w:val="001A08D0"/>
    <w:rsid w:val="001A194B"/>
    <w:rsid w:val="001A1B39"/>
    <w:rsid w:val="001A2120"/>
    <w:rsid w:val="001A28C6"/>
    <w:rsid w:val="001A2E69"/>
    <w:rsid w:val="001A3C34"/>
    <w:rsid w:val="001A3EDE"/>
    <w:rsid w:val="001A4222"/>
    <w:rsid w:val="001A50EA"/>
    <w:rsid w:val="001A5E24"/>
    <w:rsid w:val="001A661D"/>
    <w:rsid w:val="001A6795"/>
    <w:rsid w:val="001A681D"/>
    <w:rsid w:val="001A6B27"/>
    <w:rsid w:val="001A6D8B"/>
    <w:rsid w:val="001A6DAA"/>
    <w:rsid w:val="001A7717"/>
    <w:rsid w:val="001A793A"/>
    <w:rsid w:val="001B125A"/>
    <w:rsid w:val="001B1EBA"/>
    <w:rsid w:val="001B2142"/>
    <w:rsid w:val="001B2F2B"/>
    <w:rsid w:val="001B327A"/>
    <w:rsid w:val="001B35DE"/>
    <w:rsid w:val="001B3A13"/>
    <w:rsid w:val="001B3F5C"/>
    <w:rsid w:val="001B49C7"/>
    <w:rsid w:val="001B57C9"/>
    <w:rsid w:val="001B59FF"/>
    <w:rsid w:val="001B6512"/>
    <w:rsid w:val="001B65D7"/>
    <w:rsid w:val="001B6752"/>
    <w:rsid w:val="001B6768"/>
    <w:rsid w:val="001B6F1F"/>
    <w:rsid w:val="001B7ECC"/>
    <w:rsid w:val="001C025B"/>
    <w:rsid w:val="001C115F"/>
    <w:rsid w:val="001C1EAB"/>
    <w:rsid w:val="001C25A7"/>
    <w:rsid w:val="001C2775"/>
    <w:rsid w:val="001C318C"/>
    <w:rsid w:val="001C35C4"/>
    <w:rsid w:val="001C3613"/>
    <w:rsid w:val="001C4287"/>
    <w:rsid w:val="001C4479"/>
    <w:rsid w:val="001C5190"/>
    <w:rsid w:val="001C6081"/>
    <w:rsid w:val="001C73EB"/>
    <w:rsid w:val="001C7B48"/>
    <w:rsid w:val="001D0CFB"/>
    <w:rsid w:val="001D1A0D"/>
    <w:rsid w:val="001D343C"/>
    <w:rsid w:val="001D56E2"/>
    <w:rsid w:val="001D58A1"/>
    <w:rsid w:val="001D58C2"/>
    <w:rsid w:val="001D5A8A"/>
    <w:rsid w:val="001D61CA"/>
    <w:rsid w:val="001D6E87"/>
    <w:rsid w:val="001D735E"/>
    <w:rsid w:val="001D73C8"/>
    <w:rsid w:val="001D7BC6"/>
    <w:rsid w:val="001E129E"/>
    <w:rsid w:val="001E175C"/>
    <w:rsid w:val="001E1B0E"/>
    <w:rsid w:val="001E1C7C"/>
    <w:rsid w:val="001E3B63"/>
    <w:rsid w:val="001E544E"/>
    <w:rsid w:val="001E55ED"/>
    <w:rsid w:val="001E5607"/>
    <w:rsid w:val="001E5A94"/>
    <w:rsid w:val="001E66C7"/>
    <w:rsid w:val="001E7D7E"/>
    <w:rsid w:val="001F1107"/>
    <w:rsid w:val="001F13FD"/>
    <w:rsid w:val="001F18F9"/>
    <w:rsid w:val="001F24F3"/>
    <w:rsid w:val="001F2A2E"/>
    <w:rsid w:val="001F3356"/>
    <w:rsid w:val="001F3A05"/>
    <w:rsid w:val="001F3C63"/>
    <w:rsid w:val="001F4460"/>
    <w:rsid w:val="001F68CB"/>
    <w:rsid w:val="001F6C96"/>
    <w:rsid w:val="001F711A"/>
    <w:rsid w:val="001F75B0"/>
    <w:rsid w:val="0020057C"/>
    <w:rsid w:val="0020083C"/>
    <w:rsid w:val="00200CE5"/>
    <w:rsid w:val="00200F7C"/>
    <w:rsid w:val="002014DB"/>
    <w:rsid w:val="0020150B"/>
    <w:rsid w:val="00201E12"/>
    <w:rsid w:val="00202295"/>
    <w:rsid w:val="00203122"/>
    <w:rsid w:val="002033B5"/>
    <w:rsid w:val="0020382C"/>
    <w:rsid w:val="0020437A"/>
    <w:rsid w:val="0020454C"/>
    <w:rsid w:val="00204740"/>
    <w:rsid w:val="002048C7"/>
    <w:rsid w:val="00205129"/>
    <w:rsid w:val="0020521F"/>
    <w:rsid w:val="0020532C"/>
    <w:rsid w:val="002062C1"/>
    <w:rsid w:val="002114C7"/>
    <w:rsid w:val="0021302C"/>
    <w:rsid w:val="00213B1C"/>
    <w:rsid w:val="00213F1E"/>
    <w:rsid w:val="00214202"/>
    <w:rsid w:val="002148E3"/>
    <w:rsid w:val="0021492A"/>
    <w:rsid w:val="0021552D"/>
    <w:rsid w:val="002156AE"/>
    <w:rsid w:val="00215E99"/>
    <w:rsid w:val="0022054D"/>
    <w:rsid w:val="0022107B"/>
    <w:rsid w:val="00223DDB"/>
    <w:rsid w:val="00223FA4"/>
    <w:rsid w:val="00223FB0"/>
    <w:rsid w:val="0022405A"/>
    <w:rsid w:val="00224067"/>
    <w:rsid w:val="0022421C"/>
    <w:rsid w:val="00224C4A"/>
    <w:rsid w:val="00224E83"/>
    <w:rsid w:val="00225664"/>
    <w:rsid w:val="002261E9"/>
    <w:rsid w:val="0022663D"/>
    <w:rsid w:val="00226A46"/>
    <w:rsid w:val="00226CB3"/>
    <w:rsid w:val="00227C56"/>
    <w:rsid w:val="00227F2D"/>
    <w:rsid w:val="00231851"/>
    <w:rsid w:val="0023186A"/>
    <w:rsid w:val="002319FB"/>
    <w:rsid w:val="00231B89"/>
    <w:rsid w:val="00231F11"/>
    <w:rsid w:val="00231F5E"/>
    <w:rsid w:val="00232FF3"/>
    <w:rsid w:val="002346B4"/>
    <w:rsid w:val="00234F6E"/>
    <w:rsid w:val="002355BE"/>
    <w:rsid w:val="002358EA"/>
    <w:rsid w:val="00236578"/>
    <w:rsid w:val="00236DE9"/>
    <w:rsid w:val="00237342"/>
    <w:rsid w:val="002377AE"/>
    <w:rsid w:val="00237810"/>
    <w:rsid w:val="00237D5A"/>
    <w:rsid w:val="00240D75"/>
    <w:rsid w:val="002415AE"/>
    <w:rsid w:val="00241D3C"/>
    <w:rsid w:val="00242109"/>
    <w:rsid w:val="00243189"/>
    <w:rsid w:val="002439AB"/>
    <w:rsid w:val="00243C19"/>
    <w:rsid w:val="00244AE8"/>
    <w:rsid w:val="00244DC9"/>
    <w:rsid w:val="00245587"/>
    <w:rsid w:val="00245F2B"/>
    <w:rsid w:val="002466CD"/>
    <w:rsid w:val="00247F3A"/>
    <w:rsid w:val="00250122"/>
    <w:rsid w:val="0025024D"/>
    <w:rsid w:val="00250755"/>
    <w:rsid w:val="00250E5A"/>
    <w:rsid w:val="00251043"/>
    <w:rsid w:val="00251423"/>
    <w:rsid w:val="00251C4A"/>
    <w:rsid w:val="0025271C"/>
    <w:rsid w:val="0025277A"/>
    <w:rsid w:val="002530AC"/>
    <w:rsid w:val="002533CD"/>
    <w:rsid w:val="002535EA"/>
    <w:rsid w:val="00254AF9"/>
    <w:rsid w:val="00254EAB"/>
    <w:rsid w:val="002557AF"/>
    <w:rsid w:val="0025589C"/>
    <w:rsid w:val="00255B62"/>
    <w:rsid w:val="002566B1"/>
    <w:rsid w:val="00256D0F"/>
    <w:rsid w:val="002575E3"/>
    <w:rsid w:val="00257A74"/>
    <w:rsid w:val="00257C5D"/>
    <w:rsid w:val="002603C1"/>
    <w:rsid w:val="002609A1"/>
    <w:rsid w:val="002612B1"/>
    <w:rsid w:val="00262416"/>
    <w:rsid w:val="00265A12"/>
    <w:rsid w:val="00265C2F"/>
    <w:rsid w:val="00266165"/>
    <w:rsid w:val="00266F2C"/>
    <w:rsid w:val="0027125E"/>
    <w:rsid w:val="00271767"/>
    <w:rsid w:val="00272293"/>
    <w:rsid w:val="002723B3"/>
    <w:rsid w:val="002723C8"/>
    <w:rsid w:val="00273C2A"/>
    <w:rsid w:val="00273CBE"/>
    <w:rsid w:val="002746B1"/>
    <w:rsid w:val="00274BAD"/>
    <w:rsid w:val="002750C2"/>
    <w:rsid w:val="002807B0"/>
    <w:rsid w:val="00282D56"/>
    <w:rsid w:val="002835B0"/>
    <w:rsid w:val="00283C74"/>
    <w:rsid w:val="0028407E"/>
    <w:rsid w:val="0028410F"/>
    <w:rsid w:val="00284572"/>
    <w:rsid w:val="002850AA"/>
    <w:rsid w:val="00285221"/>
    <w:rsid w:val="00286FB5"/>
    <w:rsid w:val="00287763"/>
    <w:rsid w:val="00290606"/>
    <w:rsid w:val="002909B2"/>
    <w:rsid w:val="00291D6D"/>
    <w:rsid w:val="00291FF1"/>
    <w:rsid w:val="00292AA2"/>
    <w:rsid w:val="00293361"/>
    <w:rsid w:val="00294C86"/>
    <w:rsid w:val="00294F10"/>
    <w:rsid w:val="002952B1"/>
    <w:rsid w:val="00295D11"/>
    <w:rsid w:val="00296FB6"/>
    <w:rsid w:val="002A0001"/>
    <w:rsid w:val="002A0BD9"/>
    <w:rsid w:val="002A0C3A"/>
    <w:rsid w:val="002A0DF8"/>
    <w:rsid w:val="002A0F1C"/>
    <w:rsid w:val="002A1130"/>
    <w:rsid w:val="002A1880"/>
    <w:rsid w:val="002A23B7"/>
    <w:rsid w:val="002A2763"/>
    <w:rsid w:val="002A3A57"/>
    <w:rsid w:val="002A4B4F"/>
    <w:rsid w:val="002A57A8"/>
    <w:rsid w:val="002A6DEF"/>
    <w:rsid w:val="002A770B"/>
    <w:rsid w:val="002A7F9C"/>
    <w:rsid w:val="002B013E"/>
    <w:rsid w:val="002B058D"/>
    <w:rsid w:val="002B0C16"/>
    <w:rsid w:val="002B2456"/>
    <w:rsid w:val="002B2799"/>
    <w:rsid w:val="002B2891"/>
    <w:rsid w:val="002B2AC5"/>
    <w:rsid w:val="002B32ED"/>
    <w:rsid w:val="002B3528"/>
    <w:rsid w:val="002B3539"/>
    <w:rsid w:val="002B4395"/>
    <w:rsid w:val="002B4532"/>
    <w:rsid w:val="002B4DD9"/>
    <w:rsid w:val="002B5042"/>
    <w:rsid w:val="002B69CC"/>
    <w:rsid w:val="002B6D71"/>
    <w:rsid w:val="002C03AE"/>
    <w:rsid w:val="002C0C1C"/>
    <w:rsid w:val="002C16AE"/>
    <w:rsid w:val="002C362C"/>
    <w:rsid w:val="002C41BF"/>
    <w:rsid w:val="002C54C2"/>
    <w:rsid w:val="002C5D34"/>
    <w:rsid w:val="002C60BB"/>
    <w:rsid w:val="002C6131"/>
    <w:rsid w:val="002C661A"/>
    <w:rsid w:val="002D0D6F"/>
    <w:rsid w:val="002D1796"/>
    <w:rsid w:val="002D25FC"/>
    <w:rsid w:val="002D4AC6"/>
    <w:rsid w:val="002D59BF"/>
    <w:rsid w:val="002D5BF5"/>
    <w:rsid w:val="002D5EE8"/>
    <w:rsid w:val="002D7360"/>
    <w:rsid w:val="002D7648"/>
    <w:rsid w:val="002D7C80"/>
    <w:rsid w:val="002E109C"/>
    <w:rsid w:val="002E193E"/>
    <w:rsid w:val="002E1A94"/>
    <w:rsid w:val="002E1D55"/>
    <w:rsid w:val="002E26C4"/>
    <w:rsid w:val="002E2734"/>
    <w:rsid w:val="002E30A5"/>
    <w:rsid w:val="002E47E4"/>
    <w:rsid w:val="002E4BF9"/>
    <w:rsid w:val="002E4D61"/>
    <w:rsid w:val="002E68A7"/>
    <w:rsid w:val="002E6E6C"/>
    <w:rsid w:val="002E6E76"/>
    <w:rsid w:val="002F016E"/>
    <w:rsid w:val="002F051C"/>
    <w:rsid w:val="002F0522"/>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0F23"/>
    <w:rsid w:val="00302AFC"/>
    <w:rsid w:val="00302EFC"/>
    <w:rsid w:val="00303243"/>
    <w:rsid w:val="00303BCC"/>
    <w:rsid w:val="00303F2B"/>
    <w:rsid w:val="00303F8D"/>
    <w:rsid w:val="003047EB"/>
    <w:rsid w:val="0030572D"/>
    <w:rsid w:val="0030586A"/>
    <w:rsid w:val="0030622D"/>
    <w:rsid w:val="00306811"/>
    <w:rsid w:val="00306F32"/>
    <w:rsid w:val="003074C5"/>
    <w:rsid w:val="00307A3C"/>
    <w:rsid w:val="00307FA4"/>
    <w:rsid w:val="00310290"/>
    <w:rsid w:val="00310CC1"/>
    <w:rsid w:val="003119D1"/>
    <w:rsid w:val="00312504"/>
    <w:rsid w:val="00312B89"/>
    <w:rsid w:val="00313026"/>
    <w:rsid w:val="00313913"/>
    <w:rsid w:val="0031421F"/>
    <w:rsid w:val="00314B31"/>
    <w:rsid w:val="00315A65"/>
    <w:rsid w:val="003165D7"/>
    <w:rsid w:val="0031666B"/>
    <w:rsid w:val="00316ABE"/>
    <w:rsid w:val="00317247"/>
    <w:rsid w:val="00317A77"/>
    <w:rsid w:val="00317BA7"/>
    <w:rsid w:val="003202F6"/>
    <w:rsid w:val="00320BE2"/>
    <w:rsid w:val="00321886"/>
    <w:rsid w:val="00321EDC"/>
    <w:rsid w:val="00322ACB"/>
    <w:rsid w:val="00322D02"/>
    <w:rsid w:val="00323694"/>
    <w:rsid w:val="00323BE7"/>
    <w:rsid w:val="00324C3A"/>
    <w:rsid w:val="00324D63"/>
    <w:rsid w:val="003255AF"/>
    <w:rsid w:val="003256EB"/>
    <w:rsid w:val="003259DB"/>
    <w:rsid w:val="0032795B"/>
    <w:rsid w:val="0033025D"/>
    <w:rsid w:val="003303CD"/>
    <w:rsid w:val="003314D9"/>
    <w:rsid w:val="00331653"/>
    <w:rsid w:val="00331939"/>
    <w:rsid w:val="00331A48"/>
    <w:rsid w:val="00331BCC"/>
    <w:rsid w:val="00331C2F"/>
    <w:rsid w:val="003330C9"/>
    <w:rsid w:val="0033364C"/>
    <w:rsid w:val="00334415"/>
    <w:rsid w:val="00335EA1"/>
    <w:rsid w:val="0033691E"/>
    <w:rsid w:val="00336A6A"/>
    <w:rsid w:val="00336CCB"/>
    <w:rsid w:val="003411D1"/>
    <w:rsid w:val="003416BA"/>
    <w:rsid w:val="00342148"/>
    <w:rsid w:val="00342F99"/>
    <w:rsid w:val="0034575A"/>
    <w:rsid w:val="00345F57"/>
    <w:rsid w:val="00350458"/>
    <w:rsid w:val="00350E6C"/>
    <w:rsid w:val="003518A6"/>
    <w:rsid w:val="00351E7F"/>
    <w:rsid w:val="00352953"/>
    <w:rsid w:val="00354062"/>
    <w:rsid w:val="0035459E"/>
    <w:rsid w:val="00354737"/>
    <w:rsid w:val="00354AE9"/>
    <w:rsid w:val="00355C0D"/>
    <w:rsid w:val="003566A9"/>
    <w:rsid w:val="00356988"/>
    <w:rsid w:val="003569D3"/>
    <w:rsid w:val="00356CE9"/>
    <w:rsid w:val="003570BB"/>
    <w:rsid w:val="00357128"/>
    <w:rsid w:val="003573D1"/>
    <w:rsid w:val="0035755E"/>
    <w:rsid w:val="00357A80"/>
    <w:rsid w:val="003608ED"/>
    <w:rsid w:val="00361441"/>
    <w:rsid w:val="00361B8B"/>
    <w:rsid w:val="00363F39"/>
    <w:rsid w:val="003640FC"/>
    <w:rsid w:val="0036445C"/>
    <w:rsid w:val="00364627"/>
    <w:rsid w:val="00364AB0"/>
    <w:rsid w:val="00364D71"/>
    <w:rsid w:val="003667B0"/>
    <w:rsid w:val="003667DD"/>
    <w:rsid w:val="00366B48"/>
    <w:rsid w:val="0036766E"/>
    <w:rsid w:val="00367764"/>
    <w:rsid w:val="00370316"/>
    <w:rsid w:val="00370DC7"/>
    <w:rsid w:val="00371CBD"/>
    <w:rsid w:val="00371F20"/>
    <w:rsid w:val="003721E3"/>
    <w:rsid w:val="00372B98"/>
    <w:rsid w:val="003737B7"/>
    <w:rsid w:val="003740CC"/>
    <w:rsid w:val="00374163"/>
    <w:rsid w:val="003745F4"/>
    <w:rsid w:val="0037491A"/>
    <w:rsid w:val="00374E79"/>
    <w:rsid w:val="0037529A"/>
    <w:rsid w:val="00375388"/>
    <w:rsid w:val="00375559"/>
    <w:rsid w:val="00375FB9"/>
    <w:rsid w:val="00376170"/>
    <w:rsid w:val="003761B2"/>
    <w:rsid w:val="00376851"/>
    <w:rsid w:val="00376FA2"/>
    <w:rsid w:val="00377133"/>
    <w:rsid w:val="00377A3B"/>
    <w:rsid w:val="00377E3C"/>
    <w:rsid w:val="00380874"/>
    <w:rsid w:val="00380BBE"/>
    <w:rsid w:val="00381BF4"/>
    <w:rsid w:val="00381D70"/>
    <w:rsid w:val="0038235E"/>
    <w:rsid w:val="003829D0"/>
    <w:rsid w:val="0038326A"/>
    <w:rsid w:val="00383D5E"/>
    <w:rsid w:val="0038444F"/>
    <w:rsid w:val="003861F0"/>
    <w:rsid w:val="00387051"/>
    <w:rsid w:val="003870BF"/>
    <w:rsid w:val="00387ECF"/>
    <w:rsid w:val="00390133"/>
    <w:rsid w:val="0039021B"/>
    <w:rsid w:val="00390429"/>
    <w:rsid w:val="003906A0"/>
    <w:rsid w:val="00391682"/>
    <w:rsid w:val="003923D5"/>
    <w:rsid w:val="003931AF"/>
    <w:rsid w:val="0039366C"/>
    <w:rsid w:val="00393EC8"/>
    <w:rsid w:val="003943CC"/>
    <w:rsid w:val="00394E3C"/>
    <w:rsid w:val="00395C11"/>
    <w:rsid w:val="00395E42"/>
    <w:rsid w:val="0039621E"/>
    <w:rsid w:val="00396409"/>
    <w:rsid w:val="00396A2D"/>
    <w:rsid w:val="00396FC3"/>
    <w:rsid w:val="003A1431"/>
    <w:rsid w:val="003A1A94"/>
    <w:rsid w:val="003A204E"/>
    <w:rsid w:val="003A2D25"/>
    <w:rsid w:val="003A5101"/>
    <w:rsid w:val="003A5728"/>
    <w:rsid w:val="003A60E7"/>
    <w:rsid w:val="003A66A3"/>
    <w:rsid w:val="003A7092"/>
    <w:rsid w:val="003A72A1"/>
    <w:rsid w:val="003A7611"/>
    <w:rsid w:val="003A7D1F"/>
    <w:rsid w:val="003B0B6A"/>
    <w:rsid w:val="003B10E3"/>
    <w:rsid w:val="003B22F7"/>
    <w:rsid w:val="003B29CF"/>
    <w:rsid w:val="003B3A90"/>
    <w:rsid w:val="003B3D01"/>
    <w:rsid w:val="003B534F"/>
    <w:rsid w:val="003B7A79"/>
    <w:rsid w:val="003B7D00"/>
    <w:rsid w:val="003C0FE1"/>
    <w:rsid w:val="003C151A"/>
    <w:rsid w:val="003C350C"/>
    <w:rsid w:val="003C3733"/>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268"/>
    <w:rsid w:val="003E1904"/>
    <w:rsid w:val="003E285E"/>
    <w:rsid w:val="003E3124"/>
    <w:rsid w:val="003E3300"/>
    <w:rsid w:val="003E43D3"/>
    <w:rsid w:val="003E48E1"/>
    <w:rsid w:val="003E50F4"/>
    <w:rsid w:val="003E59BB"/>
    <w:rsid w:val="003E6225"/>
    <w:rsid w:val="003E65AC"/>
    <w:rsid w:val="003E66AE"/>
    <w:rsid w:val="003E72B9"/>
    <w:rsid w:val="003E7612"/>
    <w:rsid w:val="003E7ED4"/>
    <w:rsid w:val="003F0E52"/>
    <w:rsid w:val="003F0F6B"/>
    <w:rsid w:val="003F1331"/>
    <w:rsid w:val="003F1FC6"/>
    <w:rsid w:val="003F1FE3"/>
    <w:rsid w:val="003F2359"/>
    <w:rsid w:val="003F3232"/>
    <w:rsid w:val="003F335D"/>
    <w:rsid w:val="003F3865"/>
    <w:rsid w:val="003F38AC"/>
    <w:rsid w:val="003F3D55"/>
    <w:rsid w:val="003F44E2"/>
    <w:rsid w:val="003F4632"/>
    <w:rsid w:val="003F47BA"/>
    <w:rsid w:val="003F4FE6"/>
    <w:rsid w:val="003F5638"/>
    <w:rsid w:val="003F6617"/>
    <w:rsid w:val="003F7F03"/>
    <w:rsid w:val="00402332"/>
    <w:rsid w:val="004025C2"/>
    <w:rsid w:val="00403195"/>
    <w:rsid w:val="004033A9"/>
    <w:rsid w:val="00403E55"/>
    <w:rsid w:val="0040407C"/>
    <w:rsid w:val="0040416C"/>
    <w:rsid w:val="004041CA"/>
    <w:rsid w:val="00404681"/>
    <w:rsid w:val="00405445"/>
    <w:rsid w:val="00405AC1"/>
    <w:rsid w:val="00406923"/>
    <w:rsid w:val="0040763D"/>
    <w:rsid w:val="00410D17"/>
    <w:rsid w:val="00412AA9"/>
    <w:rsid w:val="00413442"/>
    <w:rsid w:val="00413821"/>
    <w:rsid w:val="00413BA5"/>
    <w:rsid w:val="004141A3"/>
    <w:rsid w:val="00414909"/>
    <w:rsid w:val="00415503"/>
    <w:rsid w:val="0041582F"/>
    <w:rsid w:val="00416112"/>
    <w:rsid w:val="00417296"/>
    <w:rsid w:val="00417A1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10F2"/>
    <w:rsid w:val="004322D6"/>
    <w:rsid w:val="00432589"/>
    <w:rsid w:val="00432A94"/>
    <w:rsid w:val="00432C95"/>
    <w:rsid w:val="00432F1D"/>
    <w:rsid w:val="00433827"/>
    <w:rsid w:val="00433A40"/>
    <w:rsid w:val="00434B70"/>
    <w:rsid w:val="004360C8"/>
    <w:rsid w:val="004365DF"/>
    <w:rsid w:val="00436823"/>
    <w:rsid w:val="004371D5"/>
    <w:rsid w:val="0044006B"/>
    <w:rsid w:val="0044033F"/>
    <w:rsid w:val="00440630"/>
    <w:rsid w:val="004417EC"/>
    <w:rsid w:val="00441F0F"/>
    <w:rsid w:val="00442965"/>
    <w:rsid w:val="004432B6"/>
    <w:rsid w:val="00444157"/>
    <w:rsid w:val="0044417C"/>
    <w:rsid w:val="00444DB3"/>
    <w:rsid w:val="00445023"/>
    <w:rsid w:val="00445617"/>
    <w:rsid w:val="00445A2F"/>
    <w:rsid w:val="004462D6"/>
    <w:rsid w:val="0044684E"/>
    <w:rsid w:val="00446F22"/>
    <w:rsid w:val="00447E4E"/>
    <w:rsid w:val="0045019F"/>
    <w:rsid w:val="004503A4"/>
    <w:rsid w:val="004504E4"/>
    <w:rsid w:val="00450555"/>
    <w:rsid w:val="004506FA"/>
    <w:rsid w:val="00450B54"/>
    <w:rsid w:val="00450DC6"/>
    <w:rsid w:val="004516A5"/>
    <w:rsid w:val="00451E9C"/>
    <w:rsid w:val="0045280F"/>
    <w:rsid w:val="004535AE"/>
    <w:rsid w:val="0045422B"/>
    <w:rsid w:val="0045444D"/>
    <w:rsid w:val="0045463A"/>
    <w:rsid w:val="00454AC9"/>
    <w:rsid w:val="00455050"/>
    <w:rsid w:val="004554A3"/>
    <w:rsid w:val="00455A6E"/>
    <w:rsid w:val="00455EAD"/>
    <w:rsid w:val="004561E1"/>
    <w:rsid w:val="004578EB"/>
    <w:rsid w:val="004604D5"/>
    <w:rsid w:val="00460697"/>
    <w:rsid w:val="0046117B"/>
    <w:rsid w:val="00461FC2"/>
    <w:rsid w:val="00464AB7"/>
    <w:rsid w:val="00464BE6"/>
    <w:rsid w:val="00464EA0"/>
    <w:rsid w:val="00465DE5"/>
    <w:rsid w:val="00466EE8"/>
    <w:rsid w:val="00467EF8"/>
    <w:rsid w:val="00470385"/>
    <w:rsid w:val="00471AC3"/>
    <w:rsid w:val="00472429"/>
    <w:rsid w:val="004725E5"/>
    <w:rsid w:val="00472751"/>
    <w:rsid w:val="00473128"/>
    <w:rsid w:val="00475078"/>
    <w:rsid w:val="00475767"/>
    <w:rsid w:val="004779A0"/>
    <w:rsid w:val="00480857"/>
    <w:rsid w:val="004808E3"/>
    <w:rsid w:val="00481016"/>
    <w:rsid w:val="0048204C"/>
    <w:rsid w:val="004821BB"/>
    <w:rsid w:val="0048237A"/>
    <w:rsid w:val="004826FE"/>
    <w:rsid w:val="004827D5"/>
    <w:rsid w:val="00482AF2"/>
    <w:rsid w:val="004830C9"/>
    <w:rsid w:val="00483347"/>
    <w:rsid w:val="00483E2E"/>
    <w:rsid w:val="00484B69"/>
    <w:rsid w:val="00485406"/>
    <w:rsid w:val="0048590F"/>
    <w:rsid w:val="004863CA"/>
    <w:rsid w:val="00486D60"/>
    <w:rsid w:val="00491FA1"/>
    <w:rsid w:val="00492A25"/>
    <w:rsid w:val="004938A3"/>
    <w:rsid w:val="0049392E"/>
    <w:rsid w:val="0049558B"/>
    <w:rsid w:val="00496350"/>
    <w:rsid w:val="0049797C"/>
    <w:rsid w:val="004A0D52"/>
    <w:rsid w:val="004A1405"/>
    <w:rsid w:val="004A15BD"/>
    <w:rsid w:val="004A1E28"/>
    <w:rsid w:val="004A1FC6"/>
    <w:rsid w:val="004A2E5F"/>
    <w:rsid w:val="004A38C2"/>
    <w:rsid w:val="004A3C03"/>
    <w:rsid w:val="004A3DB7"/>
    <w:rsid w:val="004A463B"/>
    <w:rsid w:val="004A5088"/>
    <w:rsid w:val="004A5255"/>
    <w:rsid w:val="004A6B28"/>
    <w:rsid w:val="004A6CB0"/>
    <w:rsid w:val="004A70FF"/>
    <w:rsid w:val="004A7398"/>
    <w:rsid w:val="004A7EDE"/>
    <w:rsid w:val="004B0D93"/>
    <w:rsid w:val="004B1FA4"/>
    <w:rsid w:val="004B29AC"/>
    <w:rsid w:val="004B2B0B"/>
    <w:rsid w:val="004B35DF"/>
    <w:rsid w:val="004B3627"/>
    <w:rsid w:val="004B4922"/>
    <w:rsid w:val="004B4BFE"/>
    <w:rsid w:val="004B57DF"/>
    <w:rsid w:val="004B5976"/>
    <w:rsid w:val="004B722E"/>
    <w:rsid w:val="004B72E8"/>
    <w:rsid w:val="004B7E4F"/>
    <w:rsid w:val="004C01A5"/>
    <w:rsid w:val="004C0412"/>
    <w:rsid w:val="004C2138"/>
    <w:rsid w:val="004C3940"/>
    <w:rsid w:val="004C51FD"/>
    <w:rsid w:val="004C65A8"/>
    <w:rsid w:val="004C6689"/>
    <w:rsid w:val="004D0196"/>
    <w:rsid w:val="004D139A"/>
    <w:rsid w:val="004D14DC"/>
    <w:rsid w:val="004D17C6"/>
    <w:rsid w:val="004D2858"/>
    <w:rsid w:val="004D2E49"/>
    <w:rsid w:val="004D35BA"/>
    <w:rsid w:val="004D38E5"/>
    <w:rsid w:val="004D3C5A"/>
    <w:rsid w:val="004D449A"/>
    <w:rsid w:val="004D4701"/>
    <w:rsid w:val="004D47C7"/>
    <w:rsid w:val="004D4B2B"/>
    <w:rsid w:val="004D4F35"/>
    <w:rsid w:val="004D51EE"/>
    <w:rsid w:val="004D5D45"/>
    <w:rsid w:val="004D618D"/>
    <w:rsid w:val="004D62A9"/>
    <w:rsid w:val="004D6FC3"/>
    <w:rsid w:val="004D7476"/>
    <w:rsid w:val="004D7716"/>
    <w:rsid w:val="004E0306"/>
    <w:rsid w:val="004E0572"/>
    <w:rsid w:val="004E1641"/>
    <w:rsid w:val="004E1818"/>
    <w:rsid w:val="004E1990"/>
    <w:rsid w:val="004E25A8"/>
    <w:rsid w:val="004E3279"/>
    <w:rsid w:val="004E3930"/>
    <w:rsid w:val="004E3ED9"/>
    <w:rsid w:val="004E5866"/>
    <w:rsid w:val="004E6097"/>
    <w:rsid w:val="004E61EF"/>
    <w:rsid w:val="004E63C6"/>
    <w:rsid w:val="004E76A7"/>
    <w:rsid w:val="004E7B03"/>
    <w:rsid w:val="004F0064"/>
    <w:rsid w:val="004F06AC"/>
    <w:rsid w:val="004F0B05"/>
    <w:rsid w:val="004F0E50"/>
    <w:rsid w:val="004F1D2A"/>
    <w:rsid w:val="004F243F"/>
    <w:rsid w:val="004F252C"/>
    <w:rsid w:val="004F36A3"/>
    <w:rsid w:val="004F3E0C"/>
    <w:rsid w:val="004F4308"/>
    <w:rsid w:val="004F49E3"/>
    <w:rsid w:val="004F7160"/>
    <w:rsid w:val="004F7DD0"/>
    <w:rsid w:val="00500258"/>
    <w:rsid w:val="00500B2D"/>
    <w:rsid w:val="00501A99"/>
    <w:rsid w:val="005026DA"/>
    <w:rsid w:val="00503180"/>
    <w:rsid w:val="005038A4"/>
    <w:rsid w:val="005048D1"/>
    <w:rsid w:val="00504CD4"/>
    <w:rsid w:val="0050524B"/>
    <w:rsid w:val="00505450"/>
    <w:rsid w:val="00505FC6"/>
    <w:rsid w:val="00506449"/>
    <w:rsid w:val="00506C5E"/>
    <w:rsid w:val="00507C85"/>
    <w:rsid w:val="005100B7"/>
    <w:rsid w:val="005105DE"/>
    <w:rsid w:val="005113C9"/>
    <w:rsid w:val="00511D0F"/>
    <w:rsid w:val="00512050"/>
    <w:rsid w:val="00512055"/>
    <w:rsid w:val="0051280C"/>
    <w:rsid w:val="00512842"/>
    <w:rsid w:val="005128BE"/>
    <w:rsid w:val="0051356F"/>
    <w:rsid w:val="00513E7C"/>
    <w:rsid w:val="005140BB"/>
    <w:rsid w:val="00514FBE"/>
    <w:rsid w:val="00514FD9"/>
    <w:rsid w:val="0051550A"/>
    <w:rsid w:val="0051608F"/>
    <w:rsid w:val="00516480"/>
    <w:rsid w:val="00520EF8"/>
    <w:rsid w:val="005210F7"/>
    <w:rsid w:val="00521753"/>
    <w:rsid w:val="005222B3"/>
    <w:rsid w:val="0052239D"/>
    <w:rsid w:val="005224EE"/>
    <w:rsid w:val="00522879"/>
    <w:rsid w:val="00523BB1"/>
    <w:rsid w:val="00524B23"/>
    <w:rsid w:val="0052570E"/>
    <w:rsid w:val="005260CD"/>
    <w:rsid w:val="00526265"/>
    <w:rsid w:val="0052655D"/>
    <w:rsid w:val="005265E0"/>
    <w:rsid w:val="00526BC3"/>
    <w:rsid w:val="00526FA3"/>
    <w:rsid w:val="00530064"/>
    <w:rsid w:val="00531761"/>
    <w:rsid w:val="0053248F"/>
    <w:rsid w:val="005327AB"/>
    <w:rsid w:val="00533307"/>
    <w:rsid w:val="0053332A"/>
    <w:rsid w:val="0053358A"/>
    <w:rsid w:val="00534668"/>
    <w:rsid w:val="00534DDD"/>
    <w:rsid w:val="00534F6B"/>
    <w:rsid w:val="00535291"/>
    <w:rsid w:val="00535A94"/>
    <w:rsid w:val="00537874"/>
    <w:rsid w:val="0053795F"/>
    <w:rsid w:val="00537D3D"/>
    <w:rsid w:val="00540112"/>
    <w:rsid w:val="00540511"/>
    <w:rsid w:val="00540578"/>
    <w:rsid w:val="00540808"/>
    <w:rsid w:val="0054080E"/>
    <w:rsid w:val="00540D1A"/>
    <w:rsid w:val="00540DE5"/>
    <w:rsid w:val="00540EA1"/>
    <w:rsid w:val="00541E5A"/>
    <w:rsid w:val="0054358E"/>
    <w:rsid w:val="00543AF4"/>
    <w:rsid w:val="00543F53"/>
    <w:rsid w:val="00544191"/>
    <w:rsid w:val="0054440C"/>
    <w:rsid w:val="00544838"/>
    <w:rsid w:val="005448EC"/>
    <w:rsid w:val="00544C0A"/>
    <w:rsid w:val="00544F39"/>
    <w:rsid w:val="005457FB"/>
    <w:rsid w:val="00545891"/>
    <w:rsid w:val="00546B96"/>
    <w:rsid w:val="00546F90"/>
    <w:rsid w:val="00547EFB"/>
    <w:rsid w:val="00550192"/>
    <w:rsid w:val="005522F2"/>
    <w:rsid w:val="00552D0F"/>
    <w:rsid w:val="005531DF"/>
    <w:rsid w:val="00553874"/>
    <w:rsid w:val="00553DCE"/>
    <w:rsid w:val="00554577"/>
    <w:rsid w:val="00554AD8"/>
    <w:rsid w:val="00554F78"/>
    <w:rsid w:val="00555DA1"/>
    <w:rsid w:val="00556BF7"/>
    <w:rsid w:val="00556E53"/>
    <w:rsid w:val="00556F1B"/>
    <w:rsid w:val="00557F60"/>
    <w:rsid w:val="00560244"/>
    <w:rsid w:val="00560E2E"/>
    <w:rsid w:val="00561730"/>
    <w:rsid w:val="00561B97"/>
    <w:rsid w:val="00562149"/>
    <w:rsid w:val="005640EB"/>
    <w:rsid w:val="005666A4"/>
    <w:rsid w:val="00566791"/>
    <w:rsid w:val="00567B5D"/>
    <w:rsid w:val="00570757"/>
    <w:rsid w:val="00573733"/>
    <w:rsid w:val="00573F8B"/>
    <w:rsid w:val="00574554"/>
    <w:rsid w:val="00574E06"/>
    <w:rsid w:val="005751BB"/>
    <w:rsid w:val="005751CF"/>
    <w:rsid w:val="00576089"/>
    <w:rsid w:val="005764B1"/>
    <w:rsid w:val="00576852"/>
    <w:rsid w:val="005769E3"/>
    <w:rsid w:val="00576D06"/>
    <w:rsid w:val="005779E4"/>
    <w:rsid w:val="00580EC7"/>
    <w:rsid w:val="0058289C"/>
    <w:rsid w:val="005836C7"/>
    <w:rsid w:val="0058408E"/>
    <w:rsid w:val="005844C3"/>
    <w:rsid w:val="00585374"/>
    <w:rsid w:val="005854CA"/>
    <w:rsid w:val="00585FAB"/>
    <w:rsid w:val="00586E74"/>
    <w:rsid w:val="00587916"/>
    <w:rsid w:val="00590B77"/>
    <w:rsid w:val="00590D9A"/>
    <w:rsid w:val="005913A3"/>
    <w:rsid w:val="00591A5A"/>
    <w:rsid w:val="005940D4"/>
    <w:rsid w:val="00594A7B"/>
    <w:rsid w:val="0059580E"/>
    <w:rsid w:val="00595D90"/>
    <w:rsid w:val="00596A6F"/>
    <w:rsid w:val="00596FCE"/>
    <w:rsid w:val="00597771"/>
    <w:rsid w:val="005A11BC"/>
    <w:rsid w:val="005A1525"/>
    <w:rsid w:val="005A1E17"/>
    <w:rsid w:val="005A2254"/>
    <w:rsid w:val="005A252B"/>
    <w:rsid w:val="005A2A8F"/>
    <w:rsid w:val="005A3008"/>
    <w:rsid w:val="005A3204"/>
    <w:rsid w:val="005A3341"/>
    <w:rsid w:val="005A3C3D"/>
    <w:rsid w:val="005A46EC"/>
    <w:rsid w:val="005A5EAE"/>
    <w:rsid w:val="005A6407"/>
    <w:rsid w:val="005A726C"/>
    <w:rsid w:val="005A7ED7"/>
    <w:rsid w:val="005B0458"/>
    <w:rsid w:val="005B07EC"/>
    <w:rsid w:val="005B2285"/>
    <w:rsid w:val="005B2B11"/>
    <w:rsid w:val="005B32A4"/>
    <w:rsid w:val="005B3371"/>
    <w:rsid w:val="005B338D"/>
    <w:rsid w:val="005B33A1"/>
    <w:rsid w:val="005B3852"/>
    <w:rsid w:val="005B3BAF"/>
    <w:rsid w:val="005B4DA3"/>
    <w:rsid w:val="005B5BEE"/>
    <w:rsid w:val="005B77D2"/>
    <w:rsid w:val="005C0195"/>
    <w:rsid w:val="005C019B"/>
    <w:rsid w:val="005C08D0"/>
    <w:rsid w:val="005C1603"/>
    <w:rsid w:val="005C1AED"/>
    <w:rsid w:val="005C2136"/>
    <w:rsid w:val="005C30F5"/>
    <w:rsid w:val="005C3840"/>
    <w:rsid w:val="005C51A5"/>
    <w:rsid w:val="005C557A"/>
    <w:rsid w:val="005C566F"/>
    <w:rsid w:val="005C5C47"/>
    <w:rsid w:val="005C61DD"/>
    <w:rsid w:val="005C6438"/>
    <w:rsid w:val="005C6B8B"/>
    <w:rsid w:val="005C727F"/>
    <w:rsid w:val="005C76FB"/>
    <w:rsid w:val="005D02E3"/>
    <w:rsid w:val="005D1F34"/>
    <w:rsid w:val="005D2C1F"/>
    <w:rsid w:val="005D34B2"/>
    <w:rsid w:val="005D3B54"/>
    <w:rsid w:val="005D40CD"/>
    <w:rsid w:val="005D4979"/>
    <w:rsid w:val="005D6B59"/>
    <w:rsid w:val="005D784B"/>
    <w:rsid w:val="005E03E4"/>
    <w:rsid w:val="005E0454"/>
    <w:rsid w:val="005E05F6"/>
    <w:rsid w:val="005E1B9D"/>
    <w:rsid w:val="005E1BDA"/>
    <w:rsid w:val="005E2442"/>
    <w:rsid w:val="005E3111"/>
    <w:rsid w:val="005E3CA0"/>
    <w:rsid w:val="005E3F85"/>
    <w:rsid w:val="005E472F"/>
    <w:rsid w:val="005E4A5F"/>
    <w:rsid w:val="005E516A"/>
    <w:rsid w:val="005E57B0"/>
    <w:rsid w:val="005E5B01"/>
    <w:rsid w:val="005E6D3B"/>
    <w:rsid w:val="005E7538"/>
    <w:rsid w:val="005E7D97"/>
    <w:rsid w:val="005F009E"/>
    <w:rsid w:val="005F0DF1"/>
    <w:rsid w:val="005F1516"/>
    <w:rsid w:val="005F1A6F"/>
    <w:rsid w:val="005F229E"/>
    <w:rsid w:val="005F2564"/>
    <w:rsid w:val="005F3822"/>
    <w:rsid w:val="005F4635"/>
    <w:rsid w:val="005F4900"/>
    <w:rsid w:val="005F4E52"/>
    <w:rsid w:val="005F5D0C"/>
    <w:rsid w:val="005F6D58"/>
    <w:rsid w:val="005F7383"/>
    <w:rsid w:val="0060058E"/>
    <w:rsid w:val="006009F6"/>
    <w:rsid w:val="00600C9D"/>
    <w:rsid w:val="00602A3C"/>
    <w:rsid w:val="00603CBD"/>
    <w:rsid w:val="00603EFD"/>
    <w:rsid w:val="0060475B"/>
    <w:rsid w:val="00604BED"/>
    <w:rsid w:val="00604FB6"/>
    <w:rsid w:val="006052E4"/>
    <w:rsid w:val="00605387"/>
    <w:rsid w:val="00605E40"/>
    <w:rsid w:val="00606302"/>
    <w:rsid w:val="00606C59"/>
    <w:rsid w:val="006076FD"/>
    <w:rsid w:val="00610357"/>
    <w:rsid w:val="0061077B"/>
    <w:rsid w:val="00610811"/>
    <w:rsid w:val="0061143F"/>
    <w:rsid w:val="006114D8"/>
    <w:rsid w:val="00612F5F"/>
    <w:rsid w:val="00613553"/>
    <w:rsid w:val="00613601"/>
    <w:rsid w:val="00613791"/>
    <w:rsid w:val="006150D6"/>
    <w:rsid w:val="00615245"/>
    <w:rsid w:val="0061590D"/>
    <w:rsid w:val="00615AAB"/>
    <w:rsid w:val="00617EEE"/>
    <w:rsid w:val="00620A1F"/>
    <w:rsid w:val="0062114B"/>
    <w:rsid w:val="0062169D"/>
    <w:rsid w:val="0062181E"/>
    <w:rsid w:val="006218DD"/>
    <w:rsid w:val="0062211B"/>
    <w:rsid w:val="00622BB7"/>
    <w:rsid w:val="00622C1E"/>
    <w:rsid w:val="00623389"/>
    <w:rsid w:val="00623DAA"/>
    <w:rsid w:val="00623FAF"/>
    <w:rsid w:val="006265C4"/>
    <w:rsid w:val="0062678A"/>
    <w:rsid w:val="006270AF"/>
    <w:rsid w:val="00632950"/>
    <w:rsid w:val="00634367"/>
    <w:rsid w:val="00635C0A"/>
    <w:rsid w:val="00636CE3"/>
    <w:rsid w:val="00640082"/>
    <w:rsid w:val="00640291"/>
    <w:rsid w:val="00640CE0"/>
    <w:rsid w:val="00640EFE"/>
    <w:rsid w:val="00641573"/>
    <w:rsid w:val="00641D6D"/>
    <w:rsid w:val="00641FAC"/>
    <w:rsid w:val="00642B2C"/>
    <w:rsid w:val="00643664"/>
    <w:rsid w:val="00643CAA"/>
    <w:rsid w:val="00644740"/>
    <w:rsid w:val="00644F16"/>
    <w:rsid w:val="006455EB"/>
    <w:rsid w:val="006456C2"/>
    <w:rsid w:val="00645A65"/>
    <w:rsid w:val="00646959"/>
    <w:rsid w:val="00646A71"/>
    <w:rsid w:val="006477F0"/>
    <w:rsid w:val="006478E4"/>
    <w:rsid w:val="00650475"/>
    <w:rsid w:val="0065171A"/>
    <w:rsid w:val="00652680"/>
    <w:rsid w:val="00653CDE"/>
    <w:rsid w:val="00654585"/>
    <w:rsid w:val="0065566E"/>
    <w:rsid w:val="00655A89"/>
    <w:rsid w:val="00655AB6"/>
    <w:rsid w:val="00655EFA"/>
    <w:rsid w:val="00656061"/>
    <w:rsid w:val="00656281"/>
    <w:rsid w:val="0065636A"/>
    <w:rsid w:val="00657003"/>
    <w:rsid w:val="00660238"/>
    <w:rsid w:val="006602EF"/>
    <w:rsid w:val="00660B0C"/>
    <w:rsid w:val="00661277"/>
    <w:rsid w:val="006619E0"/>
    <w:rsid w:val="00663FEA"/>
    <w:rsid w:val="00664803"/>
    <w:rsid w:val="006657C5"/>
    <w:rsid w:val="006661A4"/>
    <w:rsid w:val="00666AC0"/>
    <w:rsid w:val="00666C51"/>
    <w:rsid w:val="006670E0"/>
    <w:rsid w:val="006671B8"/>
    <w:rsid w:val="00667275"/>
    <w:rsid w:val="00667532"/>
    <w:rsid w:val="0066783E"/>
    <w:rsid w:val="00667E53"/>
    <w:rsid w:val="006706C3"/>
    <w:rsid w:val="006711C4"/>
    <w:rsid w:val="006713AB"/>
    <w:rsid w:val="00672CA5"/>
    <w:rsid w:val="00673711"/>
    <w:rsid w:val="00673F82"/>
    <w:rsid w:val="00674F74"/>
    <w:rsid w:val="0067508F"/>
    <w:rsid w:val="00677576"/>
    <w:rsid w:val="0068051E"/>
    <w:rsid w:val="00680B9D"/>
    <w:rsid w:val="00681F13"/>
    <w:rsid w:val="0068231C"/>
    <w:rsid w:val="00682332"/>
    <w:rsid w:val="00682344"/>
    <w:rsid w:val="00682F28"/>
    <w:rsid w:val="00683515"/>
    <w:rsid w:val="00683804"/>
    <w:rsid w:val="00684842"/>
    <w:rsid w:val="006854D9"/>
    <w:rsid w:val="006859AA"/>
    <w:rsid w:val="00685BD6"/>
    <w:rsid w:val="00687116"/>
    <w:rsid w:val="006878A6"/>
    <w:rsid w:val="00687D5F"/>
    <w:rsid w:val="00690437"/>
    <w:rsid w:val="00690830"/>
    <w:rsid w:val="00690DC3"/>
    <w:rsid w:val="00690E65"/>
    <w:rsid w:val="006911B7"/>
    <w:rsid w:val="00691387"/>
    <w:rsid w:val="0069188E"/>
    <w:rsid w:val="00691974"/>
    <w:rsid w:val="00692BF6"/>
    <w:rsid w:val="00692CE6"/>
    <w:rsid w:val="00693186"/>
    <w:rsid w:val="00693381"/>
    <w:rsid w:val="00693B6C"/>
    <w:rsid w:val="006942AE"/>
    <w:rsid w:val="00694C82"/>
    <w:rsid w:val="00695421"/>
    <w:rsid w:val="00697626"/>
    <w:rsid w:val="00697BD3"/>
    <w:rsid w:val="00697DFA"/>
    <w:rsid w:val="006A16D5"/>
    <w:rsid w:val="006A1772"/>
    <w:rsid w:val="006A1780"/>
    <w:rsid w:val="006A21DD"/>
    <w:rsid w:val="006A26C6"/>
    <w:rsid w:val="006A3302"/>
    <w:rsid w:val="006A3B28"/>
    <w:rsid w:val="006A4FEE"/>
    <w:rsid w:val="006A5549"/>
    <w:rsid w:val="006A703E"/>
    <w:rsid w:val="006A7721"/>
    <w:rsid w:val="006A7BE3"/>
    <w:rsid w:val="006A7D32"/>
    <w:rsid w:val="006B01D1"/>
    <w:rsid w:val="006B0DF4"/>
    <w:rsid w:val="006B16EA"/>
    <w:rsid w:val="006B1780"/>
    <w:rsid w:val="006B21DC"/>
    <w:rsid w:val="006B224E"/>
    <w:rsid w:val="006B376E"/>
    <w:rsid w:val="006B4589"/>
    <w:rsid w:val="006B5157"/>
    <w:rsid w:val="006B610E"/>
    <w:rsid w:val="006B6805"/>
    <w:rsid w:val="006B6C07"/>
    <w:rsid w:val="006B6DE0"/>
    <w:rsid w:val="006C10A8"/>
    <w:rsid w:val="006C16C3"/>
    <w:rsid w:val="006C2187"/>
    <w:rsid w:val="006C27D9"/>
    <w:rsid w:val="006C32F4"/>
    <w:rsid w:val="006C3C54"/>
    <w:rsid w:val="006C4657"/>
    <w:rsid w:val="006C4B6B"/>
    <w:rsid w:val="006C4CE1"/>
    <w:rsid w:val="006C4F9F"/>
    <w:rsid w:val="006C5FE5"/>
    <w:rsid w:val="006C71A2"/>
    <w:rsid w:val="006C73EC"/>
    <w:rsid w:val="006D0C1D"/>
    <w:rsid w:val="006D28F3"/>
    <w:rsid w:val="006D2E9D"/>
    <w:rsid w:val="006D4A4E"/>
    <w:rsid w:val="006D4C42"/>
    <w:rsid w:val="006D4F79"/>
    <w:rsid w:val="006D5389"/>
    <w:rsid w:val="006D53A2"/>
    <w:rsid w:val="006D5809"/>
    <w:rsid w:val="006D607E"/>
    <w:rsid w:val="006D6E12"/>
    <w:rsid w:val="006D70CB"/>
    <w:rsid w:val="006D715C"/>
    <w:rsid w:val="006D7363"/>
    <w:rsid w:val="006D774E"/>
    <w:rsid w:val="006E04A1"/>
    <w:rsid w:val="006E0754"/>
    <w:rsid w:val="006E2668"/>
    <w:rsid w:val="006E2D39"/>
    <w:rsid w:val="006E2FE9"/>
    <w:rsid w:val="006E32B0"/>
    <w:rsid w:val="006E348E"/>
    <w:rsid w:val="006E396A"/>
    <w:rsid w:val="006E3D63"/>
    <w:rsid w:val="006E42EC"/>
    <w:rsid w:val="006E58BF"/>
    <w:rsid w:val="006E5DD8"/>
    <w:rsid w:val="006E5EA1"/>
    <w:rsid w:val="006E6DEE"/>
    <w:rsid w:val="006E7D4B"/>
    <w:rsid w:val="006F018A"/>
    <w:rsid w:val="006F0760"/>
    <w:rsid w:val="006F11E2"/>
    <w:rsid w:val="006F168D"/>
    <w:rsid w:val="006F2574"/>
    <w:rsid w:val="006F3231"/>
    <w:rsid w:val="006F3DE3"/>
    <w:rsid w:val="006F4787"/>
    <w:rsid w:val="006F61D8"/>
    <w:rsid w:val="006F62B7"/>
    <w:rsid w:val="006F70BC"/>
    <w:rsid w:val="006F726C"/>
    <w:rsid w:val="006F7E7C"/>
    <w:rsid w:val="0070174E"/>
    <w:rsid w:val="007018DB"/>
    <w:rsid w:val="00701DE6"/>
    <w:rsid w:val="00702740"/>
    <w:rsid w:val="0070381B"/>
    <w:rsid w:val="0070676B"/>
    <w:rsid w:val="0070796C"/>
    <w:rsid w:val="007106C8"/>
    <w:rsid w:val="007109BB"/>
    <w:rsid w:val="00710EBF"/>
    <w:rsid w:val="007110B8"/>
    <w:rsid w:val="0071209F"/>
    <w:rsid w:val="007125A2"/>
    <w:rsid w:val="00713DD9"/>
    <w:rsid w:val="00713F79"/>
    <w:rsid w:val="007148A8"/>
    <w:rsid w:val="00716AC8"/>
    <w:rsid w:val="00716E54"/>
    <w:rsid w:val="0072033C"/>
    <w:rsid w:val="00720B1B"/>
    <w:rsid w:val="00721062"/>
    <w:rsid w:val="00721E5D"/>
    <w:rsid w:val="007229D4"/>
    <w:rsid w:val="007230F8"/>
    <w:rsid w:val="007233F4"/>
    <w:rsid w:val="00723F12"/>
    <w:rsid w:val="00724044"/>
    <w:rsid w:val="007248D3"/>
    <w:rsid w:val="00724DF8"/>
    <w:rsid w:val="00725137"/>
    <w:rsid w:val="007252DA"/>
    <w:rsid w:val="00725378"/>
    <w:rsid w:val="00727A43"/>
    <w:rsid w:val="00727FF2"/>
    <w:rsid w:val="00730550"/>
    <w:rsid w:val="00730C2A"/>
    <w:rsid w:val="00731434"/>
    <w:rsid w:val="00731E59"/>
    <w:rsid w:val="00732022"/>
    <w:rsid w:val="00732337"/>
    <w:rsid w:val="007323E0"/>
    <w:rsid w:val="00732911"/>
    <w:rsid w:val="00733721"/>
    <w:rsid w:val="00733DE2"/>
    <w:rsid w:val="00734142"/>
    <w:rsid w:val="007352EA"/>
    <w:rsid w:val="00737267"/>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89C"/>
    <w:rsid w:val="00747DE2"/>
    <w:rsid w:val="007502D0"/>
    <w:rsid w:val="007504BF"/>
    <w:rsid w:val="007506CD"/>
    <w:rsid w:val="0075267F"/>
    <w:rsid w:val="007526EC"/>
    <w:rsid w:val="00753C48"/>
    <w:rsid w:val="00754250"/>
    <w:rsid w:val="00754FE4"/>
    <w:rsid w:val="00755216"/>
    <w:rsid w:val="00756236"/>
    <w:rsid w:val="00756271"/>
    <w:rsid w:val="00756348"/>
    <w:rsid w:val="00756521"/>
    <w:rsid w:val="0075656A"/>
    <w:rsid w:val="00756AB7"/>
    <w:rsid w:val="0076106D"/>
    <w:rsid w:val="00761863"/>
    <w:rsid w:val="007623FB"/>
    <w:rsid w:val="00762517"/>
    <w:rsid w:val="00763240"/>
    <w:rsid w:val="0076376A"/>
    <w:rsid w:val="007648AD"/>
    <w:rsid w:val="0076504E"/>
    <w:rsid w:val="00765437"/>
    <w:rsid w:val="007656D8"/>
    <w:rsid w:val="00767BFD"/>
    <w:rsid w:val="00767EA0"/>
    <w:rsid w:val="0077068F"/>
    <w:rsid w:val="00771439"/>
    <w:rsid w:val="00771EDF"/>
    <w:rsid w:val="00772A90"/>
    <w:rsid w:val="00772F8D"/>
    <w:rsid w:val="0077408D"/>
    <w:rsid w:val="00774270"/>
    <w:rsid w:val="007743F6"/>
    <w:rsid w:val="0077478A"/>
    <w:rsid w:val="00775679"/>
    <w:rsid w:val="0077574F"/>
    <w:rsid w:val="00775823"/>
    <w:rsid w:val="00777153"/>
    <w:rsid w:val="007777CC"/>
    <w:rsid w:val="00777B32"/>
    <w:rsid w:val="0078051E"/>
    <w:rsid w:val="00781089"/>
    <w:rsid w:val="00782B59"/>
    <w:rsid w:val="007838F3"/>
    <w:rsid w:val="007856FE"/>
    <w:rsid w:val="00785F46"/>
    <w:rsid w:val="007865F4"/>
    <w:rsid w:val="00786D5C"/>
    <w:rsid w:val="00786E96"/>
    <w:rsid w:val="00787BB6"/>
    <w:rsid w:val="00787BEB"/>
    <w:rsid w:val="00787DFF"/>
    <w:rsid w:val="00787F93"/>
    <w:rsid w:val="00791E6D"/>
    <w:rsid w:val="00791EB5"/>
    <w:rsid w:val="0079343F"/>
    <w:rsid w:val="00793696"/>
    <w:rsid w:val="007955DA"/>
    <w:rsid w:val="00796CDD"/>
    <w:rsid w:val="00796DDF"/>
    <w:rsid w:val="00796F65"/>
    <w:rsid w:val="007A11C2"/>
    <w:rsid w:val="007A18BB"/>
    <w:rsid w:val="007A2714"/>
    <w:rsid w:val="007A27DD"/>
    <w:rsid w:val="007A338C"/>
    <w:rsid w:val="007A41BF"/>
    <w:rsid w:val="007A490A"/>
    <w:rsid w:val="007A7B95"/>
    <w:rsid w:val="007B0297"/>
    <w:rsid w:val="007B02FA"/>
    <w:rsid w:val="007B0F53"/>
    <w:rsid w:val="007B21AE"/>
    <w:rsid w:val="007B2570"/>
    <w:rsid w:val="007B3113"/>
    <w:rsid w:val="007B3304"/>
    <w:rsid w:val="007B3BF0"/>
    <w:rsid w:val="007B5FE6"/>
    <w:rsid w:val="007B7490"/>
    <w:rsid w:val="007C007F"/>
    <w:rsid w:val="007C03B6"/>
    <w:rsid w:val="007C0525"/>
    <w:rsid w:val="007C13F7"/>
    <w:rsid w:val="007C1D77"/>
    <w:rsid w:val="007C218D"/>
    <w:rsid w:val="007C2D28"/>
    <w:rsid w:val="007C3E22"/>
    <w:rsid w:val="007C4801"/>
    <w:rsid w:val="007C58C1"/>
    <w:rsid w:val="007C6218"/>
    <w:rsid w:val="007C6484"/>
    <w:rsid w:val="007C67C6"/>
    <w:rsid w:val="007C76F4"/>
    <w:rsid w:val="007C78BE"/>
    <w:rsid w:val="007C7A5D"/>
    <w:rsid w:val="007C7E59"/>
    <w:rsid w:val="007D0476"/>
    <w:rsid w:val="007D0B91"/>
    <w:rsid w:val="007D0FE7"/>
    <w:rsid w:val="007D1452"/>
    <w:rsid w:val="007D1563"/>
    <w:rsid w:val="007D1FC5"/>
    <w:rsid w:val="007D3DCB"/>
    <w:rsid w:val="007D460C"/>
    <w:rsid w:val="007D4996"/>
    <w:rsid w:val="007D4AD3"/>
    <w:rsid w:val="007D5D19"/>
    <w:rsid w:val="007D5FDC"/>
    <w:rsid w:val="007D6176"/>
    <w:rsid w:val="007D69CD"/>
    <w:rsid w:val="007D6C3F"/>
    <w:rsid w:val="007D6D68"/>
    <w:rsid w:val="007E1015"/>
    <w:rsid w:val="007E194F"/>
    <w:rsid w:val="007E32DA"/>
    <w:rsid w:val="007E4998"/>
    <w:rsid w:val="007E4A9C"/>
    <w:rsid w:val="007E567C"/>
    <w:rsid w:val="007E6914"/>
    <w:rsid w:val="007E7A0F"/>
    <w:rsid w:val="007E7F78"/>
    <w:rsid w:val="007F0179"/>
    <w:rsid w:val="007F01BC"/>
    <w:rsid w:val="007F1326"/>
    <w:rsid w:val="007F17AF"/>
    <w:rsid w:val="007F2C13"/>
    <w:rsid w:val="007F2CEC"/>
    <w:rsid w:val="007F2ED1"/>
    <w:rsid w:val="007F3435"/>
    <w:rsid w:val="007F505D"/>
    <w:rsid w:val="007F531B"/>
    <w:rsid w:val="007F55DE"/>
    <w:rsid w:val="007F762D"/>
    <w:rsid w:val="007F78F0"/>
    <w:rsid w:val="007F78FF"/>
    <w:rsid w:val="008001C5"/>
    <w:rsid w:val="00800F6C"/>
    <w:rsid w:val="00801065"/>
    <w:rsid w:val="00802C0B"/>
    <w:rsid w:val="00805040"/>
    <w:rsid w:val="008051FC"/>
    <w:rsid w:val="008055A9"/>
    <w:rsid w:val="008056C4"/>
    <w:rsid w:val="008057FD"/>
    <w:rsid w:val="00805D8B"/>
    <w:rsid w:val="0081010F"/>
    <w:rsid w:val="00810472"/>
    <w:rsid w:val="00810BB6"/>
    <w:rsid w:val="00810E8E"/>
    <w:rsid w:val="00812C44"/>
    <w:rsid w:val="008135E1"/>
    <w:rsid w:val="00813779"/>
    <w:rsid w:val="00813E26"/>
    <w:rsid w:val="0081481D"/>
    <w:rsid w:val="00814BE8"/>
    <w:rsid w:val="00814F6E"/>
    <w:rsid w:val="00815ADF"/>
    <w:rsid w:val="00815B84"/>
    <w:rsid w:val="00816342"/>
    <w:rsid w:val="008166F6"/>
    <w:rsid w:val="00816BE9"/>
    <w:rsid w:val="00817113"/>
    <w:rsid w:val="00817D10"/>
    <w:rsid w:val="00822518"/>
    <w:rsid w:val="008226F5"/>
    <w:rsid w:val="00823FC6"/>
    <w:rsid w:val="00824189"/>
    <w:rsid w:val="00824306"/>
    <w:rsid w:val="0082465B"/>
    <w:rsid w:val="00825C74"/>
    <w:rsid w:val="00825CFA"/>
    <w:rsid w:val="00826AB9"/>
    <w:rsid w:val="00826E0E"/>
    <w:rsid w:val="00827D11"/>
    <w:rsid w:val="00827E0F"/>
    <w:rsid w:val="00827F6E"/>
    <w:rsid w:val="00830DD8"/>
    <w:rsid w:val="00831758"/>
    <w:rsid w:val="008317D9"/>
    <w:rsid w:val="00831AEC"/>
    <w:rsid w:val="0083279F"/>
    <w:rsid w:val="00832CE9"/>
    <w:rsid w:val="008334DB"/>
    <w:rsid w:val="00833B7F"/>
    <w:rsid w:val="00833E8E"/>
    <w:rsid w:val="00834906"/>
    <w:rsid w:val="00836075"/>
    <w:rsid w:val="00836417"/>
    <w:rsid w:val="00837526"/>
    <w:rsid w:val="008407A7"/>
    <w:rsid w:val="0084322B"/>
    <w:rsid w:val="00843F81"/>
    <w:rsid w:val="00844087"/>
    <w:rsid w:val="008444DE"/>
    <w:rsid w:val="008448F1"/>
    <w:rsid w:val="0084519E"/>
    <w:rsid w:val="00845CAE"/>
    <w:rsid w:val="008462C5"/>
    <w:rsid w:val="008462FA"/>
    <w:rsid w:val="00846370"/>
    <w:rsid w:val="00846873"/>
    <w:rsid w:val="008477E7"/>
    <w:rsid w:val="00847C2B"/>
    <w:rsid w:val="00850272"/>
    <w:rsid w:val="008506B9"/>
    <w:rsid w:val="0085086F"/>
    <w:rsid w:val="00851822"/>
    <w:rsid w:val="008518D6"/>
    <w:rsid w:val="00851C16"/>
    <w:rsid w:val="00851D27"/>
    <w:rsid w:val="008532BF"/>
    <w:rsid w:val="008539B2"/>
    <w:rsid w:val="00853BF4"/>
    <w:rsid w:val="00854294"/>
    <w:rsid w:val="00854295"/>
    <w:rsid w:val="0085572E"/>
    <w:rsid w:val="0085788B"/>
    <w:rsid w:val="00857A9E"/>
    <w:rsid w:val="00857DE2"/>
    <w:rsid w:val="0086003D"/>
    <w:rsid w:val="00861521"/>
    <w:rsid w:val="008631A2"/>
    <w:rsid w:val="00863A8E"/>
    <w:rsid w:val="0086407F"/>
    <w:rsid w:val="008645E3"/>
    <w:rsid w:val="00864E79"/>
    <w:rsid w:val="0086572B"/>
    <w:rsid w:val="00866615"/>
    <w:rsid w:val="0086661F"/>
    <w:rsid w:val="00866A0D"/>
    <w:rsid w:val="00866DB5"/>
    <w:rsid w:val="0086701D"/>
    <w:rsid w:val="0086702B"/>
    <w:rsid w:val="008672E2"/>
    <w:rsid w:val="0086784E"/>
    <w:rsid w:val="00867FFD"/>
    <w:rsid w:val="008709D1"/>
    <w:rsid w:val="0087121C"/>
    <w:rsid w:val="00871FD2"/>
    <w:rsid w:val="00872084"/>
    <w:rsid w:val="00872827"/>
    <w:rsid w:val="00872A32"/>
    <w:rsid w:val="0087377C"/>
    <w:rsid w:val="008743E3"/>
    <w:rsid w:val="00874911"/>
    <w:rsid w:val="008754E4"/>
    <w:rsid w:val="00876EAE"/>
    <w:rsid w:val="00880106"/>
    <w:rsid w:val="00880F95"/>
    <w:rsid w:val="00882B44"/>
    <w:rsid w:val="008838AD"/>
    <w:rsid w:val="00885BC9"/>
    <w:rsid w:val="008864B3"/>
    <w:rsid w:val="008865E5"/>
    <w:rsid w:val="008871B0"/>
    <w:rsid w:val="00890B57"/>
    <w:rsid w:val="008916BA"/>
    <w:rsid w:val="00891A93"/>
    <w:rsid w:val="00891F64"/>
    <w:rsid w:val="0089217C"/>
    <w:rsid w:val="00892790"/>
    <w:rsid w:val="00893261"/>
    <w:rsid w:val="00893671"/>
    <w:rsid w:val="00895838"/>
    <w:rsid w:val="00895A1E"/>
    <w:rsid w:val="00895A72"/>
    <w:rsid w:val="00895CDF"/>
    <w:rsid w:val="00895DF6"/>
    <w:rsid w:val="00896679"/>
    <w:rsid w:val="00896D8C"/>
    <w:rsid w:val="008973B2"/>
    <w:rsid w:val="008A0FC9"/>
    <w:rsid w:val="008A1956"/>
    <w:rsid w:val="008A1A7C"/>
    <w:rsid w:val="008A248A"/>
    <w:rsid w:val="008A2CE2"/>
    <w:rsid w:val="008A392F"/>
    <w:rsid w:val="008A3BEC"/>
    <w:rsid w:val="008A40D3"/>
    <w:rsid w:val="008A469C"/>
    <w:rsid w:val="008A50FB"/>
    <w:rsid w:val="008A51D1"/>
    <w:rsid w:val="008A5DCE"/>
    <w:rsid w:val="008A75D3"/>
    <w:rsid w:val="008B05DD"/>
    <w:rsid w:val="008B07B8"/>
    <w:rsid w:val="008B17E8"/>
    <w:rsid w:val="008B2C45"/>
    <w:rsid w:val="008B2E7C"/>
    <w:rsid w:val="008B399A"/>
    <w:rsid w:val="008B45F0"/>
    <w:rsid w:val="008B4A70"/>
    <w:rsid w:val="008B502F"/>
    <w:rsid w:val="008B6DFC"/>
    <w:rsid w:val="008B7227"/>
    <w:rsid w:val="008C02FB"/>
    <w:rsid w:val="008C04E0"/>
    <w:rsid w:val="008C191C"/>
    <w:rsid w:val="008C1DA4"/>
    <w:rsid w:val="008C2138"/>
    <w:rsid w:val="008C29B0"/>
    <w:rsid w:val="008C2CD5"/>
    <w:rsid w:val="008C3618"/>
    <w:rsid w:val="008C39E7"/>
    <w:rsid w:val="008C43AD"/>
    <w:rsid w:val="008C6118"/>
    <w:rsid w:val="008C6214"/>
    <w:rsid w:val="008C6341"/>
    <w:rsid w:val="008C653D"/>
    <w:rsid w:val="008C731F"/>
    <w:rsid w:val="008C74D9"/>
    <w:rsid w:val="008D19DA"/>
    <w:rsid w:val="008D2050"/>
    <w:rsid w:val="008D3B2D"/>
    <w:rsid w:val="008D4819"/>
    <w:rsid w:val="008D58D9"/>
    <w:rsid w:val="008D5AD4"/>
    <w:rsid w:val="008D5E24"/>
    <w:rsid w:val="008D695E"/>
    <w:rsid w:val="008D6DD5"/>
    <w:rsid w:val="008D6E59"/>
    <w:rsid w:val="008D7155"/>
    <w:rsid w:val="008D76E0"/>
    <w:rsid w:val="008D7A3C"/>
    <w:rsid w:val="008E08F5"/>
    <w:rsid w:val="008E0B29"/>
    <w:rsid w:val="008E141A"/>
    <w:rsid w:val="008E1A44"/>
    <w:rsid w:val="008E28E6"/>
    <w:rsid w:val="008E3232"/>
    <w:rsid w:val="008E3674"/>
    <w:rsid w:val="008E3B6C"/>
    <w:rsid w:val="008E3DE7"/>
    <w:rsid w:val="008E5227"/>
    <w:rsid w:val="008E562C"/>
    <w:rsid w:val="008E6540"/>
    <w:rsid w:val="008E77D4"/>
    <w:rsid w:val="008E7ADD"/>
    <w:rsid w:val="008F091F"/>
    <w:rsid w:val="008F17B2"/>
    <w:rsid w:val="008F22B3"/>
    <w:rsid w:val="008F357B"/>
    <w:rsid w:val="008F44CA"/>
    <w:rsid w:val="008F49D3"/>
    <w:rsid w:val="008F5921"/>
    <w:rsid w:val="008F6519"/>
    <w:rsid w:val="008F7012"/>
    <w:rsid w:val="008F7ADA"/>
    <w:rsid w:val="008F7B17"/>
    <w:rsid w:val="00900042"/>
    <w:rsid w:val="0090034B"/>
    <w:rsid w:val="0090087C"/>
    <w:rsid w:val="00901121"/>
    <w:rsid w:val="00901547"/>
    <w:rsid w:val="00902623"/>
    <w:rsid w:val="00902A67"/>
    <w:rsid w:val="00902C5E"/>
    <w:rsid w:val="00904BE4"/>
    <w:rsid w:val="0090504A"/>
    <w:rsid w:val="009051F5"/>
    <w:rsid w:val="00905221"/>
    <w:rsid w:val="00905664"/>
    <w:rsid w:val="0090596F"/>
    <w:rsid w:val="00905A7C"/>
    <w:rsid w:val="00905D7E"/>
    <w:rsid w:val="00907037"/>
    <w:rsid w:val="00907259"/>
    <w:rsid w:val="00910C5D"/>
    <w:rsid w:val="0091112C"/>
    <w:rsid w:val="0091160A"/>
    <w:rsid w:val="00912E04"/>
    <w:rsid w:val="00913258"/>
    <w:rsid w:val="00913851"/>
    <w:rsid w:val="00913BB0"/>
    <w:rsid w:val="0091456C"/>
    <w:rsid w:val="00914C58"/>
    <w:rsid w:val="00914D7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6112"/>
    <w:rsid w:val="0092625F"/>
    <w:rsid w:val="00926B28"/>
    <w:rsid w:val="00926D9C"/>
    <w:rsid w:val="00926E66"/>
    <w:rsid w:val="00927028"/>
    <w:rsid w:val="0092756F"/>
    <w:rsid w:val="00927763"/>
    <w:rsid w:val="00927A2D"/>
    <w:rsid w:val="00927B37"/>
    <w:rsid w:val="009321B1"/>
    <w:rsid w:val="009327F0"/>
    <w:rsid w:val="00932ED7"/>
    <w:rsid w:val="0093422D"/>
    <w:rsid w:val="0093483B"/>
    <w:rsid w:val="00934CF9"/>
    <w:rsid w:val="00934DD7"/>
    <w:rsid w:val="0093555C"/>
    <w:rsid w:val="00935CB2"/>
    <w:rsid w:val="009369A9"/>
    <w:rsid w:val="00936CF7"/>
    <w:rsid w:val="00937783"/>
    <w:rsid w:val="00937EAD"/>
    <w:rsid w:val="00937F28"/>
    <w:rsid w:val="00940FE1"/>
    <w:rsid w:val="00941474"/>
    <w:rsid w:val="00942306"/>
    <w:rsid w:val="009424B8"/>
    <w:rsid w:val="009432E2"/>
    <w:rsid w:val="00944668"/>
    <w:rsid w:val="00944DC6"/>
    <w:rsid w:val="0094545B"/>
    <w:rsid w:val="00945644"/>
    <w:rsid w:val="0094579F"/>
    <w:rsid w:val="009458B0"/>
    <w:rsid w:val="00945B52"/>
    <w:rsid w:val="00945B7A"/>
    <w:rsid w:val="00945F05"/>
    <w:rsid w:val="00946348"/>
    <w:rsid w:val="00946D8A"/>
    <w:rsid w:val="00947224"/>
    <w:rsid w:val="00947797"/>
    <w:rsid w:val="009478A2"/>
    <w:rsid w:val="009533BD"/>
    <w:rsid w:val="009536FB"/>
    <w:rsid w:val="00953808"/>
    <w:rsid w:val="009539A6"/>
    <w:rsid w:val="00954032"/>
    <w:rsid w:val="00954537"/>
    <w:rsid w:val="0095472D"/>
    <w:rsid w:val="00955342"/>
    <w:rsid w:val="00955FBB"/>
    <w:rsid w:val="0095694B"/>
    <w:rsid w:val="00956BD5"/>
    <w:rsid w:val="00956D84"/>
    <w:rsid w:val="009577B5"/>
    <w:rsid w:val="0095789E"/>
    <w:rsid w:val="009608E6"/>
    <w:rsid w:val="00960F57"/>
    <w:rsid w:val="00961C90"/>
    <w:rsid w:val="00965443"/>
    <w:rsid w:val="00965954"/>
    <w:rsid w:val="00965A21"/>
    <w:rsid w:val="00965E55"/>
    <w:rsid w:val="0096608E"/>
    <w:rsid w:val="00966522"/>
    <w:rsid w:val="00966C33"/>
    <w:rsid w:val="00970F18"/>
    <w:rsid w:val="00971CF1"/>
    <w:rsid w:val="00971F5D"/>
    <w:rsid w:val="0097206B"/>
    <w:rsid w:val="009721E9"/>
    <w:rsid w:val="00973772"/>
    <w:rsid w:val="009739F8"/>
    <w:rsid w:val="00974C8A"/>
    <w:rsid w:val="0097560A"/>
    <w:rsid w:val="00975E1E"/>
    <w:rsid w:val="00975E70"/>
    <w:rsid w:val="009761DE"/>
    <w:rsid w:val="009766FA"/>
    <w:rsid w:val="009779D8"/>
    <w:rsid w:val="00977CD6"/>
    <w:rsid w:val="0098048B"/>
    <w:rsid w:val="00980908"/>
    <w:rsid w:val="00980DF9"/>
    <w:rsid w:val="00981CD8"/>
    <w:rsid w:val="0098243D"/>
    <w:rsid w:val="00982D26"/>
    <w:rsid w:val="00983B6E"/>
    <w:rsid w:val="00983FE5"/>
    <w:rsid w:val="009849E9"/>
    <w:rsid w:val="00984AFF"/>
    <w:rsid w:val="009859E4"/>
    <w:rsid w:val="00985D7F"/>
    <w:rsid w:val="00987812"/>
    <w:rsid w:val="00990225"/>
    <w:rsid w:val="00991307"/>
    <w:rsid w:val="00991FAA"/>
    <w:rsid w:val="00992A13"/>
    <w:rsid w:val="00994AAD"/>
    <w:rsid w:val="00995150"/>
    <w:rsid w:val="009951A4"/>
    <w:rsid w:val="00995D67"/>
    <w:rsid w:val="00997613"/>
    <w:rsid w:val="009A013B"/>
    <w:rsid w:val="009A02F4"/>
    <w:rsid w:val="009A06BF"/>
    <w:rsid w:val="009A0D17"/>
    <w:rsid w:val="009A1FD8"/>
    <w:rsid w:val="009A2494"/>
    <w:rsid w:val="009A32B1"/>
    <w:rsid w:val="009A33A3"/>
    <w:rsid w:val="009A36F2"/>
    <w:rsid w:val="009A383D"/>
    <w:rsid w:val="009A3BCA"/>
    <w:rsid w:val="009A3C81"/>
    <w:rsid w:val="009A40C3"/>
    <w:rsid w:val="009A40D5"/>
    <w:rsid w:val="009A5268"/>
    <w:rsid w:val="009A56B1"/>
    <w:rsid w:val="009A57D0"/>
    <w:rsid w:val="009A6559"/>
    <w:rsid w:val="009A68FC"/>
    <w:rsid w:val="009A6CE4"/>
    <w:rsid w:val="009A7514"/>
    <w:rsid w:val="009A7E7A"/>
    <w:rsid w:val="009B0925"/>
    <w:rsid w:val="009B1584"/>
    <w:rsid w:val="009B18F0"/>
    <w:rsid w:val="009B1F4C"/>
    <w:rsid w:val="009B2471"/>
    <w:rsid w:val="009B2515"/>
    <w:rsid w:val="009B2A25"/>
    <w:rsid w:val="009B314F"/>
    <w:rsid w:val="009B439C"/>
    <w:rsid w:val="009B49A1"/>
    <w:rsid w:val="009B4A6C"/>
    <w:rsid w:val="009B4B06"/>
    <w:rsid w:val="009B4DA8"/>
    <w:rsid w:val="009B519A"/>
    <w:rsid w:val="009B620C"/>
    <w:rsid w:val="009B6753"/>
    <w:rsid w:val="009B676C"/>
    <w:rsid w:val="009B6A26"/>
    <w:rsid w:val="009B6B20"/>
    <w:rsid w:val="009B6BD0"/>
    <w:rsid w:val="009B73B6"/>
    <w:rsid w:val="009C079D"/>
    <w:rsid w:val="009C0D70"/>
    <w:rsid w:val="009C13D1"/>
    <w:rsid w:val="009C2913"/>
    <w:rsid w:val="009C2BD4"/>
    <w:rsid w:val="009C3001"/>
    <w:rsid w:val="009C5AFE"/>
    <w:rsid w:val="009C6606"/>
    <w:rsid w:val="009C6CE5"/>
    <w:rsid w:val="009C6D50"/>
    <w:rsid w:val="009C7547"/>
    <w:rsid w:val="009D05EC"/>
    <w:rsid w:val="009D18D4"/>
    <w:rsid w:val="009D1FCF"/>
    <w:rsid w:val="009D2F60"/>
    <w:rsid w:val="009D3485"/>
    <w:rsid w:val="009D3A2E"/>
    <w:rsid w:val="009D5ADE"/>
    <w:rsid w:val="009D5BAC"/>
    <w:rsid w:val="009D5C56"/>
    <w:rsid w:val="009D6265"/>
    <w:rsid w:val="009D64BD"/>
    <w:rsid w:val="009D6CB1"/>
    <w:rsid w:val="009E0286"/>
    <w:rsid w:val="009E153F"/>
    <w:rsid w:val="009E18C5"/>
    <w:rsid w:val="009E277F"/>
    <w:rsid w:val="009E322A"/>
    <w:rsid w:val="009E393E"/>
    <w:rsid w:val="009E444E"/>
    <w:rsid w:val="009E4968"/>
    <w:rsid w:val="009E663C"/>
    <w:rsid w:val="009E684A"/>
    <w:rsid w:val="009E6BB1"/>
    <w:rsid w:val="009E6DB2"/>
    <w:rsid w:val="009E6E14"/>
    <w:rsid w:val="009E71FF"/>
    <w:rsid w:val="009E794A"/>
    <w:rsid w:val="009E7C14"/>
    <w:rsid w:val="009F0494"/>
    <w:rsid w:val="009F0CD9"/>
    <w:rsid w:val="009F1A79"/>
    <w:rsid w:val="009F1F57"/>
    <w:rsid w:val="009F2DDD"/>
    <w:rsid w:val="009F2F84"/>
    <w:rsid w:val="009F3447"/>
    <w:rsid w:val="009F4D20"/>
    <w:rsid w:val="009F65F4"/>
    <w:rsid w:val="009F676B"/>
    <w:rsid w:val="009F6D2D"/>
    <w:rsid w:val="009F6D54"/>
    <w:rsid w:val="009F7758"/>
    <w:rsid w:val="009F7F7D"/>
    <w:rsid w:val="00A004DF"/>
    <w:rsid w:val="00A00FD5"/>
    <w:rsid w:val="00A012C0"/>
    <w:rsid w:val="00A019A8"/>
    <w:rsid w:val="00A01B03"/>
    <w:rsid w:val="00A01B89"/>
    <w:rsid w:val="00A02C66"/>
    <w:rsid w:val="00A02C84"/>
    <w:rsid w:val="00A0464C"/>
    <w:rsid w:val="00A050BB"/>
    <w:rsid w:val="00A0521B"/>
    <w:rsid w:val="00A054E0"/>
    <w:rsid w:val="00A05D91"/>
    <w:rsid w:val="00A0740B"/>
    <w:rsid w:val="00A07ED3"/>
    <w:rsid w:val="00A1067B"/>
    <w:rsid w:val="00A10CA8"/>
    <w:rsid w:val="00A11042"/>
    <w:rsid w:val="00A12260"/>
    <w:rsid w:val="00A12579"/>
    <w:rsid w:val="00A12CDC"/>
    <w:rsid w:val="00A133D8"/>
    <w:rsid w:val="00A15655"/>
    <w:rsid w:val="00A160B0"/>
    <w:rsid w:val="00A1740C"/>
    <w:rsid w:val="00A17904"/>
    <w:rsid w:val="00A20069"/>
    <w:rsid w:val="00A21787"/>
    <w:rsid w:val="00A2244D"/>
    <w:rsid w:val="00A2253D"/>
    <w:rsid w:val="00A2267F"/>
    <w:rsid w:val="00A22CDB"/>
    <w:rsid w:val="00A247B8"/>
    <w:rsid w:val="00A2495A"/>
    <w:rsid w:val="00A24C7A"/>
    <w:rsid w:val="00A24D85"/>
    <w:rsid w:val="00A24D8F"/>
    <w:rsid w:val="00A25B8B"/>
    <w:rsid w:val="00A2689F"/>
    <w:rsid w:val="00A26ECA"/>
    <w:rsid w:val="00A27461"/>
    <w:rsid w:val="00A27D67"/>
    <w:rsid w:val="00A30ABC"/>
    <w:rsid w:val="00A32760"/>
    <w:rsid w:val="00A3297E"/>
    <w:rsid w:val="00A33B74"/>
    <w:rsid w:val="00A3467F"/>
    <w:rsid w:val="00A34B4C"/>
    <w:rsid w:val="00A35030"/>
    <w:rsid w:val="00A3551A"/>
    <w:rsid w:val="00A35F6F"/>
    <w:rsid w:val="00A366A0"/>
    <w:rsid w:val="00A37209"/>
    <w:rsid w:val="00A37584"/>
    <w:rsid w:val="00A376E8"/>
    <w:rsid w:val="00A37EE0"/>
    <w:rsid w:val="00A37F8E"/>
    <w:rsid w:val="00A41537"/>
    <w:rsid w:val="00A41737"/>
    <w:rsid w:val="00A42B8F"/>
    <w:rsid w:val="00A42D15"/>
    <w:rsid w:val="00A42D8E"/>
    <w:rsid w:val="00A43254"/>
    <w:rsid w:val="00A43896"/>
    <w:rsid w:val="00A43951"/>
    <w:rsid w:val="00A43A26"/>
    <w:rsid w:val="00A447A0"/>
    <w:rsid w:val="00A459F5"/>
    <w:rsid w:val="00A45FC0"/>
    <w:rsid w:val="00A46B74"/>
    <w:rsid w:val="00A47BF7"/>
    <w:rsid w:val="00A47ECC"/>
    <w:rsid w:val="00A50171"/>
    <w:rsid w:val="00A50444"/>
    <w:rsid w:val="00A504FA"/>
    <w:rsid w:val="00A5102E"/>
    <w:rsid w:val="00A5132E"/>
    <w:rsid w:val="00A51375"/>
    <w:rsid w:val="00A51533"/>
    <w:rsid w:val="00A531D4"/>
    <w:rsid w:val="00A54572"/>
    <w:rsid w:val="00A569A4"/>
    <w:rsid w:val="00A571A5"/>
    <w:rsid w:val="00A575B8"/>
    <w:rsid w:val="00A619BB"/>
    <w:rsid w:val="00A61BC6"/>
    <w:rsid w:val="00A61C60"/>
    <w:rsid w:val="00A61E78"/>
    <w:rsid w:val="00A61ECB"/>
    <w:rsid w:val="00A6410C"/>
    <w:rsid w:val="00A64604"/>
    <w:rsid w:val="00A647B1"/>
    <w:rsid w:val="00A64DEF"/>
    <w:rsid w:val="00A654D2"/>
    <w:rsid w:val="00A654F3"/>
    <w:rsid w:val="00A665DF"/>
    <w:rsid w:val="00A66767"/>
    <w:rsid w:val="00A67CB9"/>
    <w:rsid w:val="00A67FCC"/>
    <w:rsid w:val="00A70AA5"/>
    <w:rsid w:val="00A70C03"/>
    <w:rsid w:val="00A71256"/>
    <w:rsid w:val="00A7217B"/>
    <w:rsid w:val="00A722D7"/>
    <w:rsid w:val="00A723A3"/>
    <w:rsid w:val="00A73861"/>
    <w:rsid w:val="00A739A6"/>
    <w:rsid w:val="00A740ED"/>
    <w:rsid w:val="00A749A9"/>
    <w:rsid w:val="00A74C29"/>
    <w:rsid w:val="00A74C62"/>
    <w:rsid w:val="00A75EF9"/>
    <w:rsid w:val="00A7657C"/>
    <w:rsid w:val="00A8311C"/>
    <w:rsid w:val="00A835D0"/>
    <w:rsid w:val="00A83754"/>
    <w:rsid w:val="00A849A0"/>
    <w:rsid w:val="00A84C5F"/>
    <w:rsid w:val="00A84CFA"/>
    <w:rsid w:val="00A85930"/>
    <w:rsid w:val="00A861BE"/>
    <w:rsid w:val="00A863F7"/>
    <w:rsid w:val="00A86604"/>
    <w:rsid w:val="00A87519"/>
    <w:rsid w:val="00A9246D"/>
    <w:rsid w:val="00A92B11"/>
    <w:rsid w:val="00A92CCA"/>
    <w:rsid w:val="00A93BD0"/>
    <w:rsid w:val="00A93CC2"/>
    <w:rsid w:val="00A94D4B"/>
    <w:rsid w:val="00A9509F"/>
    <w:rsid w:val="00A95F11"/>
    <w:rsid w:val="00A974CC"/>
    <w:rsid w:val="00AA1738"/>
    <w:rsid w:val="00AA1D03"/>
    <w:rsid w:val="00AA2001"/>
    <w:rsid w:val="00AA2B5C"/>
    <w:rsid w:val="00AA32D2"/>
    <w:rsid w:val="00AA3B8B"/>
    <w:rsid w:val="00AA4016"/>
    <w:rsid w:val="00AA4C1F"/>
    <w:rsid w:val="00AA5328"/>
    <w:rsid w:val="00AA536E"/>
    <w:rsid w:val="00AA5393"/>
    <w:rsid w:val="00AA63D4"/>
    <w:rsid w:val="00AB01C2"/>
    <w:rsid w:val="00AB03FD"/>
    <w:rsid w:val="00AB2000"/>
    <w:rsid w:val="00AB38CB"/>
    <w:rsid w:val="00AB3BEC"/>
    <w:rsid w:val="00AB44E4"/>
    <w:rsid w:val="00AB4AEB"/>
    <w:rsid w:val="00AB4E5F"/>
    <w:rsid w:val="00AB5352"/>
    <w:rsid w:val="00AB56AE"/>
    <w:rsid w:val="00AB62D5"/>
    <w:rsid w:val="00AB65B5"/>
    <w:rsid w:val="00AB68D5"/>
    <w:rsid w:val="00AB6DCD"/>
    <w:rsid w:val="00AB6EE0"/>
    <w:rsid w:val="00AC166D"/>
    <w:rsid w:val="00AC17A2"/>
    <w:rsid w:val="00AC272D"/>
    <w:rsid w:val="00AC40B7"/>
    <w:rsid w:val="00AC531F"/>
    <w:rsid w:val="00AC58DF"/>
    <w:rsid w:val="00AC5B36"/>
    <w:rsid w:val="00AC6104"/>
    <w:rsid w:val="00AC6377"/>
    <w:rsid w:val="00AC66A4"/>
    <w:rsid w:val="00AC6CB1"/>
    <w:rsid w:val="00AC6D38"/>
    <w:rsid w:val="00AC75E9"/>
    <w:rsid w:val="00AC7D6D"/>
    <w:rsid w:val="00AD0091"/>
    <w:rsid w:val="00AD23EF"/>
    <w:rsid w:val="00AD2662"/>
    <w:rsid w:val="00AD307B"/>
    <w:rsid w:val="00AD4014"/>
    <w:rsid w:val="00AD41B3"/>
    <w:rsid w:val="00AD5721"/>
    <w:rsid w:val="00AD69F0"/>
    <w:rsid w:val="00AD7127"/>
    <w:rsid w:val="00AD730C"/>
    <w:rsid w:val="00AE0FC2"/>
    <w:rsid w:val="00AE123A"/>
    <w:rsid w:val="00AE1539"/>
    <w:rsid w:val="00AE28A7"/>
    <w:rsid w:val="00AE2A98"/>
    <w:rsid w:val="00AE2CF2"/>
    <w:rsid w:val="00AE3012"/>
    <w:rsid w:val="00AE3297"/>
    <w:rsid w:val="00AE33A6"/>
    <w:rsid w:val="00AE3513"/>
    <w:rsid w:val="00AE3729"/>
    <w:rsid w:val="00AE4A3E"/>
    <w:rsid w:val="00AE4CCE"/>
    <w:rsid w:val="00AE5C6A"/>
    <w:rsid w:val="00AE7280"/>
    <w:rsid w:val="00AF01FA"/>
    <w:rsid w:val="00AF033A"/>
    <w:rsid w:val="00AF162F"/>
    <w:rsid w:val="00AF1658"/>
    <w:rsid w:val="00AF1699"/>
    <w:rsid w:val="00AF1FD3"/>
    <w:rsid w:val="00AF2910"/>
    <w:rsid w:val="00AF34B8"/>
    <w:rsid w:val="00AF3896"/>
    <w:rsid w:val="00AF39C9"/>
    <w:rsid w:val="00AF3FC2"/>
    <w:rsid w:val="00AF4DEC"/>
    <w:rsid w:val="00B003FF"/>
    <w:rsid w:val="00B0098A"/>
    <w:rsid w:val="00B00A5F"/>
    <w:rsid w:val="00B029B8"/>
    <w:rsid w:val="00B02F60"/>
    <w:rsid w:val="00B02F94"/>
    <w:rsid w:val="00B032B8"/>
    <w:rsid w:val="00B03B58"/>
    <w:rsid w:val="00B04721"/>
    <w:rsid w:val="00B04935"/>
    <w:rsid w:val="00B04B15"/>
    <w:rsid w:val="00B04B46"/>
    <w:rsid w:val="00B0523D"/>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014"/>
    <w:rsid w:val="00B20F18"/>
    <w:rsid w:val="00B21516"/>
    <w:rsid w:val="00B21A37"/>
    <w:rsid w:val="00B21D23"/>
    <w:rsid w:val="00B21F62"/>
    <w:rsid w:val="00B22418"/>
    <w:rsid w:val="00B22CE0"/>
    <w:rsid w:val="00B23738"/>
    <w:rsid w:val="00B23BEF"/>
    <w:rsid w:val="00B247BB"/>
    <w:rsid w:val="00B2504A"/>
    <w:rsid w:val="00B2519B"/>
    <w:rsid w:val="00B25EE6"/>
    <w:rsid w:val="00B307D6"/>
    <w:rsid w:val="00B3115A"/>
    <w:rsid w:val="00B3178B"/>
    <w:rsid w:val="00B31825"/>
    <w:rsid w:val="00B31A5C"/>
    <w:rsid w:val="00B32265"/>
    <w:rsid w:val="00B3276D"/>
    <w:rsid w:val="00B3344B"/>
    <w:rsid w:val="00B33B06"/>
    <w:rsid w:val="00B33C19"/>
    <w:rsid w:val="00B34608"/>
    <w:rsid w:val="00B35684"/>
    <w:rsid w:val="00B35A15"/>
    <w:rsid w:val="00B35B45"/>
    <w:rsid w:val="00B35CA6"/>
    <w:rsid w:val="00B36165"/>
    <w:rsid w:val="00B36A99"/>
    <w:rsid w:val="00B42264"/>
    <w:rsid w:val="00B42DDF"/>
    <w:rsid w:val="00B434B2"/>
    <w:rsid w:val="00B43D45"/>
    <w:rsid w:val="00B459AF"/>
    <w:rsid w:val="00B468F2"/>
    <w:rsid w:val="00B469DE"/>
    <w:rsid w:val="00B47286"/>
    <w:rsid w:val="00B47EB4"/>
    <w:rsid w:val="00B50234"/>
    <w:rsid w:val="00B51BF4"/>
    <w:rsid w:val="00B52C68"/>
    <w:rsid w:val="00B5372B"/>
    <w:rsid w:val="00B5384B"/>
    <w:rsid w:val="00B542FE"/>
    <w:rsid w:val="00B55A1B"/>
    <w:rsid w:val="00B561DB"/>
    <w:rsid w:val="00B56DF9"/>
    <w:rsid w:val="00B56E80"/>
    <w:rsid w:val="00B571F1"/>
    <w:rsid w:val="00B600BD"/>
    <w:rsid w:val="00B604A2"/>
    <w:rsid w:val="00B60E4E"/>
    <w:rsid w:val="00B61274"/>
    <w:rsid w:val="00B61DCE"/>
    <w:rsid w:val="00B62188"/>
    <w:rsid w:val="00B62F79"/>
    <w:rsid w:val="00B62F82"/>
    <w:rsid w:val="00B6306A"/>
    <w:rsid w:val="00B633AB"/>
    <w:rsid w:val="00B635E3"/>
    <w:rsid w:val="00B6567B"/>
    <w:rsid w:val="00B662FF"/>
    <w:rsid w:val="00B66679"/>
    <w:rsid w:val="00B70145"/>
    <w:rsid w:val="00B701D1"/>
    <w:rsid w:val="00B71293"/>
    <w:rsid w:val="00B71A92"/>
    <w:rsid w:val="00B721D8"/>
    <w:rsid w:val="00B730CA"/>
    <w:rsid w:val="00B732EA"/>
    <w:rsid w:val="00B73747"/>
    <w:rsid w:val="00B747C5"/>
    <w:rsid w:val="00B74F2F"/>
    <w:rsid w:val="00B753ED"/>
    <w:rsid w:val="00B758E7"/>
    <w:rsid w:val="00B7665F"/>
    <w:rsid w:val="00B769BC"/>
    <w:rsid w:val="00B770F7"/>
    <w:rsid w:val="00B77349"/>
    <w:rsid w:val="00B7761E"/>
    <w:rsid w:val="00B77953"/>
    <w:rsid w:val="00B80A3D"/>
    <w:rsid w:val="00B80B04"/>
    <w:rsid w:val="00B81103"/>
    <w:rsid w:val="00B821E4"/>
    <w:rsid w:val="00B823E0"/>
    <w:rsid w:val="00B8260D"/>
    <w:rsid w:val="00B82B78"/>
    <w:rsid w:val="00B82DE9"/>
    <w:rsid w:val="00B838FD"/>
    <w:rsid w:val="00B845B4"/>
    <w:rsid w:val="00B84662"/>
    <w:rsid w:val="00B84C74"/>
    <w:rsid w:val="00B84CE9"/>
    <w:rsid w:val="00B85191"/>
    <w:rsid w:val="00B858A1"/>
    <w:rsid w:val="00B85FEC"/>
    <w:rsid w:val="00B864A3"/>
    <w:rsid w:val="00B86728"/>
    <w:rsid w:val="00B86C2A"/>
    <w:rsid w:val="00B8759A"/>
    <w:rsid w:val="00B902A5"/>
    <w:rsid w:val="00B90420"/>
    <w:rsid w:val="00B90848"/>
    <w:rsid w:val="00B91146"/>
    <w:rsid w:val="00B913E4"/>
    <w:rsid w:val="00B91DB9"/>
    <w:rsid w:val="00B91FF3"/>
    <w:rsid w:val="00B925F8"/>
    <w:rsid w:val="00B93EFE"/>
    <w:rsid w:val="00B944B9"/>
    <w:rsid w:val="00B94956"/>
    <w:rsid w:val="00B949EB"/>
    <w:rsid w:val="00B94C7F"/>
    <w:rsid w:val="00B94E93"/>
    <w:rsid w:val="00B956B5"/>
    <w:rsid w:val="00B95956"/>
    <w:rsid w:val="00B96DF2"/>
    <w:rsid w:val="00B96E18"/>
    <w:rsid w:val="00B96F5A"/>
    <w:rsid w:val="00B970CA"/>
    <w:rsid w:val="00BA0B39"/>
    <w:rsid w:val="00BA0CB2"/>
    <w:rsid w:val="00BA0E26"/>
    <w:rsid w:val="00BA138B"/>
    <w:rsid w:val="00BA305B"/>
    <w:rsid w:val="00BA31BF"/>
    <w:rsid w:val="00BA3C0F"/>
    <w:rsid w:val="00BA3FC7"/>
    <w:rsid w:val="00BA478B"/>
    <w:rsid w:val="00BA4ABD"/>
    <w:rsid w:val="00BA4BB4"/>
    <w:rsid w:val="00BA5224"/>
    <w:rsid w:val="00BA575E"/>
    <w:rsid w:val="00BA76B7"/>
    <w:rsid w:val="00BA7E3B"/>
    <w:rsid w:val="00BB078D"/>
    <w:rsid w:val="00BB079C"/>
    <w:rsid w:val="00BB0D7A"/>
    <w:rsid w:val="00BB10E1"/>
    <w:rsid w:val="00BB2471"/>
    <w:rsid w:val="00BB3035"/>
    <w:rsid w:val="00BB366E"/>
    <w:rsid w:val="00BB39C1"/>
    <w:rsid w:val="00BB3DF5"/>
    <w:rsid w:val="00BB3EA7"/>
    <w:rsid w:val="00BB5D16"/>
    <w:rsid w:val="00BB6180"/>
    <w:rsid w:val="00BB64CA"/>
    <w:rsid w:val="00BB69E6"/>
    <w:rsid w:val="00BB6DC3"/>
    <w:rsid w:val="00BB7323"/>
    <w:rsid w:val="00BB7BE5"/>
    <w:rsid w:val="00BC07C8"/>
    <w:rsid w:val="00BC08BD"/>
    <w:rsid w:val="00BC11E8"/>
    <w:rsid w:val="00BC1B7A"/>
    <w:rsid w:val="00BC2C17"/>
    <w:rsid w:val="00BC3ACD"/>
    <w:rsid w:val="00BC3B20"/>
    <w:rsid w:val="00BC3EE4"/>
    <w:rsid w:val="00BC4577"/>
    <w:rsid w:val="00BC588C"/>
    <w:rsid w:val="00BC6E73"/>
    <w:rsid w:val="00BC74D3"/>
    <w:rsid w:val="00BD0014"/>
    <w:rsid w:val="00BD01D8"/>
    <w:rsid w:val="00BD255F"/>
    <w:rsid w:val="00BD2895"/>
    <w:rsid w:val="00BD4236"/>
    <w:rsid w:val="00BD483B"/>
    <w:rsid w:val="00BD51F9"/>
    <w:rsid w:val="00BD5977"/>
    <w:rsid w:val="00BD5CD4"/>
    <w:rsid w:val="00BD5D1D"/>
    <w:rsid w:val="00BD65D9"/>
    <w:rsid w:val="00BD6DF3"/>
    <w:rsid w:val="00BD6E09"/>
    <w:rsid w:val="00BD6EF9"/>
    <w:rsid w:val="00BE0ACB"/>
    <w:rsid w:val="00BE1C07"/>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22E9"/>
    <w:rsid w:val="00BF3AFD"/>
    <w:rsid w:val="00BF4342"/>
    <w:rsid w:val="00BF4704"/>
    <w:rsid w:val="00BF4A1A"/>
    <w:rsid w:val="00BF4FFC"/>
    <w:rsid w:val="00BF5050"/>
    <w:rsid w:val="00BF50D1"/>
    <w:rsid w:val="00BF5422"/>
    <w:rsid w:val="00BF59B1"/>
    <w:rsid w:val="00BF606A"/>
    <w:rsid w:val="00BF6163"/>
    <w:rsid w:val="00BF6625"/>
    <w:rsid w:val="00BF6A78"/>
    <w:rsid w:val="00BF7114"/>
    <w:rsid w:val="00BF7695"/>
    <w:rsid w:val="00BF79B4"/>
    <w:rsid w:val="00BF7C61"/>
    <w:rsid w:val="00C01427"/>
    <w:rsid w:val="00C014C7"/>
    <w:rsid w:val="00C01CD4"/>
    <w:rsid w:val="00C031CF"/>
    <w:rsid w:val="00C047AB"/>
    <w:rsid w:val="00C04895"/>
    <w:rsid w:val="00C058AF"/>
    <w:rsid w:val="00C075B6"/>
    <w:rsid w:val="00C1066D"/>
    <w:rsid w:val="00C124C1"/>
    <w:rsid w:val="00C128AE"/>
    <w:rsid w:val="00C12BA8"/>
    <w:rsid w:val="00C13094"/>
    <w:rsid w:val="00C136D6"/>
    <w:rsid w:val="00C13D5B"/>
    <w:rsid w:val="00C141D7"/>
    <w:rsid w:val="00C14329"/>
    <w:rsid w:val="00C1711B"/>
    <w:rsid w:val="00C17AE2"/>
    <w:rsid w:val="00C20140"/>
    <w:rsid w:val="00C20537"/>
    <w:rsid w:val="00C20E7C"/>
    <w:rsid w:val="00C20F27"/>
    <w:rsid w:val="00C215CF"/>
    <w:rsid w:val="00C2244B"/>
    <w:rsid w:val="00C22711"/>
    <w:rsid w:val="00C2280A"/>
    <w:rsid w:val="00C22B0D"/>
    <w:rsid w:val="00C22BFF"/>
    <w:rsid w:val="00C23522"/>
    <w:rsid w:val="00C240C1"/>
    <w:rsid w:val="00C244A1"/>
    <w:rsid w:val="00C24AED"/>
    <w:rsid w:val="00C250D0"/>
    <w:rsid w:val="00C252AC"/>
    <w:rsid w:val="00C25B30"/>
    <w:rsid w:val="00C25C0F"/>
    <w:rsid w:val="00C26567"/>
    <w:rsid w:val="00C26923"/>
    <w:rsid w:val="00C27214"/>
    <w:rsid w:val="00C27597"/>
    <w:rsid w:val="00C27E5E"/>
    <w:rsid w:val="00C30382"/>
    <w:rsid w:val="00C30772"/>
    <w:rsid w:val="00C30D6F"/>
    <w:rsid w:val="00C31063"/>
    <w:rsid w:val="00C31B7E"/>
    <w:rsid w:val="00C32024"/>
    <w:rsid w:val="00C322D1"/>
    <w:rsid w:val="00C3242A"/>
    <w:rsid w:val="00C33201"/>
    <w:rsid w:val="00C33A39"/>
    <w:rsid w:val="00C341D1"/>
    <w:rsid w:val="00C34619"/>
    <w:rsid w:val="00C348D9"/>
    <w:rsid w:val="00C35D01"/>
    <w:rsid w:val="00C360B3"/>
    <w:rsid w:val="00C368FB"/>
    <w:rsid w:val="00C37027"/>
    <w:rsid w:val="00C373BF"/>
    <w:rsid w:val="00C37B19"/>
    <w:rsid w:val="00C4031E"/>
    <w:rsid w:val="00C40993"/>
    <w:rsid w:val="00C41349"/>
    <w:rsid w:val="00C413CB"/>
    <w:rsid w:val="00C42752"/>
    <w:rsid w:val="00C42973"/>
    <w:rsid w:val="00C46B95"/>
    <w:rsid w:val="00C4712A"/>
    <w:rsid w:val="00C5034F"/>
    <w:rsid w:val="00C50830"/>
    <w:rsid w:val="00C52479"/>
    <w:rsid w:val="00C5266E"/>
    <w:rsid w:val="00C52C59"/>
    <w:rsid w:val="00C533F8"/>
    <w:rsid w:val="00C5349E"/>
    <w:rsid w:val="00C539FF"/>
    <w:rsid w:val="00C544BD"/>
    <w:rsid w:val="00C54D3D"/>
    <w:rsid w:val="00C55127"/>
    <w:rsid w:val="00C55A30"/>
    <w:rsid w:val="00C56384"/>
    <w:rsid w:val="00C60F8C"/>
    <w:rsid w:val="00C61424"/>
    <w:rsid w:val="00C61794"/>
    <w:rsid w:val="00C62A48"/>
    <w:rsid w:val="00C62AC4"/>
    <w:rsid w:val="00C62B59"/>
    <w:rsid w:val="00C62F96"/>
    <w:rsid w:val="00C631E1"/>
    <w:rsid w:val="00C638D8"/>
    <w:rsid w:val="00C63A43"/>
    <w:rsid w:val="00C63AE7"/>
    <w:rsid w:val="00C63D26"/>
    <w:rsid w:val="00C6540A"/>
    <w:rsid w:val="00C668A1"/>
    <w:rsid w:val="00C67223"/>
    <w:rsid w:val="00C707B8"/>
    <w:rsid w:val="00C712AC"/>
    <w:rsid w:val="00C71C15"/>
    <w:rsid w:val="00C71F3D"/>
    <w:rsid w:val="00C72F53"/>
    <w:rsid w:val="00C74035"/>
    <w:rsid w:val="00C748EA"/>
    <w:rsid w:val="00C75F32"/>
    <w:rsid w:val="00C77818"/>
    <w:rsid w:val="00C778A2"/>
    <w:rsid w:val="00C8063F"/>
    <w:rsid w:val="00C81282"/>
    <w:rsid w:val="00C827B4"/>
    <w:rsid w:val="00C83214"/>
    <w:rsid w:val="00C8329F"/>
    <w:rsid w:val="00C84F8A"/>
    <w:rsid w:val="00C85BA4"/>
    <w:rsid w:val="00C8618F"/>
    <w:rsid w:val="00C8625D"/>
    <w:rsid w:val="00C8744E"/>
    <w:rsid w:val="00C90372"/>
    <w:rsid w:val="00C9041F"/>
    <w:rsid w:val="00C9166B"/>
    <w:rsid w:val="00C91945"/>
    <w:rsid w:val="00C91A45"/>
    <w:rsid w:val="00C91FB4"/>
    <w:rsid w:val="00C92150"/>
    <w:rsid w:val="00C92328"/>
    <w:rsid w:val="00C92D42"/>
    <w:rsid w:val="00C92F22"/>
    <w:rsid w:val="00C938C2"/>
    <w:rsid w:val="00C93F8A"/>
    <w:rsid w:val="00C94EA1"/>
    <w:rsid w:val="00C95745"/>
    <w:rsid w:val="00C95902"/>
    <w:rsid w:val="00C962E3"/>
    <w:rsid w:val="00C978E2"/>
    <w:rsid w:val="00C97997"/>
    <w:rsid w:val="00CA0284"/>
    <w:rsid w:val="00CA10A2"/>
    <w:rsid w:val="00CA1D83"/>
    <w:rsid w:val="00CA1ED3"/>
    <w:rsid w:val="00CA25C0"/>
    <w:rsid w:val="00CA3451"/>
    <w:rsid w:val="00CA35C6"/>
    <w:rsid w:val="00CA4948"/>
    <w:rsid w:val="00CA52F9"/>
    <w:rsid w:val="00CA5368"/>
    <w:rsid w:val="00CA568B"/>
    <w:rsid w:val="00CA573A"/>
    <w:rsid w:val="00CA5C58"/>
    <w:rsid w:val="00CB19D7"/>
    <w:rsid w:val="00CB19FE"/>
    <w:rsid w:val="00CB1C3F"/>
    <w:rsid w:val="00CB2364"/>
    <w:rsid w:val="00CB2580"/>
    <w:rsid w:val="00CB304C"/>
    <w:rsid w:val="00CB3933"/>
    <w:rsid w:val="00CB5010"/>
    <w:rsid w:val="00CB53E8"/>
    <w:rsid w:val="00CB594A"/>
    <w:rsid w:val="00CB5CB2"/>
    <w:rsid w:val="00CB6979"/>
    <w:rsid w:val="00CB722D"/>
    <w:rsid w:val="00CB7DDE"/>
    <w:rsid w:val="00CC0A3D"/>
    <w:rsid w:val="00CC1F5E"/>
    <w:rsid w:val="00CC2840"/>
    <w:rsid w:val="00CC2A24"/>
    <w:rsid w:val="00CC2FF0"/>
    <w:rsid w:val="00CC3C53"/>
    <w:rsid w:val="00CC3D24"/>
    <w:rsid w:val="00CC3F91"/>
    <w:rsid w:val="00CC47EE"/>
    <w:rsid w:val="00CC4ACD"/>
    <w:rsid w:val="00CC4B0A"/>
    <w:rsid w:val="00CC4ED8"/>
    <w:rsid w:val="00CC544A"/>
    <w:rsid w:val="00CC57EA"/>
    <w:rsid w:val="00CC5954"/>
    <w:rsid w:val="00CC629B"/>
    <w:rsid w:val="00CC6C4E"/>
    <w:rsid w:val="00CD009D"/>
    <w:rsid w:val="00CD05A2"/>
    <w:rsid w:val="00CD29D4"/>
    <w:rsid w:val="00CD2B5C"/>
    <w:rsid w:val="00CD2FF3"/>
    <w:rsid w:val="00CD3323"/>
    <w:rsid w:val="00CD38F5"/>
    <w:rsid w:val="00CD3BF2"/>
    <w:rsid w:val="00CD437E"/>
    <w:rsid w:val="00CD4AAC"/>
    <w:rsid w:val="00CD5DAD"/>
    <w:rsid w:val="00CD72C5"/>
    <w:rsid w:val="00CD79A7"/>
    <w:rsid w:val="00CD7FAD"/>
    <w:rsid w:val="00CE0789"/>
    <w:rsid w:val="00CE0E8D"/>
    <w:rsid w:val="00CE1A03"/>
    <w:rsid w:val="00CE2346"/>
    <w:rsid w:val="00CE25B2"/>
    <w:rsid w:val="00CE3529"/>
    <w:rsid w:val="00CE35C8"/>
    <w:rsid w:val="00CE3962"/>
    <w:rsid w:val="00CE3C3D"/>
    <w:rsid w:val="00CE4D0A"/>
    <w:rsid w:val="00CE4D1A"/>
    <w:rsid w:val="00CE4E8A"/>
    <w:rsid w:val="00CE5105"/>
    <w:rsid w:val="00CE56BD"/>
    <w:rsid w:val="00CE5EC0"/>
    <w:rsid w:val="00CE68AD"/>
    <w:rsid w:val="00CE6F9B"/>
    <w:rsid w:val="00CE6F9F"/>
    <w:rsid w:val="00CE781A"/>
    <w:rsid w:val="00CE7B08"/>
    <w:rsid w:val="00CE7D52"/>
    <w:rsid w:val="00CF0AB7"/>
    <w:rsid w:val="00CF1D74"/>
    <w:rsid w:val="00CF2BE2"/>
    <w:rsid w:val="00CF3DEB"/>
    <w:rsid w:val="00CF55F9"/>
    <w:rsid w:val="00CF7074"/>
    <w:rsid w:val="00CF7495"/>
    <w:rsid w:val="00CF7D8D"/>
    <w:rsid w:val="00D01CF9"/>
    <w:rsid w:val="00D0334D"/>
    <w:rsid w:val="00D0374D"/>
    <w:rsid w:val="00D06D7B"/>
    <w:rsid w:val="00D06DA5"/>
    <w:rsid w:val="00D07191"/>
    <w:rsid w:val="00D07F1D"/>
    <w:rsid w:val="00D10558"/>
    <w:rsid w:val="00D10E7D"/>
    <w:rsid w:val="00D11D4D"/>
    <w:rsid w:val="00D11DB1"/>
    <w:rsid w:val="00D126DC"/>
    <w:rsid w:val="00D12B03"/>
    <w:rsid w:val="00D13E70"/>
    <w:rsid w:val="00D13EE7"/>
    <w:rsid w:val="00D15FCD"/>
    <w:rsid w:val="00D16C58"/>
    <w:rsid w:val="00D17019"/>
    <w:rsid w:val="00D17FC8"/>
    <w:rsid w:val="00D2015B"/>
    <w:rsid w:val="00D20B44"/>
    <w:rsid w:val="00D21168"/>
    <w:rsid w:val="00D2438C"/>
    <w:rsid w:val="00D2585A"/>
    <w:rsid w:val="00D259B0"/>
    <w:rsid w:val="00D259C2"/>
    <w:rsid w:val="00D25C88"/>
    <w:rsid w:val="00D26471"/>
    <w:rsid w:val="00D26C3F"/>
    <w:rsid w:val="00D27185"/>
    <w:rsid w:val="00D3028A"/>
    <w:rsid w:val="00D30AC5"/>
    <w:rsid w:val="00D31618"/>
    <w:rsid w:val="00D33488"/>
    <w:rsid w:val="00D33AB3"/>
    <w:rsid w:val="00D33F24"/>
    <w:rsid w:val="00D34160"/>
    <w:rsid w:val="00D346B8"/>
    <w:rsid w:val="00D34DCA"/>
    <w:rsid w:val="00D35AC8"/>
    <w:rsid w:val="00D35E80"/>
    <w:rsid w:val="00D36165"/>
    <w:rsid w:val="00D36F87"/>
    <w:rsid w:val="00D37E4E"/>
    <w:rsid w:val="00D411EC"/>
    <w:rsid w:val="00D417D8"/>
    <w:rsid w:val="00D41CAB"/>
    <w:rsid w:val="00D41F78"/>
    <w:rsid w:val="00D42E6C"/>
    <w:rsid w:val="00D4351C"/>
    <w:rsid w:val="00D43B80"/>
    <w:rsid w:val="00D440FE"/>
    <w:rsid w:val="00D44988"/>
    <w:rsid w:val="00D45B4C"/>
    <w:rsid w:val="00D45BA4"/>
    <w:rsid w:val="00D471AF"/>
    <w:rsid w:val="00D471E2"/>
    <w:rsid w:val="00D4724F"/>
    <w:rsid w:val="00D50519"/>
    <w:rsid w:val="00D50779"/>
    <w:rsid w:val="00D51601"/>
    <w:rsid w:val="00D51ECB"/>
    <w:rsid w:val="00D5264C"/>
    <w:rsid w:val="00D52BBC"/>
    <w:rsid w:val="00D537FE"/>
    <w:rsid w:val="00D53BE5"/>
    <w:rsid w:val="00D53CC9"/>
    <w:rsid w:val="00D54A6A"/>
    <w:rsid w:val="00D54B8F"/>
    <w:rsid w:val="00D55848"/>
    <w:rsid w:val="00D55951"/>
    <w:rsid w:val="00D559F0"/>
    <w:rsid w:val="00D55BCC"/>
    <w:rsid w:val="00D5650F"/>
    <w:rsid w:val="00D57EB6"/>
    <w:rsid w:val="00D608C0"/>
    <w:rsid w:val="00D60BC2"/>
    <w:rsid w:val="00D60D6D"/>
    <w:rsid w:val="00D6128C"/>
    <w:rsid w:val="00D63B22"/>
    <w:rsid w:val="00D63C98"/>
    <w:rsid w:val="00D63EA5"/>
    <w:rsid w:val="00D66D8B"/>
    <w:rsid w:val="00D70849"/>
    <w:rsid w:val="00D71B08"/>
    <w:rsid w:val="00D72297"/>
    <w:rsid w:val="00D726FF"/>
    <w:rsid w:val="00D72A1C"/>
    <w:rsid w:val="00D7308F"/>
    <w:rsid w:val="00D7313E"/>
    <w:rsid w:val="00D73580"/>
    <w:rsid w:val="00D73802"/>
    <w:rsid w:val="00D73C2C"/>
    <w:rsid w:val="00D73D52"/>
    <w:rsid w:val="00D745E7"/>
    <w:rsid w:val="00D75758"/>
    <w:rsid w:val="00D75FDA"/>
    <w:rsid w:val="00D774ED"/>
    <w:rsid w:val="00D777C3"/>
    <w:rsid w:val="00D7797C"/>
    <w:rsid w:val="00D77C44"/>
    <w:rsid w:val="00D77F88"/>
    <w:rsid w:val="00D81AFA"/>
    <w:rsid w:val="00D81EAA"/>
    <w:rsid w:val="00D81F04"/>
    <w:rsid w:val="00D81FE2"/>
    <w:rsid w:val="00D8259F"/>
    <w:rsid w:val="00D825F2"/>
    <w:rsid w:val="00D8285C"/>
    <w:rsid w:val="00D828B1"/>
    <w:rsid w:val="00D82A55"/>
    <w:rsid w:val="00D830F8"/>
    <w:rsid w:val="00D83D49"/>
    <w:rsid w:val="00D84181"/>
    <w:rsid w:val="00D846AD"/>
    <w:rsid w:val="00D84754"/>
    <w:rsid w:val="00D84F27"/>
    <w:rsid w:val="00D853F0"/>
    <w:rsid w:val="00D85862"/>
    <w:rsid w:val="00D86A52"/>
    <w:rsid w:val="00D86C88"/>
    <w:rsid w:val="00D86D47"/>
    <w:rsid w:val="00D8710C"/>
    <w:rsid w:val="00D873C6"/>
    <w:rsid w:val="00D9074A"/>
    <w:rsid w:val="00D9099E"/>
    <w:rsid w:val="00D9193A"/>
    <w:rsid w:val="00D91DED"/>
    <w:rsid w:val="00D923B2"/>
    <w:rsid w:val="00D92463"/>
    <w:rsid w:val="00D936B5"/>
    <w:rsid w:val="00D93E64"/>
    <w:rsid w:val="00D93F64"/>
    <w:rsid w:val="00D94CA4"/>
    <w:rsid w:val="00D95E99"/>
    <w:rsid w:val="00D965D5"/>
    <w:rsid w:val="00D96D7E"/>
    <w:rsid w:val="00D97DA2"/>
    <w:rsid w:val="00DA0485"/>
    <w:rsid w:val="00DA1A3A"/>
    <w:rsid w:val="00DA2351"/>
    <w:rsid w:val="00DA249E"/>
    <w:rsid w:val="00DA2D3D"/>
    <w:rsid w:val="00DA3855"/>
    <w:rsid w:val="00DA39BA"/>
    <w:rsid w:val="00DA3FBF"/>
    <w:rsid w:val="00DA4C30"/>
    <w:rsid w:val="00DA641B"/>
    <w:rsid w:val="00DA6A44"/>
    <w:rsid w:val="00DA6EF0"/>
    <w:rsid w:val="00DA7A3C"/>
    <w:rsid w:val="00DB069C"/>
    <w:rsid w:val="00DB145E"/>
    <w:rsid w:val="00DB1966"/>
    <w:rsid w:val="00DB19CB"/>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1445"/>
    <w:rsid w:val="00DC21D8"/>
    <w:rsid w:val="00DC282A"/>
    <w:rsid w:val="00DC2DE8"/>
    <w:rsid w:val="00DC34DC"/>
    <w:rsid w:val="00DC3780"/>
    <w:rsid w:val="00DC3ADA"/>
    <w:rsid w:val="00DC3CC6"/>
    <w:rsid w:val="00DC3F55"/>
    <w:rsid w:val="00DC468B"/>
    <w:rsid w:val="00DC4782"/>
    <w:rsid w:val="00DC488D"/>
    <w:rsid w:val="00DC514A"/>
    <w:rsid w:val="00DC67B1"/>
    <w:rsid w:val="00DC7FBC"/>
    <w:rsid w:val="00DD0019"/>
    <w:rsid w:val="00DD132B"/>
    <w:rsid w:val="00DD1725"/>
    <w:rsid w:val="00DD2159"/>
    <w:rsid w:val="00DD218B"/>
    <w:rsid w:val="00DD2A18"/>
    <w:rsid w:val="00DD3044"/>
    <w:rsid w:val="00DD3737"/>
    <w:rsid w:val="00DD3985"/>
    <w:rsid w:val="00DD3FEE"/>
    <w:rsid w:val="00DD4676"/>
    <w:rsid w:val="00DD61E8"/>
    <w:rsid w:val="00DD62C0"/>
    <w:rsid w:val="00DD64DE"/>
    <w:rsid w:val="00DD66DE"/>
    <w:rsid w:val="00DD7859"/>
    <w:rsid w:val="00DD7B41"/>
    <w:rsid w:val="00DE0784"/>
    <w:rsid w:val="00DE0A1D"/>
    <w:rsid w:val="00DE15B2"/>
    <w:rsid w:val="00DE1A9A"/>
    <w:rsid w:val="00DE2108"/>
    <w:rsid w:val="00DE2800"/>
    <w:rsid w:val="00DE3D2C"/>
    <w:rsid w:val="00DE4513"/>
    <w:rsid w:val="00DE5E82"/>
    <w:rsid w:val="00DE5FA6"/>
    <w:rsid w:val="00DE6792"/>
    <w:rsid w:val="00DE6AA1"/>
    <w:rsid w:val="00DE7EF7"/>
    <w:rsid w:val="00DF015B"/>
    <w:rsid w:val="00DF02EC"/>
    <w:rsid w:val="00DF10FC"/>
    <w:rsid w:val="00DF1185"/>
    <w:rsid w:val="00DF1299"/>
    <w:rsid w:val="00DF1A70"/>
    <w:rsid w:val="00DF1E5F"/>
    <w:rsid w:val="00DF23A8"/>
    <w:rsid w:val="00DF2F27"/>
    <w:rsid w:val="00DF36B6"/>
    <w:rsid w:val="00DF4296"/>
    <w:rsid w:val="00DF5267"/>
    <w:rsid w:val="00DF53F0"/>
    <w:rsid w:val="00DF5F38"/>
    <w:rsid w:val="00DF6608"/>
    <w:rsid w:val="00DF6CCC"/>
    <w:rsid w:val="00DF6D0C"/>
    <w:rsid w:val="00DF6F64"/>
    <w:rsid w:val="00DF721E"/>
    <w:rsid w:val="00DF7549"/>
    <w:rsid w:val="00DF7B8A"/>
    <w:rsid w:val="00DF7C87"/>
    <w:rsid w:val="00E009B0"/>
    <w:rsid w:val="00E00A12"/>
    <w:rsid w:val="00E00B39"/>
    <w:rsid w:val="00E00C49"/>
    <w:rsid w:val="00E01A8B"/>
    <w:rsid w:val="00E01C9C"/>
    <w:rsid w:val="00E0219D"/>
    <w:rsid w:val="00E03662"/>
    <w:rsid w:val="00E04B0B"/>
    <w:rsid w:val="00E04BF4"/>
    <w:rsid w:val="00E04C0F"/>
    <w:rsid w:val="00E0570B"/>
    <w:rsid w:val="00E069C5"/>
    <w:rsid w:val="00E10913"/>
    <w:rsid w:val="00E10B87"/>
    <w:rsid w:val="00E121CE"/>
    <w:rsid w:val="00E12209"/>
    <w:rsid w:val="00E1478B"/>
    <w:rsid w:val="00E14FAC"/>
    <w:rsid w:val="00E15007"/>
    <w:rsid w:val="00E16277"/>
    <w:rsid w:val="00E16EC7"/>
    <w:rsid w:val="00E17DCC"/>
    <w:rsid w:val="00E21832"/>
    <w:rsid w:val="00E219CE"/>
    <w:rsid w:val="00E21D93"/>
    <w:rsid w:val="00E22D2A"/>
    <w:rsid w:val="00E24071"/>
    <w:rsid w:val="00E24DCA"/>
    <w:rsid w:val="00E24EBC"/>
    <w:rsid w:val="00E2522C"/>
    <w:rsid w:val="00E2552F"/>
    <w:rsid w:val="00E2599B"/>
    <w:rsid w:val="00E2710C"/>
    <w:rsid w:val="00E272BD"/>
    <w:rsid w:val="00E27428"/>
    <w:rsid w:val="00E305B4"/>
    <w:rsid w:val="00E3132E"/>
    <w:rsid w:val="00E31AFA"/>
    <w:rsid w:val="00E31CB7"/>
    <w:rsid w:val="00E324EE"/>
    <w:rsid w:val="00E34DB1"/>
    <w:rsid w:val="00E35931"/>
    <w:rsid w:val="00E359FF"/>
    <w:rsid w:val="00E3699A"/>
    <w:rsid w:val="00E402C5"/>
    <w:rsid w:val="00E402F4"/>
    <w:rsid w:val="00E405F1"/>
    <w:rsid w:val="00E40F9A"/>
    <w:rsid w:val="00E417DB"/>
    <w:rsid w:val="00E43054"/>
    <w:rsid w:val="00E43655"/>
    <w:rsid w:val="00E44440"/>
    <w:rsid w:val="00E46013"/>
    <w:rsid w:val="00E47099"/>
    <w:rsid w:val="00E47284"/>
    <w:rsid w:val="00E477C3"/>
    <w:rsid w:val="00E51E16"/>
    <w:rsid w:val="00E52DED"/>
    <w:rsid w:val="00E53730"/>
    <w:rsid w:val="00E5438D"/>
    <w:rsid w:val="00E54511"/>
    <w:rsid w:val="00E54E50"/>
    <w:rsid w:val="00E55288"/>
    <w:rsid w:val="00E55DD1"/>
    <w:rsid w:val="00E57577"/>
    <w:rsid w:val="00E57593"/>
    <w:rsid w:val="00E619AA"/>
    <w:rsid w:val="00E62043"/>
    <w:rsid w:val="00E626B9"/>
    <w:rsid w:val="00E627C9"/>
    <w:rsid w:val="00E62EB6"/>
    <w:rsid w:val="00E630F3"/>
    <w:rsid w:val="00E6330F"/>
    <w:rsid w:val="00E6332F"/>
    <w:rsid w:val="00E637C9"/>
    <w:rsid w:val="00E6402D"/>
    <w:rsid w:val="00E6680A"/>
    <w:rsid w:val="00E66F0D"/>
    <w:rsid w:val="00E67747"/>
    <w:rsid w:val="00E70615"/>
    <w:rsid w:val="00E7161E"/>
    <w:rsid w:val="00E7207B"/>
    <w:rsid w:val="00E721A3"/>
    <w:rsid w:val="00E7347A"/>
    <w:rsid w:val="00E7507A"/>
    <w:rsid w:val="00E75A47"/>
    <w:rsid w:val="00E75BB6"/>
    <w:rsid w:val="00E75D8C"/>
    <w:rsid w:val="00E777F2"/>
    <w:rsid w:val="00E802C9"/>
    <w:rsid w:val="00E804B4"/>
    <w:rsid w:val="00E80BFB"/>
    <w:rsid w:val="00E80EC2"/>
    <w:rsid w:val="00E80F0A"/>
    <w:rsid w:val="00E814F9"/>
    <w:rsid w:val="00E815D4"/>
    <w:rsid w:val="00E8291B"/>
    <w:rsid w:val="00E82E70"/>
    <w:rsid w:val="00E82F92"/>
    <w:rsid w:val="00E830C6"/>
    <w:rsid w:val="00E8395F"/>
    <w:rsid w:val="00E8410F"/>
    <w:rsid w:val="00E849D7"/>
    <w:rsid w:val="00E85E41"/>
    <w:rsid w:val="00E85E95"/>
    <w:rsid w:val="00E85EA1"/>
    <w:rsid w:val="00E86703"/>
    <w:rsid w:val="00E900DA"/>
    <w:rsid w:val="00E91044"/>
    <w:rsid w:val="00E910D3"/>
    <w:rsid w:val="00E92097"/>
    <w:rsid w:val="00E92154"/>
    <w:rsid w:val="00E923CF"/>
    <w:rsid w:val="00E93685"/>
    <w:rsid w:val="00E93B65"/>
    <w:rsid w:val="00E93C8C"/>
    <w:rsid w:val="00E95111"/>
    <w:rsid w:val="00E95FDF"/>
    <w:rsid w:val="00E96ED8"/>
    <w:rsid w:val="00E97B69"/>
    <w:rsid w:val="00EA14C8"/>
    <w:rsid w:val="00EA2110"/>
    <w:rsid w:val="00EA283A"/>
    <w:rsid w:val="00EA2AE0"/>
    <w:rsid w:val="00EA2C90"/>
    <w:rsid w:val="00EA2E07"/>
    <w:rsid w:val="00EA383B"/>
    <w:rsid w:val="00EA48F3"/>
    <w:rsid w:val="00EA60BF"/>
    <w:rsid w:val="00EA7365"/>
    <w:rsid w:val="00EA763F"/>
    <w:rsid w:val="00EA77E9"/>
    <w:rsid w:val="00EB05D0"/>
    <w:rsid w:val="00EB1151"/>
    <w:rsid w:val="00EB11DF"/>
    <w:rsid w:val="00EB1D49"/>
    <w:rsid w:val="00EB23D9"/>
    <w:rsid w:val="00EB39A0"/>
    <w:rsid w:val="00EB430A"/>
    <w:rsid w:val="00EB5447"/>
    <w:rsid w:val="00EB559F"/>
    <w:rsid w:val="00EB566C"/>
    <w:rsid w:val="00EB5A18"/>
    <w:rsid w:val="00EB5DDB"/>
    <w:rsid w:val="00EB5F3D"/>
    <w:rsid w:val="00EB6A88"/>
    <w:rsid w:val="00EB6C97"/>
    <w:rsid w:val="00EB778A"/>
    <w:rsid w:val="00EC1CEB"/>
    <w:rsid w:val="00EC1DC0"/>
    <w:rsid w:val="00EC1DC2"/>
    <w:rsid w:val="00EC1E09"/>
    <w:rsid w:val="00EC210E"/>
    <w:rsid w:val="00EC21EC"/>
    <w:rsid w:val="00EC24B8"/>
    <w:rsid w:val="00EC268C"/>
    <w:rsid w:val="00EC2CCB"/>
    <w:rsid w:val="00EC3692"/>
    <w:rsid w:val="00EC3753"/>
    <w:rsid w:val="00EC4E71"/>
    <w:rsid w:val="00EC5F1C"/>
    <w:rsid w:val="00EC740C"/>
    <w:rsid w:val="00EC7F06"/>
    <w:rsid w:val="00ED0365"/>
    <w:rsid w:val="00ED0865"/>
    <w:rsid w:val="00ED0C1C"/>
    <w:rsid w:val="00ED0D3F"/>
    <w:rsid w:val="00ED1C60"/>
    <w:rsid w:val="00ED2EB9"/>
    <w:rsid w:val="00ED3722"/>
    <w:rsid w:val="00ED3A31"/>
    <w:rsid w:val="00ED4469"/>
    <w:rsid w:val="00ED5424"/>
    <w:rsid w:val="00ED5B5C"/>
    <w:rsid w:val="00ED5F23"/>
    <w:rsid w:val="00ED6A17"/>
    <w:rsid w:val="00ED6DC0"/>
    <w:rsid w:val="00ED73D6"/>
    <w:rsid w:val="00ED7A7A"/>
    <w:rsid w:val="00EE0327"/>
    <w:rsid w:val="00EE038C"/>
    <w:rsid w:val="00EE0A71"/>
    <w:rsid w:val="00EE10A9"/>
    <w:rsid w:val="00EE15B3"/>
    <w:rsid w:val="00EE1985"/>
    <w:rsid w:val="00EE28C5"/>
    <w:rsid w:val="00EE2F09"/>
    <w:rsid w:val="00EE47C5"/>
    <w:rsid w:val="00EE490C"/>
    <w:rsid w:val="00EE4E57"/>
    <w:rsid w:val="00EE5738"/>
    <w:rsid w:val="00EE58BD"/>
    <w:rsid w:val="00EE5E59"/>
    <w:rsid w:val="00EE73D0"/>
    <w:rsid w:val="00EE76AC"/>
    <w:rsid w:val="00EE7CB0"/>
    <w:rsid w:val="00EF08A8"/>
    <w:rsid w:val="00EF167B"/>
    <w:rsid w:val="00EF186B"/>
    <w:rsid w:val="00EF2496"/>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3A85"/>
    <w:rsid w:val="00F0459B"/>
    <w:rsid w:val="00F04E15"/>
    <w:rsid w:val="00F05DF3"/>
    <w:rsid w:val="00F06829"/>
    <w:rsid w:val="00F069EA"/>
    <w:rsid w:val="00F070E5"/>
    <w:rsid w:val="00F07DDE"/>
    <w:rsid w:val="00F11675"/>
    <w:rsid w:val="00F123DA"/>
    <w:rsid w:val="00F12557"/>
    <w:rsid w:val="00F12A99"/>
    <w:rsid w:val="00F12C04"/>
    <w:rsid w:val="00F13599"/>
    <w:rsid w:val="00F13B28"/>
    <w:rsid w:val="00F14C13"/>
    <w:rsid w:val="00F156A0"/>
    <w:rsid w:val="00F15730"/>
    <w:rsid w:val="00F176A6"/>
    <w:rsid w:val="00F202C2"/>
    <w:rsid w:val="00F212F6"/>
    <w:rsid w:val="00F2260B"/>
    <w:rsid w:val="00F22756"/>
    <w:rsid w:val="00F2282D"/>
    <w:rsid w:val="00F23248"/>
    <w:rsid w:val="00F23890"/>
    <w:rsid w:val="00F2504D"/>
    <w:rsid w:val="00F2637F"/>
    <w:rsid w:val="00F268F7"/>
    <w:rsid w:val="00F30043"/>
    <w:rsid w:val="00F30B83"/>
    <w:rsid w:val="00F30BDB"/>
    <w:rsid w:val="00F30CF8"/>
    <w:rsid w:val="00F31EDF"/>
    <w:rsid w:val="00F32CDE"/>
    <w:rsid w:val="00F32D4C"/>
    <w:rsid w:val="00F3327E"/>
    <w:rsid w:val="00F338C3"/>
    <w:rsid w:val="00F34B14"/>
    <w:rsid w:val="00F34F58"/>
    <w:rsid w:val="00F35DA7"/>
    <w:rsid w:val="00F36619"/>
    <w:rsid w:val="00F36A6A"/>
    <w:rsid w:val="00F40101"/>
    <w:rsid w:val="00F404F7"/>
    <w:rsid w:val="00F40CCA"/>
    <w:rsid w:val="00F42D97"/>
    <w:rsid w:val="00F42FCF"/>
    <w:rsid w:val="00F436B2"/>
    <w:rsid w:val="00F43813"/>
    <w:rsid w:val="00F43FEE"/>
    <w:rsid w:val="00F4492F"/>
    <w:rsid w:val="00F44DFD"/>
    <w:rsid w:val="00F45A72"/>
    <w:rsid w:val="00F46723"/>
    <w:rsid w:val="00F4706D"/>
    <w:rsid w:val="00F476E1"/>
    <w:rsid w:val="00F47D1D"/>
    <w:rsid w:val="00F47F29"/>
    <w:rsid w:val="00F50016"/>
    <w:rsid w:val="00F5118A"/>
    <w:rsid w:val="00F51A21"/>
    <w:rsid w:val="00F52614"/>
    <w:rsid w:val="00F52742"/>
    <w:rsid w:val="00F5276E"/>
    <w:rsid w:val="00F52E9F"/>
    <w:rsid w:val="00F53304"/>
    <w:rsid w:val="00F53B81"/>
    <w:rsid w:val="00F540FE"/>
    <w:rsid w:val="00F5459A"/>
    <w:rsid w:val="00F556FF"/>
    <w:rsid w:val="00F55D12"/>
    <w:rsid w:val="00F5687F"/>
    <w:rsid w:val="00F56A6D"/>
    <w:rsid w:val="00F56D3F"/>
    <w:rsid w:val="00F575C7"/>
    <w:rsid w:val="00F57FD0"/>
    <w:rsid w:val="00F60305"/>
    <w:rsid w:val="00F61725"/>
    <w:rsid w:val="00F61B12"/>
    <w:rsid w:val="00F61C70"/>
    <w:rsid w:val="00F63264"/>
    <w:rsid w:val="00F634E4"/>
    <w:rsid w:val="00F6379E"/>
    <w:rsid w:val="00F64047"/>
    <w:rsid w:val="00F65171"/>
    <w:rsid w:val="00F6560D"/>
    <w:rsid w:val="00F67844"/>
    <w:rsid w:val="00F67AFD"/>
    <w:rsid w:val="00F70799"/>
    <w:rsid w:val="00F70A8B"/>
    <w:rsid w:val="00F70B8D"/>
    <w:rsid w:val="00F712A2"/>
    <w:rsid w:val="00F7138B"/>
    <w:rsid w:val="00F7162F"/>
    <w:rsid w:val="00F71936"/>
    <w:rsid w:val="00F724FB"/>
    <w:rsid w:val="00F726B8"/>
    <w:rsid w:val="00F72A26"/>
    <w:rsid w:val="00F733C3"/>
    <w:rsid w:val="00F738BE"/>
    <w:rsid w:val="00F746A1"/>
    <w:rsid w:val="00F74820"/>
    <w:rsid w:val="00F756DD"/>
    <w:rsid w:val="00F77F4E"/>
    <w:rsid w:val="00F80047"/>
    <w:rsid w:val="00F800C7"/>
    <w:rsid w:val="00F80AA9"/>
    <w:rsid w:val="00F8104D"/>
    <w:rsid w:val="00F8153F"/>
    <w:rsid w:val="00F81587"/>
    <w:rsid w:val="00F8288F"/>
    <w:rsid w:val="00F8376E"/>
    <w:rsid w:val="00F83C52"/>
    <w:rsid w:val="00F84802"/>
    <w:rsid w:val="00F84BF9"/>
    <w:rsid w:val="00F85B72"/>
    <w:rsid w:val="00F86540"/>
    <w:rsid w:val="00F865CE"/>
    <w:rsid w:val="00F8766F"/>
    <w:rsid w:val="00F87D5C"/>
    <w:rsid w:val="00F90282"/>
    <w:rsid w:val="00F91082"/>
    <w:rsid w:val="00F9116D"/>
    <w:rsid w:val="00F91342"/>
    <w:rsid w:val="00F9194D"/>
    <w:rsid w:val="00F91A9A"/>
    <w:rsid w:val="00F92634"/>
    <w:rsid w:val="00F926D6"/>
    <w:rsid w:val="00F933F3"/>
    <w:rsid w:val="00F93ABB"/>
    <w:rsid w:val="00F94213"/>
    <w:rsid w:val="00F94D79"/>
    <w:rsid w:val="00F9658C"/>
    <w:rsid w:val="00F96EEB"/>
    <w:rsid w:val="00F97A7F"/>
    <w:rsid w:val="00F97CD0"/>
    <w:rsid w:val="00FA0889"/>
    <w:rsid w:val="00FA16E7"/>
    <w:rsid w:val="00FA31C7"/>
    <w:rsid w:val="00FA42E4"/>
    <w:rsid w:val="00FA472D"/>
    <w:rsid w:val="00FA681F"/>
    <w:rsid w:val="00FA6CBC"/>
    <w:rsid w:val="00FB05D9"/>
    <w:rsid w:val="00FB0CBF"/>
    <w:rsid w:val="00FB18F6"/>
    <w:rsid w:val="00FB286A"/>
    <w:rsid w:val="00FB2A52"/>
    <w:rsid w:val="00FB3F92"/>
    <w:rsid w:val="00FB52C7"/>
    <w:rsid w:val="00FB57DC"/>
    <w:rsid w:val="00FB6E19"/>
    <w:rsid w:val="00FB71F6"/>
    <w:rsid w:val="00FC07AF"/>
    <w:rsid w:val="00FC0AF8"/>
    <w:rsid w:val="00FC0B69"/>
    <w:rsid w:val="00FC1483"/>
    <w:rsid w:val="00FC1C47"/>
    <w:rsid w:val="00FC3102"/>
    <w:rsid w:val="00FC39ED"/>
    <w:rsid w:val="00FC4195"/>
    <w:rsid w:val="00FC4419"/>
    <w:rsid w:val="00FC47E2"/>
    <w:rsid w:val="00FC4AA5"/>
    <w:rsid w:val="00FC4B88"/>
    <w:rsid w:val="00FC4BB8"/>
    <w:rsid w:val="00FC5148"/>
    <w:rsid w:val="00FC6524"/>
    <w:rsid w:val="00FC6B58"/>
    <w:rsid w:val="00FC75AC"/>
    <w:rsid w:val="00FC7984"/>
    <w:rsid w:val="00FD01BF"/>
    <w:rsid w:val="00FD0525"/>
    <w:rsid w:val="00FD0AB7"/>
    <w:rsid w:val="00FD297D"/>
    <w:rsid w:val="00FD2D13"/>
    <w:rsid w:val="00FD374D"/>
    <w:rsid w:val="00FD3B00"/>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19D2"/>
    <w:rsid w:val="00FF1C9B"/>
    <w:rsid w:val="00FF1D49"/>
    <w:rsid w:val="00FF203B"/>
    <w:rsid w:val="00FF2562"/>
    <w:rsid w:val="00FF3A41"/>
    <w:rsid w:val="00FF3E5B"/>
    <w:rsid w:val="00FF57E4"/>
    <w:rsid w:val="00FF78E5"/>
    <w:rsid w:val="012C5FAF"/>
    <w:rsid w:val="01AF3D99"/>
    <w:rsid w:val="01B7307D"/>
    <w:rsid w:val="01CA63E4"/>
    <w:rsid w:val="02511F9D"/>
    <w:rsid w:val="039739BA"/>
    <w:rsid w:val="03A314B8"/>
    <w:rsid w:val="03D82B98"/>
    <w:rsid w:val="03EFBAC4"/>
    <w:rsid w:val="03F390C4"/>
    <w:rsid w:val="03F83E8B"/>
    <w:rsid w:val="04297968"/>
    <w:rsid w:val="04ED0B8D"/>
    <w:rsid w:val="05C56868"/>
    <w:rsid w:val="0677683B"/>
    <w:rsid w:val="06C11320"/>
    <w:rsid w:val="07A539BD"/>
    <w:rsid w:val="07A97B94"/>
    <w:rsid w:val="07B602B4"/>
    <w:rsid w:val="07B72767"/>
    <w:rsid w:val="08077E72"/>
    <w:rsid w:val="0881693C"/>
    <w:rsid w:val="08882DD0"/>
    <w:rsid w:val="08D3640D"/>
    <w:rsid w:val="09224C05"/>
    <w:rsid w:val="092959CA"/>
    <w:rsid w:val="09390F9C"/>
    <w:rsid w:val="09CC2AAC"/>
    <w:rsid w:val="0A4A4007"/>
    <w:rsid w:val="0A652D3E"/>
    <w:rsid w:val="0AB964B3"/>
    <w:rsid w:val="0B2014EC"/>
    <w:rsid w:val="0B326F2A"/>
    <w:rsid w:val="0B7B218C"/>
    <w:rsid w:val="0BEFF542"/>
    <w:rsid w:val="0C1E2888"/>
    <w:rsid w:val="0C92213C"/>
    <w:rsid w:val="0CC2027E"/>
    <w:rsid w:val="0CDB05AD"/>
    <w:rsid w:val="0CEC743A"/>
    <w:rsid w:val="0D626DEB"/>
    <w:rsid w:val="0D84032B"/>
    <w:rsid w:val="0E5BEAB3"/>
    <w:rsid w:val="0F2A74C4"/>
    <w:rsid w:val="0F401BB1"/>
    <w:rsid w:val="0FDF1BEB"/>
    <w:rsid w:val="101166A5"/>
    <w:rsid w:val="10377635"/>
    <w:rsid w:val="106E2403"/>
    <w:rsid w:val="10A27F31"/>
    <w:rsid w:val="113F6753"/>
    <w:rsid w:val="11927058"/>
    <w:rsid w:val="120E171E"/>
    <w:rsid w:val="12273735"/>
    <w:rsid w:val="1350083E"/>
    <w:rsid w:val="13AF4F03"/>
    <w:rsid w:val="13EF54E3"/>
    <w:rsid w:val="14535BB2"/>
    <w:rsid w:val="14736E66"/>
    <w:rsid w:val="147F458F"/>
    <w:rsid w:val="14AB6523"/>
    <w:rsid w:val="1534169A"/>
    <w:rsid w:val="156606F9"/>
    <w:rsid w:val="15BBB799"/>
    <w:rsid w:val="15C03E03"/>
    <w:rsid w:val="162A25EB"/>
    <w:rsid w:val="16503754"/>
    <w:rsid w:val="16735895"/>
    <w:rsid w:val="168416B6"/>
    <w:rsid w:val="169D5FDA"/>
    <w:rsid w:val="16B21C8D"/>
    <w:rsid w:val="16FD2A55"/>
    <w:rsid w:val="17067C1A"/>
    <w:rsid w:val="17366761"/>
    <w:rsid w:val="177C01F0"/>
    <w:rsid w:val="179E3EFA"/>
    <w:rsid w:val="17BFAAC6"/>
    <w:rsid w:val="17C50FB3"/>
    <w:rsid w:val="17CE6630"/>
    <w:rsid w:val="17FF25A8"/>
    <w:rsid w:val="18763A29"/>
    <w:rsid w:val="188B7BF3"/>
    <w:rsid w:val="189866C8"/>
    <w:rsid w:val="18A047F4"/>
    <w:rsid w:val="19BBD9F3"/>
    <w:rsid w:val="19E22711"/>
    <w:rsid w:val="19F3015E"/>
    <w:rsid w:val="1A024DB2"/>
    <w:rsid w:val="1A331062"/>
    <w:rsid w:val="1AFF0AFE"/>
    <w:rsid w:val="1B48113B"/>
    <w:rsid w:val="1B4F19F8"/>
    <w:rsid w:val="1BB49E3A"/>
    <w:rsid w:val="1D58102D"/>
    <w:rsid w:val="1DC5EDA9"/>
    <w:rsid w:val="1DE11A76"/>
    <w:rsid w:val="1DFF4768"/>
    <w:rsid w:val="1EA43948"/>
    <w:rsid w:val="1ECC44FA"/>
    <w:rsid w:val="1EFF7245"/>
    <w:rsid w:val="1EFFCD24"/>
    <w:rsid w:val="1F063325"/>
    <w:rsid w:val="1F7E7F2B"/>
    <w:rsid w:val="1FB792F8"/>
    <w:rsid w:val="1FBC5DF5"/>
    <w:rsid w:val="1FBCAC80"/>
    <w:rsid w:val="1FBDE94F"/>
    <w:rsid w:val="1FF90588"/>
    <w:rsid w:val="206C78B8"/>
    <w:rsid w:val="20C3623F"/>
    <w:rsid w:val="21206B6D"/>
    <w:rsid w:val="21781212"/>
    <w:rsid w:val="21B83F86"/>
    <w:rsid w:val="21DD4C3A"/>
    <w:rsid w:val="221178A8"/>
    <w:rsid w:val="221213CF"/>
    <w:rsid w:val="22327A92"/>
    <w:rsid w:val="231D53A2"/>
    <w:rsid w:val="233A0AA7"/>
    <w:rsid w:val="236D5383"/>
    <w:rsid w:val="23B7504C"/>
    <w:rsid w:val="24205E37"/>
    <w:rsid w:val="24571307"/>
    <w:rsid w:val="25110A2A"/>
    <w:rsid w:val="256C0944"/>
    <w:rsid w:val="25BBE831"/>
    <w:rsid w:val="25BD151C"/>
    <w:rsid w:val="263C4B36"/>
    <w:rsid w:val="26446DE3"/>
    <w:rsid w:val="26877DFE"/>
    <w:rsid w:val="269669E7"/>
    <w:rsid w:val="26A270C1"/>
    <w:rsid w:val="26D7699F"/>
    <w:rsid w:val="273A5E93"/>
    <w:rsid w:val="27F52125"/>
    <w:rsid w:val="27FFFFD8"/>
    <w:rsid w:val="28E92E68"/>
    <w:rsid w:val="291C739B"/>
    <w:rsid w:val="29D75F7F"/>
    <w:rsid w:val="29FEE101"/>
    <w:rsid w:val="2A3D5F88"/>
    <w:rsid w:val="2A8B3E7B"/>
    <w:rsid w:val="2B774624"/>
    <w:rsid w:val="2B992020"/>
    <w:rsid w:val="2BEE9D8C"/>
    <w:rsid w:val="2BF941EB"/>
    <w:rsid w:val="2BFFBAA3"/>
    <w:rsid w:val="2C434BEB"/>
    <w:rsid w:val="2C7A72BE"/>
    <w:rsid w:val="2C9A7D75"/>
    <w:rsid w:val="2CC17412"/>
    <w:rsid w:val="2CF5B3D5"/>
    <w:rsid w:val="2D003A0D"/>
    <w:rsid w:val="2D7C1E99"/>
    <w:rsid w:val="2D7F937E"/>
    <w:rsid w:val="2DB42E85"/>
    <w:rsid w:val="2DEFF798"/>
    <w:rsid w:val="2DF6A35E"/>
    <w:rsid w:val="2E9976CE"/>
    <w:rsid w:val="2E9B5416"/>
    <w:rsid w:val="2EBC81EF"/>
    <w:rsid w:val="2EEE1493"/>
    <w:rsid w:val="2EF01DEE"/>
    <w:rsid w:val="2F1F67EA"/>
    <w:rsid w:val="2F401D3C"/>
    <w:rsid w:val="2F5B24E1"/>
    <w:rsid w:val="2F67DC83"/>
    <w:rsid w:val="2FA95C88"/>
    <w:rsid w:val="2FAD51C6"/>
    <w:rsid w:val="2FBD06D5"/>
    <w:rsid w:val="2FBF863C"/>
    <w:rsid w:val="2FE542C2"/>
    <w:rsid w:val="2FFCB091"/>
    <w:rsid w:val="3041370F"/>
    <w:rsid w:val="30965447"/>
    <w:rsid w:val="30B87FED"/>
    <w:rsid w:val="30D1056E"/>
    <w:rsid w:val="312B50A3"/>
    <w:rsid w:val="31894FD2"/>
    <w:rsid w:val="31CF630F"/>
    <w:rsid w:val="32453A27"/>
    <w:rsid w:val="32586D8C"/>
    <w:rsid w:val="3263064A"/>
    <w:rsid w:val="32A43132"/>
    <w:rsid w:val="32AC0C06"/>
    <w:rsid w:val="33344EF5"/>
    <w:rsid w:val="333539E1"/>
    <w:rsid w:val="3383DC14"/>
    <w:rsid w:val="33C7652A"/>
    <w:rsid w:val="3537750C"/>
    <w:rsid w:val="3537798C"/>
    <w:rsid w:val="35C13FC9"/>
    <w:rsid w:val="35CB2A79"/>
    <w:rsid w:val="35FF12A0"/>
    <w:rsid w:val="36372B05"/>
    <w:rsid w:val="364257B6"/>
    <w:rsid w:val="366D1A8C"/>
    <w:rsid w:val="367F90C5"/>
    <w:rsid w:val="369211E9"/>
    <w:rsid w:val="36FF70D3"/>
    <w:rsid w:val="37054F3D"/>
    <w:rsid w:val="371655CD"/>
    <w:rsid w:val="375B12DC"/>
    <w:rsid w:val="376DAA16"/>
    <w:rsid w:val="377B8B1F"/>
    <w:rsid w:val="377D7EC4"/>
    <w:rsid w:val="377FC7F0"/>
    <w:rsid w:val="3786388E"/>
    <w:rsid w:val="37BA5A61"/>
    <w:rsid w:val="37C354C8"/>
    <w:rsid w:val="37DAAF9F"/>
    <w:rsid w:val="37DF8E26"/>
    <w:rsid w:val="37E0C792"/>
    <w:rsid w:val="37EA5922"/>
    <w:rsid w:val="37F74100"/>
    <w:rsid w:val="37FF4918"/>
    <w:rsid w:val="38276B93"/>
    <w:rsid w:val="382E58B8"/>
    <w:rsid w:val="384168A5"/>
    <w:rsid w:val="386E1496"/>
    <w:rsid w:val="38806611"/>
    <w:rsid w:val="38AB7BD0"/>
    <w:rsid w:val="38AC3431"/>
    <w:rsid w:val="38F35768"/>
    <w:rsid w:val="38FE24F8"/>
    <w:rsid w:val="392F2E16"/>
    <w:rsid w:val="39341EEB"/>
    <w:rsid w:val="396C1703"/>
    <w:rsid w:val="397DE884"/>
    <w:rsid w:val="39B03534"/>
    <w:rsid w:val="39C6A47A"/>
    <w:rsid w:val="39E00529"/>
    <w:rsid w:val="39FFB194"/>
    <w:rsid w:val="3A0B64A7"/>
    <w:rsid w:val="3A574DDA"/>
    <w:rsid w:val="3ABB5E89"/>
    <w:rsid w:val="3ABD8E4D"/>
    <w:rsid w:val="3AD3075A"/>
    <w:rsid w:val="3AF74C02"/>
    <w:rsid w:val="3AFB9AE6"/>
    <w:rsid w:val="3B6D3F68"/>
    <w:rsid w:val="3BDF9B45"/>
    <w:rsid w:val="3BFE68E1"/>
    <w:rsid w:val="3C0059A5"/>
    <w:rsid w:val="3C0EB44C"/>
    <w:rsid w:val="3C134E78"/>
    <w:rsid w:val="3CEC29B6"/>
    <w:rsid w:val="3D3003AC"/>
    <w:rsid w:val="3D55DB30"/>
    <w:rsid w:val="3D924493"/>
    <w:rsid w:val="3DC24C44"/>
    <w:rsid w:val="3DEB2D6E"/>
    <w:rsid w:val="3DF6345D"/>
    <w:rsid w:val="3DFB48D6"/>
    <w:rsid w:val="3DFBE2CA"/>
    <w:rsid w:val="3E2B5515"/>
    <w:rsid w:val="3E4D186E"/>
    <w:rsid w:val="3E4D4F28"/>
    <w:rsid w:val="3E7E9A90"/>
    <w:rsid w:val="3EB66C42"/>
    <w:rsid w:val="3ED92EC4"/>
    <w:rsid w:val="3EDBF0D8"/>
    <w:rsid w:val="3EE13701"/>
    <w:rsid w:val="3EEB264A"/>
    <w:rsid w:val="3EFFDA00"/>
    <w:rsid w:val="3F1A4BB3"/>
    <w:rsid w:val="3F23643C"/>
    <w:rsid w:val="3F3FF0C2"/>
    <w:rsid w:val="3F632CDC"/>
    <w:rsid w:val="3F6F4222"/>
    <w:rsid w:val="3F73AF1C"/>
    <w:rsid w:val="3F7B4F98"/>
    <w:rsid w:val="3F9116F6"/>
    <w:rsid w:val="3F9F318F"/>
    <w:rsid w:val="3F9FBAB8"/>
    <w:rsid w:val="3FAFEB03"/>
    <w:rsid w:val="3FBB7922"/>
    <w:rsid w:val="3FBF6807"/>
    <w:rsid w:val="3FD50A16"/>
    <w:rsid w:val="3FE4E440"/>
    <w:rsid w:val="3FEF1A17"/>
    <w:rsid w:val="3FFAE121"/>
    <w:rsid w:val="3FFC7856"/>
    <w:rsid w:val="3FFCA9A2"/>
    <w:rsid w:val="40192BA6"/>
    <w:rsid w:val="40572841"/>
    <w:rsid w:val="40E1539F"/>
    <w:rsid w:val="40F83E05"/>
    <w:rsid w:val="414859BC"/>
    <w:rsid w:val="416C57BC"/>
    <w:rsid w:val="41766EA9"/>
    <w:rsid w:val="42550A18"/>
    <w:rsid w:val="426A3BAD"/>
    <w:rsid w:val="429D496A"/>
    <w:rsid w:val="42F473A1"/>
    <w:rsid w:val="432924BB"/>
    <w:rsid w:val="432D5ABE"/>
    <w:rsid w:val="436B7CE7"/>
    <w:rsid w:val="437217EA"/>
    <w:rsid w:val="438F71DB"/>
    <w:rsid w:val="43AB7156"/>
    <w:rsid w:val="43D32954"/>
    <w:rsid w:val="441E62C0"/>
    <w:rsid w:val="44735DBE"/>
    <w:rsid w:val="449235DA"/>
    <w:rsid w:val="44BF09B5"/>
    <w:rsid w:val="45325D14"/>
    <w:rsid w:val="45343151"/>
    <w:rsid w:val="45811C7C"/>
    <w:rsid w:val="45906116"/>
    <w:rsid w:val="45931B8C"/>
    <w:rsid w:val="45AF648D"/>
    <w:rsid w:val="45DC3E93"/>
    <w:rsid w:val="45EF2552"/>
    <w:rsid w:val="45F7D22F"/>
    <w:rsid w:val="466D7AE1"/>
    <w:rsid w:val="46895CB7"/>
    <w:rsid w:val="468B3EFB"/>
    <w:rsid w:val="46FFE06B"/>
    <w:rsid w:val="470A6193"/>
    <w:rsid w:val="471524DB"/>
    <w:rsid w:val="47385210"/>
    <w:rsid w:val="474B49F8"/>
    <w:rsid w:val="475510F8"/>
    <w:rsid w:val="4764092B"/>
    <w:rsid w:val="477F89AE"/>
    <w:rsid w:val="47940848"/>
    <w:rsid w:val="47DC4F5C"/>
    <w:rsid w:val="480D0DB2"/>
    <w:rsid w:val="482577C1"/>
    <w:rsid w:val="484B5E2B"/>
    <w:rsid w:val="489D7B64"/>
    <w:rsid w:val="48B40671"/>
    <w:rsid w:val="48E35283"/>
    <w:rsid w:val="497E14BA"/>
    <w:rsid w:val="499B5738"/>
    <w:rsid w:val="499F244D"/>
    <w:rsid w:val="4A076B07"/>
    <w:rsid w:val="4A0D193D"/>
    <w:rsid w:val="4A473705"/>
    <w:rsid w:val="4A523067"/>
    <w:rsid w:val="4A973F3F"/>
    <w:rsid w:val="4AEB59AA"/>
    <w:rsid w:val="4AF96BC7"/>
    <w:rsid w:val="4B5C0D0B"/>
    <w:rsid w:val="4B73E5A3"/>
    <w:rsid w:val="4B862A85"/>
    <w:rsid w:val="4B8F37A5"/>
    <w:rsid w:val="4BE53ED0"/>
    <w:rsid w:val="4C952A0B"/>
    <w:rsid w:val="4CEF36E2"/>
    <w:rsid w:val="4CEF4DC5"/>
    <w:rsid w:val="4DD85DE4"/>
    <w:rsid w:val="4E257655"/>
    <w:rsid w:val="4F0C47F7"/>
    <w:rsid w:val="4F372380"/>
    <w:rsid w:val="4F372FFB"/>
    <w:rsid w:val="4F6B2677"/>
    <w:rsid w:val="4F7C7CE6"/>
    <w:rsid w:val="4F982BE8"/>
    <w:rsid w:val="4FEE43C6"/>
    <w:rsid w:val="4FF45C64"/>
    <w:rsid w:val="4FF7AB10"/>
    <w:rsid w:val="5025116D"/>
    <w:rsid w:val="50511EF8"/>
    <w:rsid w:val="505748CA"/>
    <w:rsid w:val="50FF2002"/>
    <w:rsid w:val="511F56AD"/>
    <w:rsid w:val="51250CFD"/>
    <w:rsid w:val="51FC0EF6"/>
    <w:rsid w:val="52395ECD"/>
    <w:rsid w:val="525CB33A"/>
    <w:rsid w:val="527A0585"/>
    <w:rsid w:val="52C10D75"/>
    <w:rsid w:val="52C654DE"/>
    <w:rsid w:val="52F43F1F"/>
    <w:rsid w:val="53C27FF8"/>
    <w:rsid w:val="53C5738C"/>
    <w:rsid w:val="53CFBBC4"/>
    <w:rsid w:val="53E491C2"/>
    <w:rsid w:val="53F15B45"/>
    <w:rsid w:val="54074D86"/>
    <w:rsid w:val="54806794"/>
    <w:rsid w:val="549E1A80"/>
    <w:rsid w:val="54AC796B"/>
    <w:rsid w:val="54C658F4"/>
    <w:rsid w:val="550C4BD7"/>
    <w:rsid w:val="554C1D56"/>
    <w:rsid w:val="55572986"/>
    <w:rsid w:val="55D89F58"/>
    <w:rsid w:val="56403B91"/>
    <w:rsid w:val="565340FA"/>
    <w:rsid w:val="565D11AE"/>
    <w:rsid w:val="56AC0BBA"/>
    <w:rsid w:val="56AD2D63"/>
    <w:rsid w:val="56AD5F59"/>
    <w:rsid w:val="56BBE26B"/>
    <w:rsid w:val="56C60774"/>
    <w:rsid w:val="56CC0B08"/>
    <w:rsid w:val="57041B21"/>
    <w:rsid w:val="57805CAA"/>
    <w:rsid w:val="57812B92"/>
    <w:rsid w:val="578710DA"/>
    <w:rsid w:val="579793C3"/>
    <w:rsid w:val="57B12A52"/>
    <w:rsid w:val="57BF6D0C"/>
    <w:rsid w:val="57EFF58B"/>
    <w:rsid w:val="57FA0530"/>
    <w:rsid w:val="57FE0B33"/>
    <w:rsid w:val="57FE765E"/>
    <w:rsid w:val="58185D08"/>
    <w:rsid w:val="58462D6F"/>
    <w:rsid w:val="58494A08"/>
    <w:rsid w:val="597F6E7B"/>
    <w:rsid w:val="597F9E77"/>
    <w:rsid w:val="598A6CBB"/>
    <w:rsid w:val="59E94924"/>
    <w:rsid w:val="59F93DB4"/>
    <w:rsid w:val="5A2F2CC8"/>
    <w:rsid w:val="5B143D77"/>
    <w:rsid w:val="5B6DE5CF"/>
    <w:rsid w:val="5BCCCA9C"/>
    <w:rsid w:val="5BF2638F"/>
    <w:rsid w:val="5BFFDF10"/>
    <w:rsid w:val="5C10702D"/>
    <w:rsid w:val="5C152601"/>
    <w:rsid w:val="5C591F03"/>
    <w:rsid w:val="5C8A1B2F"/>
    <w:rsid w:val="5CD43DBC"/>
    <w:rsid w:val="5CE17AD2"/>
    <w:rsid w:val="5CEE0911"/>
    <w:rsid w:val="5D2F32EF"/>
    <w:rsid w:val="5D4C8FF3"/>
    <w:rsid w:val="5D717703"/>
    <w:rsid w:val="5D835406"/>
    <w:rsid w:val="5DAE0C1F"/>
    <w:rsid w:val="5DF9A375"/>
    <w:rsid w:val="5DFF1E11"/>
    <w:rsid w:val="5E580BAB"/>
    <w:rsid w:val="5EA37071"/>
    <w:rsid w:val="5EBA1CB2"/>
    <w:rsid w:val="5ECA51B2"/>
    <w:rsid w:val="5EED8147"/>
    <w:rsid w:val="5EFEA698"/>
    <w:rsid w:val="5F561B72"/>
    <w:rsid w:val="5F5FE800"/>
    <w:rsid w:val="5F7F3B0C"/>
    <w:rsid w:val="5FEE445D"/>
    <w:rsid w:val="5FFDD1A0"/>
    <w:rsid w:val="5FFF513A"/>
    <w:rsid w:val="60166ED1"/>
    <w:rsid w:val="606007BB"/>
    <w:rsid w:val="6067606B"/>
    <w:rsid w:val="60AC7F66"/>
    <w:rsid w:val="60DA7449"/>
    <w:rsid w:val="60DEE6F6"/>
    <w:rsid w:val="611020A4"/>
    <w:rsid w:val="61931B1D"/>
    <w:rsid w:val="61BF10D9"/>
    <w:rsid w:val="623A031E"/>
    <w:rsid w:val="62782477"/>
    <w:rsid w:val="62AC22DC"/>
    <w:rsid w:val="62FB43C4"/>
    <w:rsid w:val="63A22BFD"/>
    <w:rsid w:val="63F69D9F"/>
    <w:rsid w:val="63FBE35A"/>
    <w:rsid w:val="647F358F"/>
    <w:rsid w:val="64E45EF7"/>
    <w:rsid w:val="64F74FD4"/>
    <w:rsid w:val="6553458D"/>
    <w:rsid w:val="6577866E"/>
    <w:rsid w:val="65D779A4"/>
    <w:rsid w:val="660145E4"/>
    <w:rsid w:val="6691014E"/>
    <w:rsid w:val="66955BDE"/>
    <w:rsid w:val="66C87CCE"/>
    <w:rsid w:val="66DB827B"/>
    <w:rsid w:val="671BD037"/>
    <w:rsid w:val="673DB146"/>
    <w:rsid w:val="676EA096"/>
    <w:rsid w:val="677435B2"/>
    <w:rsid w:val="67753E1B"/>
    <w:rsid w:val="67955138"/>
    <w:rsid w:val="67BFE7A9"/>
    <w:rsid w:val="67CB4BD2"/>
    <w:rsid w:val="67EF75F1"/>
    <w:rsid w:val="68375939"/>
    <w:rsid w:val="684F4F11"/>
    <w:rsid w:val="69124F16"/>
    <w:rsid w:val="698FF648"/>
    <w:rsid w:val="699566AD"/>
    <w:rsid w:val="69CD5C14"/>
    <w:rsid w:val="69CF0D33"/>
    <w:rsid w:val="69E77EE2"/>
    <w:rsid w:val="69F7F2C0"/>
    <w:rsid w:val="69FF0A2E"/>
    <w:rsid w:val="6A1324E4"/>
    <w:rsid w:val="6A3E2228"/>
    <w:rsid w:val="6A6E1A38"/>
    <w:rsid w:val="6A7FC814"/>
    <w:rsid w:val="6B5EBBAA"/>
    <w:rsid w:val="6B9946B3"/>
    <w:rsid w:val="6BCD6F6F"/>
    <w:rsid w:val="6BDF4C2E"/>
    <w:rsid w:val="6BE518DA"/>
    <w:rsid w:val="6BF756E9"/>
    <w:rsid w:val="6BFCEDF7"/>
    <w:rsid w:val="6BFDC90B"/>
    <w:rsid w:val="6BFFC71E"/>
    <w:rsid w:val="6C276F3A"/>
    <w:rsid w:val="6C7007C7"/>
    <w:rsid w:val="6C701104"/>
    <w:rsid w:val="6C896FE9"/>
    <w:rsid w:val="6CFF5A43"/>
    <w:rsid w:val="6D3A623C"/>
    <w:rsid w:val="6D5673D3"/>
    <w:rsid w:val="6D682ED4"/>
    <w:rsid w:val="6DE76850"/>
    <w:rsid w:val="6DFE39C5"/>
    <w:rsid w:val="6E220F6C"/>
    <w:rsid w:val="6E714157"/>
    <w:rsid w:val="6E9A8D12"/>
    <w:rsid w:val="6EF3BDAF"/>
    <w:rsid w:val="6EFF189C"/>
    <w:rsid w:val="6F090932"/>
    <w:rsid w:val="6F2E2292"/>
    <w:rsid w:val="6F6F31BE"/>
    <w:rsid w:val="6FB20BD4"/>
    <w:rsid w:val="6FBA59BE"/>
    <w:rsid w:val="6FBD48A6"/>
    <w:rsid w:val="6FBDE12C"/>
    <w:rsid w:val="6FBF7971"/>
    <w:rsid w:val="6FE63ED7"/>
    <w:rsid w:val="6FE6A766"/>
    <w:rsid w:val="6FE84EE5"/>
    <w:rsid w:val="6FEBAFFA"/>
    <w:rsid w:val="6FF39EE3"/>
    <w:rsid w:val="6FF7C5A2"/>
    <w:rsid w:val="6FFB5CAF"/>
    <w:rsid w:val="6FFBF04A"/>
    <w:rsid w:val="6FFD8B27"/>
    <w:rsid w:val="70296B3E"/>
    <w:rsid w:val="702E1F53"/>
    <w:rsid w:val="70611204"/>
    <w:rsid w:val="70960A04"/>
    <w:rsid w:val="70C86B24"/>
    <w:rsid w:val="7165620F"/>
    <w:rsid w:val="717039F8"/>
    <w:rsid w:val="718EB1FB"/>
    <w:rsid w:val="71A41DC6"/>
    <w:rsid w:val="71AF5380"/>
    <w:rsid w:val="71F320E9"/>
    <w:rsid w:val="72417E26"/>
    <w:rsid w:val="72AD72B6"/>
    <w:rsid w:val="72B56F40"/>
    <w:rsid w:val="72FFC66A"/>
    <w:rsid w:val="735A6BC8"/>
    <w:rsid w:val="737541F2"/>
    <w:rsid w:val="73B79219"/>
    <w:rsid w:val="73DEEE7C"/>
    <w:rsid w:val="73DF6C56"/>
    <w:rsid w:val="73F7679C"/>
    <w:rsid w:val="73FD0EA2"/>
    <w:rsid w:val="746226B4"/>
    <w:rsid w:val="74844CAB"/>
    <w:rsid w:val="74D13AD5"/>
    <w:rsid w:val="74FA2C30"/>
    <w:rsid w:val="753BFA00"/>
    <w:rsid w:val="754D5C4B"/>
    <w:rsid w:val="75E93076"/>
    <w:rsid w:val="75EA3F84"/>
    <w:rsid w:val="75FF851A"/>
    <w:rsid w:val="75FF967C"/>
    <w:rsid w:val="761622C0"/>
    <w:rsid w:val="767A7E6A"/>
    <w:rsid w:val="767B45DE"/>
    <w:rsid w:val="767F6BF2"/>
    <w:rsid w:val="769D1266"/>
    <w:rsid w:val="76B78BC4"/>
    <w:rsid w:val="76C240A7"/>
    <w:rsid w:val="76DA416A"/>
    <w:rsid w:val="76F73216"/>
    <w:rsid w:val="76F92220"/>
    <w:rsid w:val="76FF2AD0"/>
    <w:rsid w:val="76FFFD57"/>
    <w:rsid w:val="771BBFF9"/>
    <w:rsid w:val="773FEB46"/>
    <w:rsid w:val="775246B7"/>
    <w:rsid w:val="777BE3E6"/>
    <w:rsid w:val="777F55E8"/>
    <w:rsid w:val="77A954CC"/>
    <w:rsid w:val="77ADB72A"/>
    <w:rsid w:val="77EA6812"/>
    <w:rsid w:val="77EC68F8"/>
    <w:rsid w:val="77EF93A9"/>
    <w:rsid w:val="77FBC918"/>
    <w:rsid w:val="781E69D1"/>
    <w:rsid w:val="784C72E1"/>
    <w:rsid w:val="78CDA2CA"/>
    <w:rsid w:val="7901747F"/>
    <w:rsid w:val="79392CCD"/>
    <w:rsid w:val="7975BB17"/>
    <w:rsid w:val="79BFF77D"/>
    <w:rsid w:val="79DB1F8E"/>
    <w:rsid w:val="79DB2155"/>
    <w:rsid w:val="7A263B6B"/>
    <w:rsid w:val="7A4A8515"/>
    <w:rsid w:val="7A965946"/>
    <w:rsid w:val="7AD5F40A"/>
    <w:rsid w:val="7ADD9572"/>
    <w:rsid w:val="7ADE25BB"/>
    <w:rsid w:val="7AEE489F"/>
    <w:rsid w:val="7AF46346"/>
    <w:rsid w:val="7AF731B1"/>
    <w:rsid w:val="7AFC1109"/>
    <w:rsid w:val="7B0F5EBF"/>
    <w:rsid w:val="7B130FB9"/>
    <w:rsid w:val="7B18614D"/>
    <w:rsid w:val="7B36143F"/>
    <w:rsid w:val="7B3F72EA"/>
    <w:rsid w:val="7B6E1B2A"/>
    <w:rsid w:val="7B9D0B8F"/>
    <w:rsid w:val="7BA7C23F"/>
    <w:rsid w:val="7BBFC8A4"/>
    <w:rsid w:val="7BD71E38"/>
    <w:rsid w:val="7BDAC4CE"/>
    <w:rsid w:val="7BE98D9B"/>
    <w:rsid w:val="7BF34141"/>
    <w:rsid w:val="7BF3A2C7"/>
    <w:rsid w:val="7BF3C1B9"/>
    <w:rsid w:val="7BF64EDE"/>
    <w:rsid w:val="7BF98CDF"/>
    <w:rsid w:val="7BFBF219"/>
    <w:rsid w:val="7BFDD638"/>
    <w:rsid w:val="7BFE1FC4"/>
    <w:rsid w:val="7BFF1814"/>
    <w:rsid w:val="7C400C1E"/>
    <w:rsid w:val="7C4265B5"/>
    <w:rsid w:val="7C5F1F0E"/>
    <w:rsid w:val="7CAB00FE"/>
    <w:rsid w:val="7CBAB161"/>
    <w:rsid w:val="7CBF699B"/>
    <w:rsid w:val="7D1F9B15"/>
    <w:rsid w:val="7D6EAD98"/>
    <w:rsid w:val="7D9B64D1"/>
    <w:rsid w:val="7DD11708"/>
    <w:rsid w:val="7DDF55B6"/>
    <w:rsid w:val="7DEE4A4F"/>
    <w:rsid w:val="7DF77EF7"/>
    <w:rsid w:val="7DFA2715"/>
    <w:rsid w:val="7DFBC0AA"/>
    <w:rsid w:val="7DFD0A85"/>
    <w:rsid w:val="7DFD4588"/>
    <w:rsid w:val="7DFF0816"/>
    <w:rsid w:val="7DFF75E8"/>
    <w:rsid w:val="7DFFD412"/>
    <w:rsid w:val="7E2F7CBA"/>
    <w:rsid w:val="7E454021"/>
    <w:rsid w:val="7E5E15FE"/>
    <w:rsid w:val="7E5F3E77"/>
    <w:rsid w:val="7EAE6230"/>
    <w:rsid w:val="7EAF94B5"/>
    <w:rsid w:val="7EB74D2D"/>
    <w:rsid w:val="7EBD579E"/>
    <w:rsid w:val="7EC167BD"/>
    <w:rsid w:val="7EDF3847"/>
    <w:rsid w:val="7EEF4B84"/>
    <w:rsid w:val="7EEFAF28"/>
    <w:rsid w:val="7EF35613"/>
    <w:rsid w:val="7EF5C355"/>
    <w:rsid w:val="7EF8044C"/>
    <w:rsid w:val="7EFA18EE"/>
    <w:rsid w:val="7EFB1501"/>
    <w:rsid w:val="7EFB6DB4"/>
    <w:rsid w:val="7EFF4DCF"/>
    <w:rsid w:val="7F272D9E"/>
    <w:rsid w:val="7F47BAC9"/>
    <w:rsid w:val="7F5D3BEB"/>
    <w:rsid w:val="7F6694B6"/>
    <w:rsid w:val="7F6A83E9"/>
    <w:rsid w:val="7F6F6837"/>
    <w:rsid w:val="7F7B5D37"/>
    <w:rsid w:val="7F7FE63E"/>
    <w:rsid w:val="7F92BCDA"/>
    <w:rsid w:val="7FA9DC22"/>
    <w:rsid w:val="7FAF8663"/>
    <w:rsid w:val="7FAFDE1A"/>
    <w:rsid w:val="7FB75959"/>
    <w:rsid w:val="7FBD11CD"/>
    <w:rsid w:val="7FBDF525"/>
    <w:rsid w:val="7FBF3F99"/>
    <w:rsid w:val="7FBF5B37"/>
    <w:rsid w:val="7FBF8292"/>
    <w:rsid w:val="7FC8EBB4"/>
    <w:rsid w:val="7FC900BF"/>
    <w:rsid w:val="7FD7EE76"/>
    <w:rsid w:val="7FDC7302"/>
    <w:rsid w:val="7FEBF897"/>
    <w:rsid w:val="7FEC123F"/>
    <w:rsid w:val="7FEF8B57"/>
    <w:rsid w:val="7FEFB015"/>
    <w:rsid w:val="7FF4A66D"/>
    <w:rsid w:val="7FF7F899"/>
    <w:rsid w:val="7FFA3D59"/>
    <w:rsid w:val="7FFB5398"/>
    <w:rsid w:val="7FFBACF7"/>
    <w:rsid w:val="7FFD0154"/>
    <w:rsid w:val="7FFDC4C1"/>
    <w:rsid w:val="7FFE18F7"/>
    <w:rsid w:val="7FFE8CD5"/>
    <w:rsid w:val="7FFF33E6"/>
    <w:rsid w:val="7FFFAABA"/>
    <w:rsid w:val="8DAFCC0F"/>
    <w:rsid w:val="8FB7D4B8"/>
    <w:rsid w:val="8FBC0554"/>
    <w:rsid w:val="8FBFE947"/>
    <w:rsid w:val="8FCC074E"/>
    <w:rsid w:val="8FF7CDC2"/>
    <w:rsid w:val="9739FB77"/>
    <w:rsid w:val="97670417"/>
    <w:rsid w:val="97EB9B1F"/>
    <w:rsid w:val="9ACF0C8C"/>
    <w:rsid w:val="9B7F4F5D"/>
    <w:rsid w:val="9CDBFB2D"/>
    <w:rsid w:val="9DFF061D"/>
    <w:rsid w:val="9EB3BBF6"/>
    <w:rsid w:val="9F5D9FA7"/>
    <w:rsid w:val="9FDFDBA7"/>
    <w:rsid w:val="9FE6AA28"/>
    <w:rsid w:val="9FEFB0CD"/>
    <w:rsid w:val="9FF3CE4A"/>
    <w:rsid w:val="A35E8C22"/>
    <w:rsid w:val="A3EF189E"/>
    <w:rsid w:val="A6DE6564"/>
    <w:rsid w:val="A7539BBD"/>
    <w:rsid w:val="A79710FA"/>
    <w:rsid w:val="A7F64733"/>
    <w:rsid w:val="A9DD44AF"/>
    <w:rsid w:val="AD226F0E"/>
    <w:rsid w:val="AF3F10C7"/>
    <w:rsid w:val="AF7E8027"/>
    <w:rsid w:val="AFB14FD6"/>
    <w:rsid w:val="AFF334A9"/>
    <w:rsid w:val="AFFE801D"/>
    <w:rsid w:val="B069AC74"/>
    <w:rsid w:val="B0FA26B3"/>
    <w:rsid w:val="B1DCFD09"/>
    <w:rsid w:val="B35CD6C2"/>
    <w:rsid w:val="B3EC9A3F"/>
    <w:rsid w:val="B7752372"/>
    <w:rsid w:val="B7BE15D2"/>
    <w:rsid w:val="B7EF54B3"/>
    <w:rsid w:val="B7FBE208"/>
    <w:rsid w:val="B7FE4635"/>
    <w:rsid w:val="B7FF6D81"/>
    <w:rsid w:val="B7FFB7D9"/>
    <w:rsid w:val="B93F27DE"/>
    <w:rsid w:val="B98C032D"/>
    <w:rsid w:val="BAFE33D7"/>
    <w:rsid w:val="BBACF179"/>
    <w:rsid w:val="BBFD052D"/>
    <w:rsid w:val="BCFD5847"/>
    <w:rsid w:val="BD1B40D9"/>
    <w:rsid w:val="BD3EC7A2"/>
    <w:rsid w:val="BD9B939F"/>
    <w:rsid w:val="BDB95DAE"/>
    <w:rsid w:val="BDBF0CA1"/>
    <w:rsid w:val="BDBF1CF0"/>
    <w:rsid w:val="BDBF88CB"/>
    <w:rsid w:val="BDCB9B05"/>
    <w:rsid w:val="BDDF7ACC"/>
    <w:rsid w:val="BDFF1391"/>
    <w:rsid w:val="BE6F1047"/>
    <w:rsid w:val="BEAF63AF"/>
    <w:rsid w:val="BEBE007D"/>
    <w:rsid w:val="BEDB8E86"/>
    <w:rsid w:val="BEEE91BC"/>
    <w:rsid w:val="BEF60E21"/>
    <w:rsid w:val="BF736BDA"/>
    <w:rsid w:val="BF84B618"/>
    <w:rsid w:val="BF9BCEF4"/>
    <w:rsid w:val="BFE72CF0"/>
    <w:rsid w:val="BFF47FEE"/>
    <w:rsid w:val="BFF49CCF"/>
    <w:rsid w:val="BFF75919"/>
    <w:rsid w:val="BFFB1849"/>
    <w:rsid w:val="BFFBE90E"/>
    <w:rsid w:val="BFFD3C00"/>
    <w:rsid w:val="BFFF0868"/>
    <w:rsid w:val="BFFFB323"/>
    <w:rsid w:val="C3C6D026"/>
    <w:rsid w:val="C6346654"/>
    <w:rsid w:val="C7DA0CB7"/>
    <w:rsid w:val="C9FAC649"/>
    <w:rsid w:val="CD7F8FD8"/>
    <w:rsid w:val="CDFFD5AD"/>
    <w:rsid w:val="CF75521C"/>
    <w:rsid w:val="CF7ED920"/>
    <w:rsid w:val="CFEECA7A"/>
    <w:rsid w:val="CFF7C4DD"/>
    <w:rsid w:val="D25FE2A8"/>
    <w:rsid w:val="D39B32D1"/>
    <w:rsid w:val="D3EC9DBF"/>
    <w:rsid w:val="D3FF4D79"/>
    <w:rsid w:val="D5FB84F9"/>
    <w:rsid w:val="D75E4C72"/>
    <w:rsid w:val="D7EF924A"/>
    <w:rsid w:val="D7FE324B"/>
    <w:rsid w:val="D7FEA488"/>
    <w:rsid w:val="D7FF16CB"/>
    <w:rsid w:val="D7FF3EE1"/>
    <w:rsid w:val="D7FFC5F2"/>
    <w:rsid w:val="D8EF0BF9"/>
    <w:rsid w:val="D8FF0FE3"/>
    <w:rsid w:val="D9467328"/>
    <w:rsid w:val="D95DBE59"/>
    <w:rsid w:val="DA8DC2D4"/>
    <w:rsid w:val="DAF7E010"/>
    <w:rsid w:val="DB5DDC8E"/>
    <w:rsid w:val="DB6DF3D5"/>
    <w:rsid w:val="DB8B4C24"/>
    <w:rsid w:val="DBB56375"/>
    <w:rsid w:val="DBBF75B2"/>
    <w:rsid w:val="DBEF80AA"/>
    <w:rsid w:val="DBF6173D"/>
    <w:rsid w:val="DBF66647"/>
    <w:rsid w:val="DBFAF5E6"/>
    <w:rsid w:val="DBFF78EE"/>
    <w:rsid w:val="DBFF8DED"/>
    <w:rsid w:val="DCFF243F"/>
    <w:rsid w:val="DDDBF398"/>
    <w:rsid w:val="DDFF7F7D"/>
    <w:rsid w:val="DE3E9EDA"/>
    <w:rsid w:val="DE6FFC02"/>
    <w:rsid w:val="DE7FDEC0"/>
    <w:rsid w:val="DEAD95DC"/>
    <w:rsid w:val="DEEFE0EE"/>
    <w:rsid w:val="DEF6AC2E"/>
    <w:rsid w:val="DF15EFA3"/>
    <w:rsid w:val="DF5FFC07"/>
    <w:rsid w:val="DFAC12F5"/>
    <w:rsid w:val="DFC710FC"/>
    <w:rsid w:val="DFCF42D3"/>
    <w:rsid w:val="DFCF569E"/>
    <w:rsid w:val="DFDD70F7"/>
    <w:rsid w:val="DFDF60EA"/>
    <w:rsid w:val="DFE7447C"/>
    <w:rsid w:val="DFEA4822"/>
    <w:rsid w:val="DFF310E1"/>
    <w:rsid w:val="DFFDF13A"/>
    <w:rsid w:val="DFFF0426"/>
    <w:rsid w:val="DFFF6856"/>
    <w:rsid w:val="E016A255"/>
    <w:rsid w:val="E3E7D127"/>
    <w:rsid w:val="E6CFF7DE"/>
    <w:rsid w:val="E6F7787C"/>
    <w:rsid w:val="E73EEEEC"/>
    <w:rsid w:val="E7A7B57C"/>
    <w:rsid w:val="E7DED565"/>
    <w:rsid w:val="E7F7E15A"/>
    <w:rsid w:val="E7FE0352"/>
    <w:rsid w:val="E8D68100"/>
    <w:rsid w:val="EAF7D19A"/>
    <w:rsid w:val="EBB749F9"/>
    <w:rsid w:val="EBEDE7CA"/>
    <w:rsid w:val="EBFF84AD"/>
    <w:rsid w:val="EC3F3133"/>
    <w:rsid w:val="ECF4D45F"/>
    <w:rsid w:val="ECFD6E90"/>
    <w:rsid w:val="ED2ECD3B"/>
    <w:rsid w:val="ED7F8864"/>
    <w:rsid w:val="EDE91977"/>
    <w:rsid w:val="EDEF86C4"/>
    <w:rsid w:val="EDF73841"/>
    <w:rsid w:val="EE667D5B"/>
    <w:rsid w:val="EE6F0811"/>
    <w:rsid w:val="EE9F7D48"/>
    <w:rsid w:val="EEBFEED3"/>
    <w:rsid w:val="EEEDA24C"/>
    <w:rsid w:val="EEF3932A"/>
    <w:rsid w:val="EEF64446"/>
    <w:rsid w:val="EF74C482"/>
    <w:rsid w:val="EF768F3C"/>
    <w:rsid w:val="EF8B5B33"/>
    <w:rsid w:val="EFBF7D2C"/>
    <w:rsid w:val="EFDD103F"/>
    <w:rsid w:val="EFF310A0"/>
    <w:rsid w:val="EFFCF693"/>
    <w:rsid w:val="EFFD99D0"/>
    <w:rsid w:val="EFFF83F5"/>
    <w:rsid w:val="F071D44C"/>
    <w:rsid w:val="F0BED6B4"/>
    <w:rsid w:val="F3C709B9"/>
    <w:rsid w:val="F3CD76BA"/>
    <w:rsid w:val="F3F7B455"/>
    <w:rsid w:val="F3FF9577"/>
    <w:rsid w:val="F4CC09F5"/>
    <w:rsid w:val="F4FE1DCD"/>
    <w:rsid w:val="F56B5965"/>
    <w:rsid w:val="F57F37A1"/>
    <w:rsid w:val="F58501BD"/>
    <w:rsid w:val="F5DF0600"/>
    <w:rsid w:val="F5EEEF7F"/>
    <w:rsid w:val="F5FBEF9E"/>
    <w:rsid w:val="F5FE798F"/>
    <w:rsid w:val="F5FEFF20"/>
    <w:rsid w:val="F62B4C58"/>
    <w:rsid w:val="F6B77C7C"/>
    <w:rsid w:val="F6BB1D80"/>
    <w:rsid w:val="F6CFBAB2"/>
    <w:rsid w:val="F6DD24EA"/>
    <w:rsid w:val="F6FF0872"/>
    <w:rsid w:val="F7528643"/>
    <w:rsid w:val="F78B7482"/>
    <w:rsid w:val="F79EDC4B"/>
    <w:rsid w:val="F7AD32A0"/>
    <w:rsid w:val="F7B82B61"/>
    <w:rsid w:val="F7FBA8F8"/>
    <w:rsid w:val="F83BF470"/>
    <w:rsid w:val="F87FFCD2"/>
    <w:rsid w:val="F8FBFCC5"/>
    <w:rsid w:val="F95B2F56"/>
    <w:rsid w:val="F98BC9F6"/>
    <w:rsid w:val="F9ABFCB9"/>
    <w:rsid w:val="F9FD1CA5"/>
    <w:rsid w:val="FADBFFB8"/>
    <w:rsid w:val="FAEE9143"/>
    <w:rsid w:val="FB6A819E"/>
    <w:rsid w:val="FB6F55DC"/>
    <w:rsid w:val="FB73DCFD"/>
    <w:rsid w:val="FB7FBF8B"/>
    <w:rsid w:val="FBAF88DB"/>
    <w:rsid w:val="FBB00509"/>
    <w:rsid w:val="FBCE2B60"/>
    <w:rsid w:val="FBCFC4E4"/>
    <w:rsid w:val="FBE30FDC"/>
    <w:rsid w:val="FBE836D0"/>
    <w:rsid w:val="FBE9FACB"/>
    <w:rsid w:val="FBEF74C0"/>
    <w:rsid w:val="FBFB2B16"/>
    <w:rsid w:val="FBFF1677"/>
    <w:rsid w:val="FCEFDD8E"/>
    <w:rsid w:val="FCFF4923"/>
    <w:rsid w:val="FD3746AB"/>
    <w:rsid w:val="FD69E651"/>
    <w:rsid w:val="FDA59FD2"/>
    <w:rsid w:val="FDED7DE3"/>
    <w:rsid w:val="FDFD0BBA"/>
    <w:rsid w:val="FDFD3647"/>
    <w:rsid w:val="FDFFB6E3"/>
    <w:rsid w:val="FDFFC52E"/>
    <w:rsid w:val="FDFFDD96"/>
    <w:rsid w:val="FE7976FC"/>
    <w:rsid w:val="FEA7AA6F"/>
    <w:rsid w:val="FEAD574D"/>
    <w:rsid w:val="FEB7415E"/>
    <w:rsid w:val="FEBF5B64"/>
    <w:rsid w:val="FEBFF0D5"/>
    <w:rsid w:val="FED760B4"/>
    <w:rsid w:val="FEDB963E"/>
    <w:rsid w:val="FEDE7927"/>
    <w:rsid w:val="FEE78F6D"/>
    <w:rsid w:val="FEE7BE28"/>
    <w:rsid w:val="FEEE3193"/>
    <w:rsid w:val="FEEF2B88"/>
    <w:rsid w:val="FEF4406E"/>
    <w:rsid w:val="FEF58E93"/>
    <w:rsid w:val="FEF6208C"/>
    <w:rsid w:val="FEFB38AD"/>
    <w:rsid w:val="FEFBCF2D"/>
    <w:rsid w:val="FEFF2D32"/>
    <w:rsid w:val="FEFF9CEC"/>
    <w:rsid w:val="FEFFA28C"/>
    <w:rsid w:val="FF3795A1"/>
    <w:rsid w:val="FF3FE277"/>
    <w:rsid w:val="FF5A00A3"/>
    <w:rsid w:val="FF5FF950"/>
    <w:rsid w:val="FF776750"/>
    <w:rsid w:val="FF7FE2C3"/>
    <w:rsid w:val="FF85893A"/>
    <w:rsid w:val="FF9C99D8"/>
    <w:rsid w:val="FF9D1C6C"/>
    <w:rsid w:val="FF9F3DFC"/>
    <w:rsid w:val="FFAD1111"/>
    <w:rsid w:val="FFAE3E34"/>
    <w:rsid w:val="FFAFCE40"/>
    <w:rsid w:val="FFB0956B"/>
    <w:rsid w:val="FFB7EA63"/>
    <w:rsid w:val="FFBBEFEE"/>
    <w:rsid w:val="FFBD69CD"/>
    <w:rsid w:val="FFBE0E57"/>
    <w:rsid w:val="FFCF0B1B"/>
    <w:rsid w:val="FFCFE351"/>
    <w:rsid w:val="FFD6C15E"/>
    <w:rsid w:val="FFD96649"/>
    <w:rsid w:val="FFDC8988"/>
    <w:rsid w:val="FFE3A0A8"/>
    <w:rsid w:val="FFE7112D"/>
    <w:rsid w:val="FFE9C0B5"/>
    <w:rsid w:val="FFEF9E5C"/>
    <w:rsid w:val="FFEFE912"/>
    <w:rsid w:val="FFF60B51"/>
    <w:rsid w:val="FFF84CCF"/>
    <w:rsid w:val="FFFB1018"/>
    <w:rsid w:val="FFFB3292"/>
    <w:rsid w:val="FFFD109E"/>
    <w:rsid w:val="FFFD974D"/>
    <w:rsid w:val="FFFDCA48"/>
    <w:rsid w:val="FFFDF881"/>
    <w:rsid w:val="FFFE2A68"/>
    <w:rsid w:val="FFFF4300"/>
    <w:rsid w:val="FFFFADA3"/>
    <w:rsid w:val="FFFFDE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iPriority="99"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0" w:name="Body Text First Indent"/>
    <w:lsdException w:qFormat="1" w:uiPriority="99" w:semiHidden="0" w:name="Body Text First Indent 2"/>
    <w:lsdException w:uiPriority="99" w:name="Note Heading"/>
    <w:lsdException w:qFormat="1" w:uiPriority="0"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7"/>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81"/>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82"/>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8"/>
    <w:link w:val="48"/>
    <w:qFormat/>
    <w:uiPriority w:val="9"/>
    <w:pPr>
      <w:keepNext/>
      <w:keepLines/>
      <w:spacing w:before="280" w:after="290" w:line="376" w:lineRule="auto"/>
      <w:outlineLvl w:val="4"/>
    </w:pPr>
    <w:rPr>
      <w:b/>
      <w:bCs/>
      <w:sz w:val="28"/>
      <w:szCs w:val="28"/>
    </w:rPr>
  </w:style>
  <w:style w:type="paragraph" w:styleId="9">
    <w:name w:val="heading 6"/>
    <w:basedOn w:val="1"/>
    <w:next w:val="1"/>
    <w:link w:val="89"/>
    <w:semiHidden/>
    <w:unhideWhenUsed/>
    <w:qFormat/>
    <w:uiPriority w:val="9"/>
    <w:pPr>
      <w:keepNext/>
      <w:keepLines/>
      <w:spacing w:before="240" w:after="64" w:line="316" w:lineRule="auto"/>
      <w:ind w:left="1151"/>
      <w:outlineLvl w:val="5"/>
    </w:pPr>
    <w:rPr>
      <w:rFonts w:ascii="Arial" w:hAnsi="Arial" w:eastAsia="黑体" w:cstheme="minorBidi"/>
      <w:b/>
      <w:sz w:val="24"/>
    </w:rPr>
  </w:style>
  <w:style w:type="paragraph" w:styleId="10">
    <w:name w:val="heading 7"/>
    <w:basedOn w:val="1"/>
    <w:next w:val="1"/>
    <w:link w:val="90"/>
    <w:semiHidden/>
    <w:unhideWhenUsed/>
    <w:qFormat/>
    <w:uiPriority w:val="9"/>
    <w:pPr>
      <w:keepNext/>
      <w:keepLines/>
      <w:spacing w:before="240" w:after="64" w:line="316" w:lineRule="auto"/>
      <w:ind w:left="1296"/>
      <w:outlineLvl w:val="6"/>
    </w:pPr>
    <w:rPr>
      <w:rFonts w:cstheme="minorBidi"/>
      <w:b/>
      <w:sz w:val="24"/>
    </w:rPr>
  </w:style>
  <w:style w:type="paragraph" w:styleId="11">
    <w:name w:val="heading 8"/>
    <w:basedOn w:val="1"/>
    <w:next w:val="1"/>
    <w:link w:val="49"/>
    <w:qFormat/>
    <w:uiPriority w:val="9"/>
    <w:pPr>
      <w:keepNext/>
      <w:keepLines/>
      <w:spacing w:before="240" w:after="64" w:line="320" w:lineRule="auto"/>
      <w:outlineLvl w:val="7"/>
    </w:pPr>
    <w:rPr>
      <w:rFonts w:ascii="等线 Light" w:hAnsi="等线 Light" w:eastAsia="等线 Light"/>
      <w:sz w:val="24"/>
    </w:rPr>
  </w:style>
  <w:style w:type="paragraph" w:styleId="12">
    <w:name w:val="heading 9"/>
    <w:basedOn w:val="1"/>
    <w:next w:val="1"/>
    <w:link w:val="91"/>
    <w:semiHidden/>
    <w:unhideWhenUsed/>
    <w:qFormat/>
    <w:uiPriority w:val="9"/>
    <w:pPr>
      <w:keepNext/>
      <w:keepLines/>
      <w:spacing w:before="240" w:after="64" w:line="316" w:lineRule="auto"/>
      <w:ind w:left="1583"/>
      <w:outlineLvl w:val="8"/>
    </w:pPr>
    <w:rPr>
      <w:rFonts w:ascii="Arial" w:hAnsi="Arial" w:eastAsia="黑体" w:cstheme="minorBidi"/>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56"/>
    <w:unhideWhenUsed/>
    <w:qFormat/>
    <w:uiPriority w:val="99"/>
    <w:pPr>
      <w:tabs>
        <w:tab w:val="center" w:pos="4153"/>
        <w:tab w:val="right" w:pos="8306"/>
      </w:tabs>
      <w:snapToGrid w:val="0"/>
      <w:jc w:val="left"/>
    </w:pPr>
    <w:rPr>
      <w:kern w:val="0"/>
      <w:sz w:val="18"/>
      <w:szCs w:val="18"/>
    </w:rPr>
  </w:style>
  <w:style w:type="paragraph" w:styleId="8">
    <w:name w:val="Normal Indent"/>
    <w:basedOn w:val="1"/>
    <w:qFormat/>
    <w:uiPriority w:val="0"/>
    <w:pPr>
      <w:ind w:firstLine="420"/>
    </w:pPr>
    <w:rPr>
      <w:szCs w:val="20"/>
    </w:rPr>
  </w:style>
  <w:style w:type="paragraph" w:styleId="13">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semiHidden/>
    <w:unhideWhenUsed/>
    <w:qFormat/>
    <w:uiPriority w:val="35"/>
    <w:pPr>
      <w:spacing w:line="360" w:lineRule="auto"/>
      <w:jc w:val="center"/>
    </w:pPr>
    <w:rPr>
      <w:rFonts w:eastAsia="黑体" w:asciiTheme="majorHAnsi" w:hAnsiTheme="majorHAnsi" w:cstheme="majorBidi"/>
      <w:sz w:val="20"/>
      <w:szCs w:val="20"/>
    </w:rPr>
  </w:style>
  <w:style w:type="paragraph" w:styleId="15">
    <w:name w:val="annotation text"/>
    <w:basedOn w:val="1"/>
    <w:link w:val="50"/>
    <w:qFormat/>
    <w:uiPriority w:val="0"/>
    <w:pPr>
      <w:jc w:val="left"/>
    </w:pPr>
  </w:style>
  <w:style w:type="paragraph" w:styleId="16">
    <w:name w:val="Body Text 3"/>
    <w:basedOn w:val="1"/>
    <w:link w:val="51"/>
    <w:unhideWhenUsed/>
    <w:qFormat/>
    <w:uiPriority w:val="99"/>
    <w:pPr>
      <w:spacing w:after="120"/>
    </w:pPr>
    <w:rPr>
      <w:sz w:val="16"/>
      <w:szCs w:val="16"/>
    </w:rPr>
  </w:style>
  <w:style w:type="paragraph" w:styleId="17">
    <w:name w:val="Body Text"/>
    <w:basedOn w:val="1"/>
    <w:next w:val="18"/>
    <w:link w:val="52"/>
    <w:unhideWhenUsed/>
    <w:qFormat/>
    <w:uiPriority w:val="0"/>
    <w:pPr>
      <w:spacing w:after="120"/>
    </w:pPr>
  </w:style>
  <w:style w:type="paragraph" w:customStyle="1" w:styleId="18">
    <w:name w:val="Default"/>
    <w:next w:val="19"/>
    <w:unhideWhenUsed/>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paragraph" w:customStyle="1" w:styleId="19">
    <w:name w:val="正文文字 6"/>
    <w:next w:val="1"/>
    <w:qFormat/>
    <w:uiPriority w:val="0"/>
    <w:pPr>
      <w:widowControl w:val="0"/>
      <w:ind w:left="240"/>
      <w:jc w:val="both"/>
    </w:pPr>
    <w:rPr>
      <w:rFonts w:ascii="宋体" w:hAnsi="Calibri" w:eastAsia="宋体" w:cs="Times New Roman"/>
      <w:b/>
      <w:bCs/>
      <w:kern w:val="2"/>
      <w:sz w:val="32"/>
      <w:szCs w:val="32"/>
      <w:lang w:val="en-US" w:eastAsia="zh-CN" w:bidi="ar-SA"/>
    </w:rPr>
  </w:style>
  <w:style w:type="paragraph" w:styleId="20">
    <w:name w:val="Body Text Indent"/>
    <w:basedOn w:val="1"/>
    <w:link w:val="53"/>
    <w:qFormat/>
    <w:uiPriority w:val="0"/>
    <w:pPr>
      <w:ind w:firstLine="830" w:firstLineChars="352"/>
    </w:pPr>
    <w:rPr>
      <w:rFonts w:ascii="仿宋_GB2312" w:eastAsia="仿宋_GB2312"/>
      <w:kern w:val="0"/>
      <w:sz w:val="32"/>
      <w:szCs w:val="20"/>
    </w:rPr>
  </w:style>
  <w:style w:type="paragraph" w:styleId="21">
    <w:name w:val="List 2"/>
    <w:basedOn w:val="1"/>
    <w:unhideWhenUsed/>
    <w:qFormat/>
    <w:uiPriority w:val="99"/>
    <w:pPr>
      <w:ind w:left="100" w:leftChars="200" w:hanging="200" w:hangingChars="200"/>
      <w:contextualSpacing/>
    </w:pPr>
  </w:style>
  <w:style w:type="paragraph" w:styleId="22">
    <w:name w:val="toc 3"/>
    <w:basedOn w:val="1"/>
    <w:next w:val="1"/>
    <w:semiHidden/>
    <w:unhideWhenUsed/>
    <w:qFormat/>
    <w:uiPriority w:val="39"/>
    <w:pPr>
      <w:spacing w:line="360" w:lineRule="auto"/>
      <w:ind w:left="400" w:leftChars="400" w:firstLine="560" w:firstLineChars="200"/>
    </w:pPr>
    <w:rPr>
      <w:rFonts w:eastAsia="黑体" w:cstheme="minorBidi"/>
      <w:sz w:val="28"/>
    </w:rPr>
  </w:style>
  <w:style w:type="paragraph" w:styleId="23">
    <w:name w:val="Plain Text"/>
    <w:basedOn w:val="1"/>
    <w:next w:val="6"/>
    <w:link w:val="54"/>
    <w:qFormat/>
    <w:uiPriority w:val="0"/>
    <w:rPr>
      <w:rFonts w:ascii="宋体" w:hAnsi="Courier New"/>
      <w:kern w:val="0"/>
      <w:sz w:val="20"/>
      <w:szCs w:val="21"/>
    </w:rPr>
  </w:style>
  <w:style w:type="paragraph" w:styleId="24">
    <w:name w:val="Date"/>
    <w:basedOn w:val="1"/>
    <w:next w:val="1"/>
    <w:link w:val="55"/>
    <w:unhideWhenUsed/>
    <w:qFormat/>
    <w:uiPriority w:val="99"/>
    <w:pPr>
      <w:ind w:left="100" w:leftChars="2500"/>
    </w:pPr>
  </w:style>
  <w:style w:type="paragraph" w:styleId="25">
    <w:name w:val="Balloon Text"/>
    <w:basedOn w:val="1"/>
    <w:link w:val="95"/>
    <w:semiHidden/>
    <w:qFormat/>
    <w:uiPriority w:val="99"/>
    <w:rPr>
      <w:sz w:val="18"/>
      <w:szCs w:val="18"/>
    </w:rPr>
  </w:style>
  <w:style w:type="paragraph" w:styleId="26">
    <w:name w:val="header"/>
    <w:basedOn w:val="1"/>
    <w:link w:val="5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7">
    <w:name w:val="toc 1"/>
    <w:basedOn w:val="1"/>
    <w:next w:val="1"/>
    <w:unhideWhenUsed/>
    <w:qFormat/>
    <w:uiPriority w:val="39"/>
  </w:style>
  <w:style w:type="paragraph" w:styleId="28">
    <w:name w:val="List"/>
    <w:basedOn w:val="1"/>
    <w:qFormat/>
    <w:uiPriority w:val="0"/>
    <w:pPr>
      <w:ind w:left="200" w:hanging="200" w:hangingChars="200"/>
    </w:pPr>
    <w:rPr>
      <w:sz w:val="28"/>
    </w:rPr>
  </w:style>
  <w:style w:type="paragraph" w:styleId="29">
    <w:name w:val="toc 2"/>
    <w:basedOn w:val="1"/>
    <w:next w:val="1"/>
    <w:unhideWhenUsed/>
    <w:qFormat/>
    <w:uiPriority w:val="39"/>
    <w:pPr>
      <w:tabs>
        <w:tab w:val="right" w:leader="dot" w:pos="8296"/>
      </w:tabs>
      <w:ind w:left="420" w:leftChars="200"/>
    </w:pPr>
  </w:style>
  <w:style w:type="paragraph" w:styleId="30">
    <w:name w:val="Body Text 2"/>
    <w:basedOn w:val="1"/>
    <w:link w:val="94"/>
    <w:semiHidden/>
    <w:unhideWhenUsed/>
    <w:qFormat/>
    <w:uiPriority w:val="0"/>
    <w:pPr>
      <w:spacing w:after="120" w:line="480" w:lineRule="auto"/>
      <w:ind w:firstLine="560" w:firstLineChars="200"/>
    </w:pPr>
    <w:rPr>
      <w:rFonts w:cstheme="minorBidi"/>
      <w:sz w:val="28"/>
    </w:rPr>
  </w:style>
  <w:style w:type="paragraph" w:styleId="31">
    <w:name w:val="Normal (Web)"/>
    <w:basedOn w:val="1"/>
    <w:unhideWhenUsed/>
    <w:qFormat/>
    <w:uiPriority w:val="99"/>
    <w:rPr>
      <w:rFonts w:ascii="Calibri" w:hAnsi="Calibri"/>
      <w:kern w:val="0"/>
      <w:sz w:val="24"/>
    </w:rPr>
  </w:style>
  <w:style w:type="paragraph" w:styleId="32">
    <w:name w:val="annotation subject"/>
    <w:basedOn w:val="15"/>
    <w:next w:val="15"/>
    <w:link w:val="58"/>
    <w:qFormat/>
    <w:uiPriority w:val="99"/>
    <w:rPr>
      <w:b/>
      <w:bCs/>
    </w:rPr>
  </w:style>
  <w:style w:type="paragraph" w:styleId="33">
    <w:name w:val="Body Text First Indent"/>
    <w:basedOn w:val="17"/>
    <w:link w:val="93"/>
    <w:semiHidden/>
    <w:unhideWhenUsed/>
    <w:qFormat/>
    <w:uiPriority w:val="0"/>
    <w:pPr>
      <w:spacing w:line="360" w:lineRule="auto"/>
      <w:ind w:firstLine="420" w:firstLineChars="100"/>
    </w:pPr>
    <w:rPr>
      <w:rFonts w:cstheme="minorBidi"/>
      <w:sz w:val="28"/>
    </w:rPr>
  </w:style>
  <w:style w:type="paragraph" w:styleId="34">
    <w:name w:val="Body Text First Indent 2"/>
    <w:basedOn w:val="20"/>
    <w:next w:val="1"/>
    <w:unhideWhenUsed/>
    <w:qFormat/>
    <w:uiPriority w:val="99"/>
    <w:pPr>
      <w:spacing w:after="120"/>
      <w:ind w:left="420" w:leftChars="200" w:firstLine="420" w:firstLineChars="200"/>
    </w:pPr>
    <w:rPr>
      <w:rFonts w:ascii="Times New Roman" w:eastAsia="宋体"/>
      <w:kern w:val="2"/>
      <w:sz w:val="21"/>
      <w:szCs w:val="24"/>
    </w:rPr>
  </w:style>
  <w:style w:type="table" w:styleId="36">
    <w:name w:val="Table Grid"/>
    <w:basedOn w:val="3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8">
    <w:name w:val="Strong"/>
    <w:basedOn w:val="37"/>
    <w:qFormat/>
    <w:uiPriority w:val="22"/>
    <w:rPr>
      <w:b/>
    </w:rPr>
  </w:style>
  <w:style w:type="character" w:styleId="39">
    <w:name w:val="endnote reference"/>
    <w:unhideWhenUsed/>
    <w:qFormat/>
    <w:uiPriority w:val="99"/>
    <w:rPr>
      <w:vertAlign w:val="superscript"/>
    </w:rPr>
  </w:style>
  <w:style w:type="character" w:styleId="40">
    <w:name w:val="page number"/>
    <w:basedOn w:val="37"/>
    <w:semiHidden/>
    <w:unhideWhenUsed/>
    <w:qFormat/>
    <w:uiPriority w:val="99"/>
    <w:rPr>
      <w:rFonts w:hint="default" w:ascii="Times New Roman" w:hAnsi="Times New Roman" w:eastAsia="宋体" w:cs="Times New Roman"/>
      <w:color w:val="auto"/>
      <w:sz w:val="21"/>
    </w:rPr>
  </w:style>
  <w:style w:type="character" w:styleId="41">
    <w:name w:val="FollowedHyperlink"/>
    <w:basedOn w:val="37"/>
    <w:semiHidden/>
    <w:unhideWhenUsed/>
    <w:qFormat/>
    <w:uiPriority w:val="99"/>
    <w:rPr>
      <w:color w:val="800080" w:themeColor="followedHyperlink"/>
      <w:u w:val="single"/>
      <w14:textFill>
        <w14:solidFill>
          <w14:schemeClr w14:val="folHlink"/>
        </w14:solidFill>
      </w14:textFill>
    </w:rPr>
  </w:style>
  <w:style w:type="character" w:styleId="42">
    <w:name w:val="Hyperlink"/>
    <w:unhideWhenUsed/>
    <w:qFormat/>
    <w:uiPriority w:val="99"/>
    <w:rPr>
      <w:color w:val="0000FF"/>
      <w:u w:val="single"/>
    </w:rPr>
  </w:style>
  <w:style w:type="character" w:styleId="43">
    <w:name w:val="annotation reference"/>
    <w:qFormat/>
    <w:uiPriority w:val="99"/>
    <w:rPr>
      <w:sz w:val="21"/>
      <w:szCs w:val="21"/>
    </w:rPr>
  </w:style>
  <w:style w:type="paragraph" w:customStyle="1" w:styleId="44">
    <w:name w:val="段"/>
    <w:next w:val="1"/>
    <w:qFormat/>
    <w:uiPriority w:val="99"/>
    <w:pPr>
      <w:autoSpaceDE w:val="0"/>
      <w:autoSpaceDN w:val="0"/>
      <w:adjustRightInd w:val="0"/>
      <w:snapToGrid w:val="0"/>
      <w:spacing w:line="360" w:lineRule="auto"/>
      <w:ind w:firstLine="200" w:firstLineChars="200"/>
      <w:jc w:val="both"/>
    </w:pPr>
    <w:rPr>
      <w:rFonts w:ascii="宋体" w:hAnsiTheme="minorHAnsi" w:eastAsiaTheme="minorEastAsia" w:cstheme="minorBidi"/>
      <w:sz w:val="24"/>
      <w:szCs w:val="22"/>
      <w:lang w:val="en-US" w:eastAsia="zh-CN" w:bidi="ar-SA"/>
    </w:rPr>
  </w:style>
  <w:style w:type="character" w:customStyle="1" w:styleId="45">
    <w:name w:val="标题 2 Char"/>
    <w:qFormat/>
    <w:uiPriority w:val="9"/>
    <w:rPr>
      <w:rFonts w:ascii="Cambria" w:hAnsi="Cambria" w:eastAsia="宋体" w:cs="Times New Roman"/>
      <w:b/>
      <w:bCs/>
      <w:kern w:val="2"/>
      <w:sz w:val="32"/>
      <w:szCs w:val="32"/>
    </w:rPr>
  </w:style>
  <w:style w:type="character" w:customStyle="1" w:styleId="46">
    <w:name w:val="标题 1 Char"/>
    <w:link w:val="3"/>
    <w:qFormat/>
    <w:uiPriority w:val="9"/>
    <w:rPr>
      <w:b/>
      <w:bCs/>
      <w:kern w:val="44"/>
      <w:sz w:val="44"/>
      <w:szCs w:val="44"/>
    </w:rPr>
  </w:style>
  <w:style w:type="character" w:customStyle="1" w:styleId="47">
    <w:name w:val="标题 2 Char1"/>
    <w:link w:val="4"/>
    <w:qFormat/>
    <w:uiPriority w:val="9"/>
    <w:rPr>
      <w:rFonts w:ascii="Cambria" w:hAnsi="Cambria" w:eastAsia="宋体" w:cs="Times New Roman"/>
      <w:b/>
      <w:bCs/>
      <w:kern w:val="2"/>
      <w:sz w:val="32"/>
      <w:szCs w:val="32"/>
    </w:rPr>
  </w:style>
  <w:style w:type="character" w:customStyle="1" w:styleId="48">
    <w:name w:val="标题 5 Char"/>
    <w:link w:val="7"/>
    <w:semiHidden/>
    <w:qFormat/>
    <w:uiPriority w:val="9"/>
    <w:rPr>
      <w:rFonts w:ascii="Times New Roman" w:hAnsi="Times New Roman"/>
      <w:b/>
      <w:bCs/>
      <w:kern w:val="2"/>
      <w:sz w:val="28"/>
      <w:szCs w:val="28"/>
    </w:rPr>
  </w:style>
  <w:style w:type="character" w:customStyle="1" w:styleId="49">
    <w:name w:val="标题 8 Char1"/>
    <w:link w:val="11"/>
    <w:semiHidden/>
    <w:qFormat/>
    <w:uiPriority w:val="9"/>
    <w:rPr>
      <w:rFonts w:ascii="等线 Light" w:hAnsi="等线 Light" w:eastAsia="等线 Light" w:cs="Times New Roman"/>
      <w:kern w:val="2"/>
      <w:sz w:val="24"/>
      <w:szCs w:val="24"/>
    </w:rPr>
  </w:style>
  <w:style w:type="character" w:customStyle="1" w:styleId="50">
    <w:name w:val="批注文字 Char1"/>
    <w:link w:val="15"/>
    <w:qFormat/>
    <w:uiPriority w:val="0"/>
    <w:rPr>
      <w:rFonts w:ascii="Times New Roman" w:hAnsi="Times New Roman"/>
      <w:kern w:val="2"/>
      <w:sz w:val="21"/>
      <w:szCs w:val="24"/>
    </w:rPr>
  </w:style>
  <w:style w:type="character" w:customStyle="1" w:styleId="51">
    <w:name w:val="正文文本 3 Char"/>
    <w:link w:val="16"/>
    <w:semiHidden/>
    <w:qFormat/>
    <w:uiPriority w:val="99"/>
    <w:rPr>
      <w:kern w:val="2"/>
      <w:sz w:val="16"/>
      <w:szCs w:val="16"/>
    </w:rPr>
  </w:style>
  <w:style w:type="character" w:customStyle="1" w:styleId="52">
    <w:name w:val="正文文本 Char1"/>
    <w:link w:val="17"/>
    <w:qFormat/>
    <w:uiPriority w:val="0"/>
    <w:rPr>
      <w:rFonts w:ascii="Times New Roman" w:hAnsi="Times New Roman"/>
      <w:kern w:val="2"/>
      <w:sz w:val="21"/>
      <w:szCs w:val="24"/>
    </w:rPr>
  </w:style>
  <w:style w:type="character" w:customStyle="1" w:styleId="53">
    <w:name w:val="正文文本缩进 Char"/>
    <w:link w:val="20"/>
    <w:qFormat/>
    <w:uiPriority w:val="0"/>
    <w:rPr>
      <w:rFonts w:ascii="仿宋_GB2312" w:hAnsi="Times New Roman" w:eastAsia="仿宋_GB2312" w:cs="Times New Roman"/>
      <w:sz w:val="32"/>
      <w:szCs w:val="20"/>
    </w:rPr>
  </w:style>
  <w:style w:type="character" w:customStyle="1" w:styleId="54">
    <w:name w:val="纯文本 Char1"/>
    <w:link w:val="23"/>
    <w:qFormat/>
    <w:uiPriority w:val="0"/>
    <w:rPr>
      <w:rFonts w:ascii="宋体" w:hAnsi="Courier New" w:eastAsia="宋体" w:cs="Courier New"/>
      <w:szCs w:val="21"/>
    </w:rPr>
  </w:style>
  <w:style w:type="character" w:customStyle="1" w:styleId="55">
    <w:name w:val="日期 Char"/>
    <w:link w:val="24"/>
    <w:semiHidden/>
    <w:qFormat/>
    <w:uiPriority w:val="99"/>
    <w:rPr>
      <w:rFonts w:ascii="Times New Roman" w:hAnsi="Times New Roman"/>
      <w:kern w:val="2"/>
      <w:sz w:val="21"/>
      <w:szCs w:val="24"/>
    </w:rPr>
  </w:style>
  <w:style w:type="character" w:customStyle="1" w:styleId="56">
    <w:name w:val="页脚 Char"/>
    <w:link w:val="2"/>
    <w:qFormat/>
    <w:uiPriority w:val="99"/>
    <w:rPr>
      <w:sz w:val="18"/>
      <w:szCs w:val="18"/>
    </w:rPr>
  </w:style>
  <w:style w:type="character" w:customStyle="1" w:styleId="57">
    <w:name w:val="页眉 Char"/>
    <w:link w:val="26"/>
    <w:qFormat/>
    <w:uiPriority w:val="99"/>
    <w:rPr>
      <w:sz w:val="18"/>
      <w:szCs w:val="18"/>
    </w:rPr>
  </w:style>
  <w:style w:type="character" w:customStyle="1" w:styleId="58">
    <w:name w:val="批注主题 Char"/>
    <w:link w:val="32"/>
    <w:qFormat/>
    <w:uiPriority w:val="99"/>
    <w:rPr>
      <w:rFonts w:ascii="Times New Roman" w:hAnsi="Times New Roman"/>
      <w:b/>
      <w:bCs/>
      <w:kern w:val="2"/>
      <w:sz w:val="21"/>
      <w:szCs w:val="24"/>
    </w:rPr>
  </w:style>
  <w:style w:type="character" w:customStyle="1" w:styleId="59">
    <w:name w:val="纯文本 字符2"/>
    <w:qFormat/>
    <w:uiPriority w:val="0"/>
    <w:rPr>
      <w:rFonts w:ascii="宋体" w:hAnsi="Courier New" w:eastAsia="宋体" w:cs="Courier New"/>
      <w:szCs w:val="21"/>
    </w:rPr>
  </w:style>
  <w:style w:type="character" w:customStyle="1" w:styleId="60">
    <w:name w:val="标题 1 字符1"/>
    <w:qFormat/>
    <w:uiPriority w:val="0"/>
    <w:rPr>
      <w:b/>
      <w:bCs/>
      <w:kern w:val="44"/>
      <w:sz w:val="44"/>
      <w:szCs w:val="44"/>
    </w:rPr>
  </w:style>
  <w:style w:type="character" w:customStyle="1" w:styleId="61">
    <w:name w:val="正文2 Char Char"/>
    <w:link w:val="62"/>
    <w:qFormat/>
    <w:uiPriority w:val="0"/>
    <w:rPr>
      <w:kern w:val="2"/>
      <w:sz w:val="24"/>
    </w:rPr>
  </w:style>
  <w:style w:type="paragraph" w:customStyle="1" w:styleId="62">
    <w:name w:val="正文2"/>
    <w:basedOn w:val="1"/>
    <w:link w:val="61"/>
    <w:qFormat/>
    <w:uiPriority w:val="0"/>
    <w:pPr>
      <w:adjustRightInd w:val="0"/>
      <w:spacing w:before="156" w:line="360" w:lineRule="auto"/>
      <w:ind w:firstLine="510" w:firstLineChars="200"/>
    </w:pPr>
    <w:rPr>
      <w:sz w:val="24"/>
      <w:szCs w:val="20"/>
    </w:rPr>
  </w:style>
  <w:style w:type="character" w:customStyle="1" w:styleId="63">
    <w:name w:val="纯文本 字符1"/>
    <w:qFormat/>
    <w:uiPriority w:val="99"/>
    <w:rPr>
      <w:rFonts w:ascii="宋体" w:hAnsi="Courier New"/>
    </w:rPr>
  </w:style>
  <w:style w:type="character" w:customStyle="1" w:styleId="64">
    <w:name w:val="批注文字 Char2"/>
    <w:qFormat/>
    <w:uiPriority w:val="0"/>
    <w:rPr>
      <w:rFonts w:ascii="Times New Roman" w:hAnsi="Times New Roman"/>
      <w:kern w:val="2"/>
      <w:sz w:val="21"/>
      <w:szCs w:val="24"/>
    </w:rPr>
  </w:style>
  <w:style w:type="character" w:customStyle="1" w:styleId="65">
    <w:name w:val="纯文本 字符"/>
    <w:qFormat/>
    <w:uiPriority w:val="0"/>
    <w:rPr>
      <w:rFonts w:ascii="宋体" w:hAnsi="Courier New" w:eastAsia="宋体" w:cs="Courier New"/>
      <w:szCs w:val="21"/>
    </w:rPr>
  </w:style>
  <w:style w:type="character" w:customStyle="1" w:styleId="66">
    <w:name w:val="textcontents"/>
    <w:qFormat/>
    <w:uiPriority w:val="0"/>
  </w:style>
  <w:style w:type="character" w:customStyle="1" w:styleId="67">
    <w:name w:val="apple-style-span"/>
    <w:qFormat/>
    <w:uiPriority w:val="0"/>
  </w:style>
  <w:style w:type="character" w:customStyle="1" w:styleId="68">
    <w:name w:val="批注文字 Char"/>
    <w:qFormat/>
    <w:uiPriority w:val="0"/>
    <w:rPr>
      <w:rFonts w:ascii="Times New Roman" w:hAnsi="Times New Roman"/>
      <w:kern w:val="2"/>
      <w:sz w:val="21"/>
      <w:szCs w:val="24"/>
    </w:rPr>
  </w:style>
  <w:style w:type="character" w:customStyle="1" w:styleId="69">
    <w:name w:val="正文文本 字符"/>
    <w:qFormat/>
    <w:uiPriority w:val="0"/>
    <w:rPr>
      <w:rFonts w:ascii="Times New Roman" w:hAnsi="Times New Roman"/>
      <w:kern w:val="2"/>
      <w:sz w:val="21"/>
      <w:szCs w:val="24"/>
    </w:rPr>
  </w:style>
  <w:style w:type="character" w:customStyle="1" w:styleId="70">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71">
    <w:name w:val="纯文本 Char"/>
    <w:qFormat/>
    <w:uiPriority w:val="0"/>
    <w:rPr>
      <w:rFonts w:ascii="宋体" w:hAnsi="Courier New" w:eastAsia="宋体" w:cs="Courier New"/>
      <w:szCs w:val="21"/>
    </w:rPr>
  </w:style>
  <w:style w:type="character" w:customStyle="1" w:styleId="72">
    <w:name w:val="标题 8 Char"/>
    <w:qFormat/>
    <w:uiPriority w:val="0"/>
    <w:rPr>
      <w:rFonts w:ascii="Arial" w:hAnsi="Arial" w:eastAsia="黑体"/>
      <w:kern w:val="2"/>
      <w:sz w:val="24"/>
      <w:szCs w:val="24"/>
    </w:rPr>
  </w:style>
  <w:style w:type="character" w:customStyle="1" w:styleId="73">
    <w:name w:val="批注文字 字符"/>
    <w:qFormat/>
    <w:uiPriority w:val="99"/>
    <w:rPr>
      <w:rFonts w:ascii="Times New Roman" w:hAnsi="Times New Roman"/>
      <w:kern w:val="2"/>
      <w:sz w:val="21"/>
      <w:szCs w:val="24"/>
    </w:rPr>
  </w:style>
  <w:style w:type="character" w:customStyle="1" w:styleId="74">
    <w:name w:val="批注文字 字符1"/>
    <w:qFormat/>
    <w:uiPriority w:val="0"/>
    <w:rPr>
      <w:rFonts w:ascii="Times New Roman" w:hAnsi="Times New Roman"/>
      <w:kern w:val="2"/>
      <w:sz w:val="21"/>
      <w:szCs w:val="24"/>
    </w:rPr>
  </w:style>
  <w:style w:type="character" w:customStyle="1" w:styleId="75">
    <w:name w:val="正文文本 Char"/>
    <w:qFormat/>
    <w:uiPriority w:val="0"/>
    <w:rPr>
      <w:rFonts w:ascii="Times New Roman" w:hAnsi="Times New Roman"/>
      <w:kern w:val="2"/>
      <w:sz w:val="21"/>
      <w:szCs w:val="24"/>
    </w:rPr>
  </w:style>
  <w:style w:type="paragraph" w:customStyle="1" w:styleId="76">
    <w:name w:val="默认段落字体 Para Char Char Char Char Char Char Char Char Char1 Char Char Char Char"/>
    <w:basedOn w:val="1"/>
    <w:qFormat/>
    <w:uiPriority w:val="0"/>
    <w:rPr>
      <w:rFonts w:ascii="Tahoma" w:hAnsi="Tahoma"/>
      <w:sz w:val="24"/>
      <w:szCs w:val="20"/>
    </w:rPr>
  </w:style>
  <w:style w:type="paragraph" w:customStyle="1" w:styleId="77">
    <w:name w:val="Table Paragraph"/>
    <w:basedOn w:val="1"/>
    <w:qFormat/>
    <w:uiPriority w:val="1"/>
    <w:pPr>
      <w:jc w:val="left"/>
    </w:pPr>
    <w:rPr>
      <w:rFonts w:ascii="Calibri" w:hAnsi="Calibri"/>
      <w:kern w:val="0"/>
      <w:sz w:val="22"/>
      <w:szCs w:val="22"/>
      <w:lang w:eastAsia="en-US"/>
    </w:rPr>
  </w:style>
  <w:style w:type="paragraph" w:customStyle="1" w:styleId="78">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79">
    <w:name w:val="列出段落1"/>
    <w:basedOn w:val="1"/>
    <w:qFormat/>
    <w:uiPriority w:val="34"/>
    <w:pPr>
      <w:ind w:firstLine="420" w:firstLineChars="200"/>
    </w:pPr>
  </w:style>
  <w:style w:type="paragraph" w:customStyle="1" w:styleId="80">
    <w:name w:val="列出段落2"/>
    <w:basedOn w:val="1"/>
    <w:qFormat/>
    <w:uiPriority w:val="34"/>
    <w:pPr>
      <w:ind w:firstLine="420" w:firstLineChars="200"/>
    </w:pPr>
    <w:rPr>
      <w:rFonts w:ascii="Calibri" w:hAnsi="Calibri"/>
    </w:rPr>
  </w:style>
  <w:style w:type="character" w:customStyle="1" w:styleId="81">
    <w:name w:val="标题 3 Char"/>
    <w:basedOn w:val="37"/>
    <w:link w:val="5"/>
    <w:semiHidden/>
    <w:qFormat/>
    <w:uiPriority w:val="9"/>
    <w:rPr>
      <w:b/>
      <w:bCs/>
      <w:kern w:val="2"/>
      <w:sz w:val="32"/>
      <w:szCs w:val="32"/>
    </w:rPr>
  </w:style>
  <w:style w:type="character" w:customStyle="1" w:styleId="82">
    <w:name w:val="标题 4 Char"/>
    <w:basedOn w:val="37"/>
    <w:link w:val="6"/>
    <w:semiHidden/>
    <w:qFormat/>
    <w:uiPriority w:val="9"/>
    <w:rPr>
      <w:rFonts w:asciiTheme="majorHAnsi" w:hAnsiTheme="majorHAnsi" w:eastAsiaTheme="majorEastAsia" w:cstheme="majorBidi"/>
      <w:b/>
      <w:bCs/>
      <w:kern w:val="2"/>
      <w:sz w:val="28"/>
      <w:szCs w:val="28"/>
    </w:rPr>
  </w:style>
  <w:style w:type="character" w:customStyle="1" w:styleId="83">
    <w:name w:val="*正文 Char Char"/>
    <w:link w:val="84"/>
    <w:qFormat/>
    <w:locked/>
    <w:uiPriority w:val="0"/>
    <w:rPr>
      <w:rFonts w:ascii="宋体" w:hAnsi="宋体" w:eastAsia="仿宋_GB2312"/>
      <w:sz w:val="28"/>
      <w:szCs w:val="24"/>
    </w:rPr>
  </w:style>
  <w:style w:type="paragraph" w:customStyle="1" w:styleId="84">
    <w:name w:val="*正文"/>
    <w:basedOn w:val="1"/>
    <w:link w:val="83"/>
    <w:qFormat/>
    <w:uiPriority w:val="0"/>
    <w:pPr>
      <w:widowControl/>
      <w:spacing w:line="360" w:lineRule="auto"/>
      <w:ind w:firstLine="200" w:firstLineChars="200"/>
      <w:jc w:val="left"/>
    </w:pPr>
    <w:rPr>
      <w:rFonts w:ascii="宋体" w:hAnsi="宋体" w:eastAsia="仿宋_GB2312"/>
      <w:kern w:val="0"/>
      <w:sz w:val="28"/>
    </w:rPr>
  </w:style>
  <w:style w:type="character" w:customStyle="1" w:styleId="85">
    <w:name w:val="正正正文 Char"/>
    <w:link w:val="86"/>
    <w:qFormat/>
    <w:locked/>
    <w:uiPriority w:val="0"/>
    <w:rPr>
      <w:rFonts w:ascii="仿宋" w:hAnsi="仿宋" w:eastAsia="仿宋"/>
      <w:sz w:val="28"/>
      <w:szCs w:val="28"/>
    </w:rPr>
  </w:style>
  <w:style w:type="paragraph" w:customStyle="1" w:styleId="86">
    <w:name w:val="正正正文"/>
    <w:basedOn w:val="1"/>
    <w:link w:val="85"/>
    <w:qFormat/>
    <w:uiPriority w:val="0"/>
    <w:pPr>
      <w:spacing w:line="560" w:lineRule="exact"/>
      <w:ind w:firstLine="200" w:firstLineChars="200"/>
    </w:pPr>
    <w:rPr>
      <w:rFonts w:ascii="仿宋" w:hAnsi="仿宋" w:eastAsia="仿宋"/>
      <w:kern w:val="0"/>
      <w:sz w:val="28"/>
      <w:szCs w:val="28"/>
    </w:rPr>
  </w:style>
  <w:style w:type="character" w:customStyle="1" w:styleId="87">
    <w:name w:val="列表段落 字符2"/>
    <w:link w:val="88"/>
    <w:qFormat/>
    <w:locked/>
    <w:uiPriority w:val="0"/>
    <w:rPr>
      <w:rFonts w:ascii="Calibri" w:hAnsi="Calibri" w:cs="Calibri"/>
      <w:kern w:val="2"/>
      <w:sz w:val="21"/>
      <w:szCs w:val="22"/>
    </w:rPr>
  </w:style>
  <w:style w:type="paragraph" w:customStyle="1" w:styleId="88">
    <w:name w:val="列表段落1"/>
    <w:basedOn w:val="1"/>
    <w:link w:val="87"/>
    <w:qFormat/>
    <w:uiPriority w:val="0"/>
    <w:pPr>
      <w:widowControl/>
      <w:ind w:firstLine="420" w:firstLineChars="200"/>
      <w:jc w:val="left"/>
    </w:pPr>
    <w:rPr>
      <w:rFonts w:ascii="Calibri" w:hAnsi="Calibri" w:cs="Calibri"/>
      <w:szCs w:val="22"/>
    </w:rPr>
  </w:style>
  <w:style w:type="character" w:customStyle="1" w:styleId="89">
    <w:name w:val="标题 6 Char"/>
    <w:basedOn w:val="37"/>
    <w:link w:val="9"/>
    <w:semiHidden/>
    <w:qFormat/>
    <w:uiPriority w:val="9"/>
    <w:rPr>
      <w:rFonts w:ascii="Arial" w:hAnsi="Arial" w:eastAsia="黑体" w:cstheme="minorBidi"/>
      <w:b/>
      <w:kern w:val="2"/>
      <w:sz w:val="24"/>
      <w:szCs w:val="24"/>
    </w:rPr>
  </w:style>
  <w:style w:type="character" w:customStyle="1" w:styleId="90">
    <w:name w:val="标题 7 Char"/>
    <w:basedOn w:val="37"/>
    <w:link w:val="10"/>
    <w:semiHidden/>
    <w:qFormat/>
    <w:uiPriority w:val="9"/>
    <w:rPr>
      <w:rFonts w:cstheme="minorBidi"/>
      <w:b/>
      <w:kern w:val="2"/>
      <w:sz w:val="24"/>
      <w:szCs w:val="24"/>
    </w:rPr>
  </w:style>
  <w:style w:type="character" w:customStyle="1" w:styleId="91">
    <w:name w:val="标题 9 Char"/>
    <w:basedOn w:val="37"/>
    <w:link w:val="12"/>
    <w:semiHidden/>
    <w:qFormat/>
    <w:uiPriority w:val="9"/>
    <w:rPr>
      <w:rFonts w:ascii="Arial" w:hAnsi="Arial" w:eastAsia="黑体" w:cstheme="minorBidi"/>
      <w:kern w:val="2"/>
      <w:sz w:val="21"/>
      <w:szCs w:val="24"/>
    </w:rPr>
  </w:style>
  <w:style w:type="paragraph" w:customStyle="1" w:styleId="92">
    <w:name w:val="msonormal"/>
    <w:basedOn w:val="1"/>
    <w:qFormat/>
    <w:uiPriority w:val="0"/>
    <w:pPr>
      <w:widowControl/>
      <w:spacing w:before="100" w:beforeAutospacing="1" w:after="100" w:afterAutospacing="1"/>
      <w:jc w:val="left"/>
    </w:pPr>
    <w:rPr>
      <w:rFonts w:ascii="宋体" w:hAnsi="宋体" w:cs="宋体"/>
      <w:kern w:val="0"/>
      <w:sz w:val="24"/>
    </w:rPr>
  </w:style>
  <w:style w:type="character" w:customStyle="1" w:styleId="93">
    <w:name w:val="正文首行缩进 Char"/>
    <w:basedOn w:val="52"/>
    <w:link w:val="33"/>
    <w:semiHidden/>
    <w:qFormat/>
    <w:uiPriority w:val="0"/>
    <w:rPr>
      <w:rFonts w:ascii="Times New Roman" w:hAnsi="Times New Roman" w:cstheme="minorBidi"/>
      <w:kern w:val="2"/>
      <w:sz w:val="28"/>
      <w:szCs w:val="24"/>
    </w:rPr>
  </w:style>
  <w:style w:type="character" w:customStyle="1" w:styleId="94">
    <w:name w:val="正文文本 2 Char"/>
    <w:basedOn w:val="37"/>
    <w:link w:val="30"/>
    <w:semiHidden/>
    <w:qFormat/>
    <w:uiPriority w:val="0"/>
    <w:rPr>
      <w:rFonts w:cstheme="minorBidi"/>
      <w:kern w:val="2"/>
      <w:sz w:val="28"/>
      <w:szCs w:val="24"/>
    </w:rPr>
  </w:style>
  <w:style w:type="character" w:customStyle="1" w:styleId="95">
    <w:name w:val="批注框文本 Char"/>
    <w:basedOn w:val="37"/>
    <w:link w:val="25"/>
    <w:semiHidden/>
    <w:qFormat/>
    <w:uiPriority w:val="99"/>
    <w:rPr>
      <w:kern w:val="2"/>
      <w:sz w:val="18"/>
      <w:szCs w:val="18"/>
    </w:rPr>
  </w:style>
  <w:style w:type="paragraph" w:customStyle="1" w:styleId="96">
    <w:name w:val="01-项目名称"/>
    <w:basedOn w:val="1"/>
    <w:next w:val="1"/>
    <w:qFormat/>
    <w:uiPriority w:val="0"/>
    <w:pPr>
      <w:snapToGrid w:val="0"/>
      <w:spacing w:line="360" w:lineRule="auto"/>
      <w:ind w:firstLine="560" w:firstLineChars="200"/>
      <w:jc w:val="center"/>
    </w:pPr>
    <w:rPr>
      <w:rFonts w:cstheme="minorBidi"/>
      <w:b/>
      <w:sz w:val="44"/>
    </w:rPr>
  </w:style>
  <w:style w:type="paragraph" w:customStyle="1" w:styleId="97">
    <w:name w:val="02-公司名称时间"/>
    <w:basedOn w:val="1"/>
    <w:next w:val="1"/>
    <w:qFormat/>
    <w:uiPriority w:val="0"/>
    <w:pPr>
      <w:snapToGrid w:val="0"/>
      <w:spacing w:line="360" w:lineRule="auto"/>
      <w:ind w:firstLine="560" w:firstLineChars="200"/>
      <w:jc w:val="center"/>
    </w:pPr>
    <w:rPr>
      <w:rFonts w:cstheme="minorBidi"/>
      <w:b/>
      <w:sz w:val="32"/>
    </w:rPr>
  </w:style>
  <w:style w:type="paragraph" w:customStyle="1" w:styleId="98">
    <w:name w:val="03-目录两字"/>
    <w:basedOn w:val="1"/>
    <w:next w:val="1"/>
    <w:qFormat/>
    <w:uiPriority w:val="0"/>
    <w:pPr>
      <w:snapToGrid w:val="0"/>
      <w:spacing w:line="360" w:lineRule="auto"/>
      <w:ind w:firstLine="560" w:firstLineChars="200"/>
      <w:jc w:val="center"/>
    </w:pPr>
    <w:rPr>
      <w:rFonts w:cstheme="minorBidi"/>
      <w:b/>
      <w:sz w:val="28"/>
    </w:rPr>
  </w:style>
  <w:style w:type="paragraph" w:customStyle="1" w:styleId="99">
    <w:name w:val="12-图片"/>
    <w:basedOn w:val="1"/>
    <w:next w:val="1"/>
    <w:qFormat/>
    <w:uiPriority w:val="0"/>
    <w:pPr>
      <w:snapToGrid w:val="0"/>
      <w:spacing w:beforeLines="50" w:afterLines="50" w:line="360" w:lineRule="auto"/>
      <w:ind w:firstLine="560" w:firstLineChars="200"/>
      <w:jc w:val="center"/>
    </w:pPr>
    <w:rPr>
      <w:rFonts w:cstheme="minorBidi"/>
      <w:sz w:val="28"/>
    </w:rPr>
  </w:style>
  <w:style w:type="paragraph" w:customStyle="1" w:styleId="100">
    <w:name w:val="13-表格整体"/>
    <w:basedOn w:val="1"/>
    <w:qFormat/>
    <w:uiPriority w:val="0"/>
    <w:pPr>
      <w:snapToGrid w:val="0"/>
      <w:spacing w:beforeLines="50" w:afterLines="50" w:line="360" w:lineRule="auto"/>
      <w:ind w:firstLine="560" w:firstLineChars="200"/>
    </w:pPr>
    <w:rPr>
      <w:rFonts w:cstheme="minorBidi"/>
      <w:sz w:val="28"/>
    </w:rPr>
  </w:style>
  <w:style w:type="paragraph" w:customStyle="1" w:styleId="101">
    <w:name w:val="15-图片题注"/>
    <w:basedOn w:val="1"/>
    <w:next w:val="1"/>
    <w:qFormat/>
    <w:uiPriority w:val="0"/>
    <w:pPr>
      <w:snapToGrid w:val="0"/>
      <w:spacing w:beforeLines="50" w:afterLines="50" w:line="360" w:lineRule="auto"/>
      <w:ind w:firstLine="560" w:firstLineChars="200"/>
      <w:jc w:val="center"/>
    </w:pPr>
    <w:rPr>
      <w:rFonts w:cstheme="minorBidi"/>
      <w:sz w:val="28"/>
    </w:rPr>
  </w:style>
  <w:style w:type="paragraph" w:customStyle="1" w:styleId="102">
    <w:name w:val="14-表格首行"/>
    <w:basedOn w:val="100"/>
    <w:next w:val="100"/>
    <w:qFormat/>
    <w:uiPriority w:val="0"/>
    <w:pPr>
      <w:jc w:val="center"/>
    </w:pPr>
    <w:rPr>
      <w:b/>
    </w:rPr>
  </w:style>
  <w:style w:type="paragraph" w:customStyle="1" w:styleId="103">
    <w:name w:val="05-正文加粗"/>
    <w:basedOn w:val="1"/>
    <w:next w:val="1"/>
    <w:qFormat/>
    <w:uiPriority w:val="0"/>
    <w:pPr>
      <w:snapToGrid w:val="0"/>
      <w:spacing w:line="360" w:lineRule="auto"/>
      <w:ind w:firstLine="200" w:firstLineChars="200"/>
    </w:pPr>
    <w:rPr>
      <w:rFonts w:cstheme="minorBidi"/>
      <w:b/>
      <w:sz w:val="24"/>
    </w:rPr>
  </w:style>
  <w:style w:type="paragraph" w:customStyle="1" w:styleId="104">
    <w:name w:val="06-编号"/>
    <w:basedOn w:val="1"/>
    <w:next w:val="1"/>
    <w:qFormat/>
    <w:uiPriority w:val="0"/>
    <w:pPr>
      <w:numPr>
        <w:ilvl w:val="0"/>
        <w:numId w:val="1"/>
      </w:numPr>
      <w:snapToGrid w:val="0"/>
      <w:spacing w:line="360" w:lineRule="auto"/>
      <w:ind w:firstLine="200" w:firstLineChars="200"/>
    </w:pPr>
    <w:rPr>
      <w:rFonts w:cstheme="minorBidi"/>
      <w:sz w:val="24"/>
    </w:rPr>
  </w:style>
  <w:style w:type="paragraph" w:customStyle="1" w:styleId="105">
    <w:name w:val="10-列表-圆点"/>
    <w:basedOn w:val="1"/>
    <w:next w:val="1"/>
    <w:qFormat/>
    <w:uiPriority w:val="0"/>
    <w:pPr>
      <w:numPr>
        <w:ilvl w:val="0"/>
        <w:numId w:val="2"/>
      </w:numPr>
      <w:snapToGrid w:val="0"/>
      <w:spacing w:line="360" w:lineRule="auto"/>
      <w:ind w:left="400" w:leftChars="200" w:hanging="200" w:hangingChars="200"/>
    </w:pPr>
    <w:rPr>
      <w:rFonts w:cstheme="minorBidi"/>
      <w:sz w:val="24"/>
    </w:rPr>
  </w:style>
  <w:style w:type="paragraph" w:customStyle="1" w:styleId="106">
    <w:name w:val="08-编号-括号"/>
    <w:basedOn w:val="1"/>
    <w:next w:val="1"/>
    <w:qFormat/>
    <w:uiPriority w:val="0"/>
    <w:pPr>
      <w:numPr>
        <w:ilvl w:val="0"/>
        <w:numId w:val="3"/>
      </w:numPr>
      <w:snapToGrid w:val="0"/>
      <w:spacing w:line="360" w:lineRule="auto"/>
      <w:ind w:firstLine="200" w:firstLineChars="200"/>
    </w:pPr>
    <w:rPr>
      <w:rFonts w:cstheme="minorBidi"/>
      <w:sz w:val="24"/>
    </w:rPr>
  </w:style>
  <w:style w:type="paragraph" w:customStyle="1" w:styleId="107">
    <w:name w:val="07-编号加粗"/>
    <w:basedOn w:val="1"/>
    <w:next w:val="1"/>
    <w:qFormat/>
    <w:uiPriority w:val="0"/>
    <w:pPr>
      <w:numPr>
        <w:ilvl w:val="0"/>
        <w:numId w:val="4"/>
      </w:numPr>
      <w:snapToGrid w:val="0"/>
      <w:spacing w:line="360" w:lineRule="auto"/>
      <w:ind w:firstLine="200" w:firstLineChars="200"/>
    </w:pPr>
    <w:rPr>
      <w:rFonts w:cstheme="minorBidi"/>
      <w:b/>
      <w:sz w:val="24"/>
    </w:rPr>
  </w:style>
  <w:style w:type="paragraph" w:customStyle="1" w:styleId="108">
    <w:name w:val="09-编号加粗-括号"/>
    <w:basedOn w:val="1"/>
    <w:next w:val="1"/>
    <w:qFormat/>
    <w:uiPriority w:val="0"/>
    <w:pPr>
      <w:numPr>
        <w:ilvl w:val="0"/>
        <w:numId w:val="5"/>
      </w:numPr>
      <w:snapToGrid w:val="0"/>
      <w:spacing w:line="360" w:lineRule="auto"/>
      <w:ind w:firstLine="200" w:firstLineChars="200"/>
    </w:pPr>
    <w:rPr>
      <w:rFonts w:cstheme="minorBidi"/>
      <w:b/>
      <w:sz w:val="24"/>
    </w:rPr>
  </w:style>
  <w:style w:type="paragraph" w:customStyle="1" w:styleId="109">
    <w:name w:val="11-列表-箭头"/>
    <w:basedOn w:val="1"/>
    <w:next w:val="1"/>
    <w:qFormat/>
    <w:uiPriority w:val="0"/>
    <w:pPr>
      <w:numPr>
        <w:ilvl w:val="0"/>
        <w:numId w:val="6"/>
      </w:numPr>
      <w:snapToGrid w:val="0"/>
      <w:spacing w:line="360" w:lineRule="auto"/>
      <w:ind w:left="400" w:leftChars="200" w:hanging="200" w:hangingChars="200"/>
    </w:pPr>
    <w:rPr>
      <w:rFonts w:cstheme="minorBidi"/>
      <w:sz w:val="24"/>
    </w:rPr>
  </w:style>
  <w:style w:type="paragraph" w:customStyle="1" w:styleId="110">
    <w:name w:val="16-表格题注"/>
    <w:basedOn w:val="1"/>
    <w:next w:val="1"/>
    <w:qFormat/>
    <w:uiPriority w:val="0"/>
    <w:pPr>
      <w:snapToGrid w:val="0"/>
      <w:spacing w:beforeLines="50" w:afterLines="50" w:line="360" w:lineRule="auto"/>
      <w:ind w:firstLine="560" w:firstLineChars="200"/>
      <w:jc w:val="center"/>
    </w:pPr>
    <w:rPr>
      <w:rFonts w:cstheme="minorBidi"/>
      <w:b/>
      <w:sz w:val="28"/>
    </w:rPr>
  </w:style>
  <w:style w:type="character" w:customStyle="1" w:styleId="111">
    <w:name w:val="00文档名称 Char"/>
    <w:basedOn w:val="37"/>
    <w:link w:val="112"/>
    <w:qFormat/>
    <w:locked/>
    <w:uiPriority w:val="0"/>
    <w:rPr>
      <w:rFonts w:ascii="黑体" w:hAnsi="黑体" w:eastAsia="黑体" w:cstheme="minorBidi"/>
      <w:b/>
      <w:kern w:val="2"/>
      <w:sz w:val="52"/>
      <w:szCs w:val="24"/>
    </w:rPr>
  </w:style>
  <w:style w:type="paragraph" w:customStyle="1" w:styleId="112">
    <w:name w:val="00文档名称"/>
    <w:basedOn w:val="1"/>
    <w:link w:val="111"/>
    <w:qFormat/>
    <w:uiPriority w:val="0"/>
    <w:pPr>
      <w:snapToGrid w:val="0"/>
      <w:spacing w:line="360" w:lineRule="auto"/>
      <w:ind w:firstLine="560" w:firstLineChars="200"/>
      <w:jc w:val="center"/>
    </w:pPr>
    <w:rPr>
      <w:rFonts w:ascii="黑体" w:hAnsi="黑体" w:eastAsia="黑体" w:cstheme="minorBidi"/>
      <w:b/>
      <w:sz w:val="52"/>
    </w:rPr>
  </w:style>
  <w:style w:type="paragraph" w:customStyle="1" w:styleId="113">
    <w:name w:val="04-正文"/>
    <w:basedOn w:val="1"/>
    <w:qFormat/>
    <w:uiPriority w:val="0"/>
    <w:pPr>
      <w:snapToGrid w:val="0"/>
      <w:spacing w:line="360" w:lineRule="auto"/>
      <w:ind w:firstLine="200" w:firstLineChars="200"/>
    </w:pPr>
    <w:rPr>
      <w:rFonts w:cstheme="minorBidi"/>
      <w:sz w:val="28"/>
    </w:rPr>
  </w:style>
  <w:style w:type="character" w:customStyle="1" w:styleId="114">
    <w:name w:val="font81"/>
    <w:basedOn w:val="37"/>
    <w:qFormat/>
    <w:uiPriority w:val="0"/>
    <w:rPr>
      <w:rFonts w:hint="eastAsia" w:ascii="宋体" w:hAnsi="宋体" w:eastAsia="宋体" w:cs="宋体"/>
      <w:b/>
      <w:bCs/>
      <w:color w:val="1D1D1F"/>
      <w:sz w:val="24"/>
      <w:szCs w:val="24"/>
      <w:u w:val="none"/>
    </w:rPr>
  </w:style>
  <w:style w:type="character" w:customStyle="1" w:styleId="115">
    <w:name w:val="font21"/>
    <w:basedOn w:val="37"/>
    <w:qFormat/>
    <w:uiPriority w:val="0"/>
    <w:rPr>
      <w:rFonts w:hint="default" w:ascii="Helvetica" w:hAnsi="Helvetica" w:eastAsia="Helvetica" w:cs="Helvetica"/>
      <w:b/>
      <w:bCs/>
      <w:color w:val="1D1D1F"/>
      <w:sz w:val="24"/>
      <w:szCs w:val="24"/>
      <w:u w:val="none"/>
    </w:rPr>
  </w:style>
  <w:style w:type="character" w:customStyle="1" w:styleId="116">
    <w:name w:val="font11"/>
    <w:basedOn w:val="37"/>
    <w:qFormat/>
    <w:uiPriority w:val="0"/>
    <w:rPr>
      <w:rFonts w:hint="eastAsia" w:ascii="宋体" w:hAnsi="宋体" w:eastAsia="宋体" w:cs="宋体"/>
      <w:color w:val="000000"/>
      <w:sz w:val="22"/>
      <w:szCs w:val="22"/>
      <w:u w:val="none"/>
    </w:rPr>
  </w:style>
  <w:style w:type="paragraph" w:styleId="117">
    <w:name w:val="List Paragraph"/>
    <w:basedOn w:val="1"/>
    <w:qFormat/>
    <w:uiPriority w:val="99"/>
    <w:pPr>
      <w:ind w:firstLine="420" w:firstLineChars="200"/>
    </w:pPr>
  </w:style>
  <w:style w:type="character" w:customStyle="1" w:styleId="118">
    <w:name w:val="表格格式 字符"/>
    <w:link w:val="119"/>
    <w:qFormat/>
    <w:locked/>
    <w:uiPriority w:val="0"/>
    <w:rPr>
      <w:rFonts w:ascii="宋体" w:hAnsi="宋体"/>
      <w:kern w:val="2"/>
      <w:sz w:val="21"/>
      <w:szCs w:val="21"/>
    </w:rPr>
  </w:style>
  <w:style w:type="paragraph" w:customStyle="1" w:styleId="119">
    <w:name w:val="表格格式"/>
    <w:basedOn w:val="1"/>
    <w:link w:val="118"/>
    <w:qFormat/>
    <w:uiPriority w:val="0"/>
    <w:pPr>
      <w:spacing w:line="360" w:lineRule="auto"/>
      <w:jc w:val="center"/>
    </w:pPr>
    <w:rPr>
      <w:rFonts w:ascii="宋体" w:hAnsi="宋体"/>
      <w:szCs w:val="21"/>
    </w:rPr>
  </w:style>
  <w:style w:type="paragraph" w:customStyle="1" w:styleId="120">
    <w:name w:val="NormalNormal"/>
    <w:next w:val="121"/>
    <w:qFormat/>
    <w:uiPriority w:val="0"/>
    <w:pPr>
      <w:widowControl w:val="0"/>
      <w:spacing w:line="580" w:lineRule="exact"/>
      <w:jc w:val="both"/>
    </w:pPr>
    <w:rPr>
      <w:rFonts w:ascii="Calibri" w:hAnsi="Calibri" w:eastAsia="宋体" w:cs="宋体"/>
      <w:kern w:val="2"/>
      <w:sz w:val="21"/>
      <w:szCs w:val="21"/>
      <w:lang w:val="en-US" w:eastAsia="zh-CN" w:bidi="ar-SA"/>
    </w:rPr>
  </w:style>
  <w:style w:type="paragraph" w:customStyle="1" w:styleId="121">
    <w:name w:val="Heading 2Heading2"/>
    <w:basedOn w:val="120"/>
    <w:next w:val="120"/>
    <w:qFormat/>
    <w:uiPriority w:val="9"/>
    <w:pPr>
      <w:keepNext/>
      <w:keepLines/>
      <w:spacing w:before="260" w:after="260" w:line="416" w:lineRule="auto"/>
      <w:outlineLvl w:val="1"/>
    </w:pPr>
    <w:rPr>
      <w:rFonts w:ascii="Cambria" w:hAnsi="Cambria"/>
      <w:b/>
      <w:bCs/>
      <w:sz w:val="32"/>
      <w:szCs w:val="32"/>
    </w:rPr>
  </w:style>
  <w:style w:type="character" w:customStyle="1" w:styleId="122">
    <w:name w:val="未处理的提及1"/>
    <w:basedOn w:val="37"/>
    <w:semiHidden/>
    <w:unhideWhenUsed/>
    <w:qFormat/>
    <w:uiPriority w:val="99"/>
    <w:rPr>
      <w:color w:val="605E5C"/>
      <w:shd w:val="clear" w:color="auto" w:fill="E1DFDD"/>
    </w:rPr>
  </w:style>
  <w:style w:type="character" w:customStyle="1" w:styleId="123">
    <w:name w:val="纯文本 字符4"/>
    <w:qFormat/>
    <w:uiPriority w:val="0"/>
    <w:rPr>
      <w:rFonts w:ascii="宋体" w:hAnsi="Courier New" w:eastAsia="宋体" w:cs="Courier New"/>
      <w:szCs w:val="21"/>
    </w:rPr>
  </w:style>
  <w:style w:type="character" w:customStyle="1" w:styleId="124">
    <w:name w:val="Unresolved Mention"/>
    <w:basedOn w:val="37"/>
    <w:semiHidden/>
    <w:unhideWhenUsed/>
    <w:qFormat/>
    <w:uiPriority w:val="99"/>
    <w:rPr>
      <w:color w:val="605E5C"/>
      <w:shd w:val="clear" w:color="auto" w:fill="E1DFDD"/>
    </w:rPr>
  </w:style>
  <w:style w:type="character" w:customStyle="1" w:styleId="125">
    <w:name w:val="font71"/>
    <w:basedOn w:val="37"/>
    <w:qFormat/>
    <w:uiPriority w:val="0"/>
    <w:rPr>
      <w:rFonts w:hint="eastAsia" w:ascii="宋体" w:hAnsi="宋体" w:eastAsia="宋体" w:cs="宋体"/>
      <w:color w:val="000000"/>
      <w:sz w:val="20"/>
      <w:szCs w:val="20"/>
      <w:u w:val="none"/>
    </w:rPr>
  </w:style>
  <w:style w:type="character" w:customStyle="1" w:styleId="126">
    <w:name w:val="font51"/>
    <w:basedOn w:val="37"/>
    <w:qFormat/>
    <w:uiPriority w:val="0"/>
    <w:rPr>
      <w:rFonts w:hint="eastAsia" w:ascii="宋体" w:hAnsi="宋体" w:eastAsia="宋体" w:cs="宋体"/>
      <w:color w:val="000000"/>
      <w:sz w:val="20"/>
      <w:szCs w:val="20"/>
      <w:u w:val="none"/>
    </w:rPr>
  </w:style>
  <w:style w:type="character" w:customStyle="1" w:styleId="127">
    <w:name w:val="font61"/>
    <w:basedOn w:val="37"/>
    <w:qFormat/>
    <w:uiPriority w:val="0"/>
    <w:rPr>
      <w:rFonts w:hint="eastAsia" w:ascii="宋体" w:hAnsi="宋体" w:eastAsia="宋体" w:cs="宋体"/>
      <w:color w:val="000000"/>
      <w:sz w:val="20"/>
      <w:szCs w:val="20"/>
      <w:u w:val="none"/>
    </w:rPr>
  </w:style>
  <w:style w:type="character" w:customStyle="1" w:styleId="128">
    <w:name w:val="font101"/>
    <w:basedOn w:val="37"/>
    <w:qFormat/>
    <w:uiPriority w:val="0"/>
    <w:rPr>
      <w:rFonts w:hint="eastAsia" w:ascii="宋体" w:hAnsi="宋体" w:eastAsia="宋体" w:cs="宋体"/>
      <w:color w:val="FF0000"/>
      <w:sz w:val="22"/>
      <w:szCs w:val="22"/>
      <w:u w:val="none"/>
    </w:rPr>
  </w:style>
  <w:style w:type="character" w:customStyle="1" w:styleId="129">
    <w:name w:val="font31"/>
    <w:basedOn w:val="37"/>
    <w:qFormat/>
    <w:uiPriority w:val="0"/>
    <w:rPr>
      <w:rFonts w:hint="eastAsia" w:ascii="宋体" w:hAnsi="宋体" w:eastAsia="宋体" w:cs="宋体"/>
      <w:color w:val="000000"/>
      <w:sz w:val="22"/>
      <w:szCs w:val="22"/>
      <w:u w:val="none"/>
    </w:rPr>
  </w:style>
  <w:style w:type="character" w:customStyle="1" w:styleId="130">
    <w:name w:val="font91"/>
    <w:basedOn w:val="37"/>
    <w:qFormat/>
    <w:uiPriority w:val="0"/>
    <w:rPr>
      <w:rFonts w:hint="eastAsia" w:ascii="宋体" w:hAnsi="宋体" w:eastAsia="宋体" w:cs="宋体"/>
      <w:color w:val="FF0000"/>
      <w:sz w:val="20"/>
      <w:szCs w:val="20"/>
      <w:u w:val="none"/>
    </w:rPr>
  </w:style>
  <w:style w:type="character" w:customStyle="1" w:styleId="131">
    <w:name w:val="font112"/>
    <w:basedOn w:val="37"/>
    <w:qFormat/>
    <w:uiPriority w:val="0"/>
    <w:rPr>
      <w:rFonts w:hint="eastAsia" w:ascii="宋体" w:hAnsi="宋体" w:eastAsia="宋体" w:cs="宋体"/>
      <w:color w:val="000000"/>
      <w:sz w:val="20"/>
      <w:szCs w:val="20"/>
      <w:u w:val="none"/>
    </w:rPr>
  </w:style>
  <w:style w:type="character" w:customStyle="1" w:styleId="132">
    <w:name w:val="font212"/>
    <w:basedOn w:val="37"/>
    <w:qFormat/>
    <w:uiPriority w:val="0"/>
    <w:rPr>
      <w:rFonts w:hint="eastAsia" w:ascii="宋体" w:hAnsi="宋体" w:eastAsia="宋体" w:cs="宋体"/>
      <w:color w:val="FF0000"/>
      <w:sz w:val="20"/>
      <w:szCs w:val="20"/>
      <w:u w:val="none"/>
    </w:rPr>
  </w:style>
  <w:style w:type="paragraph" w:customStyle="1" w:styleId="133">
    <w:name w:val="Normal_0"/>
    <w:qFormat/>
    <w:uiPriority w:val="0"/>
    <w:rPr>
      <w:rFonts w:ascii="Times New Roman" w:hAnsi="Times New Roman" w:eastAsia="Times New Roman" w:cs="Times New Roman"/>
      <w:sz w:val="24"/>
      <w:szCs w:val="24"/>
      <w:lang w:bidi="ar-SA"/>
    </w:rPr>
  </w:style>
  <w:style w:type="character" w:customStyle="1" w:styleId="134">
    <w:name w:val="font01"/>
    <w:basedOn w:val="37"/>
    <w:qFormat/>
    <w:uiPriority w:val="0"/>
    <w:rPr>
      <w:rFonts w:hint="eastAsia" w:ascii="宋体" w:hAnsi="宋体" w:eastAsia="宋体" w:cs="宋体"/>
      <w:color w:val="000000"/>
      <w:sz w:val="20"/>
      <w:szCs w:val="20"/>
      <w:u w:val="none"/>
    </w:rPr>
  </w:style>
  <w:style w:type="character" w:customStyle="1" w:styleId="135">
    <w:name w:val="font141"/>
    <w:basedOn w:val="37"/>
    <w:qFormat/>
    <w:uiPriority w:val="0"/>
    <w:rPr>
      <w:rFonts w:hint="eastAsia" w:ascii="宋体" w:hAnsi="宋体" w:eastAsia="宋体" w:cs="宋体"/>
      <w:color w:val="000000"/>
      <w:sz w:val="20"/>
      <w:szCs w:val="20"/>
      <w:u w:val="none"/>
    </w:rPr>
  </w:style>
  <w:style w:type="character" w:customStyle="1" w:styleId="136">
    <w:name w:val="font161"/>
    <w:basedOn w:val="37"/>
    <w:qFormat/>
    <w:uiPriority w:val="0"/>
    <w:rPr>
      <w:rFonts w:hint="eastAsia" w:ascii="宋体" w:hAnsi="宋体" w:eastAsia="宋体" w:cs="宋体"/>
      <w:color w:val="FF0000"/>
      <w:sz w:val="20"/>
      <w:szCs w:val="20"/>
      <w:u w:val="none"/>
    </w:rPr>
  </w:style>
  <w:style w:type="character" w:customStyle="1" w:styleId="137">
    <w:name w:val="font201"/>
    <w:basedOn w:val="3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105</Pages>
  <Words>18663</Words>
  <Characters>19783</Characters>
  <Lines>1</Lines>
  <Paragraphs>1</Paragraphs>
  <TotalTime>32</TotalTime>
  <ScaleCrop>false</ScaleCrop>
  <LinksUpToDate>false</LinksUpToDate>
  <CharactersWithSpaces>20259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2023-12-29T22:03:00Z</dcterms:created>
  <dc:creator>Apple</dc:creator>
  <cp:lastModifiedBy>ad</cp:lastModifiedBy>
  <cp:lastPrinted>2024-06-05T17:43:00Z</cp:lastPrinted>
  <dcterms:modified xsi:type="dcterms:W3CDTF">2025-06-16T08:46:06Z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4D100443305B4CCFBFC79E82AF533769_13</vt:lpwstr>
  </property>
  <property fmtid="{D5CDD505-2E9C-101B-9397-08002B2CF9AE}" pid="4" name="KSOTemplateDocerSaveRecord">
    <vt:lpwstr>eyJoZGlkIjoiMDY4MDVlYTNjYjkwZjVhZGZiNGM0MmE1ZWU4ZTg5OTAiLCJ1c2VySWQiOiI1MTA2MDEwNDcifQ==</vt:lpwstr>
  </property>
</Properties>
</file>