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183682338"/>
      <w:bookmarkStart w:id="1" w:name="_Toc217446030"/>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680FE82E">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454B105E">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6BBFAFF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33CDFA42">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00068EEC">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16A59827">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9CAC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208F7356">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5D361D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bookmarkStart w:id="12" w:name="_Hlk132878479"/>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bookmarkEnd w:id="12"/>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46137393"/>
      <w:r>
        <w:rPr>
          <w:color w:val="000000" w:themeColor="text1"/>
          <w:highlight w:val="none"/>
          <w14:textFill>
            <w14:solidFill>
              <w14:schemeClr w14:val="tx1"/>
            </w14:solidFill>
          </w14:textFill>
        </w:rPr>
        <w:t>地点（网址）：</w:t>
      </w:r>
      <w:bookmarkEnd w:id="13"/>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4"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4"/>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66729544">
      <w:pPr>
        <w:jc w:val="right"/>
        <w:rPr>
          <w:highlight w:val="none"/>
        </w:rPr>
      </w:pPr>
    </w:p>
    <w:p w14:paraId="36D55387">
      <w:pPr>
        <w:jc w:val="right"/>
        <w:rPr>
          <w:highlight w:val="none"/>
        </w:rPr>
      </w:pPr>
    </w:p>
    <w:p w14:paraId="478674F3">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5"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5"/>
    </w:p>
    <w:p w14:paraId="30F7C731">
      <w:pPr>
        <w:spacing w:before="120"/>
        <w:rPr>
          <w:b/>
          <w:bCs/>
          <w:color w:val="000000" w:themeColor="text1"/>
          <w:sz w:val="28"/>
          <w:szCs w:val="28"/>
          <w14:textFill>
            <w14:solidFill>
              <w14:schemeClr w14:val="tx1"/>
            </w14:solidFill>
          </w14:textFill>
        </w:rPr>
      </w:pPr>
      <w:bookmarkStart w:id="16" w:name="_Toc254970490"/>
      <w:bookmarkStart w:id="17" w:name="_Toc254970631"/>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一</w:t>
      </w:r>
    </w:p>
    <w:p w14:paraId="65971ABF">
      <w:pPr>
        <w:spacing w:line="360" w:lineRule="auto"/>
        <w:rPr>
          <w:b/>
          <w:color w:val="000000"/>
          <w:kern w:val="0"/>
          <w:sz w:val="28"/>
          <w:szCs w:val="28"/>
        </w:rPr>
      </w:pPr>
      <w:r>
        <w:rPr>
          <w:b/>
          <w:color w:val="000000"/>
          <w:kern w:val="0"/>
          <w:sz w:val="28"/>
          <w:szCs w:val="28"/>
        </w:rPr>
        <w:t>一、总体要求</w:t>
      </w:r>
    </w:p>
    <w:p w14:paraId="70E9F111">
      <w:pPr>
        <w:spacing w:line="360" w:lineRule="auto"/>
        <w:rPr>
          <w:color w:val="000000"/>
          <w:szCs w:val="21"/>
        </w:rPr>
      </w:pPr>
      <w:r>
        <w:rPr>
          <w:color w:val="000000"/>
          <w:szCs w:val="21"/>
        </w:rPr>
        <w:t>1.政府采购政策的应用</w:t>
      </w:r>
    </w:p>
    <w:p w14:paraId="59D217A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6BE252E2">
      <w:pPr>
        <w:spacing w:line="360" w:lineRule="auto"/>
        <w:rPr>
          <w:color w:val="000000"/>
          <w:szCs w:val="21"/>
        </w:rPr>
      </w:pPr>
      <w:r>
        <w:rPr>
          <w:color w:val="000000"/>
          <w:szCs w:val="21"/>
        </w:rPr>
        <w:t>2.采购需求要求未尽事宜由采购人与成交供应商在采购合同中约定。</w:t>
      </w:r>
    </w:p>
    <w:p w14:paraId="6492938C">
      <w:pPr>
        <w:spacing w:line="360" w:lineRule="auto"/>
        <w:rPr>
          <w:color w:val="000000"/>
          <w:szCs w:val="21"/>
        </w:rPr>
      </w:pPr>
      <w:r>
        <w:rPr>
          <w:color w:val="000000"/>
          <w:szCs w:val="21"/>
        </w:rPr>
        <w:t>3.标注“▲”的条款或要求系指实质性条款或实质性要求，必须满足，如存在负偏离将导致响应被否决。</w:t>
      </w:r>
    </w:p>
    <w:p w14:paraId="66334DFB">
      <w:pPr>
        <w:spacing w:line="360" w:lineRule="auto"/>
        <w:rPr>
          <w:b/>
          <w:color w:val="000000"/>
          <w:kern w:val="0"/>
          <w:sz w:val="28"/>
          <w:szCs w:val="28"/>
        </w:rPr>
      </w:pPr>
      <w:r>
        <w:rPr>
          <w:b/>
          <w:color w:val="000000"/>
          <w:kern w:val="0"/>
          <w:sz w:val="28"/>
          <w:szCs w:val="28"/>
        </w:rPr>
        <w:t>二、技术要求</w:t>
      </w:r>
    </w:p>
    <w:p w14:paraId="59437424">
      <w:pPr>
        <w:spacing w:line="360" w:lineRule="auto"/>
        <w:rPr>
          <w:color w:val="000000"/>
          <w:szCs w:val="21"/>
        </w:rPr>
      </w:pPr>
      <w:r>
        <w:rPr>
          <w:color w:val="000000"/>
          <w:szCs w:val="21"/>
        </w:rPr>
        <w:t>1.需实现的功能、目标及应用场景</w:t>
      </w:r>
    </w:p>
    <w:p w14:paraId="0BCB80BE">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1916AF93">
      <w:pPr>
        <w:spacing w:line="360" w:lineRule="auto"/>
        <w:rPr>
          <w:color w:val="000000"/>
          <w:szCs w:val="21"/>
        </w:rPr>
      </w:pPr>
      <w:bookmarkStart w:id="18" w:name="_Hlk89170486"/>
      <w:r>
        <w:rPr>
          <w:color w:val="000000"/>
          <w:szCs w:val="21"/>
        </w:rPr>
        <w:t>2.需执行的国家相关标准、行业标准、地方标准或者其他标准、规范</w:t>
      </w:r>
    </w:p>
    <w:p w14:paraId="165A56DF">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8"/>
    <w:p w14:paraId="22C372E5">
      <w:pPr>
        <w:spacing w:line="360" w:lineRule="auto"/>
        <w:rPr>
          <w:color w:val="000000"/>
          <w:szCs w:val="21"/>
        </w:rPr>
      </w:pPr>
      <w:r>
        <w:rPr>
          <w:color w:val="000000"/>
          <w:szCs w:val="21"/>
        </w:rPr>
        <w:t>3.标的所属行业：</w:t>
      </w:r>
      <w:r>
        <w:rPr>
          <w:rFonts w:hint="eastAsia"/>
          <w:b/>
          <w:bCs/>
          <w:color w:val="000000"/>
          <w:szCs w:val="21"/>
        </w:rPr>
        <w:t>其他未列明行业</w:t>
      </w:r>
    </w:p>
    <w:p w14:paraId="3F1B726A">
      <w:pPr>
        <w:spacing w:line="360" w:lineRule="auto"/>
        <w:rPr>
          <w:color w:val="000000"/>
          <w:szCs w:val="21"/>
        </w:rPr>
      </w:pPr>
      <w:r>
        <w:rPr>
          <w:color w:val="000000"/>
          <w:szCs w:val="21"/>
        </w:rPr>
        <w:t>4.核心产品</w:t>
      </w:r>
    </w:p>
    <w:p w14:paraId="1B012154">
      <w:pPr>
        <w:spacing w:line="360" w:lineRule="auto"/>
        <w:rPr>
          <w:color w:val="000000"/>
          <w:szCs w:val="21"/>
        </w:rPr>
      </w:pPr>
      <w:r>
        <w:rPr>
          <w:color w:val="000000"/>
          <w:szCs w:val="21"/>
        </w:rPr>
        <w:t>本项目为服务项目，不适用核心产品规定。</w:t>
      </w:r>
    </w:p>
    <w:p w14:paraId="15685EAC">
      <w:pPr>
        <w:spacing w:line="360" w:lineRule="auto"/>
        <w:rPr>
          <w:color w:val="000000"/>
          <w:szCs w:val="21"/>
        </w:rPr>
      </w:pPr>
      <w:r>
        <w:rPr>
          <w:color w:val="000000"/>
          <w:szCs w:val="21"/>
        </w:rPr>
        <w:t>5.服务内容和标准</w:t>
      </w:r>
      <w:bookmarkStart w:id="19" w:name="_Hlk132788047"/>
    </w:p>
    <w:bookmarkEnd w:id="19"/>
    <w:p w14:paraId="6004A714">
      <w:pPr>
        <w:spacing w:line="360" w:lineRule="auto"/>
        <w:rPr>
          <w:color w:val="000000"/>
          <w:szCs w:val="21"/>
        </w:rPr>
      </w:pPr>
      <w:r>
        <w:rPr>
          <w:color w:val="000000"/>
          <w:szCs w:val="21"/>
        </w:rPr>
        <w:t>5.1服务目标：</w:t>
      </w:r>
      <w:r>
        <w:rPr>
          <w:rFonts w:hint="eastAsia"/>
          <w:color w:val="000000"/>
          <w:szCs w:val="21"/>
        </w:rPr>
        <w:t>一是形成《广西工业和信息化高质量发展“十五五”规划（2026—2030年）》，二是形成《广西工业和信息化高质量发展“十四五”终期评估报告》，三是形成《广西工业和信息化高质量发展“十五五”规划重点项目表》。</w:t>
      </w:r>
    </w:p>
    <w:p w14:paraId="2D8A85C1">
      <w:pPr>
        <w:spacing w:line="360" w:lineRule="auto"/>
        <w:rPr>
          <w:color w:val="000000"/>
          <w:szCs w:val="21"/>
        </w:rPr>
      </w:pPr>
      <w:r>
        <w:rPr>
          <w:color w:val="000000"/>
          <w:szCs w:val="21"/>
        </w:rPr>
        <w:t>5.2服务内容：</w:t>
      </w:r>
      <w:r>
        <w:rPr>
          <w:rFonts w:hint="eastAsia"/>
          <w:color w:val="000000"/>
          <w:szCs w:val="21"/>
        </w:rPr>
        <w:t>总结“十四五”广西工业和信息化发展成就，研究“十五五”国际国内工业和信息化发展趋势，梳理国家关于工业和信息化高质量发展工作要求，分析“十五五”广西面临的形势、挑战和机遇，提出“十五五”广西工业和信息化发展基本思路、主要目标、重点任务、重大工程等。</w:t>
      </w:r>
    </w:p>
    <w:p w14:paraId="363A0EA3">
      <w:pPr>
        <w:spacing w:line="360" w:lineRule="auto"/>
        <w:rPr>
          <w:color w:val="000000"/>
          <w:szCs w:val="21"/>
        </w:rPr>
      </w:pPr>
      <w:r>
        <w:rPr>
          <w:color w:val="000000"/>
          <w:szCs w:val="21"/>
        </w:rPr>
        <w:t>5.3拟投入人员要求：项目负责人参与过类似工业规划、工业发展课题或专项研究，拥有高级职称或经济类硕士（含）及以上学历，从事经济发展研究工作等经历5年（含）以上。</w:t>
      </w:r>
      <w:r>
        <w:rPr>
          <w:rFonts w:hint="eastAsia"/>
          <w:color w:val="000000"/>
          <w:szCs w:val="21"/>
        </w:rPr>
        <w:t>拟投入团队人员3人及以上。</w:t>
      </w:r>
    </w:p>
    <w:p w14:paraId="6C504EAA">
      <w:pPr>
        <w:spacing w:line="360" w:lineRule="auto"/>
        <w:rPr>
          <w:b/>
          <w:color w:val="000000"/>
          <w:kern w:val="0"/>
          <w:sz w:val="28"/>
          <w:szCs w:val="28"/>
        </w:rPr>
      </w:pPr>
      <w:r>
        <w:rPr>
          <w:b/>
          <w:color w:val="000000"/>
          <w:kern w:val="0"/>
          <w:sz w:val="28"/>
          <w:szCs w:val="28"/>
        </w:rPr>
        <w:t>三、商务要求</w:t>
      </w:r>
    </w:p>
    <w:p w14:paraId="5FE6CC96">
      <w:pPr>
        <w:spacing w:line="360" w:lineRule="auto"/>
        <w:rPr>
          <w:color w:val="000000"/>
          <w:szCs w:val="21"/>
        </w:rPr>
      </w:pPr>
      <w:r>
        <w:rPr>
          <w:color w:val="000000"/>
          <w:szCs w:val="21"/>
        </w:rPr>
        <w:t>1．报价要求</w:t>
      </w:r>
    </w:p>
    <w:p w14:paraId="3443880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DC595B0">
      <w:pPr>
        <w:spacing w:line="360" w:lineRule="auto"/>
        <w:rPr>
          <w:color w:val="000000"/>
          <w:szCs w:val="21"/>
        </w:rPr>
      </w:pPr>
      <w:r>
        <w:rPr>
          <w:color w:val="000000"/>
          <w:szCs w:val="21"/>
        </w:rPr>
        <w:t>2.合同签订日期</w:t>
      </w:r>
    </w:p>
    <w:p w14:paraId="400C3610">
      <w:pPr>
        <w:spacing w:line="360" w:lineRule="auto"/>
        <w:rPr>
          <w:i/>
          <w:color w:val="000000"/>
          <w:sz w:val="28"/>
          <w:szCs w:val="28"/>
        </w:rPr>
      </w:pPr>
      <w:r>
        <w:rPr>
          <w:color w:val="000000"/>
          <w:szCs w:val="21"/>
        </w:rPr>
        <w:t>成交通知书发出后25日内。</w:t>
      </w:r>
    </w:p>
    <w:p w14:paraId="2F82D556">
      <w:pPr>
        <w:spacing w:line="360" w:lineRule="auto"/>
        <w:rPr>
          <w:color w:val="000000"/>
          <w:szCs w:val="21"/>
        </w:rPr>
      </w:pPr>
      <w:r>
        <w:rPr>
          <w:color w:val="000000"/>
          <w:szCs w:val="21"/>
        </w:rPr>
        <w:t>3.服务（实施）时间</w:t>
      </w:r>
    </w:p>
    <w:p w14:paraId="493F0FB2">
      <w:pPr>
        <w:spacing w:line="312" w:lineRule="auto"/>
        <w:jc w:val="left"/>
        <w:rPr>
          <w:color w:val="000000"/>
          <w:kern w:val="0"/>
          <w:szCs w:val="21"/>
        </w:rPr>
      </w:pPr>
      <w:bookmarkStart w:id="20" w:name="_Hlk198112333"/>
      <w:r>
        <w:rPr>
          <w:rFonts w:hint="eastAsia"/>
          <w:color w:val="000000"/>
          <w:kern w:val="0"/>
          <w:szCs w:val="21"/>
        </w:rPr>
        <w:t>自签订合同之日起至2025年12月底前：形成规划初稿。2026年6月底前：完成结题验收。</w:t>
      </w:r>
      <w:bookmarkEnd w:id="20"/>
    </w:p>
    <w:p w14:paraId="1349F622">
      <w:pPr>
        <w:spacing w:line="360" w:lineRule="auto"/>
        <w:rPr>
          <w:color w:val="000000"/>
          <w:szCs w:val="21"/>
        </w:rPr>
      </w:pPr>
      <w:r>
        <w:rPr>
          <w:color w:val="000000"/>
          <w:szCs w:val="21"/>
        </w:rPr>
        <w:t>4.服务地点</w:t>
      </w:r>
    </w:p>
    <w:p w14:paraId="1774415C">
      <w:pPr>
        <w:spacing w:line="360" w:lineRule="auto"/>
        <w:rPr>
          <w:color w:val="000000"/>
          <w:szCs w:val="21"/>
        </w:rPr>
      </w:pPr>
      <w:r>
        <w:rPr>
          <w:color w:val="000000"/>
          <w:szCs w:val="21"/>
        </w:rPr>
        <w:t>采购人指定地点。</w:t>
      </w:r>
    </w:p>
    <w:p w14:paraId="61FC1314">
      <w:pPr>
        <w:spacing w:line="360" w:lineRule="auto"/>
        <w:rPr>
          <w:color w:val="000000"/>
          <w:szCs w:val="21"/>
        </w:rPr>
      </w:pPr>
      <w:r>
        <w:rPr>
          <w:color w:val="000000"/>
          <w:szCs w:val="21"/>
        </w:rPr>
        <w:t>5.验收标准</w:t>
      </w:r>
    </w:p>
    <w:p w14:paraId="1E74C9FF">
      <w:pPr>
        <w:spacing w:line="360" w:lineRule="auto"/>
        <w:rPr>
          <w:color w:val="000000"/>
          <w:szCs w:val="21"/>
        </w:rPr>
      </w:pPr>
      <w:bookmarkStart w:id="21"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1"/>
    <w:p w14:paraId="01760C6A">
      <w:pPr>
        <w:spacing w:line="360" w:lineRule="auto"/>
        <w:rPr>
          <w:color w:val="000000"/>
          <w:szCs w:val="21"/>
        </w:rPr>
      </w:pPr>
      <w:r>
        <w:rPr>
          <w:color w:val="000000"/>
          <w:szCs w:val="21"/>
        </w:rPr>
        <w:t>6.服务标准、期限、效率</w:t>
      </w:r>
    </w:p>
    <w:p w14:paraId="28C6EAA4">
      <w:pPr>
        <w:spacing w:line="360" w:lineRule="auto"/>
        <w:rPr>
          <w:color w:val="000000"/>
          <w:szCs w:val="21"/>
        </w:rPr>
      </w:pPr>
      <w:r>
        <w:rPr>
          <w:color w:val="000000"/>
          <w:szCs w:val="21"/>
        </w:rPr>
        <w:t>6.1成交供应商在服务期内应当为采购人提供以下技术支持和服务：</w:t>
      </w:r>
    </w:p>
    <w:p w14:paraId="72246EE4">
      <w:pPr>
        <w:spacing w:line="360" w:lineRule="auto"/>
        <w:rPr>
          <w:color w:val="000000"/>
          <w:szCs w:val="21"/>
        </w:rPr>
      </w:pPr>
      <w:r>
        <w:rPr>
          <w:color w:val="000000"/>
          <w:szCs w:val="21"/>
        </w:rPr>
        <w:t>6.1.1电话咨询</w:t>
      </w:r>
    </w:p>
    <w:p w14:paraId="7ABF19F2">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10535DEA">
      <w:pPr>
        <w:spacing w:line="360" w:lineRule="auto"/>
        <w:rPr>
          <w:color w:val="000000"/>
          <w:szCs w:val="21"/>
        </w:rPr>
      </w:pPr>
      <w:r>
        <w:rPr>
          <w:color w:val="000000"/>
          <w:szCs w:val="21"/>
        </w:rPr>
        <w:t>6.1.2现场响应</w:t>
      </w:r>
    </w:p>
    <w:p w14:paraId="69469D5E">
      <w:pPr>
        <w:spacing w:line="360" w:lineRule="auto"/>
        <w:rPr>
          <w:color w:val="000000"/>
          <w:szCs w:val="21"/>
        </w:rPr>
      </w:pPr>
      <w:r>
        <w:rPr>
          <w:color w:val="000000"/>
          <w:szCs w:val="21"/>
        </w:rPr>
        <w:t>采购人遇到使用或技术问题，电话咨询不能解决的，成交供应商应在4小时内到达现场进行处理。</w:t>
      </w:r>
    </w:p>
    <w:p w14:paraId="5510044D">
      <w:pPr>
        <w:spacing w:line="360" w:lineRule="auto"/>
        <w:rPr>
          <w:color w:val="000000"/>
          <w:szCs w:val="21"/>
        </w:rPr>
      </w:pPr>
      <w:r>
        <w:rPr>
          <w:color w:val="000000"/>
          <w:szCs w:val="21"/>
        </w:rPr>
        <w:t>7.培训</w:t>
      </w:r>
    </w:p>
    <w:p w14:paraId="6281E00D">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2B7D4A03">
      <w:pPr>
        <w:spacing w:line="360" w:lineRule="auto"/>
        <w:rPr>
          <w:color w:val="000000"/>
          <w:szCs w:val="21"/>
        </w:rPr>
      </w:pPr>
      <w:r>
        <w:rPr>
          <w:color w:val="000000"/>
          <w:szCs w:val="21"/>
        </w:rPr>
        <w:t>8.付款方式、时间及条件</w:t>
      </w:r>
    </w:p>
    <w:p w14:paraId="008D0F2A">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E8B68F8">
      <w:pPr>
        <w:spacing w:line="360" w:lineRule="auto"/>
        <w:rPr>
          <w:color w:val="000000"/>
          <w:szCs w:val="21"/>
        </w:rPr>
      </w:pPr>
      <w:r>
        <w:rPr>
          <w:color w:val="000000"/>
          <w:szCs w:val="21"/>
        </w:rPr>
        <w:t>9.履约保证金</w:t>
      </w:r>
    </w:p>
    <w:p w14:paraId="0546BA1B">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055E4BBE">
      <w:pPr>
        <w:spacing w:line="360" w:lineRule="auto"/>
        <w:rPr>
          <w:b/>
          <w:color w:val="000000"/>
          <w:kern w:val="0"/>
          <w:sz w:val="28"/>
          <w:szCs w:val="28"/>
        </w:rPr>
      </w:pPr>
      <w:r>
        <w:rPr>
          <w:b/>
          <w:color w:val="000000"/>
          <w:kern w:val="0"/>
          <w:sz w:val="28"/>
          <w:szCs w:val="28"/>
        </w:rPr>
        <w:t>四、其他要求</w:t>
      </w:r>
    </w:p>
    <w:p w14:paraId="7B754F60">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6"/>
    <w:bookmarkEnd w:id="17"/>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2"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2"/>
      <w:bookmarkStart w:id="23" w:name="_Toc254970667"/>
      <w:bookmarkStart w:id="24" w:name="_Toc254970526"/>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3"/>
      <w:bookmarkEnd w:id="24"/>
      <w:bookmarkStart w:id="25" w:name="_投标人须知前附表"/>
      <w:bookmarkEnd w:id="25"/>
      <w:bookmarkStart w:id="26"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采购计划号：</w:t>
            </w:r>
            <w:r>
              <w:rPr>
                <w:rFonts w:hint="eastAsia"/>
                <w:color w:val="000000" w:themeColor="text1"/>
                <w:szCs w:val="21"/>
                <w14:textFill>
                  <w14:solidFill>
                    <w14:schemeClr w14:val="tx1"/>
                  </w14:solidFill>
                </w14:textFill>
              </w:rPr>
              <w:t>广西政采[2025]8911号</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27"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7"/>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072547DC">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5781503D">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标项一：人民币壹万伍仟元整（¥15000.00）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26"/>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8" w:name="_Toc254970668"/>
      <w:bookmarkStart w:id="29" w:name="_Toc254970527"/>
      <w:r>
        <w:rPr>
          <w:b/>
          <w:bCs/>
          <w:color w:val="000000" w:themeColor="text1"/>
          <w:kern w:val="0"/>
          <w:szCs w:val="21"/>
          <w14:textFill>
            <w14:solidFill>
              <w14:schemeClr w14:val="tx1"/>
            </w14:solidFill>
          </w14:textFill>
        </w:rPr>
        <w:t>1.1适用范围</w:t>
      </w:r>
      <w:bookmarkEnd w:id="28"/>
      <w:bookmarkEnd w:id="29"/>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0" w:name="_Toc254970528"/>
      <w:bookmarkStart w:id="31" w:name="_Toc254970669"/>
      <w:r>
        <w:rPr>
          <w:b/>
          <w:bCs/>
          <w:color w:val="000000" w:themeColor="text1"/>
          <w:kern w:val="0"/>
          <w:szCs w:val="21"/>
          <w14:textFill>
            <w14:solidFill>
              <w14:schemeClr w14:val="tx1"/>
            </w14:solidFill>
          </w14:textFill>
        </w:rPr>
        <w:t>1.2定义</w:t>
      </w:r>
      <w:bookmarkEnd w:id="30"/>
      <w:bookmarkEnd w:id="31"/>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2"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2"/>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3" w:name="_Toc254970672"/>
      <w:bookmarkStart w:id="34" w:name="_Toc254970531"/>
      <w:r>
        <w:rPr>
          <w:b/>
          <w:bCs/>
          <w:color w:val="000000" w:themeColor="text1"/>
          <w:kern w:val="0"/>
          <w:szCs w:val="21"/>
          <w14:textFill>
            <w14:solidFill>
              <w14:schemeClr w14:val="tx1"/>
            </w14:solidFill>
          </w14:textFill>
        </w:rPr>
        <w:t>1.6现场踏勘及响应费用</w:t>
      </w:r>
      <w:bookmarkEnd w:id="33"/>
      <w:bookmarkEnd w:id="34"/>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5" w:name="_Toc254970532"/>
      <w:bookmarkStart w:id="36" w:name="_Toc254970673"/>
      <w:r>
        <w:rPr>
          <w:b/>
          <w:bCs/>
          <w:color w:val="000000" w:themeColor="text1"/>
          <w:kern w:val="0"/>
          <w:szCs w:val="21"/>
          <w14:textFill>
            <w14:solidFill>
              <w14:schemeClr w14:val="tx1"/>
            </w14:solidFill>
          </w14:textFill>
        </w:rPr>
        <w:t>1.8特别说明</w:t>
      </w:r>
      <w:bookmarkEnd w:id="35"/>
      <w:bookmarkEnd w:id="36"/>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7" w:name="_Toc254970534"/>
      <w:bookmarkStart w:id="38" w:name="_Toc254970675"/>
      <w:r>
        <w:rPr>
          <w:b/>
          <w:bCs/>
          <w:color w:val="000000" w:themeColor="text1"/>
          <w:kern w:val="0"/>
          <w:szCs w:val="21"/>
          <w14:textFill>
            <w14:solidFill>
              <w14:schemeClr w14:val="tx1"/>
            </w14:solidFill>
          </w14:textFill>
        </w:rPr>
        <w:t>2．</w:t>
      </w:r>
      <w:bookmarkEnd w:id="37"/>
      <w:bookmarkEnd w:id="38"/>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9" w:name="_Toc254970676"/>
      <w:bookmarkStart w:id="40" w:name="_Toc254970535"/>
      <w:r>
        <w:rPr>
          <w:b/>
          <w:bCs/>
          <w:color w:val="000000" w:themeColor="text1"/>
          <w:kern w:val="0"/>
          <w:szCs w:val="21"/>
          <w14:textFill>
            <w14:solidFill>
              <w14:schemeClr w14:val="tx1"/>
            </w14:solidFill>
          </w14:textFill>
        </w:rPr>
        <w:t>3．</w:t>
      </w:r>
      <w:bookmarkEnd w:id="39"/>
      <w:bookmarkEnd w:id="40"/>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1" w:name="_Toc254970536"/>
      <w:bookmarkStart w:id="42"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1"/>
      <w:bookmarkEnd w:id="42"/>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3" w:name="_Toc254970537"/>
      <w:bookmarkStart w:id="44"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3"/>
      <w:bookmarkEnd w:id="44"/>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5" w:name="_Toc254970679"/>
      <w:bookmarkStart w:id="46" w:name="_Toc254970538"/>
      <w:r>
        <w:rPr>
          <w:b/>
          <w:bCs/>
          <w:color w:val="000000" w:themeColor="text1"/>
          <w:kern w:val="0"/>
          <w:szCs w:val="21"/>
          <w14:textFill>
            <w14:solidFill>
              <w14:schemeClr w14:val="tx1"/>
            </w14:solidFill>
          </w14:textFill>
        </w:rPr>
        <w:t>3.3响应报价</w:t>
      </w:r>
      <w:bookmarkEnd w:id="45"/>
      <w:bookmarkEnd w:id="46"/>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41"/>
      <w:bookmarkStart w:id="48" w:name="_Toc254970682"/>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7"/>
      <w:bookmarkEnd w:id="48"/>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542"/>
      <w:bookmarkStart w:id="50" w:name="_Toc254970683"/>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9"/>
      <w:bookmarkEnd w:id="50"/>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1" w:name="_Toc254970685"/>
      <w:bookmarkStart w:id="52"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3" w:name="_Hlk93046827"/>
      <w:r>
        <w:rPr>
          <w:color w:val="000000" w:themeColor="text1"/>
          <w:szCs w:val="21"/>
          <w14:textFill>
            <w14:solidFill>
              <w14:schemeClr w14:val="tx1"/>
            </w14:solidFill>
          </w14:textFill>
        </w:rPr>
        <w:t>3.7.6</w:t>
      </w:r>
      <w:bookmarkStart w:id="54"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4"/>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3"/>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1"/>
      <w:bookmarkEnd w:id="52"/>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5" w:name="_Hlk106639817"/>
      <w:r>
        <w:rPr>
          <w:color w:val="000000" w:themeColor="text1"/>
          <w14:textFill>
            <w14:solidFill>
              <w14:schemeClr w14:val="tx1"/>
            </w14:solidFill>
          </w14:textFill>
        </w:rPr>
        <w:t>通知后供应商仍未在上述规定时间内解密</w:t>
      </w:r>
      <w:bookmarkEnd w:id="55"/>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6"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6"/>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57" w:name="_Toc254970545"/>
      <w:bookmarkStart w:id="58"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7"/>
    <w:bookmarkEnd w:id="58"/>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9" w:name="_Hlk80956880"/>
      <w:bookmarkStart w:id="60" w:name="_Hlk19175507"/>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9"/>
    <w:bookmarkEnd w:id="60"/>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1" w:name="_Hlk47714684"/>
      <w:r>
        <w:rPr>
          <w:color w:val="000000" w:themeColor="text1"/>
          <w:szCs w:val="21"/>
          <w14:textFill>
            <w14:solidFill>
              <w14:schemeClr w14:val="tx1"/>
            </w14:solidFill>
          </w14:textFill>
        </w:rPr>
        <w:t>（1）</w:t>
      </w:r>
      <w:bookmarkEnd w:id="61"/>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2"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2"/>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3" w:name="_Hlk19122026"/>
      <w:r>
        <w:rPr>
          <w:szCs w:val="21"/>
        </w:rPr>
        <w:t>（1）</w:t>
      </w:r>
      <w:bookmarkEnd w:id="63"/>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64"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4"/>
    <w:p w14:paraId="3706F366">
      <w:pPr>
        <w:spacing w:before="120" w:line="320" w:lineRule="atLeast"/>
        <w:ind w:firstLine="420" w:firstLineChars="200"/>
        <w:rPr>
          <w:szCs w:val="21"/>
        </w:rPr>
      </w:pPr>
      <w:bookmarkStart w:id="65" w:name="_Hlk19122058"/>
      <w:r>
        <w:rPr>
          <w:szCs w:val="21"/>
        </w:rPr>
        <w:t>（2）</w:t>
      </w:r>
      <w:bookmarkEnd w:id="65"/>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66"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6"/>
    <w:p w14:paraId="5620D981">
      <w:pPr>
        <w:spacing w:before="120" w:line="320" w:lineRule="atLeast"/>
        <w:ind w:firstLine="420" w:firstLineChars="200"/>
        <w:rPr>
          <w:szCs w:val="21"/>
        </w:rPr>
      </w:pPr>
      <w:bookmarkStart w:id="67" w:name="_Hlk19122102"/>
      <w:r>
        <w:rPr>
          <w:szCs w:val="21"/>
        </w:rPr>
        <w:t>（3）</w:t>
      </w:r>
      <w:bookmarkEnd w:id="67"/>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68"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8"/>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69"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9"/>
    <w:p w14:paraId="16FA97B5">
      <w:pPr>
        <w:spacing w:before="120" w:line="320" w:lineRule="atLeast"/>
        <w:ind w:firstLine="420" w:firstLineChars="200"/>
        <w:rPr>
          <w:szCs w:val="21"/>
        </w:rPr>
      </w:pPr>
      <w:bookmarkStart w:id="70"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0"/>
    <w:p w14:paraId="03CAE6DF">
      <w:pPr>
        <w:spacing w:before="120" w:line="320" w:lineRule="atLeast"/>
        <w:ind w:firstLine="420" w:firstLineChars="200"/>
        <w:rPr>
          <w:szCs w:val="21"/>
        </w:rPr>
      </w:pPr>
      <w:bookmarkStart w:id="71"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1"/>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2" w:name="_Hlk155170999"/>
      <w:r>
        <w:rPr>
          <w:szCs w:val="21"/>
        </w:rPr>
        <w:t>7.2.5采购人因不可抗力原因迟延签订合同的，应当自不可抗力事由消除之日起7日内完成合同签订事宜。</w:t>
      </w:r>
      <w:bookmarkEnd w:id="72"/>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3"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3"/>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74" w:name="_Toc308164814"/>
      <w:bookmarkStart w:id="75"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74"/>
      <w:bookmarkEnd w:id="75"/>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76" w:name="_Toc254970533"/>
      <w:bookmarkStart w:id="77" w:name="_Toc254970674"/>
      <w:r>
        <w:rPr>
          <w:b/>
          <w:bCs/>
          <w:kern w:val="0"/>
          <w:szCs w:val="21"/>
        </w:rPr>
        <w:t>8．质疑和投诉</w:t>
      </w:r>
      <w:bookmarkEnd w:id="76"/>
      <w:bookmarkEnd w:id="77"/>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8" w:name="_Toc197907015"/>
      <w:bookmarkStart w:id="79" w:name="_Toc254970549"/>
      <w:bookmarkStart w:id="80"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8"/>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color w:val="000000"/>
                <w:szCs w:val="21"/>
              </w:rPr>
              <w:t>无</w:t>
            </w:r>
            <w:r>
              <w:rPr>
                <w:color w:val="000000"/>
                <w:kern w:val="0"/>
                <w:szCs w:val="21"/>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1" w:name="_Hlk20388968"/>
            <w:bookmarkStart w:id="82"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1"/>
      <w:bookmarkEnd w:id="82"/>
    </w:tbl>
    <w:p w14:paraId="13CBB58D">
      <w:pPr>
        <w:spacing w:before="120" w:line="320" w:lineRule="atLeast"/>
        <w:rPr>
          <w:color w:val="000000" w:themeColor="text1"/>
          <w14:textFill>
            <w14:solidFill>
              <w14:schemeClr w14:val="tx1"/>
            </w14:solidFill>
          </w14:textFill>
        </w:rPr>
      </w:pPr>
    </w:p>
    <w:p w14:paraId="0900A37D">
      <w:pPr>
        <w:spacing w:before="120" w:line="320" w:lineRule="atLeast"/>
        <w:rPr>
          <w:color w:val="000000" w:themeColor="text1"/>
          <w14:textFill>
            <w14:solidFill>
              <w14:schemeClr w14:val="tx1"/>
            </w14:solidFill>
          </w14:textFill>
        </w:rPr>
      </w:pPr>
    </w:p>
    <w:p w14:paraId="788CADE6">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一：</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3A4E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AC4309B">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89778F">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7BBC8D33">
            <w:pPr>
              <w:jc w:val="center"/>
              <w:rPr>
                <w:b/>
                <w:szCs w:val="21"/>
              </w:rPr>
            </w:pPr>
            <w:r>
              <w:rPr>
                <w:b/>
                <w:szCs w:val="21"/>
              </w:rPr>
              <w:t>分值</w:t>
            </w:r>
          </w:p>
          <w:p w14:paraId="0B81DF3B">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05D9E19">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7286D961">
            <w:pPr>
              <w:jc w:val="center"/>
              <w:rPr>
                <w:b/>
                <w:szCs w:val="21"/>
              </w:rPr>
            </w:pPr>
            <w:r>
              <w:rPr>
                <w:b/>
                <w:szCs w:val="21"/>
              </w:rPr>
              <w:t>说明</w:t>
            </w:r>
          </w:p>
        </w:tc>
      </w:tr>
      <w:tr w14:paraId="1071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A4DB505">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226807F">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A1C4F64">
            <w:pPr>
              <w:rPr>
                <w:szCs w:val="21"/>
              </w:rPr>
            </w:pPr>
            <w:r>
              <w:rPr>
                <w:szCs w:val="21"/>
              </w:rPr>
              <w:t>信誉业绩（14分）</w:t>
            </w:r>
          </w:p>
        </w:tc>
        <w:tc>
          <w:tcPr>
            <w:tcW w:w="692" w:type="dxa"/>
            <w:tcBorders>
              <w:top w:val="single" w:color="auto" w:sz="4" w:space="0"/>
              <w:left w:val="single" w:color="auto" w:sz="4" w:space="0"/>
              <w:bottom w:val="single" w:color="auto" w:sz="4" w:space="0"/>
              <w:right w:val="single" w:color="auto" w:sz="4" w:space="0"/>
            </w:tcBorders>
            <w:vAlign w:val="center"/>
          </w:tcPr>
          <w:p w14:paraId="0B1EA59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1C27748">
            <w:pPr>
              <w:jc w:val="left"/>
              <w:rPr>
                <w:szCs w:val="21"/>
              </w:rPr>
            </w:pPr>
            <w:r>
              <w:rPr>
                <w:szCs w:val="21"/>
              </w:rPr>
              <w:t>供应商每提供1个有效业绩得1分，满分14分。有效业绩定义：指规划编制、课题研究等类型项目业绩。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6F4AAEE9">
            <w:pPr>
              <w:rPr>
                <w:szCs w:val="21"/>
              </w:rPr>
            </w:pPr>
            <w:r>
              <w:rPr>
                <w:szCs w:val="21"/>
              </w:rPr>
              <w:t>（1）必须提供证明材料。</w:t>
            </w:r>
          </w:p>
          <w:p w14:paraId="5D5B3E49">
            <w:pPr>
              <w:rPr>
                <w:szCs w:val="21"/>
              </w:rPr>
            </w:pPr>
            <w:r>
              <w:rPr>
                <w:szCs w:val="21"/>
              </w:rPr>
              <w:t>（2）以中标或成交通知书或合同复印件为准。</w:t>
            </w:r>
          </w:p>
        </w:tc>
      </w:tr>
      <w:tr w14:paraId="247D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AFB935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50D7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87AB4CA">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267685D9">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2F7837F1">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，配置基本合理，至少1人具有高级及以上职称。</w:t>
            </w:r>
          </w:p>
          <w:p w14:paraId="3206DC83">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，配置比较合理，团队人员中拥有工业领域或经济学、管理学领域的本科及以上相关学位3人</w:t>
            </w:r>
            <w:r>
              <w:rPr>
                <w:rFonts w:hint="eastAsia"/>
                <w:szCs w:val="21"/>
              </w:rPr>
              <w:t>及以上</w:t>
            </w:r>
            <w:r>
              <w:rPr>
                <w:szCs w:val="21"/>
              </w:rPr>
              <w:t>，至少3人具有高级及以上职称。</w:t>
            </w:r>
          </w:p>
          <w:p w14:paraId="4C465DC3">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的，配置充足，且团队人员中拥有工业领域或经济学、管理学领域的硕士及以上相关学位4人</w:t>
            </w:r>
            <w:r>
              <w:rPr>
                <w:rFonts w:hint="eastAsia"/>
                <w:szCs w:val="21"/>
              </w:rPr>
              <w:t>及以上</w:t>
            </w:r>
            <w:r>
              <w:rPr>
                <w:szCs w:val="21"/>
              </w:rPr>
              <w:t>，至少4人具有高级及以上职称。</w:t>
            </w:r>
          </w:p>
          <w:p w14:paraId="797ED125">
            <w:pPr>
              <w:rPr>
                <w:szCs w:val="21"/>
              </w:rPr>
            </w:pPr>
            <w:r>
              <w:rPr>
                <w:szCs w:val="21"/>
              </w:rPr>
              <w:t>四档（20分）：本项目拟投入团队人员在满足招标文件人员要求下，能投入10人及以上，配置充足、合理，且团队人员中拥有工业领域或经济学、管理学等相关领域的博士的相关学位5人</w:t>
            </w:r>
            <w:r>
              <w:rPr>
                <w:rStyle w:val="58"/>
                <w:rFonts w:hint="eastAsia"/>
              </w:rPr>
              <w:t>及</w:t>
            </w:r>
            <w:r>
              <w:rPr>
                <w:szCs w:val="21"/>
              </w:rPr>
              <w:t>以上，至少5人具有高级及以上职称。可以对接国家部委，分析总结全国及各地区的政策、工业经济运行情况等其他信息。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112A72A7">
            <w:pPr>
              <w:rPr>
                <w:szCs w:val="21"/>
              </w:rPr>
            </w:pPr>
            <w:r>
              <w:rPr>
                <w:szCs w:val="21"/>
              </w:rPr>
              <w:t>必须提供相关证明材料。</w:t>
            </w:r>
          </w:p>
        </w:tc>
      </w:tr>
      <w:tr w14:paraId="02DC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15BE00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AED87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0AB4332B">
            <w:pPr>
              <w:rPr>
                <w:szCs w:val="21"/>
              </w:rPr>
            </w:pPr>
            <w:r>
              <w:rPr>
                <w:szCs w:val="21"/>
              </w:rPr>
              <w:t>质量保证措施（16分）</w:t>
            </w:r>
          </w:p>
        </w:tc>
        <w:tc>
          <w:tcPr>
            <w:tcW w:w="692" w:type="dxa"/>
            <w:tcBorders>
              <w:top w:val="single" w:color="auto" w:sz="4" w:space="0"/>
              <w:left w:val="single" w:color="auto" w:sz="4" w:space="0"/>
              <w:bottom w:val="single" w:color="auto" w:sz="4" w:space="0"/>
              <w:right w:val="single" w:color="auto" w:sz="4" w:space="0"/>
            </w:tcBorders>
            <w:vAlign w:val="center"/>
          </w:tcPr>
          <w:p w14:paraId="3E1BA0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10CC8DB">
            <w:pPr>
              <w:rPr>
                <w:szCs w:val="21"/>
              </w:rPr>
            </w:pPr>
            <w:r>
              <w:rPr>
                <w:szCs w:val="21"/>
              </w:rPr>
              <w:t>一档（4分）：供应商为采购人提供有合理的承诺，</w:t>
            </w:r>
          </w:p>
          <w:p w14:paraId="42825785">
            <w:pPr>
              <w:rPr>
                <w:szCs w:val="21"/>
              </w:rPr>
            </w:pPr>
            <w:r>
              <w:rPr>
                <w:szCs w:val="21"/>
              </w:rPr>
              <w:t>并包含有项目保障措施，但方案较为简单，缺乏、针对性；</w:t>
            </w:r>
          </w:p>
          <w:p w14:paraId="1D645A9E">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62084F48">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73D6648E">
            <w:pPr>
              <w:rPr>
                <w:szCs w:val="21"/>
              </w:rPr>
            </w:pPr>
            <w:r>
              <w:rPr>
                <w:szCs w:val="21"/>
              </w:rPr>
              <w:t>未提供不得分。</w:t>
            </w:r>
          </w:p>
        </w:tc>
      </w:tr>
      <w:tr w14:paraId="2818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262FC5F">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A78BB28">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54B0B490">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1A0BD9A6">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3A966E8">
            <w:pPr>
              <w:rPr>
                <w:szCs w:val="21"/>
              </w:rPr>
            </w:pPr>
            <w:r>
              <w:rPr>
                <w:szCs w:val="21"/>
              </w:rPr>
              <w:t>一档（8分）：目标工作方案简单，对项目的总体需求的理解程度、对项目范围把握不准确，项目重点难点分析不完整。</w:t>
            </w:r>
          </w:p>
          <w:p w14:paraId="24DDB590">
            <w:pPr>
              <w:rPr>
                <w:szCs w:val="21"/>
              </w:rPr>
            </w:pPr>
            <w:r>
              <w:rPr>
                <w:szCs w:val="21"/>
              </w:rPr>
              <w:t>二档（16分）：目标工作方案合理完整，具有针对性，对项目的总体需求的理解程度、对项目范围把握准确度较低，项目重点难点分析简单，应对措施不够具体。</w:t>
            </w:r>
          </w:p>
          <w:p w14:paraId="688B22A3">
            <w:pPr>
              <w:rPr>
                <w:szCs w:val="21"/>
              </w:rPr>
            </w:pPr>
            <w:r>
              <w:rPr>
                <w:szCs w:val="21"/>
              </w:rPr>
              <w:t>三档（24分）：目标工作方案合理完整，具有针对性和先进性，对项目的总体需求的理解程度、对项目范围把握准确度良好，项目重点难点分析完善，应对措施具体可行，并附有相关的合理化建议。</w:t>
            </w:r>
          </w:p>
          <w:p w14:paraId="3CBCB270">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E1649C1">
            <w:pPr>
              <w:rPr>
                <w:szCs w:val="21"/>
              </w:rPr>
            </w:pPr>
            <w:r>
              <w:rPr>
                <w:szCs w:val="21"/>
              </w:rPr>
              <w:t>未提供不得分。</w:t>
            </w:r>
          </w:p>
        </w:tc>
      </w:tr>
      <w:tr w14:paraId="7F71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761FFE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5A39ABD">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073F943">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C2E4673">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516BB7">
            <w:pPr>
              <w:rPr>
                <w:szCs w:val="21"/>
              </w:rPr>
            </w:pPr>
            <w:r>
              <w:rPr>
                <w:szCs w:val="21"/>
              </w:rPr>
              <w:t>一档（4分）：计划安排内容简单；</w:t>
            </w:r>
          </w:p>
          <w:p w14:paraId="0C9E1F54">
            <w:pPr>
              <w:rPr>
                <w:szCs w:val="21"/>
              </w:rPr>
            </w:pPr>
            <w:r>
              <w:rPr>
                <w:szCs w:val="21"/>
              </w:rPr>
              <w:t>二档（6分）：有工作步骤、对本项目调研计划基本合理，时间安排基本满足招标文件要求；</w:t>
            </w:r>
          </w:p>
          <w:p w14:paraId="292496CF">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7BBA4D0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528F5FB">
            <w:pPr>
              <w:rPr>
                <w:szCs w:val="21"/>
              </w:rPr>
            </w:pPr>
            <w:r>
              <w:rPr>
                <w:szCs w:val="21"/>
              </w:rPr>
              <w:t>未提供不得分。</w:t>
            </w:r>
          </w:p>
        </w:tc>
      </w:tr>
      <w:tr w14:paraId="5759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F3D167">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AB5410C">
            <w:pPr>
              <w:jc w:val="center"/>
              <w:rPr>
                <w:szCs w:val="21"/>
              </w:rPr>
            </w:pPr>
            <w:r>
              <w:rPr>
                <w:szCs w:val="21"/>
              </w:rPr>
              <w:t>投标报价分</w:t>
            </w:r>
          </w:p>
          <w:p w14:paraId="068D4108">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40470F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6DF81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3AD34DB7">
            <w:pPr>
              <w:rPr>
                <w:szCs w:val="21"/>
              </w:rPr>
            </w:pPr>
            <w:r>
              <w:rPr>
                <w:szCs w:val="21"/>
              </w:rPr>
              <w:t>如有价格扣除时，投标报价分均按供应商实际投标报价进行价格扣除后的价格进行计算，最终中标金额＝投标报价。价格扣除计算方法见后。</w:t>
            </w:r>
          </w:p>
        </w:tc>
      </w:tr>
      <w:tr w14:paraId="04CA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7910AEF">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25D43BF">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3EFCD6D2">
            <w:pPr>
              <w:rPr>
                <w:szCs w:val="21"/>
              </w:rPr>
            </w:pPr>
            <w:r>
              <w:rPr>
                <w:szCs w:val="21"/>
              </w:rPr>
              <w:t>=1+2+3（各项评分分值计算保留小数点后两位，小数点后第三位“四舍五入”）</w:t>
            </w:r>
          </w:p>
        </w:tc>
      </w:tr>
    </w:tbl>
    <w:p w14:paraId="013F66F5">
      <w:pPr>
        <w:rPr>
          <w:b/>
          <w:color w:val="000000"/>
        </w:rPr>
      </w:pPr>
    </w:p>
    <w:p w14:paraId="20482366">
      <w:pPr>
        <w:rPr>
          <w:color w:val="000000" w:themeColor="text1"/>
          <w14:textFill>
            <w14:solidFill>
              <w14:schemeClr w14:val="tx1"/>
            </w14:solidFill>
          </w14:textFill>
        </w:rPr>
      </w:pPr>
    </w:p>
    <w:p w14:paraId="3ED089E4">
      <w:pPr>
        <w:spacing w:before="120" w:line="320" w:lineRule="atLeast"/>
        <w:ind w:firstLine="316" w:firstLineChars="150"/>
        <w:rPr>
          <w:b/>
          <w:bCs/>
          <w:color w:val="000000"/>
          <w:kern w:val="0"/>
          <w:szCs w:val="21"/>
        </w:rPr>
      </w:pPr>
      <w:r>
        <w:rPr>
          <w:b/>
          <w:bCs/>
          <w:color w:val="000000"/>
          <w:kern w:val="0"/>
          <w:szCs w:val="21"/>
        </w:rPr>
        <w:t>注：政策性扣除计算方法</w:t>
      </w:r>
    </w:p>
    <w:p w14:paraId="3101A583">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FA1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253E1AFC">
            <w:pPr>
              <w:spacing w:before="120" w:line="320" w:lineRule="atLeast"/>
              <w:jc w:val="center"/>
              <w:rPr>
                <w:color w:val="000000"/>
                <w:szCs w:val="21"/>
              </w:rPr>
            </w:pPr>
            <w:r>
              <w:rPr>
                <w:color w:val="000000"/>
                <w:szCs w:val="21"/>
              </w:rPr>
              <w:t>独立响应</w:t>
            </w:r>
          </w:p>
        </w:tc>
        <w:tc>
          <w:tcPr>
            <w:tcW w:w="4962" w:type="dxa"/>
          </w:tcPr>
          <w:p w14:paraId="0CCA3228">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4E101837">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790E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D22F3AE">
            <w:pPr>
              <w:spacing w:before="120" w:line="320" w:lineRule="atLeast"/>
              <w:jc w:val="center"/>
              <w:rPr>
                <w:color w:val="000000"/>
                <w:szCs w:val="21"/>
              </w:rPr>
            </w:pPr>
            <w:r>
              <w:rPr>
                <w:color w:val="000000"/>
                <w:szCs w:val="21"/>
              </w:rPr>
              <w:t>联合体或</w:t>
            </w:r>
          </w:p>
          <w:p w14:paraId="354B65E9">
            <w:pPr>
              <w:spacing w:before="120" w:line="320" w:lineRule="atLeast"/>
              <w:jc w:val="center"/>
              <w:rPr>
                <w:color w:val="000000"/>
                <w:szCs w:val="21"/>
              </w:rPr>
            </w:pPr>
            <w:r>
              <w:rPr>
                <w:color w:val="000000"/>
                <w:szCs w:val="21"/>
              </w:rPr>
              <w:t>分包</w:t>
            </w:r>
          </w:p>
        </w:tc>
        <w:tc>
          <w:tcPr>
            <w:tcW w:w="4962" w:type="dxa"/>
          </w:tcPr>
          <w:p w14:paraId="46B7DCD3">
            <w:pPr>
              <w:spacing w:before="120" w:line="320" w:lineRule="atLeast"/>
              <w:rPr>
                <w:color w:val="000000"/>
                <w:szCs w:val="21"/>
              </w:rPr>
            </w:pPr>
            <w:r>
              <w:rPr>
                <w:color w:val="000000"/>
                <w:szCs w:val="21"/>
              </w:rPr>
              <w:t>小微企业承接的金额比例为100%</w:t>
            </w:r>
          </w:p>
        </w:tc>
        <w:tc>
          <w:tcPr>
            <w:tcW w:w="2551" w:type="dxa"/>
          </w:tcPr>
          <w:p w14:paraId="1D4F2A10">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5FAB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13D328AC">
            <w:pPr>
              <w:spacing w:before="120" w:line="320" w:lineRule="atLeast"/>
              <w:rPr>
                <w:color w:val="000000"/>
                <w:szCs w:val="21"/>
              </w:rPr>
            </w:pPr>
          </w:p>
        </w:tc>
        <w:tc>
          <w:tcPr>
            <w:tcW w:w="4962" w:type="dxa"/>
          </w:tcPr>
          <w:p w14:paraId="54CA6BF5">
            <w:pPr>
              <w:spacing w:before="120" w:line="320" w:lineRule="atLeast"/>
              <w:rPr>
                <w:color w:val="000000"/>
                <w:szCs w:val="21"/>
              </w:rPr>
            </w:pPr>
            <w:r>
              <w:rPr>
                <w:color w:val="000000"/>
                <w:szCs w:val="21"/>
              </w:rPr>
              <w:t>小微企业承接的金额比例达到合同总金额30%以上</w:t>
            </w:r>
          </w:p>
        </w:tc>
        <w:tc>
          <w:tcPr>
            <w:tcW w:w="2551" w:type="dxa"/>
          </w:tcPr>
          <w:p w14:paraId="43809683">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5C77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403B8DFD">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45FB7FB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3"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3"/>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84"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4"/>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85"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5"/>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86"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6"/>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87"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7"/>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9"/>
    <w:bookmarkEnd w:id="80"/>
    <w:p w14:paraId="10F4A8C7">
      <w:pPr>
        <w:widowControl/>
        <w:jc w:val="center"/>
        <w:outlineLvl w:val="0"/>
        <w:rPr>
          <w:color w:val="000000" w:themeColor="text1"/>
          <w:sz w:val="32"/>
          <w:szCs w:val="32"/>
          <w14:textFill>
            <w14:solidFill>
              <w14:schemeClr w14:val="tx1"/>
            </w14:solidFill>
          </w14:textFill>
        </w:rPr>
      </w:pPr>
      <w:bookmarkStart w:id="88" w:name="_Toc197907017"/>
      <w:bookmarkStart w:id="120" w:name="_GoBack"/>
      <w:bookmarkEnd w:id="120"/>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8"/>
    </w:p>
    <w:p w14:paraId="14FB9903">
      <w:pPr>
        <w:rPr>
          <w:color w:val="000000" w:themeColor="text1"/>
          <w:sz w:val="28"/>
          <w:szCs w:val="28"/>
          <w14:textFill>
            <w14:solidFill>
              <w14:schemeClr w14:val="tx1"/>
            </w14:solidFill>
          </w14:textFill>
        </w:rPr>
      </w:pPr>
      <w:bookmarkStart w:id="89" w:name="_Toc254970697"/>
      <w:bookmarkStart w:id="90" w:name="_Toc254970556"/>
    </w:p>
    <w:bookmarkEnd w:id="89"/>
    <w:bookmarkEnd w:id="90"/>
    <w:p w14:paraId="1329BCD8">
      <w:pPr>
        <w:rPr>
          <w:color w:val="000000" w:themeColor="text1"/>
          <w:sz w:val="28"/>
          <w:szCs w:val="28"/>
          <w14:textFill>
            <w14:solidFill>
              <w14:schemeClr w14:val="tx1"/>
            </w14:solidFill>
          </w14:textFill>
        </w:rPr>
      </w:pPr>
    </w:p>
    <w:p w14:paraId="273DDE87">
      <w:pPr>
        <w:spacing w:line="500" w:lineRule="exact"/>
        <w:ind w:firstLine="560" w:firstLineChars="200"/>
        <w:rPr>
          <w:sz w:val="28"/>
          <w:szCs w:val="28"/>
        </w:rPr>
      </w:pPr>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2" w:name="_Toc254970698"/>
      <w:bookmarkStart w:id="93"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2"/>
      <w:bookmarkEnd w:id="93"/>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5" w:name="_Toc462320613"/>
      <w:bookmarkStart w:id="96" w:name="_Toc462223472"/>
      <w:bookmarkStart w:id="97" w:name="_Toc45530922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5"/>
    <w:bookmarkEnd w:id="96"/>
    <w:bookmarkEnd w:id="97"/>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8" w:name="_Hlk132880052"/>
      <w:r>
        <w:rPr>
          <w:rFonts w:hint="eastAsia"/>
          <w:szCs w:val="21"/>
        </w:rPr>
        <w:t>被授权人手机号码及邮箱：</w:t>
      </w:r>
      <w:bookmarkEnd w:id="98"/>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9" w:name="_Hlk48144603"/>
      <w:bookmarkStart w:id="100" w:name="_Hlk88990584"/>
      <w:r>
        <w:rPr>
          <w:rFonts w:ascii="Times New Roman" w:hAnsi="Times New Roman" w:cs="Times New Roman"/>
          <w:color w:val="auto"/>
        </w:rPr>
        <w:t>注：</w:t>
      </w:r>
      <w:bookmarkStart w:id="101"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1"/>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9"/>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0"/>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2" w:name="_Hlk19049505"/>
      <w:r>
        <w:rPr>
          <w:color w:val="auto"/>
        </w:rPr>
        <w:t>本表可拓展。</w:t>
      </w:r>
      <w:bookmarkEnd w:id="102"/>
    </w:p>
    <w:p w14:paraId="61C1C473">
      <w:pPr>
        <w:snapToGrid w:val="0"/>
        <w:spacing w:before="50"/>
        <w:jc w:val="left"/>
        <w:rPr>
          <w:color w:val="auto"/>
          <w:szCs w:val="21"/>
        </w:rPr>
      </w:pPr>
      <w:bookmarkStart w:id="103"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3"/>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4"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5" w:name="_Hlk60649458"/>
    </w:p>
    <w:bookmarkEnd w:id="105"/>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3F9C765C">
      <w:pPr>
        <w:spacing w:line="360" w:lineRule="auto"/>
        <w:jc w:val="center"/>
        <w:rPr>
          <w:b/>
          <w:szCs w:val="21"/>
        </w:rPr>
      </w:pPr>
      <w:bookmarkStart w:id="107" w:name="OLE_LINK14"/>
      <w:bookmarkStart w:id="108" w:name="OLE_LINK13"/>
      <w:r>
        <w:rPr>
          <w:b/>
          <w:szCs w:val="21"/>
        </w:rPr>
        <w:t>残疾人福利性单位声明函</w:t>
      </w:r>
      <w:bookmarkEnd w:id="107"/>
      <w:bookmarkEnd w:id="108"/>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9" w:name="_Hlk93048308"/>
      <w:r>
        <w:rPr>
          <w:szCs w:val="21"/>
        </w:rPr>
        <w:t>5.</w:t>
      </w:r>
      <w:bookmarkEnd w:id="109"/>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4"/>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2"/>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3"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3"/>
    <w:p w14:paraId="2F4A57CE">
      <w:pPr>
        <w:rPr>
          <w:color w:val="auto"/>
          <w:szCs w:val="21"/>
        </w:rPr>
      </w:pPr>
    </w:p>
    <w:p w14:paraId="3D18A049">
      <w:pPr>
        <w:rPr>
          <w:color w:val="auto"/>
          <w:spacing w:val="20"/>
          <w:szCs w:val="21"/>
          <w:u w:val="single"/>
        </w:rPr>
      </w:pPr>
      <w:bookmarkStart w:id="114"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4"/>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5F023DAC">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3730061A">
      <w:pPr>
        <w:rPr>
          <w:bCs/>
          <w:color w:val="000000" w:themeColor="text1"/>
          <w:sz w:val="24"/>
          <w14:textFill>
            <w14:solidFill>
              <w14:schemeClr w14:val="tx1"/>
            </w14:solidFill>
          </w14:textFill>
        </w:rPr>
      </w:pPr>
      <w:r>
        <w:rPr>
          <w:rFonts w:hint="eastAsia"/>
          <w:b/>
          <w:szCs w:val="21"/>
        </w:rPr>
        <w:t>格式详见广西政府采购云平台，且仅在广西政府采购云平台填写即可。</w:t>
      </w:r>
      <w:bookmarkEnd w:id="119"/>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0CC8"/>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0F42"/>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241"/>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0D69"/>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2B93"/>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AC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0B6"/>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3B10"/>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015"/>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3A1D"/>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6BFF"/>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1C705F"/>
    <w:rsid w:val="0BB70D95"/>
    <w:rsid w:val="0BF958C7"/>
    <w:rsid w:val="0C3F3332"/>
    <w:rsid w:val="0C5A09A9"/>
    <w:rsid w:val="0CDB719E"/>
    <w:rsid w:val="0D7611AE"/>
    <w:rsid w:val="0D9574B4"/>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175BD"/>
    <w:rsid w:val="1CF90898"/>
    <w:rsid w:val="1CFA0FE7"/>
    <w:rsid w:val="1D8C69C4"/>
    <w:rsid w:val="1DE43FE5"/>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C1223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074B04"/>
    <w:rsid w:val="2F7145F4"/>
    <w:rsid w:val="2F8F1030"/>
    <w:rsid w:val="30580298"/>
    <w:rsid w:val="30646F90"/>
    <w:rsid w:val="30CB0402"/>
    <w:rsid w:val="310C5C90"/>
    <w:rsid w:val="31951F21"/>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8501B9"/>
    <w:rsid w:val="40A005F0"/>
    <w:rsid w:val="414B5EF7"/>
    <w:rsid w:val="417E1386"/>
    <w:rsid w:val="422B6BF4"/>
    <w:rsid w:val="42347713"/>
    <w:rsid w:val="4287098B"/>
    <w:rsid w:val="433C4F16"/>
    <w:rsid w:val="43B00A8F"/>
    <w:rsid w:val="446F4077"/>
    <w:rsid w:val="45511B47"/>
    <w:rsid w:val="45A15DDB"/>
    <w:rsid w:val="45B22926"/>
    <w:rsid w:val="462E6F3B"/>
    <w:rsid w:val="4681712C"/>
    <w:rsid w:val="468B6718"/>
    <w:rsid w:val="472446C2"/>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E231EC4"/>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B61F2F"/>
    <w:rsid w:val="59E031E2"/>
    <w:rsid w:val="59E86A7C"/>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DC94BB0"/>
    <w:rsid w:val="5E2F13E4"/>
    <w:rsid w:val="5EC546B7"/>
    <w:rsid w:val="5EE01513"/>
    <w:rsid w:val="5F0828F9"/>
    <w:rsid w:val="5F775E85"/>
    <w:rsid w:val="5FA9036D"/>
    <w:rsid w:val="5FE20A6A"/>
    <w:rsid w:val="5FE80DF1"/>
    <w:rsid w:val="5FEF7F48"/>
    <w:rsid w:val="60394F33"/>
    <w:rsid w:val="604D1FAD"/>
    <w:rsid w:val="607A028C"/>
    <w:rsid w:val="60C761CB"/>
    <w:rsid w:val="61904268"/>
    <w:rsid w:val="61922827"/>
    <w:rsid w:val="61985AAE"/>
    <w:rsid w:val="619B21A0"/>
    <w:rsid w:val="61C95215"/>
    <w:rsid w:val="620863D2"/>
    <w:rsid w:val="626058BD"/>
    <w:rsid w:val="62D70238"/>
    <w:rsid w:val="634E5810"/>
    <w:rsid w:val="63A81226"/>
    <w:rsid w:val="648E6258"/>
    <w:rsid w:val="650A079C"/>
    <w:rsid w:val="65E5355A"/>
    <w:rsid w:val="65ED75E3"/>
    <w:rsid w:val="66CD7059"/>
    <w:rsid w:val="674A3D4F"/>
    <w:rsid w:val="679006E0"/>
    <w:rsid w:val="6864772D"/>
    <w:rsid w:val="68BC6A3B"/>
    <w:rsid w:val="68D26F09"/>
    <w:rsid w:val="69EF047B"/>
    <w:rsid w:val="6A121AD7"/>
    <w:rsid w:val="6A3C248C"/>
    <w:rsid w:val="6AD23B35"/>
    <w:rsid w:val="6B526934"/>
    <w:rsid w:val="6C3226C6"/>
    <w:rsid w:val="6C3A3AEB"/>
    <w:rsid w:val="6C545FF5"/>
    <w:rsid w:val="6C591BE2"/>
    <w:rsid w:val="6D865EAD"/>
    <w:rsid w:val="6E0A4A26"/>
    <w:rsid w:val="6E113896"/>
    <w:rsid w:val="6E5E1B6C"/>
    <w:rsid w:val="6EB57A17"/>
    <w:rsid w:val="6EEF71D1"/>
    <w:rsid w:val="6F021A16"/>
    <w:rsid w:val="6F1D40CE"/>
    <w:rsid w:val="7051517A"/>
    <w:rsid w:val="70773FF5"/>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4D3C62"/>
    <w:rsid w:val="7B974622"/>
    <w:rsid w:val="7CE12540"/>
    <w:rsid w:val="7D4E72F0"/>
    <w:rsid w:val="7D690F2D"/>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6718</Words>
  <Characters>7761</Characters>
  <Lines>307</Lines>
  <Paragraphs>86</Paragraphs>
  <TotalTime>14</TotalTime>
  <ScaleCrop>false</ScaleCrop>
  <LinksUpToDate>false</LinksUpToDate>
  <CharactersWithSpaces>7818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2025-05-15T09:34:00Z</dcterms:created>
  <dc:creator>微软用户</dc:creator>
  <cp:lastModifiedBy>27</cp:lastModifiedBy>
  <cp:lastPrinted>2023-12-22T08:31:00Z</cp:lastPrinted>
  <dcterms:modified xsi:type="dcterms:W3CDTF">2025-05-26T09:06:26Z</dcterms:modified>
  <dc:title>桂财采〔2009〕 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