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FA7264">
      <w:pPr>
        <w:snapToGrid w:val="0"/>
        <w:spacing w:before="120" w:beforeLines="50" w:line="360" w:lineRule="auto"/>
        <w:jc w:val="center"/>
        <w:rPr>
          <w:rFonts w:ascii="华文新魏" w:eastAsia="华文新魏"/>
          <w:color w:val="auto"/>
          <w:sz w:val="72"/>
          <w:szCs w:val="72"/>
          <w:highlight w:val="none"/>
        </w:rPr>
      </w:pPr>
      <w:r>
        <w:rPr>
          <w:rFonts w:hint="eastAsia" w:ascii="华文新魏" w:eastAsia="华文新魏"/>
          <w:color w:val="auto"/>
          <w:sz w:val="72"/>
          <w:szCs w:val="72"/>
          <w:highlight w:val="none"/>
        </w:rPr>
        <w:t>广西科联招标中心有限公司</w:t>
      </w:r>
    </w:p>
    <w:p w14:paraId="5F6ACF8E">
      <w:pPr>
        <w:snapToGrid w:val="0"/>
        <w:spacing w:before="120" w:beforeLines="50" w:line="360" w:lineRule="auto"/>
        <w:jc w:val="center"/>
        <w:rPr>
          <w:rFonts w:ascii="华文新魏" w:eastAsia="华文新魏"/>
          <w:color w:val="auto"/>
          <w:sz w:val="72"/>
          <w:szCs w:val="72"/>
          <w:highlight w:val="none"/>
        </w:rPr>
      </w:pPr>
    </w:p>
    <w:p w14:paraId="3BE6638B">
      <w:pPr>
        <w:snapToGrid w:val="0"/>
        <w:spacing w:before="120"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eastAsia="华文新魏"/>
          <w:color w:val="auto"/>
          <w:sz w:val="72"/>
          <w:szCs w:val="72"/>
          <w:highlight w:val="none"/>
        </w:rPr>
        <w:t>竞争性磋商文件</w:t>
      </w:r>
    </w:p>
    <w:p w14:paraId="66BE673F">
      <w:pPr>
        <w:spacing w:before="240" w:beforeLines="100" w:after="120" w:afterLines="50" w:line="360" w:lineRule="auto"/>
        <w:jc w:val="center"/>
        <w:rPr>
          <w:color w:val="auto"/>
          <w:szCs w:val="21"/>
          <w:highlight w:val="none"/>
        </w:rPr>
      </w:pPr>
      <w:r>
        <w:rPr>
          <w:rFonts w:hint="eastAsia"/>
          <w:color w:val="auto"/>
          <w:szCs w:val="21"/>
          <w:highlight w:val="none"/>
        </w:rPr>
        <w:t>（全流程电子化评标）</w:t>
      </w:r>
    </w:p>
    <w:p w14:paraId="456D5895">
      <w:pPr>
        <w:spacing w:line="360" w:lineRule="auto"/>
        <w:rPr>
          <w:b/>
          <w:color w:val="auto"/>
          <w:sz w:val="32"/>
          <w:szCs w:val="32"/>
          <w:highlight w:val="none"/>
        </w:rPr>
      </w:pPr>
    </w:p>
    <w:p w14:paraId="67FCA2E9">
      <w:pPr>
        <w:spacing w:line="360" w:lineRule="auto"/>
        <w:jc w:val="center"/>
        <w:rPr>
          <w:b/>
          <w:color w:val="auto"/>
          <w:sz w:val="32"/>
          <w:szCs w:val="32"/>
          <w:highlight w:val="none"/>
        </w:rPr>
      </w:pPr>
    </w:p>
    <w:p w14:paraId="76C8B1A5">
      <w:pPr>
        <w:snapToGrid w:val="0"/>
        <w:spacing w:before="50" w:after="120" w:line="360" w:lineRule="auto"/>
        <w:ind w:firstLine="904" w:firstLineChars="300"/>
        <w:rPr>
          <w:rFonts w:ascii="仿宋_GB2312" w:eastAsia="仿宋_GB2312"/>
          <w:b/>
          <w:bCs/>
          <w:color w:val="auto"/>
          <w:kern w:val="0"/>
          <w:sz w:val="30"/>
          <w:szCs w:val="30"/>
          <w:highlight w:val="none"/>
        </w:rPr>
      </w:pPr>
      <w:r>
        <w:rPr>
          <w:rFonts w:hint="eastAsia" w:ascii="仿宋_GB2312" w:eastAsia="仿宋_GB2312"/>
          <w:b/>
          <w:bCs/>
          <w:color w:val="auto"/>
          <w:kern w:val="0"/>
          <w:sz w:val="30"/>
          <w:szCs w:val="30"/>
          <w:highlight w:val="none"/>
        </w:rPr>
        <w:t>项目</w:t>
      </w:r>
      <w:r>
        <w:rPr>
          <w:rFonts w:hint="eastAsia" w:ascii="仿宋_GB2312" w:eastAsia="仿宋_GB2312" w:cs="Courier New"/>
          <w:b/>
          <w:bCs/>
          <w:color w:val="auto"/>
          <w:w w:val="95"/>
          <w:kern w:val="0"/>
          <w:sz w:val="30"/>
          <w:szCs w:val="30"/>
          <w:highlight w:val="none"/>
        </w:rPr>
        <w:t>名称</w:t>
      </w:r>
      <w:r>
        <w:rPr>
          <w:rFonts w:hint="eastAsia" w:ascii="仿宋_GB2312" w:eastAsia="仿宋_GB2312"/>
          <w:b/>
          <w:bCs/>
          <w:color w:val="auto"/>
          <w:kern w:val="0"/>
          <w:sz w:val="30"/>
          <w:szCs w:val="30"/>
          <w:highlight w:val="none"/>
        </w:rPr>
        <w:t>：广西农业职业技术大学西校区二期工程建设项目第二批工程跟踪审计和结算审核服务</w:t>
      </w:r>
    </w:p>
    <w:p w14:paraId="489A780E">
      <w:pPr>
        <w:snapToGrid w:val="0"/>
        <w:spacing w:before="50" w:after="120" w:line="360" w:lineRule="auto"/>
        <w:ind w:firstLine="1684" w:firstLineChars="559"/>
        <w:rPr>
          <w:rFonts w:ascii="仿宋_GB2312" w:eastAsia="仿宋_GB2312"/>
          <w:b/>
          <w:bCs/>
          <w:color w:val="auto"/>
          <w:kern w:val="0"/>
          <w:sz w:val="30"/>
          <w:szCs w:val="30"/>
          <w:highlight w:val="none"/>
        </w:rPr>
      </w:pPr>
      <w:r>
        <w:rPr>
          <w:rFonts w:hint="eastAsia" w:ascii="仿宋_GB2312" w:eastAsia="仿宋_GB2312"/>
          <w:b/>
          <w:bCs/>
          <w:color w:val="auto"/>
          <w:kern w:val="0"/>
          <w:sz w:val="30"/>
          <w:szCs w:val="30"/>
          <w:highlight w:val="none"/>
        </w:rPr>
        <w:t>项目编号：GXZC2025-C3-003150-GXKL</w:t>
      </w:r>
    </w:p>
    <w:p w14:paraId="7F24C117">
      <w:pPr>
        <w:snapToGrid w:val="0"/>
        <w:spacing w:before="50" w:after="120" w:line="360" w:lineRule="auto"/>
        <w:ind w:firstLine="1684" w:firstLineChars="559"/>
        <w:rPr>
          <w:rFonts w:ascii="仿宋_GB2312" w:eastAsia="仿宋_GB2312"/>
          <w:b/>
          <w:bCs/>
          <w:color w:val="auto"/>
          <w:kern w:val="0"/>
          <w:sz w:val="30"/>
          <w:szCs w:val="30"/>
          <w:highlight w:val="none"/>
        </w:rPr>
      </w:pPr>
    </w:p>
    <w:p w14:paraId="1473D9D1">
      <w:pPr>
        <w:pStyle w:val="2"/>
        <w:rPr>
          <w:rFonts w:ascii="仿宋_GB2312" w:eastAsia="仿宋_GB2312"/>
          <w:b/>
          <w:bCs/>
          <w:color w:val="auto"/>
          <w:sz w:val="30"/>
          <w:szCs w:val="30"/>
          <w:highlight w:val="none"/>
        </w:rPr>
      </w:pPr>
    </w:p>
    <w:p w14:paraId="27E5888A">
      <w:pPr>
        <w:pStyle w:val="2"/>
        <w:rPr>
          <w:rFonts w:ascii="仿宋_GB2312" w:eastAsia="仿宋_GB2312"/>
          <w:b/>
          <w:bCs/>
          <w:color w:val="auto"/>
          <w:sz w:val="30"/>
          <w:szCs w:val="30"/>
          <w:highlight w:val="none"/>
        </w:rPr>
      </w:pPr>
    </w:p>
    <w:p w14:paraId="0F99765F">
      <w:pPr>
        <w:pStyle w:val="2"/>
        <w:rPr>
          <w:rFonts w:ascii="仿宋_GB2312" w:eastAsia="仿宋_GB2312"/>
          <w:b/>
          <w:bCs/>
          <w:color w:val="auto"/>
          <w:sz w:val="30"/>
          <w:szCs w:val="30"/>
          <w:highlight w:val="none"/>
        </w:rPr>
      </w:pPr>
    </w:p>
    <w:p w14:paraId="5B80AE3B">
      <w:pPr>
        <w:pStyle w:val="2"/>
        <w:rPr>
          <w:rFonts w:ascii="仿宋_GB2312" w:eastAsia="仿宋_GB2312"/>
          <w:b/>
          <w:bCs/>
          <w:color w:val="auto"/>
          <w:sz w:val="30"/>
          <w:szCs w:val="30"/>
          <w:highlight w:val="none"/>
        </w:rPr>
      </w:pPr>
    </w:p>
    <w:p w14:paraId="569F3225">
      <w:pPr>
        <w:pStyle w:val="2"/>
        <w:rPr>
          <w:rFonts w:ascii="仿宋_GB2312" w:eastAsia="仿宋_GB2312"/>
          <w:b/>
          <w:bCs/>
          <w:color w:val="auto"/>
          <w:sz w:val="30"/>
          <w:szCs w:val="30"/>
          <w:highlight w:val="none"/>
        </w:rPr>
      </w:pPr>
    </w:p>
    <w:p w14:paraId="011F47E7">
      <w:pPr>
        <w:pStyle w:val="2"/>
        <w:rPr>
          <w:rFonts w:ascii="仿宋_GB2312" w:eastAsia="仿宋_GB2312"/>
          <w:b/>
          <w:bCs/>
          <w:color w:val="auto"/>
          <w:sz w:val="30"/>
          <w:szCs w:val="30"/>
          <w:highlight w:val="none"/>
        </w:rPr>
      </w:pPr>
    </w:p>
    <w:p w14:paraId="7D7BB8F8">
      <w:pPr>
        <w:snapToGrid w:val="0"/>
        <w:spacing w:before="50" w:after="120" w:line="360" w:lineRule="auto"/>
        <w:ind w:firstLine="1807" w:firstLineChars="600"/>
        <w:rPr>
          <w:rFonts w:ascii="仿宋_GB2312" w:eastAsia="仿宋_GB2312"/>
          <w:b/>
          <w:bCs/>
          <w:color w:val="auto"/>
          <w:kern w:val="0"/>
          <w:sz w:val="30"/>
          <w:szCs w:val="30"/>
          <w:highlight w:val="none"/>
        </w:rPr>
      </w:pPr>
      <w:r>
        <w:rPr>
          <w:rFonts w:hint="eastAsia" w:ascii="仿宋_GB2312" w:eastAsia="仿宋_GB2312"/>
          <w:b/>
          <w:bCs/>
          <w:color w:val="auto"/>
          <w:kern w:val="0"/>
          <w:sz w:val="30"/>
          <w:szCs w:val="30"/>
          <w:highlight w:val="none"/>
        </w:rPr>
        <w:t>采购人：广西农业职业技术大学</w:t>
      </w:r>
    </w:p>
    <w:p w14:paraId="075C58DF">
      <w:pPr>
        <w:snapToGrid w:val="0"/>
        <w:spacing w:before="50" w:after="120" w:line="360" w:lineRule="auto"/>
        <w:ind w:firstLine="1684" w:firstLineChars="559"/>
        <w:rPr>
          <w:rFonts w:ascii="仿宋_GB2312" w:eastAsia="仿宋_GB2312"/>
          <w:b/>
          <w:bCs/>
          <w:color w:val="auto"/>
          <w:kern w:val="0"/>
          <w:sz w:val="30"/>
          <w:szCs w:val="30"/>
          <w:highlight w:val="none"/>
        </w:rPr>
      </w:pPr>
      <w:r>
        <w:rPr>
          <w:rFonts w:hint="eastAsia" w:ascii="仿宋_GB2312" w:eastAsia="仿宋_GB2312"/>
          <w:b/>
          <w:bCs/>
          <w:color w:val="auto"/>
          <w:kern w:val="0"/>
          <w:sz w:val="30"/>
          <w:szCs w:val="30"/>
          <w:highlight w:val="none"/>
        </w:rPr>
        <w:t>采购代理机构：广西科联招标中心有限公司</w:t>
      </w:r>
    </w:p>
    <w:p w14:paraId="1796F559">
      <w:pPr>
        <w:spacing w:line="360" w:lineRule="auto"/>
        <w:jc w:val="center"/>
        <w:rPr>
          <w:b/>
          <w:color w:val="auto"/>
          <w:sz w:val="44"/>
          <w:szCs w:val="44"/>
          <w:highlight w:val="none"/>
        </w:rPr>
      </w:pPr>
    </w:p>
    <w:p w14:paraId="385F0B3C">
      <w:pPr>
        <w:pStyle w:val="2"/>
        <w:jc w:val="center"/>
        <w:rPr>
          <w:rFonts w:ascii="仿宋_GB2312" w:eastAsia="仿宋_GB2312"/>
          <w:b/>
          <w:bCs/>
          <w:color w:val="auto"/>
          <w:sz w:val="30"/>
          <w:szCs w:val="30"/>
          <w:highlight w:val="none"/>
        </w:rPr>
        <w:sectPr>
          <w:headerReference r:id="rId3" w:type="first"/>
          <w:footerReference r:id="rId5" w:type="first"/>
          <w:footerReference r:id="rId4" w:type="default"/>
          <w:pgSz w:w="11911" w:h="16838"/>
          <w:pgMar w:top="1134" w:right="1134" w:bottom="1134" w:left="1134" w:header="720" w:footer="720" w:gutter="0"/>
          <w:cols w:space="720" w:num="1"/>
          <w:docGrid w:linePitch="312" w:charSpace="0"/>
        </w:sectPr>
      </w:pPr>
      <w:r>
        <w:rPr>
          <w:rFonts w:hint="eastAsia" w:ascii="仿宋_GB2312" w:eastAsia="仿宋_GB2312"/>
          <w:b/>
          <w:bCs/>
          <w:color w:val="auto"/>
          <w:sz w:val="30"/>
          <w:szCs w:val="30"/>
          <w:highlight w:val="none"/>
        </w:rPr>
        <w:t>2025年10月</w:t>
      </w:r>
    </w:p>
    <w:p w14:paraId="5A35ED6E">
      <w:pPr>
        <w:pStyle w:val="2"/>
        <w:rPr>
          <w:color w:val="auto"/>
          <w:highlight w:val="none"/>
        </w:rPr>
      </w:pPr>
    </w:p>
    <w:p w14:paraId="00779F9A">
      <w:pPr>
        <w:spacing w:line="360" w:lineRule="auto"/>
        <w:jc w:val="center"/>
        <w:rPr>
          <w:b/>
          <w:color w:val="auto"/>
          <w:sz w:val="44"/>
          <w:szCs w:val="44"/>
          <w:highlight w:val="none"/>
        </w:rPr>
      </w:pPr>
    </w:p>
    <w:p w14:paraId="16703A45">
      <w:pPr>
        <w:spacing w:line="360" w:lineRule="auto"/>
        <w:jc w:val="center"/>
        <w:rPr>
          <w:rFonts w:ascii="方正小标宋简体" w:hAnsi="方正小标宋简体" w:eastAsia="方正小标宋简体" w:cs="方正小标宋简体"/>
          <w:b/>
          <w:color w:val="auto"/>
          <w:sz w:val="44"/>
          <w:szCs w:val="44"/>
          <w:highlight w:val="none"/>
        </w:rPr>
      </w:pPr>
    </w:p>
    <w:p w14:paraId="78A4E26E">
      <w:pPr>
        <w:spacing w:line="360" w:lineRule="auto"/>
        <w:jc w:val="center"/>
        <w:rPr>
          <w:rFonts w:ascii="方正小标宋简体" w:hAnsi="方正小标宋简体" w:eastAsia="方正小标宋简体" w:cs="方正小标宋简体"/>
          <w:b/>
          <w:color w:val="auto"/>
          <w:sz w:val="44"/>
          <w:szCs w:val="44"/>
          <w:highlight w:val="none"/>
        </w:rPr>
      </w:pPr>
      <w:r>
        <w:rPr>
          <w:rFonts w:hint="eastAsia" w:ascii="方正小标宋简体" w:hAnsi="方正小标宋简体" w:eastAsia="方正小标宋简体" w:cs="方正小标宋简体"/>
          <w:b/>
          <w:color w:val="auto"/>
          <w:sz w:val="44"/>
          <w:szCs w:val="44"/>
          <w:highlight w:val="none"/>
        </w:rPr>
        <w:t>目   录</w:t>
      </w:r>
    </w:p>
    <w:p w14:paraId="6FE7F759">
      <w:pPr>
        <w:spacing w:line="400" w:lineRule="exact"/>
        <w:jc w:val="center"/>
        <w:rPr>
          <w:b/>
          <w:color w:val="auto"/>
          <w:sz w:val="44"/>
          <w:szCs w:val="44"/>
          <w:highlight w:val="none"/>
        </w:rPr>
      </w:pPr>
    </w:p>
    <w:p w14:paraId="1F285682">
      <w:pPr>
        <w:pStyle w:val="25"/>
        <w:tabs>
          <w:tab w:val="right" w:leader="dot" w:pos="9643"/>
        </w:tabs>
        <w:spacing w:line="900" w:lineRule="exact"/>
        <w:rPr>
          <w:rFonts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fldChar w:fldCharType="begin"/>
      </w:r>
      <w:r>
        <w:rPr>
          <w:rFonts w:hint="eastAsia" w:ascii="仿宋_GB2312" w:hAnsi="仿宋_GB2312" w:eastAsia="仿宋_GB2312" w:cs="仿宋_GB2312"/>
          <w:b/>
          <w:color w:val="auto"/>
          <w:sz w:val="32"/>
          <w:szCs w:val="32"/>
          <w:highlight w:val="none"/>
        </w:rPr>
        <w:instrText xml:space="preserve">TOC \o "1-1" \h \u </w:instrText>
      </w:r>
      <w:r>
        <w:rPr>
          <w:rFonts w:hint="eastAsia" w:ascii="仿宋_GB2312" w:hAnsi="仿宋_GB2312" w:eastAsia="仿宋_GB2312" w:cs="仿宋_GB2312"/>
          <w:b/>
          <w:color w:val="auto"/>
          <w:sz w:val="32"/>
          <w:szCs w:val="32"/>
          <w:highlight w:val="none"/>
        </w:rPr>
        <w:fldChar w:fldCharType="separate"/>
      </w:r>
      <w:r>
        <w:rPr>
          <w:color w:val="auto"/>
          <w:highlight w:val="none"/>
        </w:rPr>
        <w:fldChar w:fldCharType="begin"/>
      </w:r>
      <w:r>
        <w:rPr>
          <w:color w:val="auto"/>
          <w:highlight w:val="none"/>
        </w:rPr>
        <w:instrText xml:space="preserve"> HYPERLINK \l "_Toc32264" </w:instrText>
      </w:r>
      <w:r>
        <w:rPr>
          <w:color w:val="auto"/>
          <w:highlight w:val="none"/>
        </w:rPr>
        <w:fldChar w:fldCharType="separate"/>
      </w:r>
      <w:r>
        <w:rPr>
          <w:rFonts w:hint="eastAsia" w:ascii="仿宋_GB2312" w:hAnsi="仿宋_GB2312" w:eastAsia="仿宋_GB2312" w:cs="仿宋_GB2312"/>
          <w:color w:val="auto"/>
          <w:sz w:val="32"/>
          <w:szCs w:val="32"/>
          <w:highlight w:val="none"/>
        </w:rPr>
        <w:t>第一章 竞争性磋商公告</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_Toc32264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46E89971">
      <w:pPr>
        <w:pStyle w:val="25"/>
        <w:tabs>
          <w:tab w:val="right" w:leader="dot" w:pos="9643"/>
        </w:tabs>
        <w:spacing w:line="900" w:lineRule="exact"/>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"_Toc26836" </w:instrText>
      </w:r>
      <w:r>
        <w:rPr>
          <w:color w:val="auto"/>
          <w:highlight w:val="none"/>
        </w:rPr>
        <w:fldChar w:fldCharType="separate"/>
      </w:r>
      <w:r>
        <w:rPr>
          <w:rFonts w:hint="eastAsia" w:ascii="仿宋_GB2312" w:hAnsi="仿宋_GB2312" w:eastAsia="仿宋_GB2312" w:cs="仿宋_GB2312"/>
          <w:bCs/>
          <w:color w:val="auto"/>
          <w:sz w:val="32"/>
          <w:szCs w:val="32"/>
          <w:highlight w:val="none"/>
        </w:rPr>
        <w:t>第二章 采购需求</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_Toc26836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7</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205242DA">
      <w:pPr>
        <w:pStyle w:val="25"/>
        <w:tabs>
          <w:tab w:val="right" w:leader="dot" w:pos="9643"/>
        </w:tabs>
        <w:spacing w:line="900" w:lineRule="exact"/>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"_Toc2072" </w:instrText>
      </w:r>
      <w:r>
        <w:rPr>
          <w:color w:val="auto"/>
          <w:highlight w:val="none"/>
        </w:rPr>
        <w:fldChar w:fldCharType="separate"/>
      </w:r>
      <w:r>
        <w:rPr>
          <w:rFonts w:hint="eastAsia" w:ascii="仿宋_GB2312" w:hAnsi="仿宋_GB2312" w:eastAsia="仿宋_GB2312" w:cs="仿宋_GB2312"/>
          <w:bCs/>
          <w:color w:val="auto"/>
          <w:sz w:val="32"/>
          <w:szCs w:val="32"/>
          <w:highlight w:val="none"/>
        </w:rPr>
        <w:t>第三章 供应商须知</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_Toc2072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15</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02C6AC34">
      <w:pPr>
        <w:pStyle w:val="25"/>
        <w:tabs>
          <w:tab w:val="right" w:leader="dot" w:pos="9643"/>
        </w:tabs>
        <w:spacing w:line="900" w:lineRule="exact"/>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"_Toc1088" </w:instrText>
      </w:r>
      <w:r>
        <w:rPr>
          <w:color w:val="auto"/>
          <w:highlight w:val="none"/>
        </w:rPr>
        <w:fldChar w:fldCharType="separate"/>
      </w:r>
      <w:r>
        <w:rPr>
          <w:rFonts w:hint="eastAsia" w:ascii="仿宋_GB2312" w:hAnsi="仿宋_GB2312" w:eastAsia="仿宋_GB2312" w:cs="仿宋_GB2312"/>
          <w:color w:val="auto"/>
          <w:sz w:val="32"/>
          <w:szCs w:val="32"/>
          <w:highlight w:val="none"/>
        </w:rPr>
        <w:t>第四章 评审程序、评审方法和评审标准</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_Toc1088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33</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3F2CD2BB">
      <w:pPr>
        <w:pStyle w:val="25"/>
        <w:tabs>
          <w:tab w:val="right" w:leader="dot" w:pos="9643"/>
        </w:tabs>
        <w:spacing w:line="900" w:lineRule="exact"/>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"_Toc22302" </w:instrText>
      </w:r>
      <w:r>
        <w:rPr>
          <w:color w:val="auto"/>
          <w:highlight w:val="none"/>
        </w:rPr>
        <w:fldChar w:fldCharType="separate"/>
      </w:r>
      <w:r>
        <w:rPr>
          <w:rFonts w:hint="eastAsia" w:ascii="仿宋_GB2312" w:hAnsi="仿宋_GB2312" w:eastAsia="仿宋_GB2312" w:cs="仿宋_GB2312"/>
          <w:color w:val="auto"/>
          <w:sz w:val="32"/>
          <w:szCs w:val="32"/>
          <w:highlight w:val="none"/>
        </w:rPr>
        <w:t>第五章 响应文件格式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_Toc22302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42</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37FBB7B3">
      <w:pPr>
        <w:pStyle w:val="25"/>
        <w:tabs>
          <w:tab w:val="right" w:leader="dot" w:pos="9643"/>
        </w:tabs>
        <w:spacing w:line="900" w:lineRule="exact"/>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"_Toc18676" </w:instrText>
      </w:r>
      <w:r>
        <w:rPr>
          <w:color w:val="auto"/>
          <w:highlight w:val="none"/>
        </w:rPr>
        <w:fldChar w:fldCharType="separate"/>
      </w:r>
      <w:r>
        <w:rPr>
          <w:rFonts w:hint="eastAsia" w:ascii="仿宋_GB2312" w:hAnsi="仿宋_GB2312" w:eastAsia="仿宋_GB2312" w:cs="仿宋_GB2312"/>
          <w:bCs/>
          <w:color w:val="auto"/>
          <w:sz w:val="32"/>
          <w:szCs w:val="32"/>
          <w:highlight w:val="none"/>
        </w:rPr>
        <w:t>第六章 合同文本</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_Toc18676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71</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19E3E3E1">
      <w:pPr>
        <w:pStyle w:val="25"/>
        <w:tabs>
          <w:tab w:val="right" w:leader="dot" w:pos="9643"/>
        </w:tabs>
        <w:spacing w:line="900" w:lineRule="exact"/>
        <w:rPr>
          <w:rFonts w:ascii="仿宋_GB2312" w:hAnsi="仿宋_GB2312" w:eastAsia="仿宋_GB2312" w:cs="仿宋_GB2312"/>
          <w:color w:val="auto"/>
          <w:sz w:val="32"/>
          <w:szCs w:val="32"/>
          <w:highlight w:val="none"/>
        </w:rPr>
      </w:pPr>
      <w:r>
        <w:rPr>
          <w:color w:val="auto"/>
          <w:highlight w:val="none"/>
        </w:rPr>
        <w:fldChar w:fldCharType="begin"/>
      </w:r>
      <w:r>
        <w:rPr>
          <w:color w:val="auto"/>
          <w:highlight w:val="none"/>
        </w:rPr>
        <w:instrText xml:space="preserve"> HYPERLINK \l "_Toc13011" </w:instrText>
      </w:r>
      <w:r>
        <w:rPr>
          <w:color w:val="auto"/>
          <w:highlight w:val="none"/>
        </w:rPr>
        <w:fldChar w:fldCharType="separate"/>
      </w:r>
      <w:r>
        <w:rPr>
          <w:rFonts w:hint="eastAsia" w:ascii="仿宋_GB2312" w:hAnsi="仿宋_GB2312" w:eastAsia="仿宋_GB2312" w:cs="仿宋_GB2312"/>
          <w:color w:val="auto"/>
          <w:sz w:val="32"/>
          <w:szCs w:val="32"/>
          <w:highlight w:val="none"/>
        </w:rPr>
        <w:t>第七章 质疑、投诉材料格式</w:t>
      </w:r>
      <w:r>
        <w:rPr>
          <w:rFonts w:hint="eastAsia" w:ascii="仿宋_GB2312" w:hAnsi="仿宋_GB2312" w:eastAsia="仿宋_GB2312" w:cs="仿宋_GB2312"/>
          <w:color w:val="auto"/>
          <w:sz w:val="32"/>
          <w:szCs w:val="32"/>
          <w:highlight w:val="none"/>
        </w:rPr>
        <w:tab/>
      </w:r>
      <w:r>
        <w:rPr>
          <w:rFonts w:hint="eastAsia" w:ascii="仿宋_GB2312" w:hAnsi="仿宋_GB2312" w:eastAsia="仿宋_GB2312" w:cs="仿宋_GB2312"/>
          <w:color w:val="auto"/>
          <w:sz w:val="32"/>
          <w:szCs w:val="32"/>
          <w:highlight w:val="none"/>
        </w:rPr>
        <w:fldChar w:fldCharType="begin"/>
      </w:r>
      <w:r>
        <w:rPr>
          <w:rFonts w:hint="eastAsia" w:ascii="仿宋_GB2312" w:hAnsi="仿宋_GB2312" w:eastAsia="仿宋_GB2312" w:cs="仿宋_GB2312"/>
          <w:color w:val="auto"/>
          <w:sz w:val="32"/>
          <w:szCs w:val="32"/>
          <w:highlight w:val="none"/>
        </w:rPr>
        <w:instrText xml:space="preserve"> PAGEREF _Toc13011 </w:instrText>
      </w:r>
      <w:r>
        <w:rPr>
          <w:rFonts w:hint="eastAsia" w:ascii="仿宋_GB2312" w:hAnsi="仿宋_GB2312" w:eastAsia="仿宋_GB2312" w:cs="仿宋_GB2312"/>
          <w:color w:val="auto"/>
          <w:sz w:val="32"/>
          <w:szCs w:val="32"/>
          <w:highlight w:val="none"/>
        </w:rPr>
        <w:fldChar w:fldCharType="separate"/>
      </w:r>
      <w:r>
        <w:rPr>
          <w:rFonts w:hint="eastAsia" w:ascii="仿宋_GB2312" w:hAnsi="仿宋_GB2312" w:eastAsia="仿宋_GB2312" w:cs="仿宋_GB2312"/>
          <w:color w:val="auto"/>
          <w:sz w:val="32"/>
          <w:szCs w:val="32"/>
          <w:highlight w:val="none"/>
        </w:rPr>
        <w:t>72</w:t>
      </w:r>
      <w:r>
        <w:rPr>
          <w:rFonts w:hint="eastAsia" w:ascii="仿宋_GB2312" w:hAnsi="仿宋_GB2312" w:eastAsia="仿宋_GB2312" w:cs="仿宋_GB2312"/>
          <w:color w:val="auto"/>
          <w:sz w:val="32"/>
          <w:szCs w:val="32"/>
          <w:highlight w:val="none"/>
        </w:rPr>
        <w:fldChar w:fldCharType="end"/>
      </w:r>
      <w:r>
        <w:rPr>
          <w:rFonts w:hint="eastAsia" w:ascii="仿宋_GB2312" w:hAnsi="仿宋_GB2312" w:eastAsia="仿宋_GB2312" w:cs="仿宋_GB2312"/>
          <w:color w:val="auto"/>
          <w:sz w:val="32"/>
          <w:szCs w:val="32"/>
          <w:highlight w:val="none"/>
        </w:rPr>
        <w:fldChar w:fldCharType="end"/>
      </w:r>
    </w:p>
    <w:p w14:paraId="10FD45D3">
      <w:pPr>
        <w:pStyle w:val="27"/>
        <w:spacing w:line="900" w:lineRule="exact"/>
        <w:rPr>
          <w:rFonts w:ascii="宋体" w:hAnsi="宋体" w:cs="宋体"/>
          <w:color w:val="auto"/>
          <w:sz w:val="24"/>
          <w:highlight w:val="none"/>
        </w:rPr>
      </w:pPr>
      <w:r>
        <w:rPr>
          <w:rFonts w:hint="eastAsia" w:ascii="仿宋_GB2312" w:hAnsi="仿宋_GB2312" w:eastAsia="仿宋_GB2312" w:cs="仿宋_GB2312"/>
          <w:color w:val="auto"/>
          <w:sz w:val="32"/>
          <w:szCs w:val="32"/>
          <w:highlight w:val="none"/>
        </w:rPr>
        <w:fldChar w:fldCharType="end"/>
      </w:r>
    </w:p>
    <w:p w14:paraId="0D41DCDB">
      <w:pPr>
        <w:spacing w:line="400" w:lineRule="exact"/>
        <w:jc w:val="left"/>
        <w:rPr>
          <w:b/>
          <w:color w:val="auto"/>
          <w:sz w:val="32"/>
          <w:szCs w:val="32"/>
          <w:highlight w:val="none"/>
        </w:rPr>
      </w:pPr>
    </w:p>
    <w:p w14:paraId="62CB3512">
      <w:pPr>
        <w:spacing w:line="400" w:lineRule="exact"/>
        <w:jc w:val="center"/>
        <w:rPr>
          <w:b/>
          <w:color w:val="auto"/>
          <w:sz w:val="32"/>
          <w:szCs w:val="32"/>
          <w:highlight w:val="none"/>
        </w:rPr>
      </w:pPr>
    </w:p>
    <w:p w14:paraId="7981FC08">
      <w:pPr>
        <w:spacing w:line="400" w:lineRule="exact"/>
        <w:jc w:val="center"/>
        <w:rPr>
          <w:b/>
          <w:color w:val="auto"/>
          <w:sz w:val="32"/>
          <w:szCs w:val="32"/>
          <w:highlight w:val="none"/>
        </w:rPr>
      </w:pPr>
    </w:p>
    <w:p w14:paraId="0CE81939">
      <w:pPr>
        <w:spacing w:line="400" w:lineRule="exact"/>
        <w:jc w:val="center"/>
        <w:rPr>
          <w:b/>
          <w:color w:val="auto"/>
          <w:sz w:val="32"/>
          <w:szCs w:val="32"/>
          <w:highlight w:val="none"/>
        </w:rPr>
      </w:pPr>
    </w:p>
    <w:p w14:paraId="27BF77B4">
      <w:pPr>
        <w:spacing w:line="400" w:lineRule="exact"/>
        <w:jc w:val="center"/>
        <w:rPr>
          <w:b/>
          <w:color w:val="auto"/>
          <w:sz w:val="32"/>
          <w:szCs w:val="32"/>
          <w:highlight w:val="none"/>
        </w:rPr>
      </w:pPr>
    </w:p>
    <w:p w14:paraId="3A0F4978">
      <w:pPr>
        <w:spacing w:line="400" w:lineRule="exact"/>
        <w:rPr>
          <w:b/>
          <w:color w:val="auto"/>
          <w:sz w:val="32"/>
          <w:szCs w:val="32"/>
          <w:highlight w:val="none"/>
        </w:rPr>
        <w:sectPr>
          <w:footerReference r:id="rId6" w:type="default"/>
          <w:pgSz w:w="11911" w:h="16838"/>
          <w:pgMar w:top="1134" w:right="1134" w:bottom="1134" w:left="1134" w:header="720" w:footer="720" w:gutter="0"/>
          <w:pgNumType w:start="1"/>
          <w:cols w:space="720" w:num="1"/>
          <w:docGrid w:linePitch="312" w:charSpace="0"/>
        </w:sectPr>
      </w:pPr>
    </w:p>
    <w:p w14:paraId="1915C634">
      <w:pPr>
        <w:pStyle w:val="3"/>
        <w:spacing w:line="400" w:lineRule="exact"/>
        <w:jc w:val="center"/>
        <w:rPr>
          <w:rFonts w:ascii="Calibri" w:hAnsi="Calibri"/>
          <w:color w:val="auto"/>
          <w:highlight w:val="none"/>
        </w:rPr>
      </w:pPr>
      <w:bookmarkStart w:id="0" w:name="_Toc15624"/>
      <w:bookmarkStart w:id="1" w:name="_Toc32264"/>
      <w:bookmarkStart w:id="2" w:name="_Toc18838"/>
      <w:bookmarkStart w:id="3" w:name="_Toc12242"/>
      <w:bookmarkStart w:id="4" w:name="_Toc80886925"/>
      <w:bookmarkStart w:id="5" w:name="_Toc11989"/>
      <w:bookmarkStart w:id="6" w:name="_Toc27000"/>
      <w:bookmarkStart w:id="7" w:name="_Toc11382"/>
      <w:r>
        <w:rPr>
          <w:rFonts w:hint="eastAsia" w:ascii="Calibri" w:hAnsi="Calibri"/>
          <w:color w:val="auto"/>
          <w:highlight w:val="none"/>
        </w:rPr>
        <w:t>第一章 竞争性磋商公告</w:t>
      </w:r>
      <w:bookmarkEnd w:id="0"/>
      <w:bookmarkEnd w:id="1"/>
      <w:bookmarkEnd w:id="2"/>
      <w:bookmarkEnd w:id="3"/>
      <w:bookmarkEnd w:id="4"/>
      <w:bookmarkEnd w:id="5"/>
      <w:bookmarkEnd w:id="6"/>
      <w:bookmarkEnd w:id="7"/>
      <w:bookmarkStart w:id="8" w:name="_Toc28359012"/>
      <w:bookmarkStart w:id="9" w:name="_Toc44229878"/>
      <w:bookmarkStart w:id="10" w:name="_Toc35393798"/>
      <w:bookmarkStart w:id="11" w:name="_Toc28359089"/>
      <w:bookmarkStart w:id="12" w:name="_Toc35393629"/>
      <w:bookmarkStart w:id="13" w:name="_Toc35393623"/>
      <w:bookmarkStart w:id="14" w:name="_Toc28359081"/>
      <w:bookmarkStart w:id="15" w:name="_Toc28359004"/>
      <w:bookmarkStart w:id="16" w:name="_Toc35393792"/>
    </w:p>
    <w:p w14:paraId="5A67FC36">
      <w:pPr>
        <w:spacing w:line="560" w:lineRule="exact"/>
        <w:jc w:val="center"/>
        <w:rPr>
          <w:rFonts w:ascii="方正小标宋简体" w:eastAsia="方正小标宋简体"/>
          <w:color w:val="auto"/>
          <w:sz w:val="40"/>
          <w:szCs w:val="44"/>
          <w:highlight w:val="none"/>
        </w:rPr>
      </w:pPr>
      <w:r>
        <w:rPr>
          <w:rFonts w:hint="eastAsia" w:ascii="方正小标宋简体" w:eastAsia="方正小标宋简体"/>
          <w:color w:val="auto"/>
          <w:sz w:val="40"/>
          <w:szCs w:val="44"/>
          <w:highlight w:val="none"/>
        </w:rPr>
        <w:t>广西农业职业技术大学西校区二期工程建设项目第二批工程跟踪审计和结算审核服务</w:t>
      </w:r>
    </w:p>
    <w:p w14:paraId="751B43B2">
      <w:pPr>
        <w:spacing w:line="560" w:lineRule="exact"/>
        <w:jc w:val="center"/>
        <w:rPr>
          <w:rFonts w:ascii="方正小标宋简体" w:eastAsia="方正小标宋简体"/>
          <w:color w:val="auto"/>
          <w:sz w:val="40"/>
          <w:szCs w:val="44"/>
          <w:highlight w:val="none"/>
        </w:rPr>
      </w:pPr>
      <w:r>
        <w:rPr>
          <w:rFonts w:hint="eastAsia" w:ascii="方正小标宋简体" w:eastAsia="方正小标宋简体"/>
          <w:color w:val="auto"/>
          <w:sz w:val="40"/>
          <w:szCs w:val="44"/>
          <w:highlight w:val="none"/>
        </w:rPr>
        <w:t>（GXZC2025-C3-003150-GXKL）</w:t>
      </w:r>
    </w:p>
    <w:p w14:paraId="19A67062">
      <w:pPr>
        <w:jc w:val="center"/>
        <w:rPr>
          <w:color w:val="auto"/>
          <w:highlight w:val="none"/>
        </w:rPr>
      </w:pPr>
      <w:r>
        <w:rPr>
          <w:rFonts w:hint="eastAsia" w:ascii="方正小标宋简体" w:eastAsia="方正小标宋简体"/>
          <w:color w:val="auto"/>
          <w:sz w:val="40"/>
          <w:szCs w:val="44"/>
          <w:highlight w:val="none"/>
        </w:rPr>
        <w:t>竞争性磋商公告</w:t>
      </w:r>
    </w:p>
    <w:p w14:paraId="5D26C8F7">
      <w:pPr>
        <w:rPr>
          <w:color w:val="auto"/>
          <w:highlight w:val="none"/>
        </w:rPr>
      </w:pP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9"/>
      </w:tblGrid>
      <w:tr w14:paraId="5506E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9" w:type="dxa"/>
            <w:noWrap w:val="0"/>
            <w:vAlign w:val="top"/>
          </w:tcPr>
          <w:p w14:paraId="5D27793A">
            <w:pPr>
              <w:spacing w:line="380" w:lineRule="exact"/>
              <w:ind w:firstLine="420" w:firstLineChars="200"/>
              <w:rPr>
                <w:color w:val="auto"/>
                <w:szCs w:val="21"/>
                <w:highlight w:val="none"/>
              </w:rPr>
            </w:pPr>
            <w:r>
              <w:rPr>
                <w:rFonts w:hint="eastAsia"/>
                <w:color w:val="auto"/>
                <w:szCs w:val="21"/>
                <w:highlight w:val="none"/>
              </w:rPr>
              <w:t>项目概况</w:t>
            </w:r>
          </w:p>
          <w:p w14:paraId="7DAE4732">
            <w:pPr>
              <w:spacing w:line="380" w:lineRule="exact"/>
              <w:ind w:firstLine="420" w:firstLineChars="200"/>
              <w:rPr>
                <w:rFonts w:ascii="黑体" w:hAnsi="黑体" w:eastAsia="黑体" w:cs="宋体"/>
                <w:bCs/>
                <w:color w:val="auto"/>
                <w:sz w:val="24"/>
                <w:highlight w:val="none"/>
              </w:rPr>
            </w:pPr>
            <w:r>
              <w:rPr>
                <w:rFonts w:hint="eastAsia" w:ascii="宋体" w:hAnsi="宋体"/>
                <w:color w:val="auto"/>
                <w:szCs w:val="21"/>
                <w:highlight w:val="none"/>
                <w:u w:val="single"/>
              </w:rPr>
              <w:t>广西农业职业技术大学西校区二期工程建设项目第二批工程跟踪审计和结算审核服务</w:t>
            </w:r>
            <w:r>
              <w:rPr>
                <w:rFonts w:hint="eastAsia"/>
                <w:color w:val="auto"/>
                <w:szCs w:val="21"/>
                <w:highlight w:val="none"/>
              </w:rPr>
              <w:t>的潜在供应商应在</w:t>
            </w:r>
            <w:r>
              <w:rPr>
                <w:rFonts w:hint="eastAsia" w:ascii="宋体" w:hAnsi="宋体" w:cs="宋体"/>
                <w:color w:val="auto"/>
                <w:szCs w:val="21"/>
                <w:highlight w:val="none"/>
              </w:rPr>
              <w:t>广西政府采购云平台（https://www.gcy.zfcg.gxzf.gov.cn/）</w:t>
            </w:r>
            <w:r>
              <w:rPr>
                <w:rFonts w:hint="eastAsia"/>
                <w:color w:val="auto"/>
                <w:szCs w:val="21"/>
                <w:highlight w:val="none"/>
              </w:rPr>
              <w:t>获取采购文件，并于2025年</w:t>
            </w:r>
            <w:r>
              <w:rPr>
                <w:rFonts w:hint="eastAsia"/>
                <w:color w:val="auto"/>
                <w:szCs w:val="21"/>
                <w:highlight w:val="none"/>
                <w:lang w:eastAsia="zh-CN"/>
              </w:rPr>
              <w:t>1</w:t>
            </w:r>
            <w:r>
              <w:rPr>
                <w:rFonts w:hint="eastAsia"/>
                <w:color w:val="auto"/>
                <w:szCs w:val="21"/>
                <w:highlight w:val="none"/>
                <w:lang w:val="en-US" w:eastAsia="zh-CN"/>
              </w:rPr>
              <w:t>1</w:t>
            </w:r>
            <w:r>
              <w:rPr>
                <w:rFonts w:hint="eastAsia"/>
                <w:color w:val="auto"/>
                <w:szCs w:val="21"/>
                <w:highlight w:val="none"/>
              </w:rPr>
              <w:t>月</w:t>
            </w:r>
            <w:r>
              <w:rPr>
                <w:rFonts w:hint="eastAsia"/>
                <w:color w:val="auto"/>
                <w:szCs w:val="21"/>
                <w:highlight w:val="none"/>
                <w:lang w:eastAsia="zh-CN"/>
              </w:rPr>
              <w:t>1</w:t>
            </w:r>
            <w:r>
              <w:rPr>
                <w:rFonts w:hint="eastAsia"/>
                <w:color w:val="auto"/>
                <w:szCs w:val="21"/>
                <w:highlight w:val="none"/>
                <w:lang w:val="en-US" w:eastAsia="zh-CN"/>
              </w:rPr>
              <w:t>0</w:t>
            </w:r>
            <w:r>
              <w:rPr>
                <w:rFonts w:hint="eastAsia"/>
                <w:color w:val="auto"/>
                <w:szCs w:val="21"/>
                <w:highlight w:val="none"/>
              </w:rPr>
              <w:t>日09:</w:t>
            </w:r>
            <w:r>
              <w:rPr>
                <w:rFonts w:hint="eastAsia"/>
                <w:color w:val="auto"/>
                <w:szCs w:val="21"/>
                <w:highlight w:val="none"/>
                <w:lang w:val="en-US" w:eastAsia="zh-CN"/>
              </w:rPr>
              <w:t>0</w:t>
            </w:r>
            <w:r>
              <w:rPr>
                <w:rFonts w:hint="eastAsia"/>
                <w:color w:val="auto"/>
                <w:szCs w:val="21"/>
                <w:highlight w:val="none"/>
              </w:rPr>
              <w:t>0（北京时间）前提交响应文件。</w:t>
            </w:r>
          </w:p>
        </w:tc>
      </w:tr>
    </w:tbl>
    <w:p w14:paraId="676933D9">
      <w:pPr>
        <w:spacing w:line="380" w:lineRule="exact"/>
        <w:ind w:firstLine="480" w:firstLineChars="200"/>
        <w:rPr>
          <w:rFonts w:ascii="黑体" w:hAnsi="黑体" w:eastAsia="黑体" w:cs="宋体"/>
          <w:bCs/>
          <w:color w:val="auto"/>
          <w:sz w:val="24"/>
          <w:highlight w:val="none"/>
        </w:rPr>
      </w:pPr>
    </w:p>
    <w:p w14:paraId="791185B9">
      <w:pPr>
        <w:spacing w:line="380" w:lineRule="exact"/>
        <w:ind w:firstLine="480" w:firstLineChars="200"/>
        <w:rPr>
          <w:rFonts w:ascii="黑体" w:hAnsi="黑体" w:eastAsia="黑体" w:cs="宋体"/>
          <w:bCs/>
          <w:color w:val="auto"/>
          <w:sz w:val="24"/>
          <w:highlight w:val="none"/>
        </w:rPr>
      </w:pPr>
    </w:p>
    <w:p w14:paraId="2D62B35A">
      <w:pPr>
        <w:spacing w:line="360" w:lineRule="auto"/>
        <w:ind w:firstLine="480" w:firstLineChars="200"/>
        <w:rPr>
          <w:rFonts w:ascii="Calibri" w:hAnsi="Calibri"/>
          <w:color w:val="auto"/>
          <w:highlight w:val="none"/>
        </w:rPr>
      </w:pPr>
      <w:r>
        <w:rPr>
          <w:rFonts w:hint="eastAsia" w:ascii="黑体" w:hAnsi="黑体" w:eastAsia="黑体" w:cs="宋体"/>
          <w:bCs/>
          <w:color w:val="auto"/>
          <w:sz w:val="24"/>
          <w:highlight w:val="none"/>
        </w:rPr>
        <w:t>一、项目基本情况</w:t>
      </w:r>
      <w:bookmarkEnd w:id="8"/>
      <w:bookmarkEnd w:id="9"/>
      <w:bookmarkEnd w:id="10"/>
      <w:bookmarkEnd w:id="11"/>
      <w:bookmarkEnd w:id="12"/>
    </w:p>
    <w:p w14:paraId="4A16E3AF">
      <w:pPr>
        <w:spacing w:line="360" w:lineRule="auto"/>
        <w:ind w:firstLine="420" w:firstLineChars="200"/>
        <w:rPr>
          <w:rFonts w:hint="eastAsia" w:eastAsia="宋体"/>
          <w:color w:val="auto"/>
          <w:szCs w:val="21"/>
          <w:highlight w:val="none"/>
          <w:lang w:eastAsia="zh-CN"/>
        </w:rPr>
      </w:pPr>
      <w:r>
        <w:rPr>
          <w:rFonts w:hint="eastAsia"/>
          <w:color w:val="auto"/>
          <w:szCs w:val="21"/>
          <w:highlight w:val="none"/>
        </w:rPr>
        <w:t>项目编号：</w:t>
      </w:r>
      <w:r>
        <w:rPr>
          <w:rFonts w:hint="eastAsia"/>
          <w:color w:val="auto"/>
          <w:szCs w:val="21"/>
          <w:highlight w:val="none"/>
          <w:lang w:eastAsia="zh-CN"/>
        </w:rPr>
        <w:t>GXZC2025-C3-003150-GXKL</w:t>
      </w:r>
    </w:p>
    <w:p w14:paraId="62E89634">
      <w:pPr>
        <w:spacing w:line="360" w:lineRule="auto"/>
        <w:ind w:firstLine="420" w:firstLineChars="200"/>
        <w:rPr>
          <w:color w:val="auto"/>
          <w:szCs w:val="21"/>
          <w:highlight w:val="none"/>
        </w:rPr>
      </w:pPr>
      <w:r>
        <w:rPr>
          <w:rFonts w:hint="eastAsia"/>
          <w:color w:val="auto"/>
          <w:szCs w:val="21"/>
          <w:highlight w:val="none"/>
        </w:rPr>
        <w:t>项目名称：广西农业职业技术大学西校区二期工程建设项目第二批工程跟踪审计和结算审核服务</w:t>
      </w:r>
    </w:p>
    <w:p w14:paraId="2E14EAF6">
      <w:pPr>
        <w:spacing w:line="360" w:lineRule="auto"/>
        <w:ind w:firstLine="420" w:firstLineChars="200"/>
        <w:rPr>
          <w:color w:val="auto"/>
          <w:szCs w:val="21"/>
          <w:highlight w:val="none"/>
        </w:rPr>
      </w:pPr>
      <w:r>
        <w:rPr>
          <w:rFonts w:hint="eastAsia"/>
          <w:color w:val="auto"/>
          <w:szCs w:val="21"/>
          <w:highlight w:val="none"/>
        </w:rPr>
        <w:t>采购方式：</w:t>
      </w:r>
      <w:r>
        <w:rPr>
          <w:rFonts w:hint="eastAsia" w:ascii="宋体" w:hAnsi="宋体"/>
          <w:color w:val="auto"/>
          <w:szCs w:val="21"/>
          <w:highlight w:val="none"/>
        </w:rPr>
        <w:t>□ 竞争性谈判 ☑竞争性磋商 □询价</w:t>
      </w:r>
    </w:p>
    <w:p w14:paraId="7CAF95B0">
      <w:pPr>
        <w:spacing w:line="360" w:lineRule="auto"/>
        <w:ind w:firstLine="420" w:firstLineChars="200"/>
        <w:rPr>
          <w:color w:val="auto"/>
          <w:szCs w:val="21"/>
          <w:highlight w:val="none"/>
        </w:rPr>
      </w:pPr>
      <w:r>
        <w:rPr>
          <w:rFonts w:hint="eastAsia"/>
          <w:color w:val="auto"/>
          <w:szCs w:val="21"/>
          <w:highlight w:val="none"/>
        </w:rPr>
        <w:t>预算总金额（元）：</w:t>
      </w:r>
      <w:r>
        <w:rPr>
          <w:rFonts w:hint="eastAsia" w:ascii="宋体" w:hAnsi="宋体"/>
          <w:color w:val="auto"/>
          <w:szCs w:val="21"/>
          <w:highlight w:val="none"/>
          <w:u w:val="single"/>
        </w:rPr>
        <w:t>1559375.00</w:t>
      </w:r>
    </w:p>
    <w:p w14:paraId="22E656F5">
      <w:pPr>
        <w:spacing w:line="360" w:lineRule="auto"/>
        <w:ind w:firstLine="420" w:firstLineChars="200"/>
        <w:rPr>
          <w:color w:val="auto"/>
          <w:szCs w:val="21"/>
          <w:highlight w:val="none"/>
        </w:rPr>
      </w:pPr>
      <w:r>
        <w:rPr>
          <w:rFonts w:hint="eastAsia"/>
          <w:color w:val="auto"/>
          <w:szCs w:val="21"/>
          <w:highlight w:val="none"/>
        </w:rPr>
        <w:t>最高限价（元）：</w:t>
      </w:r>
      <w:r>
        <w:rPr>
          <w:rFonts w:hint="eastAsia" w:ascii="宋体" w:hAnsi="宋体"/>
          <w:color w:val="auto"/>
          <w:szCs w:val="21"/>
          <w:highlight w:val="none"/>
          <w:u w:val="single"/>
        </w:rPr>
        <w:t>1559375.00</w:t>
      </w:r>
    </w:p>
    <w:p w14:paraId="2520473B">
      <w:pPr>
        <w:spacing w:line="360" w:lineRule="auto"/>
        <w:ind w:firstLine="420" w:firstLineChars="200"/>
        <w:rPr>
          <w:rFonts w:ascii="宋体" w:hAnsi="宋体"/>
          <w:color w:val="auto"/>
          <w:szCs w:val="21"/>
          <w:highlight w:val="none"/>
        </w:rPr>
      </w:pPr>
      <w:r>
        <w:rPr>
          <w:rFonts w:hint="eastAsia"/>
          <w:color w:val="auto"/>
          <w:szCs w:val="21"/>
          <w:highlight w:val="none"/>
        </w:rPr>
        <w:t>采购需求：</w:t>
      </w:r>
    </w:p>
    <w:p w14:paraId="1B19269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标项（分标）1</w:t>
      </w:r>
    </w:p>
    <w:p w14:paraId="60DF9A3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1.标项名称：</w:t>
      </w:r>
      <w:r>
        <w:rPr>
          <w:rFonts w:hint="eastAsia" w:ascii="宋体" w:hAnsi="宋体"/>
          <w:bCs/>
          <w:color w:val="auto"/>
          <w:szCs w:val="21"/>
          <w:highlight w:val="none"/>
          <w:shd w:val="clear" w:color="auto" w:fill="FFFFFF"/>
        </w:rPr>
        <w:t>食堂及创新中心实训综合楼、10#学生宿舍楼、11#学生宿舍楼跟踪审计和结算审核服务</w:t>
      </w:r>
      <w:r>
        <w:rPr>
          <w:rFonts w:hint="eastAsia" w:ascii="宋体" w:hAnsi="宋体" w:cs="宋体"/>
          <w:color w:val="auto"/>
          <w:szCs w:val="21"/>
          <w:highlight w:val="none"/>
        </w:rPr>
        <w:t> </w:t>
      </w:r>
    </w:p>
    <w:p w14:paraId="2148C7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2.数量：1 </w:t>
      </w:r>
    </w:p>
    <w:p w14:paraId="1E51F4A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3.预算金额（元）：1029825.00 </w:t>
      </w:r>
    </w:p>
    <w:p w14:paraId="27FF5A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4.最高限价（元）：</w:t>
      </w:r>
      <w:r>
        <w:rPr>
          <w:rFonts w:ascii="宋体" w:hAnsi="宋体" w:cs="宋体"/>
          <w:color w:val="auto"/>
          <w:szCs w:val="21"/>
          <w:highlight w:val="none"/>
        </w:rPr>
        <w:t>1029825.00</w:t>
      </w:r>
    </w:p>
    <w:p w14:paraId="7DC809D3">
      <w:pPr>
        <w:spacing w:line="360" w:lineRule="auto"/>
        <w:ind w:firstLine="420" w:firstLineChars="200"/>
        <w:rPr>
          <w:rFonts w:ascii="宋体" w:hAnsi="宋体" w:cs="宋体"/>
          <w:color w:val="auto"/>
          <w:kern w:val="0"/>
          <w:sz w:val="22"/>
          <w:szCs w:val="22"/>
          <w:highlight w:val="none"/>
        </w:rPr>
      </w:pPr>
      <w:r>
        <w:rPr>
          <w:rFonts w:hint="eastAsia" w:ascii="宋体" w:hAnsi="宋体" w:cs="宋体"/>
          <w:color w:val="auto"/>
          <w:szCs w:val="21"/>
          <w:highlight w:val="none"/>
        </w:rPr>
        <w:t>5.采购需求：</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2138"/>
        <w:gridCol w:w="667"/>
        <w:gridCol w:w="675"/>
        <w:gridCol w:w="1110"/>
        <w:gridCol w:w="4613"/>
      </w:tblGrid>
      <w:tr w14:paraId="0157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noWrap w:val="0"/>
            <w:vAlign w:val="center"/>
          </w:tcPr>
          <w:p w14:paraId="6FA1CC32">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138" w:type="dxa"/>
            <w:noWrap w:val="0"/>
            <w:vAlign w:val="center"/>
          </w:tcPr>
          <w:p w14:paraId="2913FCB7">
            <w:pPr>
              <w:spacing w:line="360" w:lineRule="exact"/>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667" w:type="dxa"/>
            <w:noWrap w:val="0"/>
            <w:vAlign w:val="center"/>
          </w:tcPr>
          <w:p w14:paraId="713239D3">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675" w:type="dxa"/>
            <w:noWrap w:val="0"/>
            <w:vAlign w:val="center"/>
          </w:tcPr>
          <w:p w14:paraId="51EC27C4">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110" w:type="dxa"/>
            <w:noWrap w:val="0"/>
            <w:vAlign w:val="center"/>
          </w:tcPr>
          <w:p w14:paraId="55DD11EF">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简要描述</w:t>
            </w:r>
          </w:p>
        </w:tc>
        <w:tc>
          <w:tcPr>
            <w:tcW w:w="4613" w:type="dxa"/>
            <w:noWrap w:val="0"/>
            <w:vAlign w:val="center"/>
          </w:tcPr>
          <w:p w14:paraId="6E5DEAD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服务期限</w:t>
            </w:r>
          </w:p>
        </w:tc>
      </w:tr>
      <w:tr w14:paraId="3D2C4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6" w:type="dxa"/>
            <w:noWrap w:val="0"/>
            <w:vAlign w:val="center"/>
          </w:tcPr>
          <w:p w14:paraId="621FA138">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8" w:type="dxa"/>
            <w:noWrap w:val="0"/>
            <w:vAlign w:val="center"/>
          </w:tcPr>
          <w:p w14:paraId="32B1C683">
            <w:pPr>
              <w:spacing w:line="360" w:lineRule="exact"/>
              <w:rPr>
                <w:rFonts w:ascii="宋体" w:hAnsi="宋体" w:cs="宋体"/>
                <w:color w:val="auto"/>
                <w:szCs w:val="21"/>
                <w:highlight w:val="none"/>
              </w:rPr>
            </w:pPr>
            <w:r>
              <w:rPr>
                <w:rFonts w:hint="eastAsia" w:ascii="宋体" w:hAnsi="宋体" w:cs="宋体"/>
                <w:color w:val="auto"/>
                <w:kern w:val="0"/>
                <w:highlight w:val="none"/>
              </w:rPr>
              <w:t>广西农业职业技术大学西校区二期工程建设项目第二批工程-食堂及创新中心实训综合楼、10#学生宿舍楼、11#学生宿舍楼</w:t>
            </w:r>
            <w:r>
              <w:rPr>
                <w:rFonts w:ascii="宋体" w:hAnsi="宋体" w:cs="宋体"/>
                <w:color w:val="auto"/>
                <w:kern w:val="0"/>
                <w:highlight w:val="none"/>
              </w:rPr>
              <w:t>跟踪审计</w:t>
            </w:r>
          </w:p>
        </w:tc>
        <w:tc>
          <w:tcPr>
            <w:tcW w:w="667" w:type="dxa"/>
            <w:noWrap w:val="0"/>
            <w:vAlign w:val="center"/>
          </w:tcPr>
          <w:p w14:paraId="7CA1E619">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75" w:type="dxa"/>
            <w:noWrap w:val="0"/>
            <w:vAlign w:val="center"/>
          </w:tcPr>
          <w:p w14:paraId="595869F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w:t>
            </w:r>
          </w:p>
        </w:tc>
        <w:tc>
          <w:tcPr>
            <w:tcW w:w="1110" w:type="dxa"/>
            <w:noWrap w:val="0"/>
            <w:vAlign w:val="center"/>
          </w:tcPr>
          <w:p w14:paraId="055334F6">
            <w:pPr>
              <w:spacing w:line="360" w:lineRule="exact"/>
              <w:rPr>
                <w:rFonts w:ascii="宋体" w:hAnsi="宋体" w:cs="宋体"/>
                <w:color w:val="auto"/>
                <w:szCs w:val="21"/>
                <w:highlight w:val="none"/>
              </w:rPr>
            </w:pPr>
            <w:r>
              <w:rPr>
                <w:rFonts w:hint="eastAsia" w:ascii="宋体" w:hAnsi="宋体" w:cs="宋体"/>
                <w:color w:val="auto"/>
                <w:szCs w:val="21"/>
                <w:highlight w:val="none"/>
              </w:rPr>
              <w:t>跟踪审计服务，具体详见采购需求</w:t>
            </w:r>
          </w:p>
        </w:tc>
        <w:tc>
          <w:tcPr>
            <w:tcW w:w="4613" w:type="dxa"/>
            <w:noWrap w:val="0"/>
            <w:vAlign w:val="center"/>
          </w:tcPr>
          <w:p w14:paraId="75D8B1B2">
            <w:pPr>
              <w:spacing w:line="360" w:lineRule="exact"/>
              <w:rPr>
                <w:rFonts w:ascii="宋体" w:hAnsi="宋体" w:cs="宋体"/>
                <w:color w:val="auto"/>
                <w:szCs w:val="21"/>
                <w:highlight w:val="none"/>
              </w:rPr>
            </w:pPr>
            <w:r>
              <w:rPr>
                <w:rFonts w:hint="eastAsia" w:ascii="宋体" w:hAnsi="宋体" w:cs="宋体"/>
                <w:color w:val="auto"/>
                <w:kern w:val="0"/>
                <w:highlight w:val="none"/>
              </w:rPr>
              <w:t>自合同签订之日起</w:t>
            </w:r>
            <w:r>
              <w:rPr>
                <w:rFonts w:ascii="宋体" w:hAnsi="宋体" w:cs="宋体"/>
                <w:color w:val="auto"/>
                <w:kern w:val="0"/>
                <w:highlight w:val="none"/>
              </w:rPr>
              <w:t>至</w:t>
            </w:r>
            <w:r>
              <w:rPr>
                <w:rFonts w:hint="eastAsia" w:ascii="宋体" w:hAnsi="宋体" w:cs="宋体"/>
                <w:color w:val="auto"/>
                <w:kern w:val="0"/>
                <w:highlight w:val="none"/>
              </w:rPr>
              <w:t>工程</w:t>
            </w:r>
            <w:r>
              <w:rPr>
                <w:rFonts w:ascii="宋体" w:hAnsi="宋体" w:cs="宋体"/>
                <w:color w:val="auto"/>
                <w:kern w:val="0"/>
                <w:highlight w:val="none"/>
              </w:rPr>
              <w:t>项目竣工</w:t>
            </w:r>
            <w:r>
              <w:rPr>
                <w:rFonts w:hint="eastAsia" w:ascii="宋体" w:hAnsi="宋体" w:cs="宋体"/>
                <w:color w:val="auto"/>
                <w:kern w:val="0"/>
                <w:highlight w:val="none"/>
              </w:rPr>
              <w:t>且成交供应商</w:t>
            </w:r>
            <w:r>
              <w:rPr>
                <w:rFonts w:ascii="宋体" w:hAnsi="宋体" w:cs="宋体"/>
                <w:color w:val="auto"/>
                <w:kern w:val="0"/>
                <w:highlight w:val="none"/>
              </w:rPr>
              <w:t>完成</w:t>
            </w:r>
            <w:r>
              <w:rPr>
                <w:rFonts w:hint="eastAsia" w:ascii="宋体" w:hAnsi="宋体" w:cs="宋体"/>
                <w:color w:val="auto"/>
                <w:kern w:val="0"/>
                <w:highlight w:val="none"/>
              </w:rPr>
              <w:t>进度款审核、工程变更价款审核、工程索赔审核、现场签证审核、材料设备询价与核价等全部</w:t>
            </w:r>
            <w:r>
              <w:rPr>
                <w:rFonts w:ascii="宋体" w:hAnsi="宋体" w:cs="宋体"/>
                <w:color w:val="auto"/>
                <w:kern w:val="0"/>
                <w:highlight w:val="none"/>
              </w:rPr>
              <w:t>跟踪审计</w:t>
            </w:r>
            <w:r>
              <w:rPr>
                <w:rFonts w:hint="eastAsia" w:ascii="宋体" w:hAnsi="宋体" w:cs="宋体"/>
                <w:color w:val="auto"/>
                <w:kern w:val="0"/>
                <w:highlight w:val="none"/>
              </w:rPr>
              <w:t>工作并</w:t>
            </w:r>
            <w:r>
              <w:rPr>
                <w:rFonts w:ascii="宋体" w:hAnsi="宋体" w:cs="宋体"/>
                <w:color w:val="auto"/>
                <w:kern w:val="0"/>
                <w:highlight w:val="none"/>
              </w:rPr>
              <w:t>出具</w:t>
            </w:r>
            <w:r>
              <w:rPr>
                <w:rFonts w:ascii="宋体" w:hAnsi="宋体" w:cs="宋体"/>
                <w:color w:val="auto"/>
                <w:highlight w:val="none"/>
              </w:rPr>
              <w:t>正式的</w:t>
            </w:r>
            <w:r>
              <w:rPr>
                <w:rFonts w:hint="eastAsia" w:ascii="宋体" w:hAnsi="宋体"/>
                <w:color w:val="auto"/>
                <w:highlight w:val="none"/>
              </w:rPr>
              <w:t>广西农业职业技术大学西校区二期工程建设项目第二批工程-食堂及创新中心实训综合楼、10#学生宿舍楼、11#学生宿舍楼跟踪审计报告（附</w:t>
            </w:r>
            <w:r>
              <w:rPr>
                <w:rFonts w:ascii="宋体" w:hAnsi="宋体"/>
                <w:color w:val="auto"/>
                <w:highlight w:val="none"/>
              </w:rPr>
              <w:t>跟踪审计日志</w:t>
            </w:r>
            <w:r>
              <w:rPr>
                <w:rFonts w:hint="eastAsia" w:ascii="宋体" w:hAnsi="宋体"/>
                <w:color w:val="auto"/>
                <w:highlight w:val="none"/>
              </w:rPr>
              <w:t>）</w:t>
            </w:r>
            <w:r>
              <w:rPr>
                <w:rFonts w:hint="eastAsia" w:ascii="宋体" w:hAnsi="宋体" w:cs="宋体"/>
                <w:color w:val="auto"/>
                <w:kern w:val="0"/>
                <w:highlight w:val="none"/>
              </w:rPr>
              <w:t>之日</w:t>
            </w:r>
            <w:r>
              <w:rPr>
                <w:rFonts w:ascii="宋体" w:hAnsi="宋体" w:cs="宋体"/>
                <w:color w:val="auto"/>
                <w:kern w:val="0"/>
                <w:highlight w:val="none"/>
              </w:rPr>
              <w:t>止</w:t>
            </w:r>
            <w:r>
              <w:rPr>
                <w:rFonts w:hint="eastAsia" w:ascii="宋体" w:hAnsi="宋体" w:cs="宋体"/>
                <w:color w:val="auto"/>
                <w:kern w:val="0"/>
                <w:highlight w:val="none"/>
              </w:rPr>
              <w:t>。</w:t>
            </w:r>
          </w:p>
        </w:tc>
      </w:tr>
      <w:tr w14:paraId="416FF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noWrap w:val="0"/>
            <w:vAlign w:val="center"/>
          </w:tcPr>
          <w:p w14:paraId="1CF138D3">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8" w:type="dxa"/>
            <w:noWrap w:val="0"/>
            <w:vAlign w:val="center"/>
          </w:tcPr>
          <w:p w14:paraId="3C75696A">
            <w:pPr>
              <w:spacing w:line="360" w:lineRule="exact"/>
              <w:rPr>
                <w:rFonts w:ascii="宋体" w:hAnsi="宋体" w:cs="宋体"/>
                <w:color w:val="auto"/>
                <w:szCs w:val="21"/>
                <w:highlight w:val="none"/>
              </w:rPr>
            </w:pPr>
            <w:r>
              <w:rPr>
                <w:rFonts w:hint="eastAsia" w:ascii="宋体" w:hAnsi="宋体" w:cs="宋体"/>
                <w:color w:val="auto"/>
                <w:kern w:val="0"/>
                <w:highlight w:val="none"/>
              </w:rPr>
              <w:t>广西农业职业技术大学西校区二期工程建设项目第二批工程-食堂及创新中心实训综合楼、10#学生宿舍楼、11#学生宿舍楼结算审核</w:t>
            </w:r>
          </w:p>
        </w:tc>
        <w:tc>
          <w:tcPr>
            <w:tcW w:w="667" w:type="dxa"/>
            <w:noWrap w:val="0"/>
            <w:vAlign w:val="center"/>
          </w:tcPr>
          <w:p w14:paraId="7391F616">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75" w:type="dxa"/>
            <w:noWrap w:val="0"/>
            <w:vAlign w:val="center"/>
          </w:tcPr>
          <w:p w14:paraId="3CB0C48D">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w:t>
            </w:r>
          </w:p>
        </w:tc>
        <w:tc>
          <w:tcPr>
            <w:tcW w:w="1110" w:type="dxa"/>
            <w:noWrap w:val="0"/>
            <w:vAlign w:val="center"/>
          </w:tcPr>
          <w:p w14:paraId="30CB8EF3">
            <w:pPr>
              <w:spacing w:line="360" w:lineRule="exact"/>
              <w:rPr>
                <w:rFonts w:ascii="宋体" w:hAnsi="宋体" w:cs="宋体"/>
                <w:color w:val="auto"/>
                <w:szCs w:val="21"/>
                <w:highlight w:val="none"/>
              </w:rPr>
            </w:pPr>
            <w:r>
              <w:rPr>
                <w:rFonts w:hint="eastAsia" w:ascii="宋体" w:hAnsi="宋体" w:cs="宋体"/>
                <w:color w:val="auto"/>
                <w:szCs w:val="21"/>
                <w:highlight w:val="none"/>
              </w:rPr>
              <w:t>结算审核服务，具体详见采购需求</w:t>
            </w:r>
          </w:p>
        </w:tc>
        <w:tc>
          <w:tcPr>
            <w:tcW w:w="4613" w:type="dxa"/>
            <w:noWrap w:val="0"/>
            <w:vAlign w:val="center"/>
          </w:tcPr>
          <w:p w14:paraId="7F343992">
            <w:pPr>
              <w:spacing w:line="360" w:lineRule="exact"/>
              <w:rPr>
                <w:rFonts w:ascii="宋体" w:hAnsi="宋体" w:cs="宋体"/>
                <w:color w:val="auto"/>
                <w:szCs w:val="21"/>
                <w:highlight w:val="none"/>
              </w:rPr>
            </w:pPr>
            <w:r>
              <w:rPr>
                <w:rFonts w:hint="eastAsia" w:ascii="宋体" w:hAnsi="宋体" w:cs="宋体"/>
                <w:color w:val="auto"/>
                <w:kern w:val="0"/>
                <w:highlight w:val="none"/>
              </w:rPr>
              <w:t>签订合同后，自收到结算</w:t>
            </w:r>
            <w:r>
              <w:rPr>
                <w:rFonts w:ascii="宋体" w:hAnsi="宋体" w:cs="宋体"/>
                <w:color w:val="auto"/>
                <w:kern w:val="0"/>
                <w:highlight w:val="none"/>
              </w:rPr>
              <w:t>送审材料</w:t>
            </w:r>
            <w:r>
              <w:rPr>
                <w:rFonts w:hint="eastAsia" w:ascii="宋体" w:hAnsi="宋体" w:cs="宋体"/>
                <w:color w:val="auto"/>
                <w:kern w:val="0"/>
                <w:highlight w:val="none"/>
              </w:rPr>
              <w:t>之日起至成交供应商</w:t>
            </w:r>
            <w:r>
              <w:rPr>
                <w:rFonts w:hint="eastAsia" w:ascii="宋体" w:hAnsi="宋体" w:cs="宋体"/>
                <w:color w:val="auto"/>
                <w:highlight w:val="none"/>
              </w:rPr>
              <w:t>出具</w:t>
            </w:r>
            <w:r>
              <w:rPr>
                <w:rFonts w:ascii="宋体" w:hAnsi="宋体" w:cs="宋体"/>
                <w:color w:val="auto"/>
                <w:highlight w:val="none"/>
              </w:rPr>
              <w:t>正式的</w:t>
            </w:r>
            <w:r>
              <w:rPr>
                <w:rFonts w:hint="eastAsia" w:ascii="宋体" w:hAnsi="宋体"/>
                <w:color w:val="auto"/>
                <w:highlight w:val="none"/>
              </w:rPr>
              <w:t>广西农业职业技术大学西校区二期工程建设项目第二批工程-食堂及创新中心实训综合楼、10#学生宿舍楼、11#学生宿舍楼结算审核</w:t>
            </w:r>
            <w:r>
              <w:rPr>
                <w:rFonts w:ascii="宋体" w:hAnsi="宋体" w:cs="宋体"/>
                <w:color w:val="auto"/>
                <w:highlight w:val="none"/>
              </w:rPr>
              <w:t>报告之日止</w:t>
            </w:r>
            <w:r>
              <w:rPr>
                <w:rFonts w:hint="eastAsia" w:ascii="宋体" w:hAnsi="宋体" w:cs="宋体"/>
                <w:color w:val="auto"/>
                <w:kern w:val="0"/>
                <w:highlight w:val="none"/>
              </w:rPr>
              <w:t>。</w:t>
            </w:r>
          </w:p>
        </w:tc>
      </w:tr>
    </w:tbl>
    <w:p w14:paraId="62F36301">
      <w:pPr>
        <w:spacing w:line="360" w:lineRule="auto"/>
        <w:ind w:firstLine="630" w:firstLineChars="300"/>
        <w:rPr>
          <w:color w:val="auto"/>
          <w:szCs w:val="21"/>
          <w:highlight w:val="none"/>
        </w:rPr>
      </w:pPr>
      <w:r>
        <w:rPr>
          <w:rFonts w:hint="eastAsia" w:ascii="宋体" w:hAnsi="宋体"/>
          <w:color w:val="auto"/>
          <w:szCs w:val="21"/>
          <w:highlight w:val="none"/>
        </w:rPr>
        <w:t>6.本项目（</w:t>
      </w:r>
      <w:r>
        <w:rPr>
          <w:rFonts w:hint="eastAsia" w:ascii="宋体" w:hAnsi="宋体"/>
          <w:i/>
          <w:iCs/>
          <w:color w:val="auto"/>
          <w:szCs w:val="21"/>
          <w:highlight w:val="none"/>
        </w:rPr>
        <w:t>是</w:t>
      </w:r>
      <w:r>
        <w:rPr>
          <w:rFonts w:ascii="宋体" w:hAnsi="宋体"/>
          <w:i/>
          <w:iCs/>
          <w:color w:val="auto"/>
          <w:szCs w:val="21"/>
          <w:highlight w:val="none"/>
        </w:rPr>
        <w:t>/否</w:t>
      </w:r>
      <w:r>
        <w:rPr>
          <w:rFonts w:hint="eastAsia" w:ascii="宋体" w:hAnsi="宋体"/>
          <w:color w:val="auto"/>
          <w:szCs w:val="21"/>
          <w:highlight w:val="none"/>
        </w:rPr>
        <w:t>）接受联合体</w:t>
      </w:r>
      <w:r>
        <w:rPr>
          <w:rFonts w:hint="eastAsia"/>
          <w:color w:val="auto"/>
          <w:szCs w:val="21"/>
          <w:highlight w:val="none"/>
        </w:rPr>
        <w:t>：</w:t>
      </w:r>
      <w:r>
        <w:rPr>
          <w:rFonts w:hint="eastAsia" w:ascii="宋体" w:hAnsi="宋体"/>
          <w:color w:val="auto"/>
          <w:szCs w:val="21"/>
          <w:highlight w:val="none"/>
        </w:rPr>
        <w:t>□是/</w:t>
      </w:r>
      <w:r>
        <w:rPr>
          <w:rFonts w:hint="eastAsia" w:ascii="宋体" w:hAnsi="宋体"/>
          <w:color w:val="auto"/>
          <w:szCs w:val="21"/>
          <w:highlight w:val="none"/>
        </w:rPr>
        <w:sym w:font="Wingdings 2" w:char="0052"/>
      </w:r>
      <w:r>
        <w:rPr>
          <w:rFonts w:hint="eastAsia" w:ascii="宋体" w:hAnsi="宋体"/>
          <w:color w:val="auto"/>
          <w:szCs w:val="21"/>
          <w:highlight w:val="none"/>
        </w:rPr>
        <w:t>否</w:t>
      </w:r>
      <w:r>
        <w:rPr>
          <w:rFonts w:hint="eastAsia"/>
          <w:color w:val="auto"/>
          <w:szCs w:val="21"/>
          <w:highlight w:val="none"/>
        </w:rPr>
        <w:t>。</w:t>
      </w:r>
    </w:p>
    <w:p w14:paraId="36DABD69">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7.备注：本分标限定报价范围，跟踪审计费不高于14000元/月，结算审核费价格优惠率不低于25%</w:t>
      </w:r>
    </w:p>
    <w:p w14:paraId="6689CEF1">
      <w:pPr>
        <w:spacing w:line="360" w:lineRule="auto"/>
        <w:ind w:firstLine="630" w:firstLineChars="300"/>
        <w:rPr>
          <w:rFonts w:hint="eastAsia" w:ascii="宋体" w:hAnsi="宋体" w:cs="宋体"/>
          <w:color w:val="auto"/>
          <w:szCs w:val="21"/>
          <w:highlight w:val="none"/>
        </w:rPr>
      </w:pPr>
    </w:p>
    <w:p w14:paraId="59C0BD2B">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标项（分标）2</w:t>
      </w:r>
    </w:p>
    <w:p w14:paraId="04E65551">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1.标项名称：</w:t>
      </w:r>
      <w:r>
        <w:rPr>
          <w:rFonts w:hint="eastAsia" w:ascii="宋体" w:hAnsi="宋体"/>
          <w:bCs/>
          <w:color w:val="auto"/>
          <w:szCs w:val="21"/>
          <w:highlight w:val="none"/>
          <w:shd w:val="clear" w:color="auto" w:fill="FFFFFF"/>
        </w:rPr>
        <w:t>室内体育馆跟踪审计和结算审核服务</w:t>
      </w:r>
      <w:r>
        <w:rPr>
          <w:rFonts w:hint="eastAsia" w:ascii="宋体" w:hAnsi="宋体" w:cs="宋体"/>
          <w:color w:val="auto"/>
          <w:szCs w:val="21"/>
          <w:highlight w:val="none"/>
        </w:rPr>
        <w:t> </w:t>
      </w:r>
    </w:p>
    <w:p w14:paraId="348311D9">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2.数量：1 </w:t>
      </w:r>
    </w:p>
    <w:p w14:paraId="3B3D4BD1">
      <w:pPr>
        <w:spacing w:line="360" w:lineRule="auto"/>
        <w:ind w:firstLine="630" w:firstLineChars="300"/>
        <w:rPr>
          <w:rFonts w:ascii="宋体" w:hAnsi="宋体" w:cs="宋体"/>
          <w:color w:val="auto"/>
          <w:szCs w:val="21"/>
          <w:highlight w:val="none"/>
        </w:rPr>
      </w:pPr>
      <w:r>
        <w:rPr>
          <w:rFonts w:hint="eastAsia" w:ascii="宋体" w:hAnsi="宋体" w:cs="宋体"/>
          <w:color w:val="auto"/>
          <w:szCs w:val="21"/>
          <w:highlight w:val="none"/>
        </w:rPr>
        <w:t>3.预算金额（元）：529550.00 </w:t>
      </w:r>
    </w:p>
    <w:p w14:paraId="60BC611F">
      <w:pPr>
        <w:spacing w:line="360" w:lineRule="auto"/>
        <w:ind w:firstLine="630" w:firstLineChars="300"/>
        <w:rPr>
          <w:rFonts w:hint="eastAsia" w:ascii="宋体" w:hAnsi="宋体" w:cs="宋体"/>
          <w:color w:val="auto"/>
          <w:szCs w:val="21"/>
          <w:highlight w:val="none"/>
        </w:rPr>
      </w:pPr>
      <w:r>
        <w:rPr>
          <w:rFonts w:hint="eastAsia" w:ascii="宋体" w:hAnsi="宋体" w:cs="宋体"/>
          <w:color w:val="auto"/>
          <w:szCs w:val="21"/>
          <w:highlight w:val="none"/>
        </w:rPr>
        <w:t>4.最高限价（元）：</w:t>
      </w:r>
      <w:r>
        <w:rPr>
          <w:rFonts w:ascii="宋体" w:hAnsi="宋体" w:cs="宋体"/>
          <w:color w:val="auto"/>
          <w:szCs w:val="21"/>
          <w:highlight w:val="none"/>
        </w:rPr>
        <w:t>529550.00</w:t>
      </w:r>
    </w:p>
    <w:p w14:paraId="74D84C33">
      <w:pPr>
        <w:spacing w:line="360" w:lineRule="auto"/>
        <w:ind w:firstLine="630" w:firstLineChars="300"/>
        <w:rPr>
          <w:rFonts w:ascii="宋体" w:hAnsi="宋体" w:cs="宋体"/>
          <w:color w:val="auto"/>
          <w:kern w:val="0"/>
          <w:sz w:val="22"/>
          <w:szCs w:val="22"/>
          <w:highlight w:val="none"/>
        </w:rPr>
      </w:pPr>
      <w:r>
        <w:rPr>
          <w:rFonts w:hint="eastAsia" w:ascii="宋体" w:hAnsi="宋体" w:cs="宋体"/>
          <w:color w:val="auto"/>
          <w:szCs w:val="21"/>
          <w:highlight w:val="none"/>
        </w:rPr>
        <w:t>5.采购需求：</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2138"/>
        <w:gridCol w:w="667"/>
        <w:gridCol w:w="675"/>
        <w:gridCol w:w="1110"/>
        <w:gridCol w:w="4613"/>
      </w:tblGrid>
      <w:tr w14:paraId="3FFD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noWrap w:val="0"/>
            <w:vAlign w:val="center"/>
          </w:tcPr>
          <w:p w14:paraId="3F300BFA">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138" w:type="dxa"/>
            <w:noWrap w:val="0"/>
            <w:vAlign w:val="center"/>
          </w:tcPr>
          <w:p w14:paraId="52A3CA49">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标的名称</w:t>
            </w:r>
          </w:p>
        </w:tc>
        <w:tc>
          <w:tcPr>
            <w:tcW w:w="667" w:type="dxa"/>
            <w:noWrap w:val="0"/>
            <w:vAlign w:val="center"/>
          </w:tcPr>
          <w:p w14:paraId="5E34AC1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675" w:type="dxa"/>
            <w:noWrap w:val="0"/>
            <w:vAlign w:val="center"/>
          </w:tcPr>
          <w:p w14:paraId="6DD25D63">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1110" w:type="dxa"/>
            <w:noWrap w:val="0"/>
            <w:vAlign w:val="center"/>
          </w:tcPr>
          <w:p w14:paraId="7885527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简要描述</w:t>
            </w:r>
          </w:p>
        </w:tc>
        <w:tc>
          <w:tcPr>
            <w:tcW w:w="4613" w:type="dxa"/>
            <w:noWrap w:val="0"/>
            <w:vAlign w:val="center"/>
          </w:tcPr>
          <w:p w14:paraId="7F4FBB97">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服务期限</w:t>
            </w:r>
          </w:p>
        </w:tc>
      </w:tr>
      <w:tr w14:paraId="3556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noWrap w:val="0"/>
            <w:vAlign w:val="center"/>
          </w:tcPr>
          <w:p w14:paraId="2E457F8C">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138" w:type="dxa"/>
            <w:noWrap w:val="0"/>
            <w:vAlign w:val="center"/>
          </w:tcPr>
          <w:p w14:paraId="077948CD">
            <w:pPr>
              <w:spacing w:line="360" w:lineRule="exact"/>
              <w:rPr>
                <w:rFonts w:ascii="宋体" w:hAnsi="宋体" w:cs="宋体"/>
                <w:color w:val="auto"/>
                <w:szCs w:val="21"/>
                <w:highlight w:val="none"/>
              </w:rPr>
            </w:pPr>
            <w:r>
              <w:rPr>
                <w:rFonts w:hint="eastAsia" w:ascii="宋体" w:hAnsi="宋体" w:cs="宋体"/>
                <w:color w:val="auto"/>
                <w:kern w:val="0"/>
                <w:highlight w:val="none"/>
              </w:rPr>
              <w:t>广西农业职业技术大学西校区二期工程建设项目第二批工程-室内体育馆跟踪审计</w:t>
            </w:r>
          </w:p>
        </w:tc>
        <w:tc>
          <w:tcPr>
            <w:tcW w:w="667" w:type="dxa"/>
            <w:noWrap w:val="0"/>
            <w:vAlign w:val="center"/>
          </w:tcPr>
          <w:p w14:paraId="716B2186">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75" w:type="dxa"/>
            <w:noWrap w:val="0"/>
            <w:vAlign w:val="center"/>
          </w:tcPr>
          <w:p w14:paraId="29371FC0">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w:t>
            </w:r>
          </w:p>
        </w:tc>
        <w:tc>
          <w:tcPr>
            <w:tcW w:w="1110" w:type="dxa"/>
            <w:noWrap w:val="0"/>
            <w:vAlign w:val="center"/>
          </w:tcPr>
          <w:p w14:paraId="424BE90B">
            <w:pPr>
              <w:spacing w:line="360" w:lineRule="exact"/>
              <w:rPr>
                <w:rFonts w:ascii="宋体" w:hAnsi="宋体" w:cs="宋体"/>
                <w:color w:val="auto"/>
                <w:szCs w:val="21"/>
                <w:highlight w:val="none"/>
              </w:rPr>
            </w:pPr>
            <w:r>
              <w:rPr>
                <w:rFonts w:hint="eastAsia" w:ascii="宋体" w:hAnsi="宋体" w:cs="宋体"/>
                <w:color w:val="auto"/>
                <w:szCs w:val="21"/>
                <w:highlight w:val="none"/>
              </w:rPr>
              <w:t>跟踪审计服务，具体详见采购需求</w:t>
            </w:r>
          </w:p>
        </w:tc>
        <w:tc>
          <w:tcPr>
            <w:tcW w:w="4613" w:type="dxa"/>
            <w:noWrap w:val="0"/>
            <w:vAlign w:val="center"/>
          </w:tcPr>
          <w:p w14:paraId="47D30ED8">
            <w:pPr>
              <w:spacing w:line="360" w:lineRule="exact"/>
              <w:rPr>
                <w:rFonts w:ascii="宋体" w:hAnsi="宋体" w:cs="宋体"/>
                <w:color w:val="auto"/>
                <w:szCs w:val="21"/>
                <w:highlight w:val="none"/>
              </w:rPr>
            </w:pPr>
            <w:r>
              <w:rPr>
                <w:rFonts w:hint="eastAsia" w:ascii="宋体" w:hAnsi="宋体" w:cs="宋体"/>
                <w:color w:val="auto"/>
                <w:kern w:val="0"/>
                <w:highlight w:val="none"/>
              </w:rPr>
              <w:t>自合同签订之日起至工程项目竣工且成交供应商完成进度款审核、工程变更价款审核、工程索赔审核、现场签证审核、材料设备询价与核价等全部跟踪审计工作并出具正式的广西农业职业技术大学西校区二期工程建设项目第二批工程-室内体育馆审计报告（附跟踪审计日志）之日止。</w:t>
            </w:r>
          </w:p>
        </w:tc>
      </w:tr>
      <w:tr w14:paraId="7989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dxa"/>
            <w:noWrap w:val="0"/>
            <w:vAlign w:val="center"/>
          </w:tcPr>
          <w:p w14:paraId="6E38C265">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2</w:t>
            </w:r>
          </w:p>
        </w:tc>
        <w:tc>
          <w:tcPr>
            <w:tcW w:w="2138" w:type="dxa"/>
            <w:noWrap w:val="0"/>
            <w:vAlign w:val="center"/>
          </w:tcPr>
          <w:p w14:paraId="1BF17662">
            <w:pPr>
              <w:spacing w:line="360" w:lineRule="exact"/>
              <w:rPr>
                <w:rFonts w:ascii="宋体" w:hAnsi="宋体" w:cs="宋体"/>
                <w:color w:val="auto"/>
                <w:szCs w:val="21"/>
                <w:highlight w:val="none"/>
              </w:rPr>
            </w:pPr>
            <w:r>
              <w:rPr>
                <w:rFonts w:hint="eastAsia" w:ascii="宋体" w:hAnsi="宋体" w:cs="宋体"/>
                <w:color w:val="auto"/>
                <w:kern w:val="0"/>
                <w:highlight w:val="none"/>
              </w:rPr>
              <w:t>广西农业职业技术大学西校区二期工程建设项目第二批工程-室内体育馆结算审核</w:t>
            </w:r>
          </w:p>
        </w:tc>
        <w:tc>
          <w:tcPr>
            <w:tcW w:w="667" w:type="dxa"/>
            <w:noWrap w:val="0"/>
            <w:vAlign w:val="center"/>
          </w:tcPr>
          <w:p w14:paraId="045D3B11">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75" w:type="dxa"/>
            <w:noWrap w:val="0"/>
            <w:vAlign w:val="center"/>
          </w:tcPr>
          <w:p w14:paraId="6795335E">
            <w:pPr>
              <w:spacing w:line="360" w:lineRule="exact"/>
              <w:jc w:val="center"/>
              <w:rPr>
                <w:rFonts w:ascii="宋体" w:hAnsi="宋体" w:cs="宋体"/>
                <w:color w:val="auto"/>
                <w:szCs w:val="21"/>
                <w:highlight w:val="none"/>
              </w:rPr>
            </w:pPr>
            <w:r>
              <w:rPr>
                <w:rFonts w:hint="eastAsia" w:ascii="宋体" w:hAnsi="宋体" w:cs="宋体"/>
                <w:color w:val="auto"/>
                <w:szCs w:val="21"/>
                <w:highlight w:val="none"/>
              </w:rPr>
              <w:t>项</w:t>
            </w:r>
          </w:p>
        </w:tc>
        <w:tc>
          <w:tcPr>
            <w:tcW w:w="1110" w:type="dxa"/>
            <w:noWrap w:val="0"/>
            <w:vAlign w:val="center"/>
          </w:tcPr>
          <w:p w14:paraId="020561A9">
            <w:pPr>
              <w:spacing w:line="360" w:lineRule="exact"/>
              <w:rPr>
                <w:rFonts w:ascii="宋体" w:hAnsi="宋体" w:cs="宋体"/>
                <w:color w:val="auto"/>
                <w:szCs w:val="21"/>
                <w:highlight w:val="none"/>
              </w:rPr>
            </w:pPr>
            <w:r>
              <w:rPr>
                <w:rFonts w:hint="eastAsia" w:ascii="宋体" w:hAnsi="宋体" w:cs="宋体"/>
                <w:color w:val="auto"/>
                <w:szCs w:val="21"/>
                <w:highlight w:val="none"/>
              </w:rPr>
              <w:t>结算审核服务，具体详见采购需求</w:t>
            </w:r>
          </w:p>
        </w:tc>
        <w:tc>
          <w:tcPr>
            <w:tcW w:w="4613" w:type="dxa"/>
            <w:noWrap w:val="0"/>
            <w:vAlign w:val="center"/>
          </w:tcPr>
          <w:p w14:paraId="32E87C8F">
            <w:pPr>
              <w:spacing w:line="360" w:lineRule="exact"/>
              <w:rPr>
                <w:rFonts w:ascii="宋体" w:hAnsi="宋体" w:cs="宋体"/>
                <w:color w:val="auto"/>
                <w:szCs w:val="21"/>
                <w:highlight w:val="none"/>
              </w:rPr>
            </w:pPr>
            <w:r>
              <w:rPr>
                <w:rFonts w:hint="eastAsia" w:ascii="宋体" w:hAnsi="宋体" w:cs="宋体"/>
                <w:color w:val="auto"/>
                <w:kern w:val="0"/>
                <w:highlight w:val="none"/>
              </w:rPr>
              <w:t>签订合同后，自收到结算送审材料之日起至成交供应商出具正式的广西农业职业技术大学西校区二期工程建设项目第二批工程-室内体育馆结算审核报告之日止。</w:t>
            </w:r>
          </w:p>
        </w:tc>
      </w:tr>
    </w:tbl>
    <w:p w14:paraId="02266A50">
      <w:pPr>
        <w:spacing w:line="360" w:lineRule="auto"/>
        <w:ind w:firstLine="630" w:firstLineChars="300"/>
        <w:rPr>
          <w:rFonts w:hint="eastAsia"/>
          <w:color w:val="auto"/>
          <w:szCs w:val="21"/>
          <w:highlight w:val="none"/>
        </w:rPr>
      </w:pPr>
      <w:r>
        <w:rPr>
          <w:rFonts w:hint="eastAsia" w:ascii="宋体" w:hAnsi="宋体"/>
          <w:color w:val="auto"/>
          <w:szCs w:val="21"/>
          <w:highlight w:val="none"/>
        </w:rPr>
        <w:t>6.本项目（</w:t>
      </w:r>
      <w:r>
        <w:rPr>
          <w:rFonts w:hint="eastAsia" w:ascii="宋体" w:hAnsi="宋体"/>
          <w:i/>
          <w:iCs/>
          <w:color w:val="auto"/>
          <w:szCs w:val="21"/>
          <w:highlight w:val="none"/>
        </w:rPr>
        <w:t>是</w:t>
      </w:r>
      <w:r>
        <w:rPr>
          <w:rFonts w:ascii="宋体" w:hAnsi="宋体"/>
          <w:i/>
          <w:iCs/>
          <w:color w:val="auto"/>
          <w:szCs w:val="21"/>
          <w:highlight w:val="none"/>
        </w:rPr>
        <w:t>/否</w:t>
      </w:r>
      <w:r>
        <w:rPr>
          <w:rFonts w:hint="eastAsia" w:ascii="宋体" w:hAnsi="宋体"/>
          <w:color w:val="auto"/>
          <w:szCs w:val="21"/>
          <w:highlight w:val="none"/>
        </w:rPr>
        <w:t>）接受联合体</w:t>
      </w:r>
      <w:r>
        <w:rPr>
          <w:rFonts w:hint="eastAsia"/>
          <w:color w:val="auto"/>
          <w:szCs w:val="21"/>
          <w:highlight w:val="none"/>
        </w:rPr>
        <w:t>：</w:t>
      </w:r>
      <w:r>
        <w:rPr>
          <w:rFonts w:hint="eastAsia" w:ascii="宋体" w:hAnsi="宋体"/>
          <w:color w:val="auto"/>
          <w:szCs w:val="21"/>
          <w:highlight w:val="none"/>
        </w:rPr>
        <w:t>□是/</w:t>
      </w:r>
      <w:r>
        <w:rPr>
          <w:rFonts w:hint="eastAsia" w:ascii="宋体" w:hAnsi="宋体"/>
          <w:color w:val="auto"/>
          <w:szCs w:val="21"/>
          <w:highlight w:val="none"/>
        </w:rPr>
        <w:sym w:font="Wingdings 2" w:char="0052"/>
      </w:r>
      <w:r>
        <w:rPr>
          <w:rFonts w:hint="eastAsia" w:ascii="宋体" w:hAnsi="宋体"/>
          <w:color w:val="auto"/>
          <w:szCs w:val="21"/>
          <w:highlight w:val="none"/>
        </w:rPr>
        <w:t>否</w:t>
      </w:r>
      <w:r>
        <w:rPr>
          <w:rFonts w:hint="eastAsia"/>
          <w:color w:val="auto"/>
          <w:szCs w:val="21"/>
          <w:highlight w:val="none"/>
        </w:rPr>
        <w:t>。</w:t>
      </w:r>
    </w:p>
    <w:p w14:paraId="740C3014">
      <w:pPr>
        <w:spacing w:line="360" w:lineRule="auto"/>
        <w:ind w:firstLine="630" w:firstLineChars="300"/>
        <w:rPr>
          <w:rFonts w:hint="eastAsia" w:ascii="宋体" w:hAnsi="宋体"/>
          <w:color w:val="auto"/>
          <w:szCs w:val="21"/>
          <w:highlight w:val="none"/>
        </w:rPr>
      </w:pPr>
      <w:r>
        <w:rPr>
          <w:rFonts w:hint="eastAsia" w:ascii="宋体" w:hAnsi="宋体"/>
          <w:color w:val="auto"/>
          <w:szCs w:val="21"/>
          <w:highlight w:val="none"/>
        </w:rPr>
        <w:t>7.备注：本分标限定报价范围，</w:t>
      </w:r>
      <w:r>
        <w:rPr>
          <w:rStyle w:val="38"/>
          <w:rFonts w:hint="eastAsia"/>
          <w:color w:val="auto"/>
          <w:highlight w:val="none"/>
        </w:rPr>
        <w:t>跟踪审计费不高于10000元/月，结算审核费价格优惠率不低于25%</w:t>
      </w:r>
    </w:p>
    <w:p w14:paraId="31F4A677">
      <w:pPr>
        <w:spacing w:line="360" w:lineRule="auto"/>
        <w:ind w:firstLine="482" w:firstLineChars="200"/>
        <w:rPr>
          <w:rFonts w:ascii="黑体" w:hAnsi="黑体" w:eastAsia="黑体" w:cs="宋体"/>
          <w:bCs/>
          <w:color w:val="auto"/>
          <w:sz w:val="24"/>
          <w:highlight w:val="none"/>
        </w:rPr>
      </w:pPr>
      <w:bookmarkStart w:id="17" w:name="_Toc35393799"/>
      <w:bookmarkStart w:id="18" w:name="_Toc44229879"/>
      <w:bookmarkStart w:id="19" w:name="_Toc28359013"/>
      <w:bookmarkStart w:id="20" w:name="_Toc35393630"/>
      <w:bookmarkStart w:id="21" w:name="_Toc28359090"/>
      <w:r>
        <w:rPr>
          <w:rFonts w:hint="eastAsia" w:ascii="黑体" w:hAnsi="黑体" w:eastAsia="黑体" w:cs="宋体"/>
          <w:b/>
          <w:color w:val="auto"/>
          <w:kern w:val="44"/>
          <w:sz w:val="24"/>
          <w:highlight w:val="none"/>
        </w:rPr>
        <w:t>二、申请人的资格</w:t>
      </w:r>
      <w:bookmarkEnd w:id="17"/>
      <w:bookmarkEnd w:id="18"/>
      <w:bookmarkEnd w:id="19"/>
      <w:bookmarkEnd w:id="20"/>
      <w:bookmarkEnd w:id="21"/>
      <w:r>
        <w:rPr>
          <w:rFonts w:hint="eastAsia" w:ascii="黑体" w:hAnsi="黑体" w:eastAsia="黑体" w:cs="宋体"/>
          <w:b/>
          <w:color w:val="auto"/>
          <w:kern w:val="44"/>
          <w:sz w:val="24"/>
          <w:highlight w:val="none"/>
        </w:rPr>
        <w:t>要求</w:t>
      </w:r>
    </w:p>
    <w:p w14:paraId="48DAFA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4EF2EF0A">
      <w:pPr>
        <w:spacing w:line="360" w:lineRule="auto"/>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2.落实政府采购政策需满足的资格要求：无。</w:t>
      </w:r>
    </w:p>
    <w:p w14:paraId="1EC90CD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3.本项目的特定资格要求：无。</w:t>
      </w:r>
    </w:p>
    <w:p w14:paraId="3415874A">
      <w:pPr>
        <w:spacing w:line="360" w:lineRule="auto"/>
        <w:ind w:firstLine="482" w:firstLineChars="200"/>
        <w:rPr>
          <w:rFonts w:ascii="黑体" w:hAnsi="黑体" w:eastAsia="黑体"/>
          <w:b/>
          <w:bCs/>
          <w:color w:val="auto"/>
          <w:sz w:val="24"/>
          <w:highlight w:val="none"/>
        </w:rPr>
      </w:pPr>
      <w:r>
        <w:rPr>
          <w:rFonts w:hint="eastAsia" w:ascii="黑体" w:hAnsi="黑体" w:eastAsia="黑体"/>
          <w:b/>
          <w:bCs/>
          <w:color w:val="auto"/>
          <w:sz w:val="24"/>
          <w:highlight w:val="none"/>
        </w:rPr>
        <w:t>三、获取采购文件</w:t>
      </w:r>
      <w:bookmarkEnd w:id="13"/>
      <w:bookmarkEnd w:id="14"/>
      <w:bookmarkEnd w:id="15"/>
      <w:bookmarkEnd w:id="16"/>
    </w:p>
    <w:p w14:paraId="2D92044A">
      <w:pPr>
        <w:spacing w:line="360" w:lineRule="auto"/>
        <w:ind w:firstLine="630" w:firstLineChars="300"/>
        <w:rPr>
          <w:rFonts w:ascii="宋体" w:hAnsi="宋体"/>
          <w:color w:val="auto"/>
          <w:szCs w:val="21"/>
          <w:highlight w:val="none"/>
        </w:rPr>
      </w:pPr>
      <w:bookmarkStart w:id="22" w:name="_Toc28359082"/>
      <w:bookmarkStart w:id="23" w:name="_Toc35393624"/>
      <w:bookmarkStart w:id="24" w:name="_Toc28359005"/>
      <w:bookmarkStart w:id="25" w:name="_Toc35393793"/>
      <w:r>
        <w:rPr>
          <w:rFonts w:hint="eastAsia" w:ascii="宋体" w:hAnsi="宋体"/>
          <w:color w:val="auto"/>
          <w:szCs w:val="21"/>
          <w:highlight w:val="none"/>
        </w:rPr>
        <w:t>时间：2025年</w:t>
      </w:r>
      <w:r>
        <w:rPr>
          <w:rFonts w:hint="eastAsia" w:ascii="宋体" w:hAnsi="宋体"/>
          <w:color w:val="auto"/>
          <w:szCs w:val="21"/>
          <w:highlight w:val="none"/>
          <w:lang w:val="en-US" w:eastAsia="zh-CN"/>
        </w:rPr>
        <w:t>10</w:t>
      </w:r>
      <w:r>
        <w:rPr>
          <w:rFonts w:hint="eastAsia" w:ascii="宋体" w:hAnsi="宋体"/>
          <w:color w:val="auto"/>
          <w:szCs w:val="21"/>
          <w:highlight w:val="none"/>
        </w:rPr>
        <w:t>月</w:t>
      </w:r>
      <w:r>
        <w:rPr>
          <w:rFonts w:hint="eastAsia" w:ascii="宋体" w:hAnsi="宋体"/>
          <w:color w:val="auto"/>
          <w:szCs w:val="21"/>
          <w:highlight w:val="none"/>
          <w:lang w:val="en-US" w:eastAsia="zh-CN"/>
        </w:rPr>
        <w:t>28</w:t>
      </w:r>
      <w:r>
        <w:rPr>
          <w:rFonts w:hint="eastAsia" w:ascii="宋体" w:hAnsi="宋体"/>
          <w:color w:val="auto"/>
          <w:szCs w:val="21"/>
          <w:highlight w:val="none"/>
        </w:rPr>
        <w:t>日至2025年</w:t>
      </w:r>
      <w:r>
        <w:rPr>
          <w:rFonts w:hint="eastAsia" w:ascii="宋体" w:hAnsi="宋体"/>
          <w:color w:val="auto"/>
          <w:szCs w:val="21"/>
          <w:highlight w:val="none"/>
          <w:lang w:val="en-US" w:eastAsia="zh-CN"/>
        </w:rPr>
        <w:t>11</w:t>
      </w:r>
      <w:r>
        <w:rPr>
          <w:rFonts w:hint="eastAsia" w:ascii="宋体" w:hAnsi="宋体"/>
          <w:color w:val="auto"/>
          <w:szCs w:val="21"/>
          <w:highlight w:val="none"/>
        </w:rPr>
        <w:t>月</w:t>
      </w:r>
      <w:r>
        <w:rPr>
          <w:rFonts w:hint="eastAsia" w:ascii="宋体" w:hAnsi="宋体"/>
          <w:color w:val="auto"/>
          <w:szCs w:val="21"/>
          <w:highlight w:val="none"/>
          <w:lang w:val="en-US" w:eastAsia="zh-CN"/>
        </w:rPr>
        <w:t>4</w:t>
      </w:r>
      <w:r>
        <w:rPr>
          <w:rFonts w:hint="eastAsia" w:ascii="宋体" w:hAnsi="宋体"/>
          <w:color w:val="auto"/>
          <w:szCs w:val="21"/>
          <w:highlight w:val="none"/>
        </w:rPr>
        <w:t>日，每天上午00:00至12:00，下午12:00至23:59（北京时间，法定节假日除外）。</w:t>
      </w:r>
    </w:p>
    <w:p w14:paraId="6768BDFB">
      <w:pPr>
        <w:spacing w:line="360" w:lineRule="auto"/>
        <w:ind w:firstLine="630" w:firstLineChars="300"/>
        <w:rPr>
          <w:rFonts w:ascii="宋体" w:hAnsi="宋体"/>
          <w:color w:val="auto"/>
          <w:szCs w:val="21"/>
          <w:highlight w:val="none"/>
        </w:rPr>
      </w:pPr>
      <w:r>
        <w:rPr>
          <w:rFonts w:hint="eastAsia" w:ascii="宋体" w:hAnsi="宋体"/>
          <w:color w:val="auto"/>
          <w:szCs w:val="21"/>
          <w:highlight w:val="none"/>
        </w:rPr>
        <w:t xml:space="preserve">地点： </w:t>
      </w:r>
      <w:bookmarkStart w:id="26" w:name="OLE_LINK4"/>
      <w:r>
        <w:rPr>
          <w:rFonts w:hint="eastAsia" w:ascii="宋体" w:hAnsi="宋体"/>
          <w:color w:val="auto"/>
          <w:szCs w:val="21"/>
          <w:highlight w:val="none"/>
        </w:rPr>
        <w:t>广西政府采购云平台（https://www.gcy.zfcg.gxzf.gov.cn/）</w:t>
      </w:r>
    </w:p>
    <w:bookmarkEnd w:id="26"/>
    <w:p w14:paraId="218DD355">
      <w:pPr>
        <w:spacing w:line="360" w:lineRule="auto"/>
        <w:ind w:firstLine="630" w:firstLineChars="300"/>
        <w:rPr>
          <w:rFonts w:ascii="宋体" w:hAnsi="宋体"/>
          <w:color w:val="auto"/>
          <w:szCs w:val="21"/>
          <w:highlight w:val="none"/>
        </w:rPr>
      </w:pPr>
      <w:r>
        <w:rPr>
          <w:rFonts w:hint="eastAsia" w:ascii="宋体" w:hAnsi="宋体"/>
          <w:color w:val="auto"/>
          <w:szCs w:val="21"/>
          <w:highlight w:val="none"/>
        </w:rPr>
        <w:t>方式：</w:t>
      </w:r>
      <w:bookmarkStart w:id="27" w:name="OLE_LINK5"/>
      <w:r>
        <w:rPr>
          <w:rFonts w:hint="eastAsia" w:ascii="宋体" w:hAnsi="宋体"/>
          <w:color w:val="auto"/>
          <w:szCs w:val="21"/>
          <w:highlight w:val="none"/>
        </w:rPr>
        <w:t>网上下载。本项目不发放纸质采购文件，潜在供应商可自行在广西政府采购云平台（https://www.gcy.zfcg.gxzf.gov.cn/）下载采购文件（操作路径：登录广西政府采购云平台-项目采购-获取采购文件-找到本项目-点击“申请获取采购文件”），电子响应文件制作需要基于广西政府采购云平台获取的采购文件编制。</w:t>
      </w:r>
    </w:p>
    <w:bookmarkEnd w:id="27"/>
    <w:p w14:paraId="5DA7608B">
      <w:pPr>
        <w:spacing w:line="360" w:lineRule="auto"/>
        <w:ind w:firstLine="630" w:firstLineChars="300"/>
        <w:rPr>
          <w:rFonts w:ascii="宋体" w:hAnsi="宋体"/>
          <w:color w:val="auto"/>
          <w:szCs w:val="21"/>
          <w:highlight w:val="none"/>
        </w:rPr>
      </w:pPr>
      <w:r>
        <w:rPr>
          <w:rFonts w:hint="eastAsia" w:ascii="宋体" w:hAnsi="宋体"/>
          <w:color w:val="auto"/>
          <w:szCs w:val="21"/>
          <w:highlight w:val="none"/>
        </w:rPr>
        <w:t>售价：人民币0元。</w:t>
      </w:r>
    </w:p>
    <w:p w14:paraId="51D7FFB2">
      <w:pPr>
        <w:spacing w:line="360" w:lineRule="auto"/>
        <w:ind w:firstLine="482" w:firstLineChars="200"/>
        <w:rPr>
          <w:rFonts w:ascii="黑体" w:hAnsi="黑体" w:eastAsia="黑体"/>
          <w:b/>
          <w:bCs/>
          <w:color w:val="auto"/>
          <w:sz w:val="24"/>
          <w:highlight w:val="none"/>
        </w:rPr>
      </w:pPr>
      <w:r>
        <w:rPr>
          <w:rFonts w:hint="eastAsia" w:ascii="黑体" w:hAnsi="黑体" w:eastAsia="黑体"/>
          <w:b/>
          <w:bCs/>
          <w:color w:val="auto"/>
          <w:sz w:val="24"/>
          <w:highlight w:val="none"/>
        </w:rPr>
        <w:t>四、</w:t>
      </w:r>
      <w:bookmarkEnd w:id="22"/>
      <w:bookmarkEnd w:id="23"/>
      <w:bookmarkEnd w:id="24"/>
      <w:bookmarkEnd w:id="25"/>
      <w:r>
        <w:rPr>
          <w:rFonts w:hint="eastAsia" w:ascii="黑体" w:hAnsi="黑体" w:eastAsia="黑体"/>
          <w:b/>
          <w:bCs/>
          <w:color w:val="auto"/>
          <w:sz w:val="24"/>
          <w:highlight w:val="none"/>
        </w:rPr>
        <w:t>响应文件提交</w:t>
      </w:r>
    </w:p>
    <w:p w14:paraId="3AB6D3C7">
      <w:pPr>
        <w:spacing w:line="360" w:lineRule="auto"/>
        <w:ind w:firstLine="420" w:firstLineChars="200"/>
        <w:rPr>
          <w:rFonts w:ascii="宋体" w:hAnsi="宋体" w:cs="宋体"/>
          <w:i/>
          <w:iCs/>
          <w:color w:val="auto"/>
          <w:szCs w:val="21"/>
          <w:highlight w:val="none"/>
          <w:u w:val="single"/>
        </w:rPr>
      </w:pPr>
      <w:r>
        <w:rPr>
          <w:rFonts w:hint="eastAsia" w:ascii="宋体" w:hAnsi="宋体" w:cs="宋体"/>
          <w:color w:val="auto"/>
          <w:szCs w:val="21"/>
          <w:highlight w:val="none"/>
        </w:rPr>
        <w:t>1.提交截止时间</w:t>
      </w:r>
      <w:r>
        <w:rPr>
          <w:rFonts w:hint="eastAsia" w:ascii="宋体" w:hAnsi="宋体" w:cs="宋体"/>
          <w:bCs/>
          <w:color w:val="auto"/>
          <w:szCs w:val="21"/>
          <w:highlight w:val="none"/>
        </w:rPr>
        <w:t>：</w:t>
      </w:r>
      <w:bookmarkStart w:id="28" w:name="PO_3000001868_PM015"/>
      <w:r>
        <w:rPr>
          <w:rFonts w:hint="eastAsia" w:ascii="宋体" w:hAnsi="宋体" w:cs="宋体"/>
          <w:bCs/>
          <w:color w:val="auto"/>
          <w:szCs w:val="21"/>
          <w:highlight w:val="none"/>
          <w:u w:val="single"/>
        </w:rPr>
        <w:t>2025年</w:t>
      </w:r>
      <w:bookmarkEnd w:id="28"/>
      <w:r>
        <w:rPr>
          <w:rFonts w:hint="eastAsia" w:ascii="宋体" w:hAnsi="宋体" w:cs="宋体"/>
          <w:bCs/>
          <w:color w:val="auto"/>
          <w:szCs w:val="21"/>
          <w:highlight w:val="none"/>
          <w:u w:val="single"/>
          <w:lang w:val="en-US" w:eastAsia="zh-CN"/>
        </w:rPr>
        <w:t>11</w:t>
      </w:r>
      <w:r>
        <w:rPr>
          <w:rFonts w:hint="eastAsia" w:ascii="宋体" w:hAnsi="宋体" w:cs="宋体"/>
          <w:bCs/>
          <w:color w:val="auto"/>
          <w:szCs w:val="21"/>
          <w:highlight w:val="none"/>
          <w:u w:val="single"/>
        </w:rPr>
        <w:t>月</w:t>
      </w:r>
      <w:r>
        <w:rPr>
          <w:rFonts w:hint="eastAsia" w:ascii="宋体" w:hAnsi="宋体" w:cs="宋体"/>
          <w:bCs/>
          <w:color w:val="auto"/>
          <w:szCs w:val="21"/>
          <w:highlight w:val="none"/>
          <w:u w:val="single"/>
          <w:lang w:val="en-US" w:eastAsia="zh-CN"/>
        </w:rPr>
        <w:t>10</w:t>
      </w:r>
      <w:r>
        <w:rPr>
          <w:rFonts w:hint="eastAsia" w:ascii="宋体" w:hAnsi="宋体" w:cs="宋体"/>
          <w:bCs/>
          <w:color w:val="auto"/>
          <w:szCs w:val="21"/>
          <w:highlight w:val="none"/>
          <w:u w:val="single"/>
        </w:rPr>
        <w:t>日09:</w:t>
      </w:r>
      <w:r>
        <w:rPr>
          <w:rFonts w:hint="eastAsia" w:ascii="宋体" w:hAnsi="宋体" w:cs="宋体"/>
          <w:bCs/>
          <w:color w:val="auto"/>
          <w:szCs w:val="21"/>
          <w:highlight w:val="none"/>
          <w:u w:val="single"/>
          <w:lang w:val="en-US" w:eastAsia="zh-CN"/>
        </w:rPr>
        <w:t>0</w:t>
      </w:r>
      <w:r>
        <w:rPr>
          <w:rFonts w:hint="eastAsia" w:ascii="宋体" w:hAnsi="宋体" w:cs="宋体"/>
          <w:bCs/>
          <w:color w:val="auto"/>
          <w:szCs w:val="21"/>
          <w:highlight w:val="none"/>
          <w:u w:val="single"/>
        </w:rPr>
        <w:t>0</w:t>
      </w:r>
      <w:r>
        <w:rPr>
          <w:rFonts w:hint="eastAsia" w:ascii="宋体" w:hAnsi="宋体" w:cs="宋体"/>
          <w:bCs/>
          <w:color w:val="auto"/>
          <w:szCs w:val="21"/>
          <w:highlight w:val="none"/>
        </w:rPr>
        <w:t>（北京时间）</w:t>
      </w:r>
    </w:p>
    <w:p w14:paraId="6E385A2E">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2.提交地点：</w:t>
      </w:r>
      <w:r>
        <w:rPr>
          <w:rFonts w:hint="eastAsia" w:ascii="宋体" w:hAnsi="宋体" w:eastAsia="宋体" w:cs="宋体"/>
          <w:i w:val="0"/>
          <w:iCs w:val="0"/>
          <w:caps w:val="0"/>
          <w:color w:val="auto"/>
          <w:spacing w:val="0"/>
          <w:sz w:val="21"/>
          <w:szCs w:val="21"/>
          <w:highlight w:val="none"/>
        </w:rPr>
        <w:t>广西政府采购云平台（https://www.gcy.zfcg.gxzf.gov.cn）</w:t>
      </w:r>
    </w:p>
    <w:p w14:paraId="7AA12D6B">
      <w:pPr>
        <w:spacing w:line="360" w:lineRule="auto"/>
        <w:ind w:firstLine="482" w:firstLineChars="200"/>
        <w:rPr>
          <w:rFonts w:ascii="黑体" w:hAnsi="黑体" w:eastAsia="黑体"/>
          <w:b/>
          <w:bCs/>
          <w:color w:val="auto"/>
          <w:sz w:val="24"/>
          <w:highlight w:val="none"/>
        </w:rPr>
      </w:pPr>
      <w:r>
        <w:rPr>
          <w:rFonts w:hint="eastAsia" w:ascii="黑体" w:hAnsi="黑体" w:eastAsia="黑体"/>
          <w:b/>
          <w:bCs/>
          <w:color w:val="auto"/>
          <w:sz w:val="24"/>
          <w:highlight w:val="none"/>
        </w:rPr>
        <w:t>五、开启（首次响应文件开启时间）</w:t>
      </w:r>
    </w:p>
    <w:p w14:paraId="1832A1C2">
      <w:pPr>
        <w:spacing w:line="360" w:lineRule="auto"/>
        <w:ind w:firstLine="420" w:firstLineChars="200"/>
        <w:rPr>
          <w:bCs/>
          <w:color w:val="auto"/>
          <w:szCs w:val="21"/>
          <w:highlight w:val="none"/>
          <w:u w:val="single"/>
        </w:rPr>
      </w:pPr>
      <w:r>
        <w:rPr>
          <w:rFonts w:hint="eastAsia"/>
          <w:color w:val="auto"/>
          <w:szCs w:val="21"/>
          <w:highlight w:val="none"/>
        </w:rPr>
        <w:t>时间：</w:t>
      </w:r>
      <w:bookmarkStart w:id="29" w:name="PO_3000001868_PM015_1"/>
      <w:r>
        <w:rPr>
          <w:rFonts w:hint="eastAsia"/>
          <w:color w:val="auto"/>
          <w:szCs w:val="21"/>
          <w:highlight w:val="none"/>
          <w:u w:val="single"/>
        </w:rPr>
        <w:t>2025年</w:t>
      </w:r>
      <w:bookmarkEnd w:id="29"/>
      <w:r>
        <w:rPr>
          <w:rFonts w:hint="eastAsia"/>
          <w:color w:val="auto"/>
          <w:szCs w:val="21"/>
          <w:highlight w:val="none"/>
          <w:u w:val="single"/>
          <w:lang w:val="en-US" w:eastAsia="zh-CN"/>
        </w:rPr>
        <w:t>11</w:t>
      </w:r>
      <w:r>
        <w:rPr>
          <w:rFonts w:hint="eastAsia"/>
          <w:color w:val="auto"/>
          <w:szCs w:val="21"/>
          <w:highlight w:val="none"/>
          <w:u w:val="single"/>
        </w:rPr>
        <w:t>月</w:t>
      </w:r>
      <w:r>
        <w:rPr>
          <w:rFonts w:hint="eastAsia"/>
          <w:color w:val="auto"/>
          <w:szCs w:val="21"/>
          <w:highlight w:val="none"/>
          <w:u w:val="single"/>
          <w:lang w:val="en-US" w:eastAsia="zh-CN"/>
        </w:rPr>
        <w:t>10</w:t>
      </w:r>
      <w:r>
        <w:rPr>
          <w:rFonts w:hint="eastAsia"/>
          <w:color w:val="auto"/>
          <w:szCs w:val="21"/>
          <w:highlight w:val="none"/>
          <w:u w:val="single"/>
        </w:rPr>
        <w:t>日09:</w:t>
      </w:r>
      <w:r>
        <w:rPr>
          <w:rFonts w:hint="eastAsia"/>
          <w:color w:val="auto"/>
          <w:szCs w:val="21"/>
          <w:highlight w:val="none"/>
          <w:u w:val="single"/>
          <w:lang w:val="en-US" w:eastAsia="zh-CN"/>
        </w:rPr>
        <w:t>0</w:t>
      </w:r>
      <w:r>
        <w:rPr>
          <w:rFonts w:hint="eastAsia"/>
          <w:color w:val="auto"/>
          <w:szCs w:val="21"/>
          <w:highlight w:val="none"/>
          <w:u w:val="single"/>
        </w:rPr>
        <w:t>0</w:t>
      </w:r>
      <w:r>
        <w:rPr>
          <w:rFonts w:hint="eastAsia"/>
          <w:bCs/>
          <w:color w:val="auto"/>
          <w:szCs w:val="21"/>
          <w:highlight w:val="none"/>
        </w:rPr>
        <w:t>（北京时间）</w:t>
      </w:r>
      <w:r>
        <w:rPr>
          <w:rFonts w:hint="eastAsia"/>
          <w:color w:val="auto"/>
          <w:szCs w:val="21"/>
          <w:highlight w:val="none"/>
        </w:rPr>
        <w:t>后</w:t>
      </w:r>
    </w:p>
    <w:p w14:paraId="0C446E74">
      <w:pPr>
        <w:spacing w:line="360" w:lineRule="auto"/>
        <w:ind w:firstLine="420" w:firstLineChars="200"/>
        <w:rPr>
          <w:bCs/>
          <w:color w:val="auto"/>
          <w:szCs w:val="21"/>
          <w:highlight w:val="none"/>
          <w:u w:val="single"/>
        </w:rPr>
      </w:pPr>
      <w:r>
        <w:rPr>
          <w:rFonts w:hint="eastAsia"/>
          <w:color w:val="auto"/>
          <w:szCs w:val="21"/>
          <w:highlight w:val="none"/>
        </w:rPr>
        <w:t>地点：</w:t>
      </w:r>
      <w:r>
        <w:rPr>
          <w:rFonts w:hint="eastAsia" w:ascii="宋体" w:hAnsi="宋体" w:cs="宋体"/>
          <w:color w:val="auto"/>
          <w:szCs w:val="21"/>
          <w:highlight w:val="none"/>
        </w:rPr>
        <w:t>广西政府采购云平台（https://www.gcy.zfcg.gxzf.gov.cn）</w:t>
      </w:r>
    </w:p>
    <w:p w14:paraId="73AC5C71">
      <w:pPr>
        <w:spacing w:line="360" w:lineRule="auto"/>
        <w:ind w:firstLine="482" w:firstLineChars="200"/>
        <w:rPr>
          <w:rFonts w:ascii="黑体" w:hAnsi="黑体" w:eastAsia="黑体"/>
          <w:b/>
          <w:bCs/>
          <w:color w:val="auto"/>
          <w:sz w:val="24"/>
          <w:highlight w:val="none"/>
        </w:rPr>
      </w:pPr>
      <w:bookmarkStart w:id="30" w:name="_Toc28359007"/>
      <w:bookmarkStart w:id="31" w:name="_Toc35393794"/>
      <w:bookmarkStart w:id="32" w:name="_Toc28359084"/>
      <w:bookmarkStart w:id="33" w:name="_Toc35393625"/>
      <w:r>
        <w:rPr>
          <w:rFonts w:hint="eastAsia" w:ascii="黑体" w:hAnsi="黑体" w:eastAsia="黑体"/>
          <w:b/>
          <w:bCs/>
          <w:color w:val="auto"/>
          <w:sz w:val="24"/>
          <w:highlight w:val="none"/>
        </w:rPr>
        <w:t>六、公告期限</w:t>
      </w:r>
      <w:bookmarkEnd w:id="30"/>
      <w:bookmarkEnd w:id="31"/>
      <w:bookmarkEnd w:id="32"/>
      <w:bookmarkEnd w:id="33"/>
    </w:p>
    <w:p w14:paraId="07962299">
      <w:pPr>
        <w:spacing w:line="360" w:lineRule="auto"/>
        <w:ind w:firstLine="420" w:firstLineChars="200"/>
        <w:rPr>
          <w:rFonts w:cs="宋体"/>
          <w:color w:val="auto"/>
          <w:kern w:val="0"/>
          <w:szCs w:val="21"/>
          <w:highlight w:val="none"/>
        </w:rPr>
      </w:pPr>
      <w:r>
        <w:rPr>
          <w:rFonts w:hint="eastAsia" w:cs="宋体"/>
          <w:color w:val="auto"/>
          <w:kern w:val="0"/>
          <w:szCs w:val="21"/>
          <w:highlight w:val="none"/>
        </w:rPr>
        <w:t>自本公告发布之日起5个工作日。</w:t>
      </w:r>
    </w:p>
    <w:p w14:paraId="2B7B7B22">
      <w:pPr>
        <w:spacing w:line="360" w:lineRule="auto"/>
        <w:ind w:firstLine="482" w:firstLineChars="200"/>
        <w:rPr>
          <w:rFonts w:ascii="黑体" w:hAnsi="黑体" w:eastAsia="黑体"/>
          <w:b/>
          <w:bCs/>
          <w:color w:val="auto"/>
          <w:sz w:val="24"/>
          <w:highlight w:val="none"/>
        </w:rPr>
      </w:pPr>
      <w:bookmarkStart w:id="34" w:name="_Toc35393626"/>
      <w:bookmarkStart w:id="35" w:name="_Toc35393795"/>
      <w:r>
        <w:rPr>
          <w:rFonts w:hint="eastAsia" w:ascii="黑体" w:hAnsi="黑体" w:eastAsia="黑体"/>
          <w:b/>
          <w:bCs/>
          <w:color w:val="auto"/>
          <w:sz w:val="24"/>
          <w:highlight w:val="none"/>
        </w:rPr>
        <w:t>七、其他补充事宜</w:t>
      </w:r>
      <w:bookmarkEnd w:id="34"/>
      <w:bookmarkEnd w:id="35"/>
    </w:p>
    <w:p w14:paraId="6A793B17">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1.磋商保证金：</w:t>
      </w:r>
    </w:p>
    <w:p w14:paraId="42C0AB94">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sym w:font="Wingdings 2" w:char="0052"/>
      </w:r>
      <w:r>
        <w:rPr>
          <w:rFonts w:hint="eastAsia" w:ascii="宋体" w:hAnsi="宋体" w:cs="宋体"/>
          <w:b/>
          <w:bCs/>
          <w:color w:val="auto"/>
          <w:szCs w:val="21"/>
          <w:highlight w:val="none"/>
        </w:rPr>
        <w:t xml:space="preserve"> 本项目需要缴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磋商保证金，相关要求：</w:t>
      </w:r>
    </w:p>
    <w:p w14:paraId="1843B46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磋商保证金金额：</w:t>
      </w:r>
      <w:r>
        <w:rPr>
          <w:rFonts w:ascii="宋体" w:hAnsi="宋体"/>
          <w:color w:val="auto"/>
          <w:szCs w:val="21"/>
          <w:highlight w:val="none"/>
        </w:rPr>
        <w:t>1</w:t>
      </w:r>
      <w:r>
        <w:rPr>
          <w:rFonts w:hint="eastAsia" w:ascii="宋体" w:hAnsi="宋体"/>
          <w:color w:val="auto"/>
          <w:szCs w:val="21"/>
          <w:highlight w:val="none"/>
        </w:rPr>
        <w:t>分标10000元；</w:t>
      </w:r>
      <w:r>
        <w:rPr>
          <w:rFonts w:ascii="宋体" w:hAnsi="宋体"/>
          <w:color w:val="auto"/>
          <w:szCs w:val="21"/>
          <w:highlight w:val="none"/>
        </w:rPr>
        <w:t>2</w:t>
      </w:r>
      <w:r>
        <w:rPr>
          <w:rFonts w:hint="eastAsia" w:ascii="宋体" w:hAnsi="宋体"/>
          <w:color w:val="auto"/>
          <w:szCs w:val="21"/>
          <w:highlight w:val="none"/>
        </w:rPr>
        <w:t>分标5000元。</w:t>
      </w:r>
    </w:p>
    <w:p w14:paraId="0ACB383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磋商保证金的</w:t>
      </w:r>
      <w:r>
        <w:rPr>
          <w:rFonts w:hint="eastAsia" w:ascii="宋体" w:hAnsi="宋体" w:cs="宋体"/>
          <w:color w:val="auto"/>
          <w:szCs w:val="21"/>
          <w:highlight w:val="none"/>
        </w:rPr>
        <w:t>缴</w:t>
      </w:r>
      <w:r>
        <w:rPr>
          <w:rFonts w:hint="eastAsia" w:ascii="宋体" w:hAnsi="宋体" w:cs="宋体"/>
          <w:color w:val="auto"/>
          <w:kern w:val="0"/>
          <w:szCs w:val="21"/>
          <w:highlight w:val="none"/>
        </w:rPr>
        <w:t>纳方式：银行转账、支票、汇票、本票或者金融机构、担保机构出具的保函等非现金形式提交。采用银行转账方式的，在首次响应文件提交截止时间前交至采购代理机构指定账户并且到账；缴纳磋商保证金指定账户的信息：</w:t>
      </w:r>
    </w:p>
    <w:p w14:paraId="798F60C3">
      <w:pPr>
        <w:autoSpaceDE w:val="0"/>
        <w:autoSpaceDN w:val="0"/>
        <w:snapToGrid w:val="0"/>
        <w:spacing w:line="360" w:lineRule="auto"/>
        <w:ind w:firstLine="420" w:firstLineChars="200"/>
        <w:textAlignment w:val="bottom"/>
        <w:rPr>
          <w:rFonts w:ascii="宋体" w:cs="宋体"/>
          <w:color w:val="auto"/>
          <w:szCs w:val="21"/>
          <w:highlight w:val="none"/>
        </w:rPr>
      </w:pPr>
      <w:r>
        <w:rPr>
          <w:rFonts w:hint="eastAsia" w:ascii="宋体" w:hAnsi="宋体" w:cs="宋体"/>
          <w:color w:val="auto"/>
          <w:szCs w:val="21"/>
          <w:highlight w:val="none"/>
        </w:rPr>
        <w:t>开户名称：广西科联招标中心有限公司</w:t>
      </w:r>
    </w:p>
    <w:p w14:paraId="4CDD3104">
      <w:pPr>
        <w:autoSpaceDE w:val="0"/>
        <w:autoSpaceDN w:val="0"/>
        <w:snapToGrid w:val="0"/>
        <w:spacing w:line="360" w:lineRule="auto"/>
        <w:ind w:firstLine="420" w:firstLineChars="200"/>
        <w:textAlignment w:val="bottom"/>
        <w:rPr>
          <w:rFonts w:asci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bCs/>
          <w:color w:val="auto"/>
          <w:szCs w:val="21"/>
          <w:highlight w:val="none"/>
        </w:rPr>
        <w:t>招商银行南宁市金浦路支行</w:t>
      </w:r>
    </w:p>
    <w:p w14:paraId="74BEAE9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银行账号：</w:t>
      </w:r>
    </w:p>
    <w:p w14:paraId="0EFACD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1分标：</w:t>
      </w:r>
      <w:r>
        <w:rPr>
          <w:rFonts w:hint="eastAsia" w:ascii="宋体" w:hAnsi="宋体" w:cs="宋体"/>
          <w:b/>
          <w:bCs/>
          <w:color w:val="auto"/>
          <w:szCs w:val="21"/>
          <w:highlight w:val="none"/>
        </w:rPr>
        <w:t>7719011969103333000011005</w:t>
      </w:r>
      <w:r>
        <w:rPr>
          <w:rFonts w:hint="eastAsia" w:ascii="宋体" w:hAnsi="宋体" w:cs="宋体"/>
          <w:color w:val="auto"/>
          <w:szCs w:val="21"/>
          <w:highlight w:val="none"/>
        </w:rPr>
        <w:t>；2分标：</w:t>
      </w:r>
      <w:r>
        <w:rPr>
          <w:rFonts w:hint="eastAsia" w:ascii="宋体" w:hAnsi="宋体" w:cs="宋体"/>
          <w:b/>
          <w:bCs/>
          <w:color w:val="auto"/>
          <w:szCs w:val="21"/>
          <w:highlight w:val="none"/>
        </w:rPr>
        <w:t>7719011969103333000011006</w:t>
      </w:r>
      <w:r>
        <w:rPr>
          <w:rFonts w:hint="eastAsia" w:ascii="宋体" w:hAnsi="宋体" w:cs="宋体"/>
          <w:color w:val="auto"/>
          <w:szCs w:val="21"/>
          <w:highlight w:val="none"/>
        </w:rPr>
        <w:t>。</w:t>
      </w:r>
    </w:p>
    <w:p w14:paraId="6F0A4BC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采用支票、汇票、本票或者保函等方式的，供应商必须在首次响应文件提交截止时间前将支票、汇票、本票或者金融机构、担保机构出具的保函（电子保函除外）等原件提交给采购代理机构。</w:t>
      </w:r>
      <w:r>
        <w:rPr>
          <w:rFonts w:hint="eastAsia" w:ascii="宋体" w:hAnsi="宋体" w:cs="宋体"/>
          <w:b/>
          <w:bCs/>
          <w:color w:val="auto"/>
          <w:kern w:val="0"/>
          <w:szCs w:val="21"/>
          <w:highlight w:val="none"/>
        </w:rPr>
        <w:t>否则视为无效磋商保证金。</w:t>
      </w:r>
    </w:p>
    <w:p w14:paraId="7CE501D0">
      <w:pPr>
        <w:spacing w:line="360" w:lineRule="auto"/>
        <w:ind w:firstLine="420" w:firstLineChars="200"/>
        <w:rPr>
          <w:rFonts w:ascii="宋体" w:hAnsi="宋体" w:cs="宋体"/>
          <w:color w:val="auto"/>
          <w:kern w:val="0"/>
          <w:szCs w:val="21"/>
          <w:highlight w:val="none"/>
        </w:rPr>
      </w:pPr>
      <w:bookmarkStart w:id="36" w:name="_Hlk37429585"/>
      <w:r>
        <w:rPr>
          <w:rFonts w:hint="eastAsia" w:ascii="宋体" w:hAnsi="宋体" w:cs="宋体"/>
          <w:color w:val="auto"/>
          <w:kern w:val="0"/>
          <w:szCs w:val="21"/>
          <w:highlight w:val="none"/>
        </w:rPr>
        <w:t>2.</w:t>
      </w:r>
      <w:bookmarkStart w:id="37" w:name="_Hlk37429595"/>
      <w:r>
        <w:rPr>
          <w:rFonts w:hint="eastAsia" w:ascii="宋体" w:hAnsi="宋体" w:cs="宋体"/>
          <w:color w:val="auto"/>
          <w:kern w:val="0"/>
          <w:szCs w:val="21"/>
          <w:highlight w:val="none"/>
        </w:rPr>
        <w:t>网上查询地址</w:t>
      </w:r>
    </w:p>
    <w:bookmarkEnd w:id="36"/>
    <w:bookmarkEnd w:id="37"/>
    <w:p w14:paraId="2B5DC9ED">
      <w:pPr>
        <w:spacing w:line="360" w:lineRule="auto"/>
        <w:ind w:firstLine="420" w:firstLineChars="200"/>
        <w:rPr>
          <w:rFonts w:ascii="宋体" w:hAnsi="宋体" w:cs="宋体"/>
          <w:color w:val="auto"/>
          <w:kern w:val="0"/>
          <w:szCs w:val="21"/>
          <w:highlight w:val="none"/>
        </w:rPr>
      </w:pPr>
      <w:bookmarkStart w:id="38" w:name="_Hlk37429674"/>
      <w:r>
        <w:rPr>
          <w:rFonts w:hint="eastAsia" w:cs="宋体"/>
          <w:color w:val="auto"/>
          <w:kern w:val="0"/>
          <w:szCs w:val="21"/>
          <w:highlight w:val="none"/>
        </w:rPr>
        <w:t>中国政府采购网（http://www.ccgp.gov.cn）、广西壮族自治区政府采购网（http://zfcg.gxzf.gov.cn）</w:t>
      </w:r>
      <w:r>
        <w:rPr>
          <w:rFonts w:hint="eastAsia" w:ascii="宋体" w:hAnsi="宋体" w:cs="宋体"/>
          <w:color w:val="auto"/>
          <w:kern w:val="0"/>
          <w:szCs w:val="21"/>
          <w:highlight w:val="none"/>
        </w:rPr>
        <w:t>。</w:t>
      </w:r>
    </w:p>
    <w:p w14:paraId="735A3D1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w:t>
      </w:r>
      <w:r>
        <w:rPr>
          <w:rFonts w:hint="eastAsia" w:ascii="宋体" w:hAnsi="宋体" w:cs="宋体"/>
          <w:color w:val="auto"/>
          <w:szCs w:val="21"/>
          <w:highlight w:val="none"/>
        </w:rPr>
        <w:t>.</w:t>
      </w:r>
      <w:r>
        <w:rPr>
          <w:rFonts w:hint="eastAsia" w:ascii="宋体" w:hAnsi="宋体" w:cs="宋体"/>
          <w:color w:val="auto"/>
          <w:kern w:val="0"/>
          <w:szCs w:val="21"/>
          <w:highlight w:val="none"/>
        </w:rPr>
        <w:t>本项目需要落实的政府采购政策</w:t>
      </w:r>
    </w:p>
    <w:p w14:paraId="0775CEF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3D867834">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5C2E328F">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2D4BF35C">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31F9047E">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bookmarkEnd w:id="38"/>
    </w:p>
    <w:p w14:paraId="0B67B7C5">
      <w:pPr>
        <w:snapToGrid w:val="0"/>
        <w:spacing w:line="38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35041C58">
      <w:pPr>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.对在“信用中国”网站(www.creditchina.gov.cn) 、中国政府采购网(www.ccgp.gov.cn)被列入失信被执行人、</w:t>
      </w:r>
      <w:r>
        <w:rPr>
          <w:rFonts w:hint="eastAsia" w:ascii="宋体" w:hAnsi="宋体" w:eastAsia="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、政府采购严重违法失信行为记录名单及其他不符合《中华人民共和国政府采购法》第二十二条规定条件的供应商，不得参与政府采购活动。</w:t>
      </w:r>
    </w:p>
    <w:p w14:paraId="2D74FF8F">
      <w:pPr>
        <w:spacing w:line="380" w:lineRule="exact"/>
        <w:ind w:firstLine="422"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b/>
          <w:bCs/>
          <w:color w:val="auto"/>
          <w:kern w:val="0"/>
          <w:szCs w:val="21"/>
          <w:highlight w:val="none"/>
          <w:lang w:val="en-US" w:eastAsia="zh-CN"/>
        </w:rPr>
        <w:t>6.</w:t>
      </w:r>
      <w:r>
        <w:rPr>
          <w:rFonts w:hint="eastAsia" w:ascii="宋体" w:hAnsi="宋体" w:eastAsia="宋体" w:cs="宋体"/>
          <w:b/>
          <w:bCs/>
          <w:szCs w:val="21"/>
          <w:highlight w:val="none"/>
        </w:rPr>
        <w:t>在线</w:t>
      </w:r>
      <w:r>
        <w:rPr>
          <w:rFonts w:hint="eastAsia" w:ascii="宋体" w:hAnsi="宋体" w:eastAsia="宋体" w:cs="宋体"/>
          <w:b/>
          <w:bCs/>
          <w:szCs w:val="21"/>
          <w:highlight w:val="none"/>
          <w:lang w:eastAsia="zh-CN"/>
        </w:rPr>
        <w:t>竞</w:t>
      </w:r>
      <w:r>
        <w:rPr>
          <w:rFonts w:hint="eastAsia" w:ascii="宋体" w:hAnsi="宋体" w:eastAsia="宋体" w:cs="宋体"/>
          <w:b/>
          <w:bCs/>
          <w:szCs w:val="21"/>
          <w:highlight w:val="none"/>
        </w:rPr>
        <w:t>标</w:t>
      </w:r>
      <w:r>
        <w:rPr>
          <w:rFonts w:hint="eastAsia" w:ascii="宋体" w:hAnsi="宋体" w:eastAsia="宋体" w:cs="宋体"/>
          <w:b/>
          <w:bCs/>
          <w:szCs w:val="21"/>
          <w:highlight w:val="none"/>
          <w:lang w:eastAsia="zh-CN"/>
        </w:rPr>
        <w:t>的有关</w:t>
      </w:r>
      <w:r>
        <w:rPr>
          <w:rFonts w:hint="eastAsia" w:ascii="宋体" w:hAnsi="宋体" w:eastAsia="宋体" w:cs="宋体"/>
          <w:b/>
          <w:bCs/>
          <w:szCs w:val="21"/>
          <w:highlight w:val="none"/>
        </w:rPr>
        <w:t>说明</w:t>
      </w:r>
      <w:r>
        <w:rPr>
          <w:rFonts w:hint="eastAsia" w:ascii="宋体" w:hAnsi="宋体" w:eastAsia="宋体" w:cs="宋体"/>
          <w:b/>
          <w:bCs/>
          <w:color w:val="000000"/>
          <w:kern w:val="0"/>
          <w:szCs w:val="21"/>
          <w:highlight w:val="none"/>
          <w:lang w:eastAsia="zh-CN"/>
        </w:rPr>
        <w:t>：</w:t>
      </w:r>
    </w:p>
    <w:p w14:paraId="7A5D228B">
      <w:pPr>
        <w:widowControl/>
        <w:spacing w:line="38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（1）响应文件提交方式：本项目为全流程电子化项目，通过</w:t>
      </w:r>
      <w:r>
        <w:rPr>
          <w:rFonts w:hint="eastAsia" w:ascii="宋体" w:hAnsi="宋体" w:cs="宋体"/>
          <w:b w:val="0"/>
          <w:bCs w:val="0"/>
          <w:sz w:val="21"/>
          <w:szCs w:val="21"/>
          <w:highlight w:val="none"/>
          <w:lang w:val="en-US" w:eastAsia="zh-CN"/>
        </w:rPr>
        <w:t>广西政府采购云平台（https://www.gcy.zfcg.gxzf.gov.cn/）</w:t>
      </w:r>
      <w:r>
        <w:rPr>
          <w:rFonts w:hint="eastAsia" w:ascii="宋体" w:hAnsi="宋体" w:eastAsia="宋体" w:cs="宋体"/>
          <w:color w:val="auto"/>
          <w:szCs w:val="21"/>
          <w:highlight w:val="none"/>
        </w:rPr>
        <w:t>实行在线电子响应，供应商应先安装</w:t>
      </w:r>
      <w:r>
        <w:rPr>
          <w:rFonts w:hint="eastAsia" w:ascii="宋体" w:hAnsi="宋体" w:cs="宋体"/>
          <w:b w:val="0"/>
          <w:bCs w:val="0"/>
          <w:sz w:val="21"/>
          <w:szCs w:val="21"/>
          <w:highlight w:val="none"/>
          <w:lang w:val="en-US" w:eastAsia="zh-CN"/>
        </w:rPr>
        <w:t>广西政府采购云平台新版</w:t>
      </w:r>
      <w:bookmarkStart w:id="321" w:name="_GoBack"/>
      <w:bookmarkEnd w:id="321"/>
      <w:r>
        <w:rPr>
          <w:rFonts w:hint="eastAsia" w:ascii="宋体" w:hAnsi="宋体" w:cs="宋体"/>
          <w:b w:val="0"/>
          <w:bCs w:val="0"/>
          <w:sz w:val="21"/>
          <w:szCs w:val="21"/>
          <w:highlight w:val="none"/>
          <w:lang w:val="en-US" w:eastAsia="zh-CN"/>
        </w:rPr>
        <w:t>客户端</w:t>
      </w:r>
      <w:r>
        <w:rPr>
          <w:rFonts w:hint="eastAsia" w:ascii="宋体" w:hAnsi="宋体" w:cs="宋体"/>
          <w:color w:val="auto"/>
          <w:szCs w:val="21"/>
          <w:highlight w:val="none"/>
        </w:rPr>
        <w:t>（新版</w:t>
      </w:r>
      <w:r>
        <w:rPr>
          <w:rFonts w:hint="eastAsia" w:ascii="宋体" w:hAnsi="宋体" w:eastAsia="宋体" w:cs="宋体"/>
          <w:i w:val="0"/>
          <w:caps w:val="0"/>
          <w:color w:val="auto"/>
          <w:spacing w:val="0"/>
          <w:sz w:val="21"/>
          <w:szCs w:val="21"/>
          <w:highlight w:val="none"/>
        </w:rPr>
        <w:t>客户端下载路径：广西政府采购网（访问地址http://zfcg.gxzf.gov.cn/）—办事服务—下载专区</w:t>
      </w:r>
      <w:r>
        <w:rPr>
          <w:rFonts w:hint="eastAsia" w:ascii="宋体" w:hAnsi="宋体" w:cs="宋体"/>
          <w:color w:val="auto"/>
          <w:szCs w:val="21"/>
          <w:highlight w:val="none"/>
        </w:rPr>
        <w:t>）</w:t>
      </w:r>
      <w:r>
        <w:rPr>
          <w:rFonts w:hint="eastAsia" w:ascii="宋体" w:hAnsi="宋体" w:eastAsia="宋体" w:cs="宋体"/>
          <w:color w:val="auto"/>
          <w:szCs w:val="21"/>
          <w:highlight w:val="none"/>
        </w:rPr>
        <w:t>，并按照本项目采购文件和</w:t>
      </w:r>
      <w:r>
        <w:rPr>
          <w:rFonts w:hint="eastAsia" w:ascii="宋体" w:hAnsi="宋体" w:cs="宋体"/>
          <w:b w:val="0"/>
          <w:bCs w:val="0"/>
          <w:sz w:val="21"/>
          <w:szCs w:val="21"/>
          <w:highlight w:val="none"/>
          <w:lang w:val="en-US" w:eastAsia="zh-CN"/>
        </w:rPr>
        <w:t>广西政府采购云平台</w:t>
      </w:r>
      <w:r>
        <w:rPr>
          <w:rFonts w:hint="eastAsia" w:ascii="宋体" w:hAnsi="宋体" w:eastAsia="宋体" w:cs="宋体"/>
          <w:color w:val="auto"/>
          <w:szCs w:val="21"/>
          <w:highlight w:val="none"/>
        </w:rPr>
        <w:t>的要求编制、加密后在</w:t>
      </w:r>
      <w:r>
        <w:rPr>
          <w:rFonts w:hint="eastAsia" w:ascii="宋体" w:hAnsi="宋体" w:eastAsia="宋体" w:cs="宋体"/>
          <w:color w:val="auto"/>
          <w:szCs w:val="21"/>
          <w:highlight w:val="none"/>
          <w:lang w:eastAsia="zh-CN"/>
        </w:rPr>
        <w:t>响应文件提交</w:t>
      </w:r>
      <w:r>
        <w:rPr>
          <w:rFonts w:hint="eastAsia" w:ascii="宋体" w:hAnsi="宋体" w:eastAsia="宋体" w:cs="宋体"/>
          <w:color w:val="auto"/>
          <w:szCs w:val="21"/>
          <w:highlight w:val="none"/>
        </w:rPr>
        <w:t>截止时间前通过网络上传至</w:t>
      </w:r>
      <w:r>
        <w:rPr>
          <w:rFonts w:hint="eastAsia" w:ascii="宋体" w:hAnsi="宋体" w:cs="宋体"/>
          <w:b w:val="0"/>
          <w:bCs w:val="0"/>
          <w:sz w:val="21"/>
          <w:szCs w:val="21"/>
          <w:highlight w:val="none"/>
          <w:lang w:val="en-US"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w:t>
      </w:r>
      <w:r>
        <w:rPr>
          <w:rFonts w:hint="eastAsia" w:ascii="宋体" w:hAnsi="宋体" w:eastAsia="宋体" w:cs="宋体"/>
          <w:b/>
          <w:bCs w:val="0"/>
          <w:color w:val="auto"/>
          <w:sz w:val="21"/>
          <w:szCs w:val="21"/>
          <w:highlight w:val="none"/>
          <w:lang w:val="en-US" w:eastAsia="zh-CN"/>
        </w:rPr>
        <w:t>广西政府采购云平台</w:t>
      </w:r>
      <w:r>
        <w:rPr>
          <w:rFonts w:hint="eastAsia" w:ascii="宋体" w:hAnsi="宋体" w:eastAsia="宋体" w:cs="宋体"/>
          <w:b/>
          <w:color w:val="auto"/>
          <w:szCs w:val="21"/>
          <w:highlight w:val="none"/>
        </w:rPr>
        <w:t>提交电子版响应文件时，请填写参加远程</w:t>
      </w:r>
      <w:r>
        <w:rPr>
          <w:rFonts w:hint="eastAsia" w:ascii="宋体" w:hAnsi="宋体" w:eastAsia="宋体" w:cs="宋体"/>
          <w:b/>
          <w:color w:val="000000"/>
          <w:szCs w:val="21"/>
          <w:highlight w:val="none"/>
        </w:rPr>
        <w:t>开标</w:t>
      </w:r>
      <w:r>
        <w:rPr>
          <w:rFonts w:hint="eastAsia" w:ascii="宋体" w:hAnsi="宋体" w:eastAsia="宋体" w:cs="宋体"/>
          <w:b/>
          <w:color w:val="auto"/>
          <w:szCs w:val="21"/>
          <w:highlight w:val="none"/>
        </w:rPr>
        <w:t>活动经办人联系方式</w:t>
      </w:r>
      <w:r>
        <w:rPr>
          <w:rFonts w:hint="eastAsia" w:ascii="宋体" w:hAnsi="宋体" w:eastAsia="宋体" w:cs="宋体"/>
          <w:color w:val="auto"/>
          <w:szCs w:val="21"/>
          <w:highlight w:val="none"/>
        </w:rPr>
        <w:t>。</w:t>
      </w:r>
    </w:p>
    <w:p w14:paraId="7CF22AF5">
      <w:pPr>
        <w:widowControl/>
        <w:spacing w:line="380" w:lineRule="exact"/>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w:t>
      </w:r>
      <w:r>
        <w:rPr>
          <w:rFonts w:hint="eastAsia" w:ascii="宋体" w:hAnsi="宋体" w:eastAsia="宋体" w:cs="宋体"/>
          <w:color w:val="auto"/>
          <w:szCs w:val="21"/>
          <w:highlight w:val="none"/>
          <w:lang w:eastAsia="zh-CN"/>
        </w:rPr>
        <w:t>首次响应文件提交</w:t>
      </w:r>
      <w:r>
        <w:rPr>
          <w:rFonts w:hint="eastAsia" w:ascii="宋体" w:hAnsi="宋体" w:eastAsia="宋体" w:cs="宋体"/>
          <w:color w:val="auto"/>
          <w:szCs w:val="21"/>
          <w:highlight w:val="none"/>
        </w:rPr>
        <w:t>截止时间前，完成电子交易平台上的CA数字证书办理及响应文件的提交。（3）为确保网上操作合法、有效和安全，请供应商确保在电子响应过程中能够对相关数据电文进行加密和使用电子签章，妥善保管CA数字证书并使用有效的CA数字证书参与整个采购活动。</w:t>
      </w:r>
    </w:p>
    <w:p w14:paraId="1EAD3EBE">
      <w:pPr>
        <w:spacing w:line="380" w:lineRule="exact"/>
        <w:ind w:firstLine="422" w:firstLineChars="200"/>
        <w:rPr>
          <w:rFonts w:hint="eastAsia" w:ascii="宋体" w:hAnsi="宋体" w:eastAsia="宋体" w:cs="宋体"/>
          <w:b/>
          <w:bCs w:val="0"/>
          <w:color w:val="auto"/>
          <w:szCs w:val="21"/>
          <w:highlight w:val="none"/>
          <w:u w:val="single"/>
        </w:rPr>
      </w:pPr>
      <w:r>
        <w:rPr>
          <w:rFonts w:hint="eastAsia" w:ascii="宋体" w:hAnsi="宋体" w:eastAsia="宋体" w:cs="宋体"/>
          <w:b/>
          <w:bCs w:val="0"/>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w:t>
      </w:r>
      <w:r>
        <w:rPr>
          <w:rFonts w:hint="eastAsia" w:ascii="宋体" w:hAnsi="宋体" w:eastAsia="宋体" w:cs="宋体"/>
          <w:b/>
          <w:color w:val="auto"/>
          <w:szCs w:val="21"/>
          <w:highlight w:val="none"/>
          <w:lang w:eastAsia="zh-CN"/>
        </w:rPr>
        <w:t>响应文件提交</w:t>
      </w:r>
      <w:r>
        <w:rPr>
          <w:rFonts w:hint="eastAsia" w:ascii="宋体" w:hAnsi="宋体" w:eastAsia="宋体" w:cs="宋体"/>
          <w:b/>
          <w:bCs w:val="0"/>
          <w:color w:val="auto"/>
          <w:szCs w:val="21"/>
          <w:highlight w:val="none"/>
          <w:u w:val="single"/>
        </w:rPr>
        <w:t>截止时间前未完成上传、递交的，视为撤回响应文件。响应文件提交截止时间以后上传递交的响应文件的，</w:t>
      </w:r>
      <w:r>
        <w:rPr>
          <w:rFonts w:hint="eastAsia" w:ascii="宋体" w:hAnsi="宋体" w:eastAsia="宋体" w:cs="宋体"/>
          <w:b/>
          <w:bCs w:val="0"/>
          <w:color w:val="auto"/>
          <w:sz w:val="21"/>
          <w:szCs w:val="21"/>
          <w:highlight w:val="none"/>
          <w:u w:val="single"/>
          <w:lang w:val="en-US" w:eastAsia="zh-CN"/>
        </w:rPr>
        <w:t>广西政府采购云平台</w:t>
      </w:r>
      <w:r>
        <w:rPr>
          <w:rFonts w:hint="eastAsia" w:ascii="宋体" w:hAnsi="宋体" w:eastAsia="宋体" w:cs="宋体"/>
          <w:b/>
          <w:bCs w:val="0"/>
          <w:color w:val="auto"/>
          <w:szCs w:val="21"/>
          <w:highlight w:val="none"/>
          <w:u w:val="single"/>
        </w:rPr>
        <w:t>将予以拒收。</w:t>
      </w:r>
    </w:p>
    <w:p w14:paraId="123F9C72">
      <w:pPr>
        <w:snapToGrid w:val="0"/>
        <w:spacing w:line="380" w:lineRule="exact"/>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4</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CA证书在线解密：首次响应文件开启时，</w:t>
      </w:r>
      <w:r>
        <w:rPr>
          <w:rFonts w:hint="eastAsia" w:ascii="宋体" w:hAnsi="宋体" w:eastAsia="宋体" w:cs="宋体"/>
          <w:color w:val="auto"/>
          <w:kern w:val="0"/>
          <w:szCs w:val="21"/>
          <w:highlight w:val="none"/>
        </w:rPr>
        <w:t>需</w:t>
      </w:r>
      <w:r>
        <w:rPr>
          <w:rFonts w:hint="eastAsia" w:ascii="宋体" w:hAnsi="宋体" w:eastAsia="宋体" w:cs="宋体"/>
          <w:color w:val="auto"/>
          <w:kern w:val="0"/>
          <w:szCs w:val="21"/>
          <w:highlight w:val="none"/>
        </w:rPr>
        <w:t>要供应商携带制作响应文件时用来加密的有效数字证书（CA认证）登录</w:t>
      </w:r>
      <w:r>
        <w:rPr>
          <w:rFonts w:hint="eastAsia" w:ascii="宋体" w:hAnsi="宋体" w:cs="宋体"/>
          <w:b w:val="0"/>
          <w:bCs w:val="0"/>
          <w:sz w:val="21"/>
          <w:szCs w:val="21"/>
          <w:highlight w:val="none"/>
          <w:lang w:val="en-US" w:eastAsia="zh-CN"/>
        </w:rPr>
        <w:t>广西政府采购云平台</w:t>
      </w:r>
      <w:r>
        <w:rPr>
          <w:rFonts w:hint="eastAsia" w:ascii="宋体" w:hAnsi="宋体" w:eastAsia="宋体" w:cs="宋体"/>
          <w:color w:val="auto"/>
          <w:kern w:val="0"/>
          <w:szCs w:val="21"/>
          <w:highlight w:val="none"/>
        </w:rPr>
        <w:t>电子开标大厅现场按规定时间对加密的响应文件进行解密。</w:t>
      </w:r>
    </w:p>
    <w:p w14:paraId="377A5E0C">
      <w:pPr>
        <w:spacing w:line="380" w:lineRule="exact"/>
        <w:ind w:firstLine="420" w:firstLineChars="200"/>
        <w:rPr>
          <w:rFonts w:hint="eastAsia" w:ascii="宋体" w:hAnsi="宋体" w:eastAsia="宋体" w:cs="宋体"/>
          <w:highlight w:val="none"/>
          <w:lang w:val="en-US" w:eastAsia="zh-CN"/>
        </w:rPr>
      </w:pP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lang w:eastAsia="zh-CN"/>
        </w:rPr>
        <w:t>）</w:t>
      </w:r>
      <w:r>
        <w:rPr>
          <w:rFonts w:hint="eastAsia" w:ascii="宋体" w:hAnsi="宋体" w:eastAsia="宋体" w:cs="宋体"/>
          <w:color w:val="auto"/>
          <w:kern w:val="0"/>
          <w:szCs w:val="21"/>
          <w:highlight w:val="none"/>
        </w:rPr>
        <w:t>供应商需要在具备有摄像头及语音功能且互联网网络状况良好的电脑登录</w:t>
      </w:r>
      <w:r>
        <w:rPr>
          <w:rFonts w:hint="eastAsia" w:ascii="宋体" w:hAnsi="宋体" w:cs="宋体"/>
          <w:b w:val="0"/>
          <w:bCs w:val="0"/>
          <w:sz w:val="21"/>
          <w:szCs w:val="21"/>
          <w:highlight w:val="none"/>
          <w:lang w:val="en-US" w:eastAsia="zh-CN"/>
        </w:rPr>
        <w:t>广西政府采购云平台</w:t>
      </w:r>
      <w:r>
        <w:rPr>
          <w:rFonts w:hint="eastAsia" w:ascii="宋体" w:hAnsi="宋体" w:eastAsia="宋体" w:cs="宋体"/>
          <w:color w:val="auto"/>
          <w:kern w:val="0"/>
          <w:szCs w:val="21"/>
          <w:highlight w:val="none"/>
        </w:rPr>
        <w:t>远程开标大厅参与本次磋商，否则后果自负。</w:t>
      </w:r>
    </w:p>
    <w:p w14:paraId="67E1CCB8">
      <w:pPr>
        <w:pStyle w:val="12"/>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7</w:t>
      </w:r>
      <w:r>
        <w:rPr>
          <w:rFonts w:hint="eastAsia" w:ascii="宋体" w:hAnsi="宋体" w:eastAsia="宋体" w:cs="宋体"/>
          <w:color w:val="auto"/>
          <w:kern w:val="0"/>
          <w:szCs w:val="21"/>
          <w:highlight w:val="none"/>
        </w:rPr>
        <w:t>. 若对项目采购电子交易系统操作有疑问，可登录</w:t>
      </w:r>
      <w:r>
        <w:rPr>
          <w:rFonts w:hint="eastAsia" w:ascii="宋体" w:hAnsi="宋体" w:cs="宋体"/>
          <w:b w:val="0"/>
          <w:bCs w:val="0"/>
          <w:sz w:val="21"/>
          <w:szCs w:val="21"/>
          <w:highlight w:val="none"/>
          <w:lang w:val="en-US" w:eastAsia="zh-CN"/>
        </w:rPr>
        <w:t>广西政府采购云平台（https://www.gcy.zfcg.gxzf.gov.cn/）</w:t>
      </w:r>
      <w:r>
        <w:rPr>
          <w:rFonts w:hint="eastAsia" w:ascii="宋体" w:hAnsi="宋体" w:eastAsia="宋体" w:cs="宋体"/>
          <w:color w:val="auto"/>
          <w:kern w:val="0"/>
          <w:szCs w:val="21"/>
          <w:highlight w:val="none"/>
        </w:rPr>
        <w:t>，点击右侧咨询小采，获取采小蜜智能服务管家帮助，或拨打</w:t>
      </w:r>
      <w:r>
        <w:rPr>
          <w:rFonts w:hint="eastAsia" w:ascii="宋体" w:hAnsi="宋体" w:cs="宋体"/>
          <w:b w:val="0"/>
          <w:bCs w:val="0"/>
          <w:sz w:val="21"/>
          <w:szCs w:val="21"/>
          <w:highlight w:val="none"/>
          <w:lang w:val="en-US" w:eastAsia="zh-CN"/>
        </w:rPr>
        <w:t>广西政府采购云平台</w:t>
      </w:r>
      <w:r>
        <w:rPr>
          <w:rFonts w:hint="eastAsia" w:ascii="宋体" w:hAnsi="宋体" w:eastAsia="宋体" w:cs="宋体"/>
          <w:color w:val="auto"/>
          <w:kern w:val="0"/>
          <w:szCs w:val="21"/>
          <w:highlight w:val="none"/>
        </w:rPr>
        <w:t>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731F109B">
      <w:pPr>
        <w:pStyle w:val="12"/>
        <w:ind w:firstLine="420"/>
        <w:rPr>
          <w:rFonts w:ascii="黑体" w:hAnsi="黑体" w:eastAsia="黑体" w:cs="宋体"/>
          <w:bCs/>
          <w:color w:val="auto"/>
          <w:sz w:val="24"/>
          <w:highlight w:val="none"/>
        </w:rPr>
      </w:pPr>
      <w:r>
        <w:rPr>
          <w:rFonts w:hint="eastAsia" w:ascii="黑体" w:hAnsi="黑体" w:eastAsia="黑体" w:cs="宋体"/>
          <w:b/>
          <w:color w:val="auto"/>
          <w:kern w:val="44"/>
          <w:sz w:val="24"/>
          <w:highlight w:val="none"/>
        </w:rPr>
        <w:t>八、凡对本次采购提出询问，请按</w:t>
      </w:r>
      <w:r>
        <w:rPr>
          <w:rFonts w:ascii="黑体" w:hAnsi="黑体" w:eastAsia="黑体" w:cs="宋体"/>
          <w:b/>
          <w:color w:val="auto"/>
          <w:kern w:val="44"/>
          <w:sz w:val="24"/>
          <w:highlight w:val="none"/>
        </w:rPr>
        <w:t>以下方式</w:t>
      </w:r>
      <w:r>
        <w:rPr>
          <w:rFonts w:hint="eastAsia" w:ascii="黑体" w:hAnsi="黑体" w:eastAsia="黑体" w:cs="宋体"/>
          <w:b/>
          <w:color w:val="auto"/>
          <w:kern w:val="44"/>
          <w:sz w:val="24"/>
          <w:highlight w:val="none"/>
        </w:rPr>
        <w:t>联系。</w:t>
      </w:r>
    </w:p>
    <w:p w14:paraId="55739BAD">
      <w:pPr>
        <w:spacing w:line="360" w:lineRule="auto"/>
        <w:ind w:firstLine="420" w:firstLineChars="200"/>
        <w:rPr>
          <w:rFonts w:cs="宋体"/>
          <w:color w:val="auto"/>
          <w:kern w:val="0"/>
          <w:szCs w:val="21"/>
          <w:highlight w:val="none"/>
        </w:rPr>
      </w:pPr>
      <w:r>
        <w:rPr>
          <w:rFonts w:hint="eastAsia" w:ascii="宋体" w:hAnsi="宋体" w:cs="宋体"/>
          <w:color w:val="auto"/>
          <w:kern w:val="0"/>
          <w:szCs w:val="21"/>
          <w:highlight w:val="none"/>
        </w:rPr>
        <w:t>1.</w:t>
      </w:r>
      <w:r>
        <w:rPr>
          <w:rFonts w:hint="eastAsia" w:cs="宋体"/>
          <w:color w:val="auto"/>
          <w:kern w:val="0"/>
          <w:szCs w:val="21"/>
          <w:highlight w:val="none"/>
        </w:rPr>
        <w:t>采购人信息</w:t>
      </w:r>
    </w:p>
    <w:p w14:paraId="7F4F3B16">
      <w:pPr>
        <w:spacing w:line="360" w:lineRule="auto"/>
        <w:ind w:firstLine="420" w:firstLineChars="200"/>
        <w:rPr>
          <w:rFonts w:cs="宋体"/>
          <w:color w:val="auto"/>
          <w:kern w:val="0"/>
          <w:szCs w:val="21"/>
          <w:highlight w:val="none"/>
        </w:rPr>
      </w:pPr>
      <w:bookmarkStart w:id="39" w:name="_Toc28359009"/>
      <w:bookmarkStart w:id="40" w:name="_Toc28359086"/>
      <w:r>
        <w:rPr>
          <w:rFonts w:hint="eastAsia" w:cs="宋体"/>
          <w:color w:val="auto"/>
          <w:kern w:val="0"/>
          <w:szCs w:val="21"/>
          <w:highlight w:val="none"/>
        </w:rPr>
        <w:t>名    称：广西农业职业技术大学</w:t>
      </w:r>
    </w:p>
    <w:p w14:paraId="7DCEECDE">
      <w:pPr>
        <w:spacing w:line="360" w:lineRule="auto"/>
        <w:ind w:firstLine="420" w:firstLineChars="200"/>
        <w:rPr>
          <w:rFonts w:cs="宋体"/>
          <w:color w:val="auto"/>
          <w:kern w:val="0"/>
          <w:szCs w:val="21"/>
          <w:highlight w:val="none"/>
        </w:rPr>
      </w:pPr>
      <w:r>
        <w:rPr>
          <w:rFonts w:hint="eastAsia" w:cs="宋体"/>
          <w:color w:val="auto"/>
          <w:kern w:val="0"/>
          <w:szCs w:val="21"/>
          <w:highlight w:val="none"/>
        </w:rPr>
        <w:t>地    址：</w:t>
      </w:r>
      <w:bookmarkStart w:id="41" w:name="OLE_LINK8"/>
      <w:r>
        <w:rPr>
          <w:rFonts w:hint="eastAsia" w:cs="宋体"/>
          <w:color w:val="auto"/>
          <w:kern w:val="0"/>
          <w:szCs w:val="21"/>
          <w:highlight w:val="none"/>
        </w:rPr>
        <w:t>南宁市西乡塘区大学东路176号</w:t>
      </w:r>
      <w:bookmarkEnd w:id="41"/>
    </w:p>
    <w:p w14:paraId="1F49A04C">
      <w:pPr>
        <w:spacing w:line="360" w:lineRule="auto"/>
        <w:ind w:firstLine="420" w:firstLineChars="200"/>
        <w:rPr>
          <w:rFonts w:cs="宋体"/>
          <w:color w:val="auto"/>
          <w:kern w:val="0"/>
          <w:szCs w:val="21"/>
          <w:highlight w:val="none"/>
        </w:rPr>
      </w:pPr>
      <w:r>
        <w:rPr>
          <w:rFonts w:hint="eastAsia" w:cs="宋体"/>
          <w:color w:val="auto"/>
          <w:kern w:val="0"/>
          <w:szCs w:val="21"/>
          <w:highlight w:val="none"/>
        </w:rPr>
        <w:t>项目联系人：陈宇</w:t>
      </w:r>
    </w:p>
    <w:p w14:paraId="1DF078B5">
      <w:pPr>
        <w:spacing w:line="360" w:lineRule="auto"/>
        <w:ind w:firstLine="420" w:firstLineChars="200"/>
        <w:rPr>
          <w:rFonts w:cs="宋体"/>
          <w:color w:val="auto"/>
          <w:kern w:val="0"/>
          <w:szCs w:val="21"/>
          <w:highlight w:val="none"/>
        </w:rPr>
      </w:pPr>
      <w:r>
        <w:rPr>
          <w:rFonts w:hint="eastAsia" w:cs="宋体"/>
          <w:color w:val="auto"/>
          <w:kern w:val="0"/>
          <w:szCs w:val="21"/>
          <w:highlight w:val="none"/>
        </w:rPr>
        <w:t>联系电话：0771-4714671</w:t>
      </w:r>
    </w:p>
    <w:bookmarkEnd w:id="39"/>
    <w:bookmarkEnd w:id="40"/>
    <w:p w14:paraId="69D04532">
      <w:pPr>
        <w:spacing w:line="360" w:lineRule="auto"/>
        <w:ind w:firstLine="420" w:firstLineChars="200"/>
        <w:rPr>
          <w:rFonts w:cs="宋体"/>
          <w:color w:val="auto"/>
          <w:kern w:val="0"/>
          <w:szCs w:val="21"/>
          <w:highlight w:val="none"/>
        </w:rPr>
      </w:pPr>
      <w:bookmarkStart w:id="42" w:name="_Toc28359097"/>
      <w:bookmarkStart w:id="43" w:name="_Toc35393807"/>
      <w:bookmarkStart w:id="44" w:name="_Toc31993"/>
      <w:bookmarkStart w:id="45" w:name="_Toc35393638"/>
      <w:bookmarkStart w:id="46" w:name="_Toc28359020"/>
      <w:r>
        <w:rPr>
          <w:rFonts w:hint="eastAsia" w:ascii="宋体" w:hAnsi="宋体" w:cs="宋体"/>
          <w:color w:val="auto"/>
          <w:kern w:val="0"/>
          <w:szCs w:val="21"/>
          <w:highlight w:val="none"/>
        </w:rPr>
        <w:t>2.</w:t>
      </w:r>
      <w:r>
        <w:rPr>
          <w:rFonts w:hint="eastAsia" w:cs="宋体"/>
          <w:color w:val="auto"/>
          <w:kern w:val="0"/>
          <w:szCs w:val="21"/>
          <w:highlight w:val="none"/>
        </w:rPr>
        <w:t>采购代理机构信息</w:t>
      </w:r>
      <w:bookmarkEnd w:id="42"/>
      <w:bookmarkEnd w:id="43"/>
      <w:bookmarkEnd w:id="44"/>
      <w:bookmarkEnd w:id="45"/>
      <w:bookmarkEnd w:id="46"/>
    </w:p>
    <w:p w14:paraId="1468A991">
      <w:pPr>
        <w:spacing w:line="360" w:lineRule="auto"/>
        <w:ind w:firstLine="420" w:firstLineChars="200"/>
        <w:rPr>
          <w:rFonts w:cs="宋体"/>
          <w:color w:val="auto"/>
          <w:kern w:val="0"/>
          <w:szCs w:val="21"/>
          <w:highlight w:val="none"/>
        </w:rPr>
      </w:pPr>
      <w:r>
        <w:rPr>
          <w:rFonts w:hint="eastAsia" w:cs="宋体"/>
          <w:color w:val="auto"/>
          <w:kern w:val="0"/>
          <w:szCs w:val="21"/>
          <w:highlight w:val="none"/>
        </w:rPr>
        <w:t>名    称：广西科联招标中心有限公司</w:t>
      </w:r>
    </w:p>
    <w:p w14:paraId="2AF9A72F">
      <w:pPr>
        <w:spacing w:line="360" w:lineRule="auto"/>
        <w:ind w:firstLine="420" w:firstLineChars="200"/>
        <w:rPr>
          <w:rFonts w:cs="宋体"/>
          <w:color w:val="auto"/>
          <w:kern w:val="0"/>
          <w:szCs w:val="21"/>
          <w:highlight w:val="none"/>
        </w:rPr>
      </w:pPr>
      <w:r>
        <w:rPr>
          <w:rFonts w:hint="eastAsia" w:cs="宋体"/>
          <w:color w:val="auto"/>
          <w:kern w:val="0"/>
          <w:szCs w:val="21"/>
          <w:highlight w:val="none"/>
        </w:rPr>
        <w:t>地　　址：广西南宁市大学东路170号</w:t>
      </w:r>
    </w:p>
    <w:p w14:paraId="50A2E767">
      <w:pPr>
        <w:spacing w:line="360" w:lineRule="auto"/>
        <w:ind w:firstLine="420" w:firstLineChars="200"/>
        <w:rPr>
          <w:rFonts w:cs="宋体"/>
          <w:color w:val="auto"/>
          <w:kern w:val="0"/>
          <w:szCs w:val="21"/>
          <w:highlight w:val="none"/>
        </w:rPr>
      </w:pPr>
      <w:r>
        <w:rPr>
          <w:rFonts w:hint="eastAsia" w:cs="宋体"/>
          <w:color w:val="auto"/>
          <w:kern w:val="0"/>
          <w:szCs w:val="21"/>
          <w:highlight w:val="none"/>
        </w:rPr>
        <w:t xml:space="preserve">项目联系人：莫予志、苏中伟      </w:t>
      </w:r>
    </w:p>
    <w:p w14:paraId="401DBAD8">
      <w:pPr>
        <w:spacing w:line="360" w:lineRule="auto"/>
        <w:ind w:firstLine="420" w:firstLineChars="200"/>
        <w:rPr>
          <w:rFonts w:cs="宋体"/>
          <w:color w:val="auto"/>
          <w:kern w:val="0"/>
          <w:szCs w:val="21"/>
          <w:highlight w:val="none"/>
        </w:rPr>
      </w:pPr>
      <w:r>
        <w:rPr>
          <w:rFonts w:hint="eastAsia" w:cs="宋体"/>
          <w:color w:val="auto"/>
          <w:kern w:val="0"/>
          <w:szCs w:val="21"/>
          <w:highlight w:val="none"/>
        </w:rPr>
        <w:t>联系电话：0771-2416905</w:t>
      </w:r>
    </w:p>
    <w:p w14:paraId="64BB74B3">
      <w:pPr>
        <w:spacing w:line="360" w:lineRule="auto"/>
        <w:ind w:firstLine="420" w:firstLineChars="200"/>
        <w:rPr>
          <w:rFonts w:cs="宋体"/>
          <w:color w:val="auto"/>
          <w:kern w:val="0"/>
          <w:szCs w:val="21"/>
          <w:highlight w:val="none"/>
        </w:rPr>
      </w:pPr>
    </w:p>
    <w:p w14:paraId="7A748719">
      <w:pPr>
        <w:spacing w:line="380" w:lineRule="exact"/>
        <w:ind w:firstLine="735" w:firstLineChars="350"/>
        <w:rPr>
          <w:rFonts w:ascii="宋体" w:hAnsi="宋体" w:cs="宋体"/>
          <w:color w:val="auto"/>
          <w:szCs w:val="21"/>
          <w:highlight w:val="none"/>
        </w:rPr>
      </w:pPr>
    </w:p>
    <w:p w14:paraId="1A862E74">
      <w:pPr>
        <w:spacing w:line="360" w:lineRule="auto"/>
        <w:ind w:firstLine="420" w:firstLineChars="200"/>
        <w:rPr>
          <w:color w:val="auto"/>
          <w:szCs w:val="21"/>
          <w:highlight w:val="none"/>
        </w:rPr>
      </w:pPr>
    </w:p>
    <w:p w14:paraId="7F038291">
      <w:pPr>
        <w:pStyle w:val="12"/>
        <w:spacing w:line="360" w:lineRule="auto"/>
        <w:ind w:firstLine="420" w:firstLineChars="200"/>
        <w:rPr>
          <w:color w:val="auto"/>
          <w:szCs w:val="21"/>
          <w:highlight w:val="none"/>
        </w:rPr>
      </w:pPr>
    </w:p>
    <w:p w14:paraId="6302CA73">
      <w:pPr>
        <w:pStyle w:val="3"/>
        <w:spacing w:before="0" w:after="0" w:line="480" w:lineRule="auto"/>
        <w:jc w:val="center"/>
        <w:rPr>
          <w:rFonts w:ascii="Cambria" w:hAnsi="Cambria"/>
          <w:bCs w:val="0"/>
          <w:color w:val="auto"/>
          <w:sz w:val="32"/>
          <w:szCs w:val="32"/>
          <w:highlight w:val="none"/>
        </w:rPr>
      </w:pPr>
      <w:bookmarkStart w:id="47" w:name="_Toc9127"/>
      <w:bookmarkStart w:id="48" w:name="_Toc25520"/>
      <w:bookmarkStart w:id="49" w:name="_Toc22325"/>
      <w:bookmarkStart w:id="50" w:name="_Toc7184"/>
      <w:bookmarkStart w:id="51" w:name="_Toc26836"/>
      <w:bookmarkStart w:id="52" w:name="_Toc80886926"/>
      <w:bookmarkStart w:id="53" w:name="_Toc11093"/>
      <w:bookmarkStart w:id="54" w:name="_Toc22760"/>
      <w:r>
        <w:rPr>
          <w:rFonts w:hint="eastAsia" w:ascii="Cambria" w:hAnsi="Cambria"/>
          <w:bCs w:val="0"/>
          <w:color w:val="auto"/>
          <w:sz w:val="32"/>
          <w:szCs w:val="32"/>
          <w:highlight w:val="none"/>
        </w:rPr>
        <w:br w:type="page"/>
      </w:r>
      <w:r>
        <w:rPr>
          <w:rFonts w:hint="eastAsia" w:ascii="Cambria" w:hAnsi="Cambria"/>
          <w:bCs w:val="0"/>
          <w:color w:val="auto"/>
          <w:sz w:val="32"/>
          <w:szCs w:val="32"/>
          <w:highlight w:val="none"/>
        </w:rPr>
        <w:t>第二章 采购需求</w:t>
      </w:r>
      <w:bookmarkEnd w:id="47"/>
      <w:bookmarkEnd w:id="48"/>
      <w:bookmarkEnd w:id="49"/>
      <w:bookmarkEnd w:id="50"/>
      <w:bookmarkEnd w:id="51"/>
      <w:bookmarkEnd w:id="52"/>
      <w:bookmarkEnd w:id="53"/>
    </w:p>
    <w:bookmarkEnd w:id="54"/>
    <w:p w14:paraId="2BE23EF5">
      <w:pPr>
        <w:spacing w:line="420" w:lineRule="exact"/>
        <w:jc w:val="left"/>
        <w:rPr>
          <w:rFonts w:cs="宋体"/>
          <w:color w:val="auto"/>
          <w:szCs w:val="21"/>
          <w:highlight w:val="none"/>
        </w:rPr>
      </w:pPr>
      <w:r>
        <w:rPr>
          <w:rFonts w:hint="eastAsia" w:cs="宋体"/>
          <w:color w:val="auto"/>
          <w:szCs w:val="21"/>
          <w:highlight w:val="none"/>
        </w:rPr>
        <w:t>说明：</w:t>
      </w:r>
    </w:p>
    <w:p w14:paraId="33B7E450">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highlight w:val="none"/>
        </w:rPr>
        <w:t>1. 为落实政府采购政策需满足的要求：</w:t>
      </w:r>
    </w:p>
    <w:p w14:paraId="44DEF658">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（1）本竞争性磋商文件所称中小企业必须符合《政府采购促进中小企业发展管理办法》（财库〔2020〕46号）的规定。</w:t>
      </w:r>
    </w:p>
    <w:p w14:paraId="4F93CFAE">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供应商应根据自身实际情况如实响应磋商文件，对磋商文件提出的要求和条件作出明确响应，否则将作无效响应处理。对于重要技术条款或技术参数应当在响应文件中提供技术支持资料，技术支持资料以磋商文件中规定的形式为准，否则将视为无效技术支持资料。</w:t>
      </w:r>
    </w:p>
    <w:p w14:paraId="256533BB">
      <w:pPr>
        <w:spacing w:line="420" w:lineRule="exact"/>
        <w:ind w:firstLine="413" w:firstLineChars="196"/>
        <w:rPr>
          <w:rFonts w:ascii="宋体" w:hAnsi="宋体" w:cs="宋体"/>
          <w:b/>
          <w:bCs/>
          <w:color w:val="auto"/>
          <w:szCs w:val="21"/>
          <w:highlight w:val="none"/>
        </w:rPr>
      </w:pPr>
      <w:r>
        <w:rPr>
          <w:rFonts w:hint="eastAsia" w:ascii="宋体" w:hAnsi="宋体" w:cs="宋体"/>
          <w:b/>
          <w:bCs/>
          <w:color w:val="auto"/>
          <w:szCs w:val="21"/>
          <w:highlight w:val="none"/>
        </w:rPr>
        <w:t>2.“实质性要求”是指磋商文件中已经指明不满足则响应文件按无效响应处理的条款，或者不能负偏离的条款，或者采购需求中带“▲”的条款。</w:t>
      </w:r>
    </w:p>
    <w:p w14:paraId="05F65199">
      <w:pPr>
        <w:pStyle w:val="12"/>
        <w:spacing w:line="420" w:lineRule="exact"/>
        <w:ind w:firstLine="420" w:firstLineChars="200"/>
        <w:rPr>
          <w:rFonts w:ascii="宋体" w:hAnsi="宋体" w:cs="宋体"/>
          <w:color w:val="auto"/>
          <w:highlight w:val="none"/>
        </w:rPr>
      </w:pPr>
      <w:r>
        <w:rPr>
          <w:rFonts w:hint="eastAsia" w:ascii="宋体" w:hAnsi="宋体" w:cs="宋体"/>
          <w:color w:val="auto"/>
          <w:szCs w:val="21"/>
          <w:highlight w:val="none"/>
        </w:rPr>
        <w:t>3.</w:t>
      </w:r>
      <w:r>
        <w:rPr>
          <w:rFonts w:hint="eastAsia" w:ascii="宋体" w:hAnsi="宋体" w:cs="宋体"/>
          <w:color w:val="auto"/>
          <w:highlight w:val="none"/>
        </w:rPr>
        <w:t>如竞标产品存在侵犯他人的知识产权或者专利成果行为的，应承担相应法律责任。</w:t>
      </w:r>
    </w:p>
    <w:p w14:paraId="13F240AD">
      <w:pPr>
        <w:tabs>
          <w:tab w:val="left" w:pos="180"/>
          <w:tab w:val="left" w:pos="1620"/>
        </w:tabs>
        <w:spacing w:line="420" w:lineRule="exact"/>
        <w:ind w:firstLine="420" w:firstLineChars="200"/>
        <w:rPr>
          <w:rFonts w:ascii="宋体" w:hAnsi="宋体" w:cs="宋体"/>
          <w:b/>
          <w:color w:val="auto"/>
          <w:kern w:val="0"/>
          <w:szCs w:val="21"/>
          <w:highlight w:val="none"/>
          <w:u w:val="single"/>
        </w:rPr>
      </w:pPr>
      <w:r>
        <w:rPr>
          <w:rFonts w:hint="eastAsia" w:ascii="宋体" w:hAnsi="宋体" w:cs="宋体"/>
          <w:color w:val="auto"/>
          <w:highlight w:val="none"/>
        </w:rPr>
        <w:t>4.采购标的对应的中小企业划分标准所属行业名称：1分标、2分标属于</w:t>
      </w:r>
      <w:r>
        <w:rPr>
          <w:rFonts w:hint="eastAsia" w:ascii="宋体" w:hAnsi="宋体" w:cs="宋体"/>
          <w:b/>
          <w:color w:val="auto"/>
          <w:kern w:val="0"/>
          <w:szCs w:val="21"/>
          <w:highlight w:val="none"/>
          <w:u w:val="single"/>
        </w:rPr>
        <w:t>其他未列明行业。</w:t>
      </w:r>
    </w:p>
    <w:p w14:paraId="6621072B">
      <w:pPr>
        <w:tabs>
          <w:tab w:val="left" w:pos="180"/>
          <w:tab w:val="left" w:pos="1620"/>
        </w:tabs>
        <w:spacing w:line="420" w:lineRule="exact"/>
        <w:ind w:firstLine="420" w:firstLineChars="200"/>
        <w:rPr>
          <w:rFonts w:ascii="宋体" w:hAnsi="宋体" w:cs="宋体"/>
          <w:b/>
          <w:color w:val="auto"/>
          <w:kern w:val="0"/>
          <w:szCs w:val="21"/>
          <w:highlight w:val="none"/>
          <w:u w:val="single"/>
        </w:rPr>
      </w:pPr>
      <w:r>
        <w:rPr>
          <w:rFonts w:hint="eastAsia" w:ascii="宋体" w:hAnsi="宋体"/>
          <w:color w:val="auto"/>
          <w:szCs w:val="21"/>
          <w:highlight w:val="none"/>
        </w:rPr>
        <w:t>5.本项目为服务类项目，无核心产品。</w:t>
      </w:r>
    </w:p>
    <w:p w14:paraId="79E9D62F">
      <w:pPr>
        <w:spacing w:line="4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6.为保证项目服务质量，供应商可以竞投一个分标也可以竞投两个分标，但一个供应商最多只能成为一个分标的成交供应商。评标顺序：1分标→2分标。已经成为1分标第一成交候选人的供应商仍可以参与2分标的竞标及评审，但自动失去</w:t>
      </w:r>
      <w:r>
        <w:rPr>
          <w:rFonts w:hint="eastAsia"/>
          <w:color w:val="auto"/>
          <w:highlight w:val="none"/>
        </w:rPr>
        <w:t>2分标的</w:t>
      </w:r>
      <w:r>
        <w:rPr>
          <w:rFonts w:hint="eastAsia" w:ascii="宋体" w:hAnsi="宋体" w:cs="宋体"/>
          <w:color w:val="auto"/>
          <w:szCs w:val="21"/>
          <w:highlight w:val="none"/>
        </w:rPr>
        <w:t>成交候选人推荐资格，各分标成交人应为不同的供应商。</w:t>
      </w:r>
    </w:p>
    <w:p w14:paraId="667D77D4">
      <w:pPr>
        <w:spacing w:line="420" w:lineRule="exact"/>
        <w:jc w:val="left"/>
        <w:rPr>
          <w:rFonts w:ascii="宋体" w:hAnsi="宋体" w:cs="宋体"/>
          <w:b/>
          <w:bCs/>
          <w:color w:val="auto"/>
          <w:szCs w:val="21"/>
          <w:highlight w:val="none"/>
        </w:rPr>
      </w:pPr>
    </w:p>
    <w:p w14:paraId="44728402">
      <w:pPr>
        <w:spacing w:line="420" w:lineRule="exact"/>
        <w:jc w:val="left"/>
        <w:rPr>
          <w:rFonts w:ascii="宋体" w:hAnsi="宋体" w:cs="宋体"/>
          <w:b/>
          <w:bCs/>
          <w:color w:val="auto"/>
          <w:szCs w:val="21"/>
          <w:highlight w:val="none"/>
        </w:rPr>
      </w:pPr>
      <w:r>
        <w:rPr>
          <w:rFonts w:hint="eastAsia" w:ascii="宋体" w:hAnsi="宋体" w:cs="宋体"/>
          <w:b/>
          <w:bCs/>
          <w:color w:val="auto"/>
          <w:szCs w:val="21"/>
          <w:highlight w:val="none"/>
        </w:rPr>
        <w:t>1分标：食堂及创新中心实训综合楼、10#学生宿舍楼、11#学生宿舍楼跟踪审计和结算审核服务</w:t>
      </w:r>
    </w:p>
    <w:p w14:paraId="7E938541">
      <w:pPr>
        <w:spacing w:line="420" w:lineRule="exact"/>
        <w:ind w:firstLine="843" w:firstLineChars="400"/>
        <w:jc w:val="left"/>
        <w:rPr>
          <w:rFonts w:ascii="宋体" w:hAnsi="宋体" w:cs="宋体"/>
          <w:b/>
          <w:bCs/>
          <w:color w:val="auto"/>
          <w:szCs w:val="21"/>
          <w:highlight w:val="none"/>
          <w:u w:val="single"/>
        </w:rPr>
      </w:pPr>
      <w:r>
        <w:rPr>
          <w:rFonts w:hint="eastAsia" w:ascii="宋体" w:hAnsi="宋体" w:cs="宋体"/>
          <w:b/>
          <w:bCs/>
          <w:color w:val="auto"/>
          <w:szCs w:val="21"/>
          <w:highlight w:val="none"/>
        </w:rPr>
        <w:t>采购预算金额（元）：</w:t>
      </w:r>
      <w:r>
        <w:rPr>
          <w:rFonts w:hint="eastAsia" w:ascii="宋体" w:hAnsi="宋体" w:cs="宋体"/>
          <w:b/>
          <w:bCs/>
          <w:color w:val="auto"/>
          <w:szCs w:val="21"/>
          <w:highlight w:val="none"/>
          <w:u w:val="single"/>
        </w:rPr>
        <w:t>1029825.00</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1"/>
        <w:gridCol w:w="1815"/>
        <w:gridCol w:w="5714"/>
        <w:gridCol w:w="929"/>
        <w:gridCol w:w="728"/>
      </w:tblGrid>
      <w:tr w14:paraId="34449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noWrap w:val="0"/>
            <w:tcMar>
              <w:top w:w="13" w:type="dxa"/>
              <w:left w:w="57" w:type="dxa"/>
              <w:bottom w:w="0" w:type="dxa"/>
              <w:right w:w="57" w:type="dxa"/>
            </w:tcMar>
            <w:vAlign w:val="center"/>
          </w:tcPr>
          <w:p w14:paraId="34BB09FA">
            <w:pPr>
              <w:jc w:val="left"/>
              <w:rPr>
                <w:rFonts w:ascii="宋体" w:hAnsi="宋体" w:cs="仿宋_GB2312"/>
                <w:b/>
                <w:bCs/>
                <w:color w:val="auto"/>
                <w:kern w:val="0"/>
                <w:highlight w:val="none"/>
              </w:rPr>
            </w:pPr>
            <w:r>
              <w:rPr>
                <w:rFonts w:hint="eastAsia" w:ascii="宋体" w:hAnsi="宋体" w:cs="仿宋_GB2312"/>
                <w:b/>
                <w:bCs/>
                <w:color w:val="auto"/>
                <w:kern w:val="0"/>
                <w:highlight w:val="none"/>
              </w:rPr>
              <w:t>项目概况：</w:t>
            </w:r>
          </w:p>
          <w:p w14:paraId="462EBF8A">
            <w:pPr>
              <w:jc w:val="left"/>
              <w:rPr>
                <w:rFonts w:ascii="宋体" w:hAnsi="宋体" w:cs="仿宋_GB2312"/>
                <w:b/>
                <w:bCs/>
                <w:color w:val="auto"/>
                <w:kern w:val="0"/>
                <w:highlight w:val="none"/>
              </w:rPr>
            </w:pPr>
            <w:r>
              <w:rPr>
                <w:rFonts w:hint="eastAsia" w:ascii="宋体" w:hAnsi="宋体" w:cs="仿宋_GB2312"/>
                <w:b/>
                <w:bCs/>
                <w:color w:val="auto"/>
                <w:kern w:val="0"/>
                <w:highlight w:val="none"/>
              </w:rPr>
              <w:t>1.工程概况：总建筑面积为62374.84㎡，其中食堂及创新中心实训综合楼地上5层，地下1层；10#学生宿舍楼地上11层，建筑面积20592.65㎡；11#学生宿舍楼地上12层，建筑面积23640.87㎡。</w:t>
            </w:r>
          </w:p>
          <w:p w14:paraId="0C7F5C4A">
            <w:pPr>
              <w:jc w:val="left"/>
              <w:rPr>
                <w:rFonts w:ascii="宋体" w:hAnsi="宋体" w:cs="仿宋_GB2312"/>
                <w:b/>
                <w:bCs/>
                <w:color w:val="auto"/>
                <w:kern w:val="0"/>
                <w:highlight w:val="none"/>
              </w:rPr>
            </w:pPr>
            <w:r>
              <w:rPr>
                <w:rFonts w:hint="eastAsia" w:ascii="宋体" w:hAnsi="宋体" w:cs="仿宋_GB2312"/>
                <w:b/>
                <w:bCs/>
                <w:color w:val="auto"/>
                <w:kern w:val="0"/>
                <w:highlight w:val="none"/>
              </w:rPr>
              <w:t>2.施工工程招标控制价为18495.24万元，预计工期478天。</w:t>
            </w:r>
          </w:p>
        </w:tc>
      </w:tr>
      <w:tr w14:paraId="3DCF3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noWrap w:val="0"/>
            <w:tcMar>
              <w:top w:w="13" w:type="dxa"/>
              <w:left w:w="57" w:type="dxa"/>
              <w:bottom w:w="0" w:type="dxa"/>
              <w:right w:w="57" w:type="dxa"/>
            </w:tcMar>
            <w:vAlign w:val="center"/>
          </w:tcPr>
          <w:p w14:paraId="7E36CCAA">
            <w:pPr>
              <w:rPr>
                <w:rFonts w:ascii="宋体" w:hAnsi="宋体" w:cs="仿宋_GB2312"/>
                <w:b/>
                <w:bCs/>
                <w:color w:val="auto"/>
                <w:kern w:val="0"/>
                <w:highlight w:val="none"/>
              </w:rPr>
            </w:pPr>
            <w:r>
              <w:rPr>
                <w:rFonts w:hint="eastAsia" w:ascii="宋体" w:hAnsi="宋体"/>
                <w:b/>
                <w:color w:val="auto"/>
                <w:highlight w:val="none"/>
              </w:rPr>
              <w:t>▲</w:t>
            </w:r>
            <w:r>
              <w:rPr>
                <w:rFonts w:hint="eastAsia" w:ascii="宋体" w:hAnsi="宋体" w:cs="仿宋_GB2312"/>
                <w:b/>
                <w:bCs/>
                <w:color w:val="auto"/>
                <w:kern w:val="0"/>
                <w:highlight w:val="none"/>
              </w:rPr>
              <w:t>一、技术要求</w:t>
            </w:r>
          </w:p>
        </w:tc>
      </w:tr>
      <w:tr w14:paraId="740B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3" w:type="pct"/>
            <w:noWrap w:val="0"/>
            <w:tcMar>
              <w:top w:w="13" w:type="dxa"/>
              <w:left w:w="57" w:type="dxa"/>
              <w:bottom w:w="0" w:type="dxa"/>
              <w:right w:w="57" w:type="dxa"/>
            </w:tcMar>
            <w:vAlign w:val="center"/>
          </w:tcPr>
          <w:p w14:paraId="37E7CF75">
            <w:pPr>
              <w:jc w:val="center"/>
              <w:rPr>
                <w:rFonts w:ascii="宋体" w:hAnsi="宋体"/>
                <w:b/>
                <w:bCs/>
                <w:color w:val="auto"/>
                <w:kern w:val="0"/>
                <w:highlight w:val="none"/>
              </w:rPr>
            </w:pPr>
            <w:r>
              <w:rPr>
                <w:rFonts w:hint="eastAsia" w:ascii="宋体" w:hAnsi="宋体"/>
                <w:b/>
                <w:bCs/>
                <w:color w:val="auto"/>
                <w:kern w:val="0"/>
                <w:highlight w:val="none"/>
              </w:rPr>
              <w:t>序号</w:t>
            </w:r>
          </w:p>
        </w:tc>
        <w:tc>
          <w:tcPr>
            <w:tcW w:w="930" w:type="pct"/>
            <w:noWrap w:val="0"/>
            <w:tcMar>
              <w:top w:w="13" w:type="dxa"/>
              <w:left w:w="57" w:type="dxa"/>
              <w:bottom w:w="0" w:type="dxa"/>
              <w:right w:w="57" w:type="dxa"/>
            </w:tcMar>
            <w:vAlign w:val="center"/>
          </w:tcPr>
          <w:p w14:paraId="5197610F">
            <w:pPr>
              <w:snapToGrid w:val="0"/>
              <w:jc w:val="center"/>
              <w:rPr>
                <w:rFonts w:hint="eastAsia" w:ascii="宋体" w:hAnsi="宋体"/>
                <w:b/>
                <w:bCs/>
                <w:color w:val="auto"/>
                <w:highlight w:val="none"/>
              </w:rPr>
            </w:pPr>
            <w:r>
              <w:rPr>
                <w:rFonts w:hint="eastAsia" w:ascii="宋体" w:hAnsi="宋体"/>
                <w:b/>
                <w:bCs/>
                <w:color w:val="auto"/>
                <w:highlight w:val="none"/>
              </w:rPr>
              <w:t>标的名称</w:t>
            </w:r>
          </w:p>
        </w:tc>
        <w:tc>
          <w:tcPr>
            <w:tcW w:w="2928" w:type="pct"/>
            <w:noWrap w:val="0"/>
            <w:tcMar>
              <w:top w:w="13" w:type="dxa"/>
              <w:left w:w="57" w:type="dxa"/>
              <w:bottom w:w="0" w:type="dxa"/>
              <w:right w:w="57" w:type="dxa"/>
            </w:tcMar>
            <w:vAlign w:val="center"/>
          </w:tcPr>
          <w:p w14:paraId="7665299E">
            <w:pPr>
              <w:jc w:val="center"/>
              <w:rPr>
                <w:rFonts w:ascii="宋体" w:hAnsi="宋体" w:cs="仿宋_GB2312"/>
                <w:b/>
                <w:bCs/>
                <w:color w:val="auto"/>
                <w:kern w:val="0"/>
                <w:highlight w:val="none"/>
              </w:rPr>
            </w:pPr>
            <w:r>
              <w:rPr>
                <w:rFonts w:hint="eastAsia" w:ascii="宋体" w:hAnsi="宋体"/>
                <w:b/>
                <w:bCs/>
                <w:color w:val="auto"/>
                <w:highlight w:val="none"/>
              </w:rPr>
              <w:t>服务内容及</w:t>
            </w:r>
            <w:r>
              <w:rPr>
                <w:rFonts w:ascii="宋体" w:hAnsi="宋体"/>
                <w:b/>
                <w:bCs/>
                <w:color w:val="auto"/>
                <w:highlight w:val="none"/>
              </w:rPr>
              <w:t>要求</w:t>
            </w:r>
          </w:p>
        </w:tc>
        <w:tc>
          <w:tcPr>
            <w:tcW w:w="476" w:type="pct"/>
            <w:noWrap w:val="0"/>
            <w:vAlign w:val="center"/>
          </w:tcPr>
          <w:p w14:paraId="19584499">
            <w:pPr>
              <w:jc w:val="center"/>
              <w:rPr>
                <w:rFonts w:ascii="宋体" w:hAnsi="宋体" w:cs="仿宋_GB2312"/>
                <w:b/>
                <w:bCs/>
                <w:color w:val="auto"/>
                <w:kern w:val="0"/>
                <w:highlight w:val="none"/>
              </w:rPr>
            </w:pPr>
            <w:r>
              <w:rPr>
                <w:rFonts w:hint="eastAsia" w:ascii="宋体" w:hAnsi="宋体" w:cs="仿宋_GB2312"/>
                <w:b/>
                <w:bCs/>
                <w:color w:val="auto"/>
                <w:kern w:val="0"/>
                <w:highlight w:val="none"/>
              </w:rPr>
              <w:t>计量单位</w:t>
            </w:r>
          </w:p>
        </w:tc>
        <w:tc>
          <w:tcPr>
            <w:tcW w:w="372" w:type="pct"/>
            <w:noWrap w:val="0"/>
            <w:vAlign w:val="center"/>
          </w:tcPr>
          <w:p w14:paraId="6C081B52">
            <w:pPr>
              <w:jc w:val="center"/>
              <w:rPr>
                <w:rFonts w:ascii="宋体" w:hAnsi="宋体" w:cs="仿宋_GB2312"/>
                <w:b/>
                <w:bCs/>
                <w:color w:val="auto"/>
                <w:kern w:val="0"/>
                <w:highlight w:val="none"/>
              </w:rPr>
            </w:pPr>
            <w:r>
              <w:rPr>
                <w:rFonts w:hint="eastAsia" w:ascii="宋体" w:hAnsi="宋体" w:cs="仿宋_GB2312"/>
                <w:b/>
                <w:bCs/>
                <w:color w:val="auto"/>
                <w:kern w:val="0"/>
                <w:highlight w:val="none"/>
              </w:rPr>
              <w:t>数量</w:t>
            </w:r>
          </w:p>
        </w:tc>
      </w:tr>
      <w:tr w14:paraId="2DC1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3" w:type="pct"/>
            <w:noWrap w:val="0"/>
            <w:tcMar>
              <w:top w:w="13" w:type="dxa"/>
              <w:left w:w="57" w:type="dxa"/>
              <w:bottom w:w="0" w:type="dxa"/>
              <w:right w:w="57" w:type="dxa"/>
            </w:tcMar>
            <w:vAlign w:val="center"/>
          </w:tcPr>
          <w:p w14:paraId="3723C4F9">
            <w:pPr>
              <w:pStyle w:val="82"/>
              <w:widowControl/>
              <w:ind w:left="420" w:hanging="420" w:firstLineChars="0"/>
              <w:jc w:val="left"/>
              <w:textAlignment w:val="center"/>
              <w:rPr>
                <w:rFonts w:ascii="宋体" w:hAnsi="宋体" w:cs="宋体"/>
                <w:color w:val="auto"/>
                <w:kern w:val="0"/>
                <w:highlight w:val="none"/>
                <w:lang w:bidi="zh-CN"/>
              </w:rPr>
            </w:pPr>
            <w:r>
              <w:rPr>
                <w:rFonts w:ascii="宋体" w:hAnsi="宋体" w:cs="宋体"/>
                <w:color w:val="auto"/>
                <w:kern w:val="0"/>
                <w:highlight w:val="none"/>
                <w:lang w:bidi="zh-CN"/>
              </w:rPr>
              <w:t>1.</w:t>
            </w:r>
          </w:p>
        </w:tc>
        <w:tc>
          <w:tcPr>
            <w:tcW w:w="930" w:type="pct"/>
            <w:noWrap w:val="0"/>
            <w:tcMar>
              <w:top w:w="13" w:type="dxa"/>
              <w:left w:w="57" w:type="dxa"/>
              <w:bottom w:w="0" w:type="dxa"/>
              <w:right w:w="57" w:type="dxa"/>
            </w:tcMar>
            <w:vAlign w:val="center"/>
          </w:tcPr>
          <w:p w14:paraId="44E84505">
            <w:pPr>
              <w:widowControl/>
              <w:textAlignment w:val="center"/>
              <w:rPr>
                <w:rFonts w:ascii="宋体" w:hAnsi="宋体" w:cs="宋体"/>
                <w:color w:val="auto"/>
                <w:kern w:val="0"/>
                <w:highlight w:val="none"/>
                <w:lang w:bidi="zh-CN"/>
              </w:rPr>
            </w:pPr>
            <w:r>
              <w:rPr>
                <w:rFonts w:hint="eastAsia" w:ascii="宋体" w:hAnsi="宋体" w:cs="宋体"/>
                <w:color w:val="auto"/>
                <w:kern w:val="0"/>
                <w:highlight w:val="none"/>
              </w:rPr>
              <w:t>广西农业职业技术大学西校区二期工程建设项目第二批工程-食堂及创新中心实训综合楼、10#学生宿舍楼、11#学生宿舍楼</w:t>
            </w:r>
            <w:r>
              <w:rPr>
                <w:rFonts w:ascii="宋体" w:hAnsi="宋体" w:cs="宋体"/>
                <w:color w:val="auto"/>
                <w:kern w:val="0"/>
                <w:highlight w:val="none"/>
              </w:rPr>
              <w:t>跟踪审计</w:t>
            </w:r>
          </w:p>
        </w:tc>
        <w:tc>
          <w:tcPr>
            <w:tcW w:w="2928" w:type="pct"/>
            <w:noWrap w:val="0"/>
            <w:tcMar>
              <w:top w:w="13" w:type="dxa"/>
              <w:left w:w="57" w:type="dxa"/>
              <w:bottom w:w="0" w:type="dxa"/>
              <w:right w:w="57" w:type="dxa"/>
            </w:tcMar>
            <w:vAlign w:val="center"/>
          </w:tcPr>
          <w:p w14:paraId="04CC228F">
            <w:pPr>
              <w:widowControl/>
              <w:spacing w:line="280" w:lineRule="exact"/>
              <w:rPr>
                <w:rFonts w:ascii="宋体" w:hAnsi="宋体" w:cs="宋体"/>
                <w:color w:val="auto"/>
                <w:kern w:val="0"/>
                <w:highlight w:val="none"/>
              </w:rPr>
            </w:pPr>
            <w:r>
              <w:rPr>
                <w:rFonts w:hint="eastAsia" w:ascii="宋体" w:hAnsi="宋体" w:cs="宋体"/>
                <w:color w:val="auto"/>
                <w:kern w:val="0"/>
                <w:highlight w:val="none"/>
              </w:rPr>
              <w:t>1.成交供应商按采购人要求的时间（每周不少于一次，采购人可根据实际情况要求增加次数）前往工程项目现场实地查看，并按采购人要求完成进度款审核、工程变更价款审核、工程索赔审核、现场签证审核、材料设备询价与核价等工作并</w:t>
            </w:r>
            <w:r>
              <w:rPr>
                <w:rFonts w:ascii="宋体" w:hAnsi="宋体" w:cs="宋体"/>
                <w:color w:val="auto"/>
                <w:kern w:val="0"/>
                <w:highlight w:val="none"/>
              </w:rPr>
              <w:t>出具审核意见</w:t>
            </w:r>
            <w:r>
              <w:rPr>
                <w:rFonts w:hint="eastAsia" w:ascii="宋体" w:hAnsi="宋体" w:cs="宋体"/>
                <w:color w:val="auto"/>
                <w:kern w:val="0"/>
                <w:highlight w:val="none"/>
              </w:rPr>
              <w:t>和</w:t>
            </w:r>
            <w:r>
              <w:rPr>
                <w:rFonts w:ascii="宋体" w:hAnsi="宋体" w:cs="宋体"/>
                <w:color w:val="auto"/>
                <w:kern w:val="0"/>
                <w:highlight w:val="none"/>
              </w:rPr>
              <w:t>预算书（</w:t>
            </w:r>
            <w:r>
              <w:rPr>
                <w:rFonts w:hint="eastAsia" w:ascii="宋体" w:hAnsi="宋体" w:cs="宋体"/>
                <w:color w:val="auto"/>
                <w:kern w:val="0"/>
                <w:highlight w:val="none"/>
              </w:rPr>
              <w:t>如需</w:t>
            </w:r>
            <w:r>
              <w:rPr>
                <w:rFonts w:ascii="宋体" w:hAnsi="宋体" w:cs="宋体"/>
                <w:color w:val="auto"/>
                <w:kern w:val="0"/>
                <w:highlight w:val="none"/>
              </w:rPr>
              <w:t>）</w:t>
            </w:r>
            <w:r>
              <w:rPr>
                <w:rFonts w:hint="eastAsia" w:ascii="宋体" w:hAnsi="宋体" w:cs="宋体"/>
                <w:color w:val="auto"/>
                <w:kern w:val="0"/>
                <w:highlight w:val="none"/>
              </w:rPr>
              <w:t>。工程项目施工过程中，成交供应商根据采购人及施工进度要求提交本阶段工程跟踪审计日志，工程</w:t>
            </w:r>
            <w:r>
              <w:rPr>
                <w:rFonts w:ascii="宋体" w:hAnsi="宋体" w:cs="宋体"/>
                <w:color w:val="auto"/>
                <w:kern w:val="0"/>
                <w:highlight w:val="none"/>
              </w:rPr>
              <w:t>项目竣工</w:t>
            </w:r>
            <w:r>
              <w:rPr>
                <w:rFonts w:hint="eastAsia" w:ascii="宋体" w:hAnsi="宋体" w:cs="宋体"/>
                <w:color w:val="auto"/>
                <w:kern w:val="0"/>
                <w:highlight w:val="none"/>
              </w:rPr>
              <w:t>且成交供应商</w:t>
            </w:r>
            <w:r>
              <w:rPr>
                <w:rFonts w:ascii="宋体" w:hAnsi="宋体" w:cs="宋体"/>
                <w:color w:val="auto"/>
                <w:kern w:val="0"/>
                <w:highlight w:val="none"/>
              </w:rPr>
              <w:t>完成全部跟踪审计工作后在采购人要求的时间内提交本工程跟踪审计报告初稿，</w:t>
            </w:r>
            <w:r>
              <w:rPr>
                <w:rFonts w:hint="eastAsia" w:ascii="宋体" w:hAnsi="宋体" w:cs="宋体"/>
                <w:color w:val="auto"/>
                <w:kern w:val="0"/>
                <w:highlight w:val="none"/>
              </w:rPr>
              <w:t>经采购人审核、确认通过后提供一式贰份定稿的跟踪审计报告（附</w:t>
            </w:r>
            <w:r>
              <w:rPr>
                <w:rFonts w:ascii="宋体" w:hAnsi="宋体" w:cs="宋体"/>
                <w:color w:val="auto"/>
                <w:kern w:val="0"/>
                <w:highlight w:val="none"/>
              </w:rPr>
              <w:t>跟踪审计日志</w:t>
            </w:r>
            <w:r>
              <w:rPr>
                <w:rFonts w:hint="eastAsia" w:ascii="宋体" w:hAnsi="宋体" w:cs="宋体"/>
                <w:color w:val="auto"/>
                <w:kern w:val="0"/>
                <w:highlight w:val="none"/>
              </w:rPr>
              <w:t>）。</w:t>
            </w:r>
          </w:p>
          <w:p w14:paraId="4C887F80">
            <w:pPr>
              <w:widowControl/>
              <w:textAlignment w:val="center"/>
              <w:rPr>
                <w:rFonts w:ascii="宋体" w:hAnsi="宋体" w:cs="宋体"/>
                <w:color w:val="auto"/>
                <w:kern w:val="0"/>
                <w:highlight w:val="none"/>
              </w:rPr>
            </w:pPr>
            <w:r>
              <w:rPr>
                <w:rFonts w:hint="eastAsia" w:ascii="宋体" w:hAnsi="宋体" w:cs="宋体"/>
                <w:color w:val="auto"/>
                <w:kern w:val="0"/>
                <w:highlight w:val="none"/>
              </w:rPr>
              <w:t>2.采购人根据实际情况安排任务，成交供应商必须服从安排。</w:t>
            </w:r>
          </w:p>
          <w:p w14:paraId="3547A406">
            <w:pPr>
              <w:widowControl/>
              <w:textAlignment w:val="center"/>
              <w:rPr>
                <w:rFonts w:ascii="宋体" w:hAnsi="宋体" w:cs="宋体"/>
                <w:color w:val="auto"/>
                <w:kern w:val="0"/>
                <w:highlight w:val="none"/>
                <w:lang w:bidi="zh-CN"/>
              </w:rPr>
            </w:pPr>
            <w:r>
              <w:rPr>
                <w:rFonts w:hint="eastAsia" w:ascii="宋体" w:hAnsi="宋体" w:cs="宋体"/>
                <w:color w:val="auto"/>
                <w:kern w:val="0"/>
                <w:highlight w:val="none"/>
              </w:rPr>
              <w:t>3.</w:t>
            </w:r>
            <w:r>
              <w:rPr>
                <w:rFonts w:ascii="宋体" w:hAnsi="宋体" w:cs="宋体"/>
                <w:color w:val="auto"/>
                <w:kern w:val="0"/>
                <w:highlight w:val="none"/>
              </w:rPr>
              <w:t>本工程施工合同工期约</w:t>
            </w:r>
            <w:r>
              <w:rPr>
                <w:rFonts w:hint="eastAsia" w:ascii="宋体" w:hAnsi="宋体" w:cs="宋体"/>
                <w:color w:val="auto"/>
                <w:kern w:val="0"/>
                <w:highlight w:val="none"/>
              </w:rPr>
              <w:t>16个</w:t>
            </w:r>
            <w:r>
              <w:rPr>
                <w:rFonts w:ascii="宋体" w:hAnsi="宋体" w:cs="宋体"/>
                <w:color w:val="auto"/>
                <w:kern w:val="0"/>
                <w:highlight w:val="none"/>
              </w:rPr>
              <w:t>月。</w:t>
            </w:r>
          </w:p>
        </w:tc>
        <w:tc>
          <w:tcPr>
            <w:tcW w:w="476" w:type="pct"/>
            <w:noWrap w:val="0"/>
            <w:vAlign w:val="center"/>
          </w:tcPr>
          <w:p w14:paraId="0714191D">
            <w:pPr>
              <w:widowControl/>
              <w:jc w:val="center"/>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项</w:t>
            </w:r>
          </w:p>
        </w:tc>
        <w:tc>
          <w:tcPr>
            <w:tcW w:w="372" w:type="pct"/>
            <w:noWrap w:val="0"/>
            <w:vAlign w:val="center"/>
          </w:tcPr>
          <w:p w14:paraId="76C9475D">
            <w:pPr>
              <w:widowControl/>
              <w:jc w:val="center"/>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1</w:t>
            </w:r>
          </w:p>
        </w:tc>
      </w:tr>
      <w:tr w14:paraId="1B9CA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3" w:type="pct"/>
            <w:noWrap w:val="0"/>
            <w:tcMar>
              <w:top w:w="13" w:type="dxa"/>
              <w:left w:w="57" w:type="dxa"/>
              <w:bottom w:w="0" w:type="dxa"/>
              <w:right w:w="57" w:type="dxa"/>
            </w:tcMar>
            <w:vAlign w:val="center"/>
          </w:tcPr>
          <w:p w14:paraId="6965DB5C">
            <w:pPr>
              <w:pStyle w:val="82"/>
              <w:widowControl/>
              <w:ind w:left="420" w:hanging="420" w:firstLineChars="0"/>
              <w:jc w:val="left"/>
              <w:textAlignment w:val="center"/>
              <w:rPr>
                <w:rFonts w:ascii="宋体" w:hAnsi="宋体" w:cs="宋体"/>
                <w:color w:val="auto"/>
                <w:kern w:val="0"/>
                <w:highlight w:val="none"/>
                <w:lang w:bidi="zh-CN"/>
              </w:rPr>
            </w:pPr>
            <w:r>
              <w:rPr>
                <w:rFonts w:ascii="宋体" w:hAnsi="宋体" w:cs="宋体"/>
                <w:color w:val="auto"/>
                <w:kern w:val="0"/>
                <w:highlight w:val="none"/>
                <w:lang w:bidi="zh-CN"/>
              </w:rPr>
              <w:t>2.</w:t>
            </w:r>
          </w:p>
        </w:tc>
        <w:tc>
          <w:tcPr>
            <w:tcW w:w="930" w:type="pct"/>
            <w:noWrap w:val="0"/>
            <w:tcMar>
              <w:top w:w="13" w:type="dxa"/>
              <w:left w:w="57" w:type="dxa"/>
              <w:bottom w:w="0" w:type="dxa"/>
              <w:right w:w="57" w:type="dxa"/>
            </w:tcMar>
            <w:vAlign w:val="center"/>
          </w:tcPr>
          <w:p w14:paraId="79339BD5">
            <w:pPr>
              <w:widowControl/>
              <w:textAlignment w:val="center"/>
              <w:rPr>
                <w:rFonts w:ascii="宋体" w:hAnsi="宋体" w:cs="宋体"/>
                <w:color w:val="auto"/>
                <w:kern w:val="0"/>
                <w:highlight w:val="none"/>
                <w:lang w:bidi="zh-CN"/>
              </w:rPr>
            </w:pPr>
            <w:r>
              <w:rPr>
                <w:rFonts w:hint="eastAsia" w:ascii="宋体" w:hAnsi="宋体" w:cs="宋体"/>
                <w:color w:val="auto"/>
                <w:kern w:val="0"/>
                <w:highlight w:val="none"/>
              </w:rPr>
              <w:t>广西农业职业技术大学西校区二期工程建设项目第二批工程-食堂及创新中心实训综合楼、10#学生宿舍楼、11#学生宿舍楼结算审核</w:t>
            </w:r>
          </w:p>
        </w:tc>
        <w:tc>
          <w:tcPr>
            <w:tcW w:w="2928" w:type="pct"/>
            <w:noWrap w:val="0"/>
            <w:tcMar>
              <w:top w:w="13" w:type="dxa"/>
              <w:left w:w="57" w:type="dxa"/>
              <w:bottom w:w="0" w:type="dxa"/>
              <w:right w:w="57" w:type="dxa"/>
            </w:tcMar>
            <w:vAlign w:val="center"/>
          </w:tcPr>
          <w:p w14:paraId="3B160E41">
            <w:pPr>
              <w:widowControl/>
              <w:spacing w:line="280" w:lineRule="exact"/>
              <w:rPr>
                <w:rFonts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highlight w:val="none"/>
              </w:rPr>
              <w:t>收到</w:t>
            </w:r>
            <w:r>
              <w:rPr>
                <w:rFonts w:ascii="宋体" w:hAnsi="宋体" w:cs="宋体"/>
                <w:color w:val="auto"/>
                <w:highlight w:val="none"/>
              </w:rPr>
              <w:t>结算送审材料</w:t>
            </w:r>
            <w:r>
              <w:rPr>
                <w:rFonts w:hint="eastAsia" w:ascii="宋体" w:hAnsi="宋体" w:cs="宋体"/>
                <w:color w:val="auto"/>
                <w:highlight w:val="none"/>
              </w:rPr>
              <w:t>后</w:t>
            </w:r>
            <w:r>
              <w:rPr>
                <w:rFonts w:ascii="宋体" w:hAnsi="宋体" w:cs="宋体"/>
                <w:color w:val="auto"/>
                <w:highlight w:val="none"/>
              </w:rPr>
              <w:t>，</w:t>
            </w:r>
            <w:r>
              <w:rPr>
                <w:rFonts w:hint="eastAsia" w:ascii="宋体" w:hAnsi="宋体" w:cs="宋体"/>
                <w:color w:val="auto"/>
                <w:kern w:val="0"/>
                <w:highlight w:val="none"/>
              </w:rPr>
              <w:t>成交供应商按采购人要求的时间前往工程项目现场实地查看，成交供应商在采购人要求的时间内提交本工程竣工结算审核报告初稿，与</w:t>
            </w:r>
            <w:r>
              <w:rPr>
                <w:rFonts w:ascii="宋体" w:hAnsi="宋体" w:cs="宋体"/>
                <w:color w:val="auto"/>
                <w:kern w:val="0"/>
                <w:highlight w:val="none"/>
              </w:rPr>
              <w:t>施工单位核对确认</w:t>
            </w:r>
            <w:r>
              <w:rPr>
                <w:rFonts w:hint="eastAsia" w:ascii="宋体" w:hAnsi="宋体" w:cs="宋体"/>
                <w:color w:val="auto"/>
                <w:kern w:val="0"/>
                <w:highlight w:val="none"/>
              </w:rPr>
              <w:t>并</w:t>
            </w:r>
            <w:r>
              <w:rPr>
                <w:rFonts w:ascii="宋体" w:hAnsi="宋体" w:cs="宋体"/>
                <w:color w:val="auto"/>
                <w:kern w:val="0"/>
                <w:highlight w:val="none"/>
              </w:rPr>
              <w:t>经</w:t>
            </w:r>
            <w:r>
              <w:rPr>
                <w:rFonts w:hint="eastAsia" w:ascii="宋体" w:hAnsi="宋体" w:cs="宋体"/>
                <w:color w:val="auto"/>
                <w:kern w:val="0"/>
                <w:highlight w:val="none"/>
              </w:rPr>
              <w:t>采购人审核通过后（财评项目需经财评中心审核通过），提供一式六份定稿的竣工结算审核报告。</w:t>
            </w:r>
          </w:p>
          <w:p w14:paraId="2D667F3D">
            <w:pPr>
              <w:widowControl/>
              <w:textAlignment w:val="center"/>
              <w:rPr>
                <w:rFonts w:ascii="宋体" w:hAnsi="宋体" w:cs="宋体"/>
                <w:color w:val="auto"/>
                <w:kern w:val="0"/>
                <w:highlight w:val="none"/>
              </w:rPr>
            </w:pPr>
            <w:r>
              <w:rPr>
                <w:rFonts w:hint="eastAsia" w:ascii="宋体" w:hAnsi="宋体" w:cs="宋体"/>
                <w:color w:val="auto"/>
                <w:kern w:val="0"/>
                <w:highlight w:val="none"/>
              </w:rPr>
              <w:t>2.采购人根据实际情况安排任务，成交供应商必须服从安排。</w:t>
            </w:r>
          </w:p>
          <w:p w14:paraId="3B5D6F68">
            <w:pPr>
              <w:widowControl/>
              <w:textAlignment w:val="center"/>
              <w:rPr>
                <w:rFonts w:ascii="宋体" w:hAnsi="宋体" w:cs="宋体"/>
                <w:color w:val="auto"/>
                <w:kern w:val="0"/>
                <w:highlight w:val="none"/>
              </w:rPr>
            </w:pPr>
            <w:r>
              <w:rPr>
                <w:rFonts w:ascii="宋体" w:hAnsi="宋体" w:cs="宋体"/>
                <w:color w:val="auto"/>
                <w:kern w:val="0"/>
                <w:highlight w:val="none"/>
              </w:rPr>
              <w:t>3.本项目</w:t>
            </w:r>
            <w:r>
              <w:rPr>
                <w:rFonts w:hint="eastAsia" w:ascii="宋体" w:hAnsi="宋体" w:cs="宋体"/>
                <w:color w:val="auto"/>
                <w:kern w:val="0"/>
                <w:highlight w:val="none"/>
              </w:rPr>
              <w:t>结算审核定稿后，如后期国家审计需重新审核，成交供应商需按要求配合。</w:t>
            </w:r>
          </w:p>
        </w:tc>
        <w:tc>
          <w:tcPr>
            <w:tcW w:w="476" w:type="pct"/>
            <w:noWrap w:val="0"/>
            <w:vAlign w:val="center"/>
          </w:tcPr>
          <w:p w14:paraId="6796AE5F">
            <w:pPr>
              <w:widowControl/>
              <w:jc w:val="center"/>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项</w:t>
            </w:r>
          </w:p>
        </w:tc>
        <w:tc>
          <w:tcPr>
            <w:tcW w:w="372" w:type="pct"/>
            <w:noWrap w:val="0"/>
            <w:vAlign w:val="center"/>
          </w:tcPr>
          <w:p w14:paraId="50CF62B9">
            <w:pPr>
              <w:widowControl/>
              <w:jc w:val="center"/>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1</w:t>
            </w:r>
          </w:p>
        </w:tc>
      </w:tr>
      <w:tr w14:paraId="40B7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noWrap w:val="0"/>
            <w:tcMar>
              <w:top w:w="13" w:type="dxa"/>
              <w:left w:w="57" w:type="dxa"/>
              <w:bottom w:w="0" w:type="dxa"/>
              <w:right w:w="57" w:type="dxa"/>
            </w:tcMar>
            <w:vAlign w:val="center"/>
          </w:tcPr>
          <w:p w14:paraId="1C8300A8">
            <w:pPr>
              <w:widowControl/>
              <w:jc w:val="left"/>
              <w:textAlignment w:val="center"/>
              <w:rPr>
                <w:rFonts w:ascii="宋体" w:hAnsi="宋体" w:cs="宋体"/>
                <w:b/>
                <w:color w:val="auto"/>
                <w:kern w:val="0"/>
                <w:highlight w:val="none"/>
                <w:lang w:bidi="zh-CN"/>
              </w:rPr>
            </w:pPr>
            <w:r>
              <w:rPr>
                <w:rFonts w:hint="eastAsia" w:ascii="宋体" w:hAnsi="宋体"/>
                <w:b/>
                <w:color w:val="auto"/>
                <w:highlight w:val="none"/>
              </w:rPr>
              <w:t>▲</w:t>
            </w:r>
            <w:r>
              <w:rPr>
                <w:rFonts w:hint="eastAsia" w:ascii="宋体" w:hAnsi="宋体"/>
                <w:b/>
                <w:bCs/>
                <w:color w:val="auto"/>
                <w:highlight w:val="none"/>
              </w:rPr>
              <w:t>二、商务要求</w:t>
            </w:r>
          </w:p>
        </w:tc>
      </w:tr>
      <w:tr w14:paraId="3E6FD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3" w:type="pct"/>
            <w:gridSpan w:val="2"/>
            <w:noWrap w:val="0"/>
            <w:tcMar>
              <w:top w:w="13" w:type="dxa"/>
              <w:left w:w="57" w:type="dxa"/>
              <w:bottom w:w="0" w:type="dxa"/>
              <w:right w:w="57" w:type="dxa"/>
            </w:tcMar>
            <w:vAlign w:val="center"/>
          </w:tcPr>
          <w:p w14:paraId="4EE28287">
            <w:pPr>
              <w:jc w:val="center"/>
              <w:rPr>
                <w:rFonts w:ascii="宋体" w:hAnsi="宋体" w:cs="宋体"/>
                <w:b/>
                <w:bCs/>
                <w:color w:val="auto"/>
                <w:kern w:val="0"/>
                <w:highlight w:val="none"/>
              </w:rPr>
            </w:pPr>
            <w:r>
              <w:rPr>
                <w:rFonts w:hint="eastAsia" w:ascii="宋体" w:hAnsi="宋体" w:cs="宋体"/>
                <w:b/>
                <w:bCs/>
                <w:color w:val="auto"/>
                <w:kern w:val="0"/>
                <w:highlight w:val="none"/>
              </w:rPr>
              <w:t>报价方式</w:t>
            </w:r>
          </w:p>
        </w:tc>
        <w:tc>
          <w:tcPr>
            <w:tcW w:w="3776" w:type="pct"/>
            <w:gridSpan w:val="3"/>
            <w:noWrap w:val="0"/>
            <w:tcMar>
              <w:top w:w="13" w:type="dxa"/>
              <w:left w:w="57" w:type="dxa"/>
              <w:bottom w:w="0" w:type="dxa"/>
              <w:right w:w="57" w:type="dxa"/>
            </w:tcMar>
            <w:vAlign w:val="center"/>
          </w:tcPr>
          <w:p w14:paraId="1FDB10B6">
            <w:pPr>
              <w:rPr>
                <w:rFonts w:ascii="宋体" w:hAnsi="宋体" w:cs="宋体"/>
                <w:color w:val="auto"/>
                <w:kern w:val="0"/>
                <w:highlight w:val="none"/>
              </w:rPr>
            </w:pPr>
            <w:r>
              <w:rPr>
                <w:rFonts w:ascii="宋体" w:hAnsi="宋体" w:cs="宋体"/>
                <w:color w:val="auto"/>
                <w:kern w:val="0"/>
                <w:highlight w:val="none"/>
              </w:rPr>
              <w:t>1.</w:t>
            </w:r>
            <w:r>
              <w:rPr>
                <w:rFonts w:hint="eastAsia" w:ascii="宋体" w:hAnsi="宋体" w:cs="宋体"/>
                <w:color w:val="auto"/>
                <w:kern w:val="0"/>
                <w:highlight w:val="none"/>
              </w:rPr>
              <w:t>报价包括实施和完成项目采购需求的服务要求所需的劳务费、技术服务费、交通、通讯、办公场地、管理费、税费和利润等费用和政策性文件规定及合同包含的所有风险、责任等各项所有的费用。</w:t>
            </w:r>
          </w:p>
          <w:p w14:paraId="22C9AC76">
            <w:pPr>
              <w:rPr>
                <w:rFonts w:ascii="宋体" w:hAnsi="宋体" w:cs="宋体"/>
                <w:color w:val="auto"/>
                <w:kern w:val="0"/>
                <w:highlight w:val="none"/>
              </w:rPr>
            </w:pPr>
            <w:r>
              <w:rPr>
                <w:rFonts w:ascii="宋体" w:hAnsi="宋体" w:cs="宋体"/>
                <w:color w:val="auto"/>
                <w:kern w:val="0"/>
                <w:highlight w:val="none"/>
              </w:rPr>
              <w:t>2.不在有效报价范围内的</w:t>
            </w:r>
            <w:r>
              <w:rPr>
                <w:rFonts w:hint="eastAsia" w:ascii="宋体" w:hAnsi="宋体" w:cs="宋体"/>
                <w:color w:val="auto"/>
                <w:kern w:val="0"/>
                <w:highlight w:val="none"/>
              </w:rPr>
              <w:t>竞标</w:t>
            </w:r>
            <w:r>
              <w:rPr>
                <w:rFonts w:ascii="宋体" w:hAnsi="宋体" w:cs="宋体"/>
                <w:color w:val="auto"/>
                <w:kern w:val="0"/>
                <w:highlight w:val="none"/>
              </w:rPr>
              <w:t>报价作无效</w:t>
            </w:r>
            <w:r>
              <w:rPr>
                <w:rFonts w:hint="eastAsia" w:ascii="宋体" w:hAnsi="宋体" w:cs="宋体"/>
                <w:color w:val="auto"/>
                <w:kern w:val="0"/>
                <w:highlight w:val="none"/>
              </w:rPr>
              <w:t>竞</w:t>
            </w:r>
            <w:r>
              <w:rPr>
                <w:rFonts w:ascii="宋体" w:hAnsi="宋体" w:cs="宋体"/>
                <w:color w:val="auto"/>
                <w:kern w:val="0"/>
                <w:highlight w:val="none"/>
              </w:rPr>
              <w:t>标处理。</w:t>
            </w:r>
          </w:p>
          <w:p w14:paraId="7C41FE54">
            <w:pPr>
              <w:rPr>
                <w:rFonts w:ascii="宋体" w:hAnsi="宋体" w:cs="宋体"/>
                <w:color w:val="auto"/>
                <w:kern w:val="0"/>
                <w:highlight w:val="none"/>
              </w:rPr>
            </w:pPr>
            <w:r>
              <w:rPr>
                <w:rFonts w:ascii="宋体" w:hAnsi="宋体" w:cs="宋体"/>
                <w:color w:val="auto"/>
                <w:kern w:val="0"/>
                <w:highlight w:val="none"/>
              </w:rPr>
              <w:t>3.</w:t>
            </w:r>
            <w:r>
              <w:rPr>
                <w:rFonts w:hint="eastAsia" w:ascii="宋体" w:hAnsi="宋体" w:cs="宋体"/>
                <w:color w:val="auto"/>
                <w:kern w:val="0"/>
                <w:highlight w:val="none"/>
              </w:rPr>
              <w:t>（1）跟踪</w:t>
            </w:r>
            <w:r>
              <w:rPr>
                <w:rFonts w:ascii="宋体" w:hAnsi="宋体" w:cs="宋体"/>
                <w:color w:val="auto"/>
                <w:kern w:val="0"/>
                <w:highlight w:val="none"/>
              </w:rPr>
              <w:t>审计服务费</w:t>
            </w:r>
            <w:r>
              <w:rPr>
                <w:rFonts w:hint="eastAsia" w:ascii="宋体" w:hAnsi="宋体" w:cs="宋体"/>
                <w:color w:val="auto"/>
                <w:kern w:val="0"/>
                <w:highlight w:val="none"/>
              </w:rPr>
              <w:t>：</w:t>
            </w:r>
            <w:r>
              <w:rPr>
                <w:rFonts w:ascii="宋体" w:hAnsi="宋体" w:cs="宋体"/>
                <w:color w:val="auto"/>
                <w:kern w:val="0"/>
                <w:highlight w:val="none"/>
              </w:rPr>
              <w:t>按每月</w:t>
            </w:r>
            <w:r>
              <w:rPr>
                <w:rFonts w:hint="eastAsia" w:ascii="宋体" w:hAnsi="宋体" w:cs="宋体"/>
                <w:color w:val="auto"/>
                <w:kern w:val="0"/>
                <w:highlight w:val="none"/>
              </w:rPr>
              <w:t>服务费</w:t>
            </w:r>
            <w:r>
              <w:rPr>
                <w:rFonts w:ascii="宋体" w:hAnsi="宋体" w:cs="宋体"/>
                <w:color w:val="auto"/>
                <w:kern w:val="0"/>
                <w:highlight w:val="none"/>
              </w:rPr>
              <w:t>金额</w:t>
            </w:r>
            <w:r>
              <w:rPr>
                <w:rFonts w:hint="eastAsia" w:ascii="宋体" w:hAnsi="宋体" w:cs="宋体"/>
                <w:color w:val="auto"/>
                <w:kern w:val="0"/>
                <w:highlight w:val="none"/>
              </w:rPr>
              <w:t>进行</w:t>
            </w:r>
            <w:r>
              <w:rPr>
                <w:rFonts w:ascii="宋体" w:hAnsi="宋体" w:cs="宋体"/>
                <w:color w:val="auto"/>
                <w:kern w:val="0"/>
                <w:highlight w:val="none"/>
              </w:rPr>
              <w:t>报价，</w:t>
            </w:r>
            <w:r>
              <w:rPr>
                <w:rFonts w:ascii="宋体" w:hAnsi="宋体" w:cs="宋体"/>
                <w:color w:val="auto"/>
                <w:kern w:val="0"/>
                <w:highlight w:val="none"/>
                <w:lang w:bidi="zh-CN"/>
              </w:rPr>
              <w:t>跟踪审计费</w:t>
            </w:r>
            <w:r>
              <w:rPr>
                <w:rFonts w:hint="eastAsia" w:ascii="宋体" w:hAnsi="宋体"/>
                <w:color w:val="auto"/>
                <w:highlight w:val="none"/>
              </w:rPr>
              <w:t>不高于1</w:t>
            </w:r>
            <w:r>
              <w:rPr>
                <w:rFonts w:ascii="宋体" w:hAnsi="宋体"/>
                <w:color w:val="auto"/>
                <w:highlight w:val="none"/>
              </w:rPr>
              <w:t>4000</w:t>
            </w:r>
            <w:r>
              <w:rPr>
                <w:rFonts w:hint="eastAsia" w:ascii="宋体" w:hAnsi="宋体"/>
                <w:color w:val="auto"/>
                <w:highlight w:val="none"/>
              </w:rPr>
              <w:t>元/月。（2）</w:t>
            </w:r>
            <w:r>
              <w:rPr>
                <w:rFonts w:hint="eastAsia" w:ascii="宋体" w:hAnsi="宋体" w:cs="宋体"/>
                <w:color w:val="auto"/>
                <w:kern w:val="0"/>
                <w:highlight w:val="none"/>
              </w:rPr>
              <w:t>结算审核费：以</w:t>
            </w:r>
            <w:r>
              <w:rPr>
                <w:rFonts w:hint="eastAsia" w:ascii="宋体" w:hAnsi="宋体" w:cs="宋体"/>
                <w:color w:val="auto"/>
                <w:kern w:val="0"/>
                <w:highlight w:val="none"/>
                <w:lang w:bidi="zh-CN"/>
              </w:rPr>
              <w:t>桂价协字〔2019〕15号文中序号6.1所列的收费标准计算，按</w:t>
            </w:r>
            <w:r>
              <w:rPr>
                <w:rFonts w:ascii="宋体" w:hAnsi="宋体" w:cs="宋体"/>
                <w:color w:val="auto"/>
                <w:kern w:val="0"/>
                <w:highlight w:val="none"/>
              </w:rPr>
              <w:t>价格优惠率进行报价</w:t>
            </w:r>
            <w:r>
              <w:rPr>
                <w:rFonts w:hint="eastAsia" w:ascii="宋体" w:hAnsi="宋体" w:cs="宋体"/>
                <w:color w:val="auto"/>
                <w:kern w:val="0"/>
                <w:highlight w:val="none"/>
              </w:rPr>
              <w:t>，价格</w:t>
            </w:r>
            <w:r>
              <w:rPr>
                <w:rFonts w:ascii="宋体" w:hAnsi="宋体" w:cs="宋体"/>
                <w:color w:val="auto"/>
                <w:kern w:val="0"/>
                <w:highlight w:val="none"/>
              </w:rPr>
              <w:t>优惠率不低于</w:t>
            </w:r>
            <w:r>
              <w:rPr>
                <w:rFonts w:hint="eastAsia" w:ascii="宋体" w:hAnsi="宋体" w:cs="宋体"/>
                <w:color w:val="auto"/>
                <w:kern w:val="0"/>
                <w:highlight w:val="none"/>
              </w:rPr>
              <w:t>25%</w:t>
            </w:r>
            <w:r>
              <w:rPr>
                <w:rFonts w:ascii="宋体" w:hAnsi="宋体" w:cs="宋体"/>
                <w:color w:val="auto"/>
                <w:kern w:val="0"/>
                <w:highlight w:val="none"/>
              </w:rPr>
              <w:t>。</w:t>
            </w:r>
          </w:p>
        </w:tc>
      </w:tr>
      <w:tr w14:paraId="3772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3" w:type="pct"/>
            <w:gridSpan w:val="2"/>
            <w:noWrap w:val="0"/>
            <w:tcMar>
              <w:top w:w="13" w:type="dxa"/>
              <w:left w:w="57" w:type="dxa"/>
              <w:bottom w:w="0" w:type="dxa"/>
              <w:right w:w="57" w:type="dxa"/>
            </w:tcMar>
            <w:vAlign w:val="center"/>
          </w:tcPr>
          <w:p w14:paraId="2DD7EE83">
            <w:pPr>
              <w:jc w:val="center"/>
              <w:rPr>
                <w:rFonts w:ascii="宋体" w:hAnsi="宋体"/>
                <w:b/>
                <w:bCs/>
                <w:color w:val="auto"/>
                <w:highlight w:val="none"/>
              </w:rPr>
            </w:pPr>
            <w:r>
              <w:rPr>
                <w:rFonts w:hint="eastAsia" w:ascii="宋体" w:hAnsi="宋体" w:cs="宋体"/>
                <w:b/>
                <w:bCs/>
                <w:color w:val="auto"/>
                <w:kern w:val="0"/>
                <w:highlight w:val="none"/>
              </w:rPr>
              <w:t>服务期限及地点</w:t>
            </w:r>
          </w:p>
        </w:tc>
        <w:tc>
          <w:tcPr>
            <w:tcW w:w="3776" w:type="pct"/>
            <w:gridSpan w:val="3"/>
            <w:noWrap w:val="0"/>
            <w:tcMar>
              <w:top w:w="13" w:type="dxa"/>
              <w:left w:w="57" w:type="dxa"/>
              <w:bottom w:w="0" w:type="dxa"/>
              <w:right w:w="57" w:type="dxa"/>
            </w:tcMar>
            <w:vAlign w:val="center"/>
          </w:tcPr>
          <w:p w14:paraId="0426CC8F">
            <w:pPr>
              <w:widowControl/>
              <w:spacing w:line="320" w:lineRule="exact"/>
              <w:rPr>
                <w:rFonts w:ascii="宋体" w:hAnsi="宋体" w:cs="宋体"/>
                <w:b/>
                <w:color w:val="auto"/>
                <w:kern w:val="0"/>
                <w:highlight w:val="none"/>
              </w:rPr>
            </w:pPr>
            <w:r>
              <w:rPr>
                <w:rFonts w:hint="eastAsia" w:ascii="宋体" w:hAnsi="宋体" w:cs="宋体"/>
                <w:b/>
                <w:color w:val="auto"/>
                <w:kern w:val="0"/>
                <w:highlight w:val="none"/>
              </w:rPr>
              <w:t>1.服务期限：</w:t>
            </w:r>
          </w:p>
          <w:p w14:paraId="100DE540">
            <w:pPr>
              <w:widowControl/>
              <w:spacing w:line="320" w:lineRule="exact"/>
              <w:rPr>
                <w:rFonts w:ascii="宋体" w:hAnsi="宋体" w:cs="宋体"/>
                <w:b/>
                <w:color w:val="auto"/>
                <w:kern w:val="0"/>
                <w:highlight w:val="none"/>
              </w:rPr>
            </w:pPr>
            <w:r>
              <w:rPr>
                <w:rFonts w:hint="eastAsia" w:ascii="宋体" w:hAnsi="宋体" w:cs="宋体"/>
                <w:b/>
                <w:color w:val="auto"/>
                <w:kern w:val="0"/>
                <w:highlight w:val="none"/>
              </w:rPr>
              <w:t>（1）跟踪</w:t>
            </w:r>
            <w:r>
              <w:rPr>
                <w:rFonts w:ascii="宋体" w:hAnsi="宋体" w:cs="宋体"/>
                <w:b/>
                <w:color w:val="auto"/>
                <w:kern w:val="0"/>
                <w:highlight w:val="none"/>
              </w:rPr>
              <w:t>审计服务期限：</w:t>
            </w:r>
            <w:r>
              <w:rPr>
                <w:rFonts w:hint="eastAsia" w:ascii="宋体" w:hAnsi="宋体" w:cs="宋体"/>
                <w:color w:val="auto"/>
                <w:kern w:val="0"/>
                <w:highlight w:val="none"/>
              </w:rPr>
              <w:t>自合同签订之日起</w:t>
            </w:r>
            <w:r>
              <w:rPr>
                <w:rFonts w:ascii="宋体" w:hAnsi="宋体" w:cs="宋体"/>
                <w:color w:val="auto"/>
                <w:kern w:val="0"/>
                <w:highlight w:val="none"/>
              </w:rPr>
              <w:t>至</w:t>
            </w:r>
            <w:r>
              <w:rPr>
                <w:rFonts w:hint="eastAsia" w:ascii="宋体" w:hAnsi="宋体" w:cs="宋体"/>
                <w:color w:val="auto"/>
                <w:kern w:val="0"/>
                <w:highlight w:val="none"/>
              </w:rPr>
              <w:t>工程</w:t>
            </w:r>
            <w:r>
              <w:rPr>
                <w:rFonts w:ascii="宋体" w:hAnsi="宋体" w:cs="宋体"/>
                <w:color w:val="auto"/>
                <w:kern w:val="0"/>
                <w:highlight w:val="none"/>
              </w:rPr>
              <w:t>项目竣工</w:t>
            </w:r>
            <w:r>
              <w:rPr>
                <w:rFonts w:hint="eastAsia" w:ascii="宋体" w:hAnsi="宋体" w:cs="宋体"/>
                <w:color w:val="auto"/>
                <w:kern w:val="0"/>
                <w:highlight w:val="none"/>
              </w:rPr>
              <w:t>验收合格且成交供应商按要求</w:t>
            </w:r>
            <w:r>
              <w:rPr>
                <w:rFonts w:ascii="宋体" w:hAnsi="宋体" w:cs="宋体"/>
                <w:color w:val="auto"/>
                <w:kern w:val="0"/>
                <w:highlight w:val="none"/>
              </w:rPr>
              <w:t>完成</w:t>
            </w:r>
            <w:r>
              <w:rPr>
                <w:rFonts w:hint="eastAsia" w:ascii="宋体" w:hAnsi="宋体" w:cs="宋体"/>
                <w:color w:val="auto"/>
                <w:kern w:val="0"/>
                <w:highlight w:val="none"/>
              </w:rPr>
              <w:t>进度款审核、工程变更价款审核、工程索赔审核、现场签证审核、材料设备询价与核价等全部</w:t>
            </w:r>
            <w:r>
              <w:rPr>
                <w:rFonts w:ascii="宋体" w:hAnsi="宋体" w:cs="宋体"/>
                <w:color w:val="auto"/>
                <w:kern w:val="0"/>
                <w:highlight w:val="none"/>
              </w:rPr>
              <w:t>跟踪审计</w:t>
            </w:r>
            <w:r>
              <w:rPr>
                <w:rFonts w:hint="eastAsia" w:ascii="宋体" w:hAnsi="宋体" w:cs="宋体"/>
                <w:color w:val="auto"/>
                <w:kern w:val="0"/>
                <w:highlight w:val="none"/>
              </w:rPr>
              <w:t>工作并</w:t>
            </w:r>
            <w:r>
              <w:rPr>
                <w:rFonts w:ascii="宋体" w:hAnsi="宋体" w:cs="宋体"/>
                <w:color w:val="auto"/>
                <w:kern w:val="0"/>
                <w:highlight w:val="none"/>
              </w:rPr>
              <w:t>出具</w:t>
            </w:r>
            <w:r>
              <w:rPr>
                <w:rFonts w:ascii="宋体" w:hAnsi="宋体" w:cs="宋体"/>
                <w:color w:val="auto"/>
                <w:highlight w:val="none"/>
              </w:rPr>
              <w:t>正式的</w:t>
            </w:r>
            <w:r>
              <w:rPr>
                <w:rFonts w:hint="eastAsia" w:ascii="宋体" w:hAnsi="宋体"/>
                <w:color w:val="auto"/>
                <w:highlight w:val="none"/>
              </w:rPr>
              <w:t>广西农业职业技术大学西校区二期工程建设项目第二批工程-食堂及创新中心实训综合楼、10#学生宿舍楼、11#学生宿舍楼跟踪审计报告（附</w:t>
            </w:r>
            <w:r>
              <w:rPr>
                <w:rFonts w:ascii="宋体" w:hAnsi="宋体"/>
                <w:color w:val="auto"/>
                <w:highlight w:val="none"/>
              </w:rPr>
              <w:t>跟踪审计日志</w:t>
            </w:r>
            <w:r>
              <w:rPr>
                <w:rFonts w:hint="eastAsia" w:ascii="宋体" w:hAnsi="宋体"/>
                <w:color w:val="auto"/>
                <w:highlight w:val="none"/>
              </w:rPr>
              <w:t>）</w:t>
            </w:r>
            <w:r>
              <w:rPr>
                <w:rFonts w:hint="eastAsia" w:ascii="宋体" w:hAnsi="宋体" w:cs="宋体"/>
                <w:color w:val="auto"/>
                <w:kern w:val="0"/>
                <w:highlight w:val="none"/>
              </w:rPr>
              <w:t>之日</w:t>
            </w:r>
            <w:r>
              <w:rPr>
                <w:rFonts w:ascii="宋体" w:hAnsi="宋体" w:cs="宋体"/>
                <w:color w:val="auto"/>
                <w:kern w:val="0"/>
                <w:highlight w:val="none"/>
              </w:rPr>
              <w:t>止。</w:t>
            </w:r>
          </w:p>
          <w:p w14:paraId="7E102412">
            <w:pPr>
              <w:widowControl/>
              <w:spacing w:line="320" w:lineRule="exact"/>
              <w:rPr>
                <w:rFonts w:ascii="宋体" w:hAnsi="宋体" w:cs="宋体"/>
                <w:color w:val="auto"/>
                <w:kern w:val="0"/>
                <w:highlight w:val="none"/>
              </w:rPr>
            </w:pPr>
            <w:r>
              <w:rPr>
                <w:rFonts w:hint="eastAsia" w:ascii="宋体" w:hAnsi="宋体" w:cs="宋体"/>
                <w:b/>
                <w:color w:val="auto"/>
                <w:kern w:val="0"/>
                <w:highlight w:val="none"/>
              </w:rPr>
              <w:t>（2）结算</w:t>
            </w:r>
            <w:r>
              <w:rPr>
                <w:rFonts w:ascii="宋体" w:hAnsi="宋体" w:cs="宋体"/>
                <w:b/>
                <w:color w:val="auto"/>
                <w:kern w:val="0"/>
                <w:highlight w:val="none"/>
              </w:rPr>
              <w:t>审核服务期限：</w:t>
            </w:r>
            <w:r>
              <w:rPr>
                <w:rFonts w:hint="eastAsia" w:ascii="宋体" w:hAnsi="宋体" w:cs="宋体"/>
                <w:bCs/>
                <w:color w:val="auto"/>
                <w:kern w:val="0"/>
                <w:highlight w:val="none"/>
              </w:rPr>
              <w:t>签订合同后，</w:t>
            </w:r>
            <w:r>
              <w:rPr>
                <w:rFonts w:hint="eastAsia" w:ascii="宋体" w:hAnsi="宋体" w:cs="宋体"/>
                <w:color w:val="auto"/>
                <w:kern w:val="0"/>
                <w:highlight w:val="none"/>
              </w:rPr>
              <w:t>自收到结算</w:t>
            </w:r>
            <w:r>
              <w:rPr>
                <w:rFonts w:ascii="宋体" w:hAnsi="宋体" w:cs="宋体"/>
                <w:color w:val="auto"/>
                <w:kern w:val="0"/>
                <w:highlight w:val="none"/>
              </w:rPr>
              <w:t>送审材料</w:t>
            </w:r>
            <w:r>
              <w:rPr>
                <w:rFonts w:hint="eastAsia" w:ascii="宋体" w:hAnsi="宋体" w:cs="宋体"/>
                <w:color w:val="auto"/>
                <w:kern w:val="0"/>
                <w:highlight w:val="none"/>
              </w:rPr>
              <w:t>之日起至成交供应商</w:t>
            </w:r>
            <w:r>
              <w:rPr>
                <w:rFonts w:hint="eastAsia" w:ascii="宋体" w:hAnsi="宋体" w:cs="宋体"/>
                <w:color w:val="auto"/>
                <w:highlight w:val="none"/>
              </w:rPr>
              <w:t>出具</w:t>
            </w:r>
            <w:r>
              <w:rPr>
                <w:rFonts w:ascii="宋体" w:hAnsi="宋体" w:cs="宋体"/>
                <w:color w:val="auto"/>
                <w:highlight w:val="none"/>
              </w:rPr>
              <w:t>正式的</w:t>
            </w:r>
            <w:r>
              <w:rPr>
                <w:rFonts w:hint="eastAsia" w:ascii="宋体" w:hAnsi="宋体"/>
                <w:color w:val="auto"/>
                <w:highlight w:val="none"/>
              </w:rPr>
              <w:t>广西农业职业技术大学西校区二期工程建设项目第二批工程-食堂及创新中心实训综合楼、10#学生宿舍楼、11#学生宿舍楼结算审核</w:t>
            </w:r>
            <w:r>
              <w:rPr>
                <w:rFonts w:ascii="宋体" w:hAnsi="宋体" w:cs="宋体"/>
                <w:color w:val="auto"/>
                <w:highlight w:val="none"/>
              </w:rPr>
              <w:t>报告之日止</w:t>
            </w:r>
            <w:r>
              <w:rPr>
                <w:rFonts w:hint="eastAsia" w:ascii="宋体" w:hAnsi="宋体" w:cs="宋体"/>
                <w:color w:val="auto"/>
                <w:kern w:val="0"/>
                <w:highlight w:val="none"/>
              </w:rPr>
              <w:t>。</w:t>
            </w:r>
          </w:p>
          <w:p w14:paraId="7A6A703F">
            <w:pPr>
              <w:rPr>
                <w:rFonts w:ascii="宋体" w:hAnsi="宋体"/>
                <w:color w:val="auto"/>
                <w:highlight w:val="none"/>
              </w:rPr>
            </w:pPr>
            <w:r>
              <w:rPr>
                <w:rFonts w:hint="eastAsia" w:ascii="宋体" w:hAnsi="宋体" w:cs="宋体"/>
                <w:b/>
                <w:color w:val="auto"/>
                <w:kern w:val="0"/>
                <w:highlight w:val="none"/>
              </w:rPr>
              <w:t>2.服务地点：</w:t>
            </w:r>
            <w:r>
              <w:rPr>
                <w:rFonts w:hint="eastAsia" w:ascii="宋体" w:hAnsi="宋体" w:cs="宋体"/>
                <w:color w:val="auto"/>
                <w:kern w:val="0"/>
                <w:highlight w:val="none"/>
              </w:rPr>
              <w:t>广西农业职业技术大学。</w:t>
            </w:r>
          </w:p>
        </w:tc>
      </w:tr>
      <w:tr w14:paraId="59AD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3" w:type="pct"/>
            <w:gridSpan w:val="2"/>
            <w:noWrap w:val="0"/>
            <w:tcMar>
              <w:top w:w="13" w:type="dxa"/>
              <w:left w:w="57" w:type="dxa"/>
              <w:bottom w:w="0" w:type="dxa"/>
              <w:right w:w="57" w:type="dxa"/>
            </w:tcMar>
            <w:vAlign w:val="center"/>
          </w:tcPr>
          <w:p w14:paraId="50087E5A">
            <w:pPr>
              <w:jc w:val="center"/>
              <w:rPr>
                <w:rFonts w:ascii="宋体" w:hAnsi="宋体" w:cs="宋体"/>
                <w:b/>
                <w:bCs/>
                <w:color w:val="auto"/>
                <w:highlight w:val="none"/>
              </w:rPr>
            </w:pPr>
            <w:r>
              <w:rPr>
                <w:rFonts w:hint="eastAsia" w:ascii="宋体" w:hAnsi="宋体" w:cs="宋体"/>
                <w:b/>
                <w:bCs/>
                <w:color w:val="auto"/>
                <w:kern w:val="0"/>
                <w:highlight w:val="none"/>
              </w:rPr>
              <w:t>服务</w:t>
            </w:r>
            <w:r>
              <w:rPr>
                <w:rFonts w:ascii="宋体" w:hAnsi="宋体" w:cs="宋体"/>
                <w:b/>
                <w:bCs/>
                <w:color w:val="auto"/>
                <w:kern w:val="0"/>
                <w:highlight w:val="none"/>
              </w:rPr>
              <w:t>要求</w:t>
            </w:r>
          </w:p>
        </w:tc>
        <w:tc>
          <w:tcPr>
            <w:tcW w:w="3776" w:type="pct"/>
            <w:gridSpan w:val="3"/>
            <w:noWrap w:val="0"/>
            <w:tcMar>
              <w:top w:w="13" w:type="dxa"/>
              <w:left w:w="57" w:type="dxa"/>
              <w:bottom w:w="0" w:type="dxa"/>
              <w:right w:w="57" w:type="dxa"/>
            </w:tcMar>
            <w:vAlign w:val="center"/>
          </w:tcPr>
          <w:p w14:paraId="3C6B0981">
            <w:pPr>
              <w:rPr>
                <w:rFonts w:ascii="宋体" w:hAnsi="宋体" w:cs="宋体"/>
                <w:color w:val="auto"/>
                <w:highlight w:val="none"/>
              </w:rPr>
            </w:pPr>
            <w:r>
              <w:rPr>
                <w:rFonts w:hint="eastAsia" w:ascii="宋体" w:hAnsi="宋体" w:cs="宋体"/>
                <w:b/>
                <w:color w:val="auto"/>
                <w:highlight w:val="none"/>
              </w:rPr>
              <w:t>1.具体服务内容和完成时间：</w:t>
            </w:r>
            <w:r>
              <w:rPr>
                <w:rFonts w:hint="eastAsia" w:ascii="宋体" w:hAnsi="宋体" w:cs="宋体"/>
                <w:color w:val="auto"/>
                <w:highlight w:val="none"/>
              </w:rPr>
              <w:t>在采购人要求的时间内完成广西农业职业技术大学西校区二期工程建设项目第二批工程-食堂及创新中心实训综合楼、10#学生宿舍楼、11#学生宿舍楼跟踪审计及竣工结算审核服务，并出具正式的跟踪审计报告（附跟踪审计日志）及结算审核报告。具体</w:t>
            </w:r>
            <w:r>
              <w:rPr>
                <w:rFonts w:ascii="宋体" w:hAnsi="宋体" w:cs="宋体"/>
                <w:color w:val="auto"/>
                <w:highlight w:val="none"/>
              </w:rPr>
              <w:t>要求如下：</w:t>
            </w:r>
          </w:p>
          <w:p w14:paraId="7F069DA1">
            <w:pPr>
              <w:rPr>
                <w:rFonts w:ascii="宋体" w:hAnsi="宋体" w:cs="宋体"/>
                <w:color w:val="auto"/>
                <w:highlight w:val="none"/>
              </w:rPr>
            </w:pPr>
            <w:r>
              <w:rPr>
                <w:rFonts w:hint="eastAsia" w:ascii="宋体" w:hAnsi="宋体" w:cs="宋体"/>
                <w:b/>
                <w:color w:val="auto"/>
                <w:highlight w:val="none"/>
              </w:rPr>
              <w:t>（1）跟踪</w:t>
            </w:r>
            <w:r>
              <w:rPr>
                <w:rFonts w:ascii="宋体" w:hAnsi="宋体" w:cs="宋体"/>
                <w:b/>
                <w:color w:val="auto"/>
                <w:highlight w:val="none"/>
              </w:rPr>
              <w:t>审计服务：</w:t>
            </w:r>
            <w:r>
              <w:rPr>
                <w:rFonts w:hint="eastAsia" w:ascii="宋体" w:hAnsi="宋体" w:cs="宋体"/>
                <w:color w:val="auto"/>
                <w:kern w:val="0"/>
                <w:highlight w:val="none"/>
              </w:rPr>
              <w:t>成交供应商按采购人要求的时间（每周不少于一次，采购人可根据实际情况要求增加次数）前往工程项目现场实地查看，并按采购人要求完成进度款审核、工程变更价款审核、工程索赔审核、现场签证审核、材料设备询价与核价等工作并</w:t>
            </w:r>
            <w:r>
              <w:rPr>
                <w:rFonts w:ascii="宋体" w:hAnsi="宋体" w:cs="宋体"/>
                <w:color w:val="auto"/>
                <w:kern w:val="0"/>
                <w:highlight w:val="none"/>
              </w:rPr>
              <w:t>出具审核意见</w:t>
            </w:r>
            <w:r>
              <w:rPr>
                <w:rFonts w:hint="eastAsia" w:ascii="宋体" w:hAnsi="宋体" w:cs="宋体"/>
                <w:color w:val="auto"/>
                <w:kern w:val="0"/>
                <w:highlight w:val="none"/>
              </w:rPr>
              <w:t>和</w:t>
            </w:r>
            <w:r>
              <w:rPr>
                <w:rFonts w:ascii="宋体" w:hAnsi="宋体" w:cs="宋体"/>
                <w:color w:val="auto"/>
                <w:kern w:val="0"/>
                <w:highlight w:val="none"/>
              </w:rPr>
              <w:t>预算书（</w:t>
            </w:r>
            <w:r>
              <w:rPr>
                <w:rFonts w:hint="eastAsia" w:ascii="宋体" w:hAnsi="宋体" w:cs="宋体"/>
                <w:color w:val="auto"/>
                <w:kern w:val="0"/>
                <w:highlight w:val="none"/>
              </w:rPr>
              <w:t>如需</w:t>
            </w:r>
            <w:r>
              <w:rPr>
                <w:rFonts w:ascii="宋体" w:hAnsi="宋体" w:cs="宋体"/>
                <w:color w:val="auto"/>
                <w:kern w:val="0"/>
                <w:highlight w:val="none"/>
              </w:rPr>
              <w:t>）</w:t>
            </w:r>
            <w:r>
              <w:rPr>
                <w:rFonts w:hint="eastAsia" w:ascii="宋体" w:hAnsi="宋体" w:cs="宋体"/>
                <w:color w:val="auto"/>
                <w:kern w:val="0"/>
                <w:highlight w:val="none"/>
              </w:rPr>
              <w:t>。工程项目施工过程中，成交供应商根据采购人及施工进度要求（每季度）提交本阶段工程跟踪审计日志，工程项目竣工且成交供应商</w:t>
            </w:r>
            <w:r>
              <w:rPr>
                <w:rFonts w:ascii="宋体" w:hAnsi="宋体" w:cs="宋体"/>
                <w:color w:val="auto"/>
                <w:kern w:val="0"/>
                <w:highlight w:val="none"/>
              </w:rPr>
              <w:t>完成全部跟踪审计工作</w:t>
            </w:r>
            <w:r>
              <w:rPr>
                <w:rFonts w:hint="eastAsia" w:ascii="宋体" w:hAnsi="宋体" w:cs="宋体"/>
                <w:color w:val="auto"/>
                <w:kern w:val="0"/>
                <w:highlight w:val="none"/>
              </w:rPr>
              <w:t>后，成交供应商在采购人要求的时间内提交本工程跟踪审计报告初稿，经采购人审核、确认通过后提供一式贰份定稿的跟踪审计报告（附</w:t>
            </w:r>
            <w:r>
              <w:rPr>
                <w:rFonts w:ascii="宋体" w:hAnsi="宋体" w:cs="宋体"/>
                <w:color w:val="auto"/>
                <w:kern w:val="0"/>
                <w:highlight w:val="none"/>
              </w:rPr>
              <w:t>跟踪审计日志</w:t>
            </w:r>
            <w:r>
              <w:rPr>
                <w:rFonts w:hint="eastAsia" w:ascii="宋体" w:hAnsi="宋体" w:cs="宋体"/>
                <w:color w:val="auto"/>
                <w:kern w:val="0"/>
                <w:highlight w:val="none"/>
              </w:rPr>
              <w:t>）。</w:t>
            </w:r>
          </w:p>
          <w:p w14:paraId="342BCBA4">
            <w:pPr>
              <w:rPr>
                <w:rFonts w:ascii="宋体" w:hAnsi="宋体" w:cs="宋体"/>
                <w:color w:val="auto"/>
                <w:highlight w:val="none"/>
              </w:rPr>
            </w:pPr>
            <w:r>
              <w:rPr>
                <w:rFonts w:hint="eastAsia" w:ascii="宋体" w:hAnsi="宋体" w:cs="宋体"/>
                <w:b/>
                <w:color w:val="auto"/>
                <w:highlight w:val="none"/>
              </w:rPr>
              <w:t>（2）结算</w:t>
            </w:r>
            <w:r>
              <w:rPr>
                <w:rFonts w:ascii="宋体" w:hAnsi="宋体" w:cs="宋体"/>
                <w:b/>
                <w:color w:val="auto"/>
                <w:highlight w:val="none"/>
              </w:rPr>
              <w:t>审核服务：</w:t>
            </w:r>
            <w:r>
              <w:rPr>
                <w:rFonts w:hint="eastAsia" w:ascii="宋体" w:hAnsi="宋体" w:cs="宋体"/>
                <w:color w:val="auto"/>
                <w:highlight w:val="none"/>
              </w:rPr>
              <w:t>收到</w:t>
            </w:r>
            <w:r>
              <w:rPr>
                <w:rFonts w:ascii="宋体" w:hAnsi="宋体" w:cs="宋体"/>
                <w:color w:val="auto"/>
                <w:highlight w:val="none"/>
              </w:rPr>
              <w:t>结算送审材料</w:t>
            </w:r>
            <w:r>
              <w:rPr>
                <w:rFonts w:hint="eastAsia" w:ascii="宋体" w:hAnsi="宋体" w:cs="宋体"/>
                <w:color w:val="auto"/>
                <w:highlight w:val="none"/>
              </w:rPr>
              <w:t>后</w:t>
            </w:r>
            <w:r>
              <w:rPr>
                <w:rFonts w:ascii="宋体" w:hAnsi="宋体" w:cs="宋体"/>
                <w:color w:val="auto"/>
                <w:highlight w:val="none"/>
              </w:rPr>
              <w:t>，</w:t>
            </w:r>
            <w:r>
              <w:rPr>
                <w:rFonts w:hint="eastAsia" w:ascii="宋体" w:hAnsi="宋体" w:cs="宋体"/>
                <w:color w:val="auto"/>
                <w:kern w:val="0"/>
                <w:highlight w:val="none"/>
              </w:rPr>
              <w:t>成交供应商按采购人要求的时间前往工程项目现场实地查看，在采购人要求的时间内提交本工程竣工结算审核报告初稿，与</w:t>
            </w:r>
            <w:r>
              <w:rPr>
                <w:rFonts w:ascii="宋体" w:hAnsi="宋体" w:cs="宋体"/>
                <w:color w:val="auto"/>
                <w:kern w:val="0"/>
                <w:highlight w:val="none"/>
              </w:rPr>
              <w:t>施工单位核对确认</w:t>
            </w:r>
            <w:r>
              <w:rPr>
                <w:rFonts w:hint="eastAsia" w:ascii="宋体" w:hAnsi="宋体" w:cs="宋体"/>
                <w:color w:val="auto"/>
                <w:kern w:val="0"/>
                <w:highlight w:val="none"/>
              </w:rPr>
              <w:t>并</w:t>
            </w:r>
            <w:r>
              <w:rPr>
                <w:rFonts w:ascii="宋体" w:hAnsi="宋体" w:cs="宋体"/>
                <w:color w:val="auto"/>
                <w:kern w:val="0"/>
                <w:highlight w:val="none"/>
              </w:rPr>
              <w:t>经</w:t>
            </w:r>
            <w:r>
              <w:rPr>
                <w:rFonts w:hint="eastAsia" w:ascii="宋体" w:hAnsi="宋体" w:cs="宋体"/>
                <w:color w:val="auto"/>
                <w:kern w:val="0"/>
                <w:highlight w:val="none"/>
              </w:rPr>
              <w:t>采购人审核通过后（财评项目需经财评中心审核通过），提供一式六份定稿的竣工结算审核报告。本项目结算审核定稿后，如后期国家审计需重新审核，成交供应商需按要求配合。</w:t>
            </w:r>
          </w:p>
          <w:p w14:paraId="76CF6DF3">
            <w:pPr>
              <w:rPr>
                <w:rFonts w:ascii="宋体" w:hAnsi="宋体" w:cs="宋体"/>
                <w:b/>
                <w:color w:val="auto"/>
                <w:highlight w:val="none"/>
              </w:rPr>
            </w:pPr>
            <w:r>
              <w:rPr>
                <w:rFonts w:hint="eastAsia" w:ascii="宋体" w:hAnsi="宋体" w:cs="宋体"/>
                <w:b/>
                <w:color w:val="auto"/>
                <w:highlight w:val="none"/>
              </w:rPr>
              <w:t>2.服务质量：</w:t>
            </w:r>
          </w:p>
          <w:p w14:paraId="46589AED">
            <w:pPr>
              <w:rPr>
                <w:rFonts w:ascii="宋体" w:hAnsi="宋体" w:cs="宋体"/>
                <w:color w:val="auto"/>
                <w:highlight w:val="none"/>
              </w:rPr>
            </w:pPr>
            <w:r>
              <w:rPr>
                <w:rFonts w:hint="eastAsia" w:ascii="宋体" w:hAnsi="宋体" w:cs="宋体"/>
                <w:color w:val="auto"/>
                <w:highlight w:val="none"/>
              </w:rPr>
              <w:t>（1）审核报告结果误差率≤</w:t>
            </w:r>
            <w:r>
              <w:rPr>
                <w:rFonts w:ascii="宋体" w:hAnsi="宋体" w:cs="宋体"/>
                <w:color w:val="auto"/>
                <w:highlight w:val="none"/>
              </w:rPr>
              <w:t>3%</w:t>
            </w:r>
            <w:r>
              <w:rPr>
                <w:rFonts w:hint="eastAsia" w:ascii="宋体" w:hAnsi="宋体" w:cs="宋体"/>
                <w:color w:val="auto"/>
                <w:highlight w:val="none"/>
              </w:rPr>
              <w:t>，</w:t>
            </w:r>
            <w:r>
              <w:rPr>
                <w:rFonts w:hint="eastAsia" w:ascii="宋体" w:hAnsi="宋体" w:cs="宋体"/>
                <w:color w:val="auto"/>
                <w:kern w:val="0"/>
                <w:highlight w:val="none"/>
              </w:rPr>
              <w:t>采购</w:t>
            </w:r>
            <w:r>
              <w:rPr>
                <w:rFonts w:hint="eastAsia" w:ascii="宋体" w:hAnsi="宋体" w:cs="宋体"/>
                <w:color w:val="auto"/>
                <w:highlight w:val="none"/>
              </w:rPr>
              <w:t>人全额支付咨询费；3</w:t>
            </w:r>
            <w:r>
              <w:rPr>
                <w:rFonts w:ascii="宋体" w:hAnsi="宋体" w:cs="宋体"/>
                <w:color w:val="auto"/>
                <w:highlight w:val="none"/>
              </w:rPr>
              <w:t>%</w:t>
            </w:r>
            <w:r>
              <w:rPr>
                <w:rFonts w:hint="eastAsia" w:ascii="宋体" w:hAnsi="宋体" w:cs="宋体"/>
                <w:color w:val="auto"/>
                <w:highlight w:val="none"/>
              </w:rPr>
              <w:t>＜审核报告误差率≤5%，</w:t>
            </w:r>
            <w:r>
              <w:rPr>
                <w:rFonts w:hint="eastAsia" w:ascii="宋体" w:hAnsi="宋体" w:cs="宋体"/>
                <w:color w:val="auto"/>
                <w:kern w:val="0"/>
                <w:highlight w:val="none"/>
              </w:rPr>
              <w:t>采购</w:t>
            </w:r>
            <w:r>
              <w:rPr>
                <w:rFonts w:hint="eastAsia" w:ascii="宋体" w:hAnsi="宋体" w:cs="宋体"/>
                <w:color w:val="auto"/>
                <w:highlight w:val="none"/>
              </w:rPr>
              <w:t>人减半支付咨询费；审核报告误差率&gt;5%，</w:t>
            </w:r>
            <w:r>
              <w:rPr>
                <w:rFonts w:hint="eastAsia" w:ascii="宋体" w:hAnsi="宋体" w:cs="宋体"/>
                <w:color w:val="auto"/>
                <w:kern w:val="0"/>
                <w:highlight w:val="none"/>
              </w:rPr>
              <w:t>采购</w:t>
            </w:r>
            <w:r>
              <w:rPr>
                <w:rFonts w:hint="eastAsia" w:ascii="宋体" w:hAnsi="宋体" w:cs="宋体"/>
                <w:color w:val="auto"/>
                <w:highlight w:val="none"/>
              </w:rPr>
              <w:t>人不予支付咨询费。审核报告误差率=（审核报告结果－审计处复核结果）</w:t>
            </w:r>
            <w:r>
              <w:rPr>
                <w:rFonts w:ascii="宋体" w:hAnsi="宋体" w:cs="宋体"/>
                <w:color w:val="auto"/>
                <w:highlight w:val="none"/>
              </w:rPr>
              <w:t>/</w:t>
            </w:r>
            <w:r>
              <w:rPr>
                <w:rFonts w:hint="eastAsia" w:ascii="宋体" w:hAnsi="宋体" w:cs="宋体"/>
                <w:color w:val="auto"/>
                <w:highlight w:val="none"/>
              </w:rPr>
              <w:t>审核报告结果×100%。</w:t>
            </w:r>
          </w:p>
          <w:p w14:paraId="0F9126E5">
            <w:pPr>
              <w:rPr>
                <w:rFonts w:ascii="宋体" w:hAnsi="宋体" w:cs="宋体"/>
                <w:color w:val="auto"/>
                <w:highlight w:val="none"/>
              </w:rPr>
            </w:pPr>
            <w:r>
              <w:rPr>
                <w:rFonts w:hint="eastAsia" w:ascii="宋体" w:hAnsi="宋体" w:cs="宋体"/>
                <w:color w:val="auto"/>
                <w:highlight w:val="none"/>
              </w:rPr>
              <w:t>（2）按照《广西农业职业技术大学委托社会中介机构审计服务管理办法》的要求进行考核，成交供应商进场3个月后做首次考核，考核分数低于60分的将予终止合同，首次考核后不定期进行考核。</w:t>
            </w:r>
            <w:r>
              <w:rPr>
                <w:rFonts w:hint="eastAsia" w:ascii="宋体" w:hAnsi="宋体" w:cs="宋体"/>
                <w:color w:val="auto"/>
                <w:highlight w:val="none"/>
                <w:lang w:eastAsia="zh-CN"/>
              </w:rPr>
              <w:t>【</w:t>
            </w:r>
            <w:r>
              <w:rPr>
                <w:rFonts w:hint="eastAsia" w:ascii="宋体" w:hAnsi="宋体" w:cs="宋体"/>
                <w:color w:val="auto"/>
                <w:highlight w:val="none"/>
              </w:rPr>
              <w:t>具体考核要求（见</w:t>
            </w:r>
            <w:r>
              <w:rPr>
                <w:rFonts w:ascii="宋体" w:hAnsi="宋体" w:cs="宋体"/>
                <w:color w:val="auto"/>
                <w:highlight w:val="none"/>
              </w:rPr>
              <w:t>附件</w:t>
            </w:r>
            <w:r>
              <w:rPr>
                <w:rFonts w:hint="eastAsia" w:ascii="宋体" w:hAnsi="宋体" w:cs="宋体"/>
                <w:color w:val="auto"/>
                <w:highlight w:val="none"/>
                <w:lang w:val="en-US" w:eastAsia="zh-CN"/>
              </w:rPr>
              <w:t>1</w:t>
            </w:r>
            <w:r>
              <w:rPr>
                <w:rFonts w:hint="eastAsia" w:ascii="宋体" w:hAnsi="宋体" w:cs="宋体"/>
                <w:color w:val="auto"/>
                <w:highlight w:val="none"/>
              </w:rPr>
              <w:t>）由采购人在安排项目前明确告知，如果成交供应商不接受考核的不能承接该项目。</w:t>
            </w:r>
            <w:r>
              <w:rPr>
                <w:rFonts w:hint="eastAsia" w:ascii="宋体" w:hAnsi="宋体" w:cs="宋体"/>
                <w:color w:val="auto"/>
                <w:highlight w:val="none"/>
                <w:lang w:eastAsia="zh-CN"/>
              </w:rPr>
              <w:t>】</w:t>
            </w:r>
          </w:p>
          <w:p w14:paraId="2865E103">
            <w:pPr>
              <w:rPr>
                <w:rFonts w:ascii="宋体" w:hAnsi="宋体" w:cs="宋体"/>
                <w:color w:val="auto"/>
                <w:highlight w:val="none"/>
              </w:rPr>
            </w:pPr>
            <w:r>
              <w:rPr>
                <w:rFonts w:hint="eastAsia" w:ascii="宋体" w:hAnsi="宋体" w:cs="宋体"/>
                <w:b/>
                <w:color w:val="auto"/>
                <w:highlight w:val="none"/>
              </w:rPr>
              <w:t>3.人员配备：</w:t>
            </w:r>
            <w:r>
              <w:rPr>
                <w:rFonts w:hint="eastAsia" w:ascii="宋体" w:hAnsi="宋体" w:cs="宋体"/>
                <w:color w:val="auto"/>
                <w:highlight w:val="none"/>
              </w:rPr>
              <w:t>配备的项目</w:t>
            </w:r>
            <w:r>
              <w:rPr>
                <w:rFonts w:ascii="宋体" w:hAnsi="宋体" w:cs="宋体"/>
                <w:color w:val="auto"/>
                <w:highlight w:val="none"/>
              </w:rPr>
              <w:t>负责人</w:t>
            </w:r>
            <w:r>
              <w:rPr>
                <w:rFonts w:hint="eastAsia" w:ascii="宋体" w:hAnsi="宋体" w:cs="宋体"/>
                <w:color w:val="auto"/>
                <w:highlight w:val="none"/>
              </w:rPr>
              <w:t>（1名）</w:t>
            </w:r>
            <w:r>
              <w:rPr>
                <w:rFonts w:hint="eastAsia" w:ascii="宋体" w:hAnsi="宋体"/>
                <w:bCs/>
                <w:color w:val="auto"/>
                <w:highlight w:val="none"/>
              </w:rPr>
              <w:t>应取得全国一级注册造价工程师资格（土建专业）并获</w:t>
            </w:r>
            <w:r>
              <w:rPr>
                <w:rFonts w:ascii="宋体" w:hAnsi="宋体"/>
                <w:bCs/>
                <w:color w:val="auto"/>
                <w:highlight w:val="none"/>
              </w:rPr>
              <w:t>副高级职称</w:t>
            </w:r>
            <w:r>
              <w:rPr>
                <w:rFonts w:hint="eastAsia" w:ascii="宋体" w:hAnsi="宋体" w:cs="宋体"/>
                <w:color w:val="auto"/>
                <w:highlight w:val="none"/>
              </w:rPr>
              <w:t>，</w:t>
            </w:r>
            <w:r>
              <w:rPr>
                <w:rFonts w:hint="eastAsia" w:ascii="宋体" w:hAnsi="宋体"/>
                <w:bCs/>
                <w:color w:val="auto"/>
                <w:highlight w:val="none"/>
              </w:rPr>
              <w:t>土建专业负责人（1名）和</w:t>
            </w:r>
            <w:r>
              <w:rPr>
                <w:rFonts w:ascii="宋体" w:hAnsi="宋体"/>
                <w:bCs/>
                <w:color w:val="auto"/>
                <w:highlight w:val="none"/>
              </w:rPr>
              <w:t>安装专业</w:t>
            </w:r>
            <w:r>
              <w:rPr>
                <w:rFonts w:hint="eastAsia" w:ascii="宋体" w:hAnsi="宋体"/>
                <w:bCs/>
                <w:color w:val="auto"/>
                <w:highlight w:val="none"/>
              </w:rPr>
              <w:t>负责人（1名）应取得全国一级注册造价工程师资格</w:t>
            </w:r>
            <w:r>
              <w:rPr>
                <w:rFonts w:hint="eastAsia" w:ascii="宋体" w:hAnsi="宋体" w:cs="宋体"/>
                <w:color w:val="auto"/>
                <w:highlight w:val="none"/>
              </w:rPr>
              <w:t>，其他审核人员数量应能满足项目要求。配备</w:t>
            </w:r>
            <w:r>
              <w:rPr>
                <w:rFonts w:ascii="宋体" w:hAnsi="宋体" w:cs="宋体"/>
                <w:color w:val="auto"/>
                <w:highlight w:val="none"/>
              </w:rPr>
              <w:t>的所有人员应</w:t>
            </w:r>
            <w:r>
              <w:rPr>
                <w:rFonts w:hint="eastAsia" w:ascii="宋体" w:hAnsi="宋体" w:cs="宋体"/>
                <w:color w:val="auto"/>
                <w:highlight w:val="none"/>
              </w:rPr>
              <w:t>具有良好的职业道德，具有较强的专业技术水平和较强沟通协调能力。如广西农业职业技术大学审计处对项目负责人提出指定要求的，成交供应商应尽可能满足要求，如无法满足应与采购人协商解决。</w:t>
            </w:r>
          </w:p>
        </w:tc>
      </w:tr>
      <w:tr w14:paraId="3662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3" w:type="pct"/>
            <w:gridSpan w:val="2"/>
            <w:noWrap w:val="0"/>
            <w:tcMar>
              <w:top w:w="13" w:type="dxa"/>
              <w:left w:w="57" w:type="dxa"/>
              <w:bottom w:w="0" w:type="dxa"/>
              <w:right w:w="57" w:type="dxa"/>
            </w:tcMar>
            <w:vAlign w:val="center"/>
          </w:tcPr>
          <w:p w14:paraId="137B9D6A">
            <w:pPr>
              <w:jc w:val="center"/>
              <w:rPr>
                <w:rFonts w:ascii="宋体" w:hAnsi="宋体"/>
                <w:b/>
                <w:bCs/>
                <w:color w:val="auto"/>
                <w:highlight w:val="none"/>
              </w:rPr>
            </w:pPr>
            <w:r>
              <w:rPr>
                <w:rFonts w:hint="eastAsia" w:ascii="宋体" w:hAnsi="宋体" w:cs="宋体"/>
                <w:b/>
                <w:bCs/>
                <w:color w:val="auto"/>
                <w:kern w:val="0"/>
                <w:highlight w:val="none"/>
              </w:rPr>
              <w:t>付款方式</w:t>
            </w:r>
          </w:p>
        </w:tc>
        <w:tc>
          <w:tcPr>
            <w:tcW w:w="3776" w:type="pct"/>
            <w:gridSpan w:val="3"/>
            <w:noWrap w:val="0"/>
            <w:tcMar>
              <w:top w:w="13" w:type="dxa"/>
              <w:left w:w="57" w:type="dxa"/>
              <w:bottom w:w="0" w:type="dxa"/>
              <w:right w:w="57" w:type="dxa"/>
            </w:tcMar>
            <w:vAlign w:val="center"/>
          </w:tcPr>
          <w:p w14:paraId="0F7D9880">
            <w:pPr>
              <w:rPr>
                <w:rFonts w:ascii="宋体" w:hAnsi="宋体"/>
                <w:b/>
                <w:bCs/>
                <w:color w:val="auto"/>
                <w:highlight w:val="none"/>
              </w:rPr>
            </w:pPr>
            <w:r>
              <w:rPr>
                <w:rFonts w:hint="eastAsia" w:ascii="宋体" w:hAnsi="宋体"/>
                <w:b/>
                <w:bCs/>
                <w:color w:val="auto"/>
                <w:highlight w:val="none"/>
              </w:rPr>
              <w:t>1.付款</w:t>
            </w:r>
            <w:r>
              <w:rPr>
                <w:rFonts w:ascii="宋体" w:hAnsi="宋体"/>
                <w:b/>
                <w:bCs/>
                <w:color w:val="auto"/>
                <w:highlight w:val="none"/>
              </w:rPr>
              <w:t>时间</w:t>
            </w:r>
            <w:r>
              <w:rPr>
                <w:rFonts w:hint="eastAsia" w:ascii="宋体" w:hAnsi="宋体"/>
                <w:b/>
                <w:bCs/>
                <w:color w:val="auto"/>
                <w:highlight w:val="none"/>
              </w:rPr>
              <w:t>：</w:t>
            </w:r>
          </w:p>
          <w:p w14:paraId="784C5BA2">
            <w:pPr>
              <w:rPr>
                <w:rFonts w:ascii="宋体" w:hAnsi="宋体"/>
                <w:bCs/>
                <w:color w:val="auto"/>
                <w:highlight w:val="none"/>
              </w:rPr>
            </w:pPr>
            <w:r>
              <w:rPr>
                <w:rFonts w:hint="eastAsia" w:ascii="宋体" w:hAnsi="宋体"/>
                <w:b/>
                <w:bCs/>
                <w:color w:val="auto"/>
                <w:highlight w:val="none"/>
              </w:rPr>
              <w:t>（1）跟踪</w:t>
            </w:r>
            <w:r>
              <w:rPr>
                <w:rFonts w:ascii="宋体" w:hAnsi="宋体"/>
                <w:b/>
                <w:bCs/>
                <w:color w:val="auto"/>
                <w:highlight w:val="none"/>
              </w:rPr>
              <w:t>审计服务费：</w:t>
            </w:r>
            <w:r>
              <w:rPr>
                <w:rFonts w:hint="eastAsia" w:ascii="宋体" w:hAnsi="宋体"/>
                <w:bCs/>
                <w:color w:val="auto"/>
                <w:highlight w:val="none"/>
              </w:rPr>
              <w:t>跟踪</w:t>
            </w:r>
            <w:r>
              <w:rPr>
                <w:rFonts w:ascii="宋体" w:hAnsi="宋体"/>
                <w:bCs/>
                <w:color w:val="auto"/>
                <w:highlight w:val="none"/>
              </w:rPr>
              <w:t>审计服务费按季度支付(</w:t>
            </w:r>
            <w:r>
              <w:rPr>
                <w:rFonts w:hint="eastAsia" w:ascii="宋体" w:hAnsi="宋体"/>
                <w:bCs/>
                <w:color w:val="auto"/>
                <w:highlight w:val="none"/>
              </w:rPr>
              <w:t>成交供应商须按要求提交本阶段工程跟踪审计日志</w:t>
            </w:r>
            <w:r>
              <w:rPr>
                <w:rFonts w:ascii="宋体" w:hAnsi="宋体"/>
                <w:bCs/>
                <w:color w:val="auto"/>
                <w:highlight w:val="none"/>
              </w:rPr>
              <w:t>)，</w:t>
            </w:r>
            <w:r>
              <w:rPr>
                <w:rFonts w:hint="eastAsia" w:ascii="宋体" w:hAnsi="宋体"/>
                <w:bCs/>
                <w:color w:val="auto"/>
                <w:highlight w:val="none"/>
              </w:rPr>
              <w:t>在支付</w:t>
            </w:r>
            <w:r>
              <w:rPr>
                <w:rFonts w:ascii="宋体" w:hAnsi="宋体"/>
                <w:bCs/>
                <w:color w:val="auto"/>
                <w:highlight w:val="none"/>
              </w:rPr>
              <w:t>最后一笔跟踪审计服务费前</w:t>
            </w:r>
            <w:r>
              <w:rPr>
                <w:rFonts w:hint="eastAsia" w:ascii="宋体" w:hAnsi="宋体"/>
                <w:bCs/>
                <w:color w:val="auto"/>
                <w:highlight w:val="none"/>
              </w:rPr>
              <w:t>成交供应商还</w:t>
            </w:r>
            <w:r>
              <w:rPr>
                <w:rFonts w:ascii="宋体" w:hAnsi="宋体"/>
                <w:bCs/>
                <w:color w:val="auto"/>
                <w:highlight w:val="none"/>
              </w:rPr>
              <w:t>须提交</w:t>
            </w:r>
            <w:r>
              <w:rPr>
                <w:rFonts w:hint="eastAsia" w:ascii="宋体" w:hAnsi="宋体"/>
                <w:bCs/>
                <w:color w:val="auto"/>
                <w:highlight w:val="none"/>
              </w:rPr>
              <w:t>经采购人审核通过的本工程跟踪审计报告（附</w:t>
            </w:r>
            <w:r>
              <w:rPr>
                <w:rFonts w:ascii="宋体" w:hAnsi="宋体"/>
                <w:bCs/>
                <w:color w:val="auto"/>
                <w:highlight w:val="none"/>
              </w:rPr>
              <w:t>跟踪</w:t>
            </w:r>
            <w:r>
              <w:rPr>
                <w:rFonts w:hint="eastAsia" w:ascii="宋体" w:hAnsi="宋体"/>
                <w:bCs/>
                <w:color w:val="auto"/>
                <w:highlight w:val="none"/>
              </w:rPr>
              <w:t>审计</w:t>
            </w:r>
            <w:r>
              <w:rPr>
                <w:rFonts w:ascii="宋体" w:hAnsi="宋体"/>
                <w:bCs/>
                <w:color w:val="auto"/>
                <w:highlight w:val="none"/>
              </w:rPr>
              <w:t>日志</w:t>
            </w:r>
            <w:r>
              <w:rPr>
                <w:rFonts w:hint="eastAsia" w:ascii="宋体" w:hAnsi="宋体"/>
                <w:bCs/>
                <w:color w:val="auto"/>
                <w:highlight w:val="none"/>
              </w:rPr>
              <w:t>）。</w:t>
            </w:r>
          </w:p>
          <w:p w14:paraId="49E3FC04">
            <w:pPr>
              <w:rPr>
                <w:rFonts w:ascii="宋体" w:hAnsi="宋体"/>
                <w:bCs/>
                <w:color w:val="auto"/>
                <w:highlight w:val="none"/>
              </w:rPr>
            </w:pPr>
            <w:r>
              <w:rPr>
                <w:rFonts w:hint="eastAsia" w:ascii="宋体" w:hAnsi="宋体"/>
                <w:b/>
                <w:bCs/>
                <w:color w:val="auto"/>
                <w:highlight w:val="none"/>
              </w:rPr>
              <w:t>（2）结算</w:t>
            </w:r>
            <w:r>
              <w:rPr>
                <w:rFonts w:ascii="宋体" w:hAnsi="宋体"/>
                <w:b/>
                <w:bCs/>
                <w:color w:val="auto"/>
                <w:highlight w:val="none"/>
              </w:rPr>
              <w:t>审核费：</w:t>
            </w:r>
            <w:r>
              <w:rPr>
                <w:rFonts w:ascii="宋体" w:hAnsi="宋体"/>
                <w:bCs/>
                <w:color w:val="auto"/>
                <w:highlight w:val="none"/>
              </w:rPr>
              <w:t>结算审核费在</w:t>
            </w:r>
            <w:r>
              <w:rPr>
                <w:rFonts w:hint="eastAsia" w:ascii="宋体" w:hAnsi="宋体"/>
                <w:bCs/>
                <w:color w:val="auto"/>
                <w:highlight w:val="none"/>
              </w:rPr>
              <w:t>完成</w:t>
            </w:r>
            <w:r>
              <w:rPr>
                <w:rFonts w:ascii="宋体" w:hAnsi="宋体"/>
                <w:bCs/>
                <w:color w:val="auto"/>
                <w:highlight w:val="none"/>
              </w:rPr>
              <w:t>结算审定</w:t>
            </w:r>
            <w:r>
              <w:rPr>
                <w:rFonts w:hint="eastAsia" w:ascii="宋体" w:hAnsi="宋体"/>
                <w:bCs/>
                <w:color w:val="auto"/>
                <w:highlight w:val="none"/>
              </w:rPr>
              <w:t>且成交供应商提交本</w:t>
            </w:r>
            <w:r>
              <w:rPr>
                <w:rFonts w:ascii="宋体" w:hAnsi="宋体"/>
                <w:bCs/>
                <w:color w:val="auto"/>
                <w:highlight w:val="none"/>
              </w:rPr>
              <w:t>工程结算审核报告后支付。</w:t>
            </w:r>
          </w:p>
          <w:p w14:paraId="1CF03F4E">
            <w:pPr>
              <w:rPr>
                <w:rFonts w:ascii="宋体" w:hAnsi="宋体"/>
                <w:color w:val="auto"/>
                <w:highlight w:val="none"/>
              </w:rPr>
            </w:pPr>
            <w:r>
              <w:rPr>
                <w:rFonts w:ascii="宋体" w:hAnsi="宋体"/>
                <w:b/>
                <w:bCs/>
                <w:color w:val="auto"/>
                <w:highlight w:val="none"/>
              </w:rPr>
              <w:t>2.</w:t>
            </w:r>
            <w:r>
              <w:rPr>
                <w:rFonts w:hint="eastAsia" w:ascii="宋体" w:hAnsi="宋体"/>
                <w:b/>
                <w:bCs/>
                <w:color w:val="auto"/>
                <w:highlight w:val="none"/>
              </w:rPr>
              <w:t>付款</w:t>
            </w:r>
            <w:r>
              <w:rPr>
                <w:rFonts w:ascii="宋体" w:hAnsi="宋体"/>
                <w:b/>
                <w:bCs/>
                <w:color w:val="auto"/>
                <w:highlight w:val="none"/>
              </w:rPr>
              <w:t>要求：</w:t>
            </w:r>
            <w:r>
              <w:rPr>
                <w:rFonts w:hint="eastAsia" w:ascii="宋体" w:hAnsi="宋体"/>
                <w:bCs/>
                <w:color w:val="auto"/>
                <w:highlight w:val="none"/>
              </w:rPr>
              <w:t>每次支付前成交供应商须先</w:t>
            </w:r>
            <w:r>
              <w:rPr>
                <w:rFonts w:ascii="宋体" w:hAnsi="宋体"/>
                <w:bCs/>
                <w:color w:val="auto"/>
                <w:highlight w:val="none"/>
              </w:rPr>
              <w:t>开具</w:t>
            </w:r>
            <w:r>
              <w:rPr>
                <w:rFonts w:hint="eastAsia" w:ascii="宋体" w:hAnsi="宋体"/>
                <w:bCs/>
                <w:color w:val="auto"/>
                <w:highlight w:val="none"/>
              </w:rPr>
              <w:t>相应金额</w:t>
            </w:r>
            <w:r>
              <w:rPr>
                <w:rFonts w:ascii="宋体" w:hAnsi="宋体"/>
                <w:bCs/>
                <w:color w:val="auto"/>
                <w:highlight w:val="none"/>
              </w:rPr>
              <w:t>发票给</w:t>
            </w:r>
            <w:r>
              <w:rPr>
                <w:rFonts w:hint="eastAsia" w:ascii="宋体" w:hAnsi="宋体"/>
                <w:bCs/>
                <w:color w:val="auto"/>
                <w:highlight w:val="none"/>
              </w:rPr>
              <w:t>采购人</w:t>
            </w:r>
            <w:r>
              <w:rPr>
                <w:rFonts w:ascii="宋体" w:hAnsi="宋体"/>
                <w:bCs/>
                <w:color w:val="auto"/>
                <w:highlight w:val="none"/>
              </w:rPr>
              <w:t>，</w:t>
            </w:r>
            <w:r>
              <w:rPr>
                <w:rFonts w:hint="eastAsia" w:ascii="宋体" w:hAnsi="宋体"/>
                <w:bCs/>
                <w:color w:val="auto"/>
                <w:highlight w:val="none"/>
              </w:rPr>
              <w:t>采购人</w:t>
            </w:r>
            <w:r>
              <w:rPr>
                <w:rFonts w:ascii="宋体" w:hAnsi="宋体"/>
                <w:bCs/>
                <w:color w:val="auto"/>
                <w:highlight w:val="none"/>
              </w:rPr>
              <w:t>在收到发票后15</w:t>
            </w:r>
            <w:r>
              <w:rPr>
                <w:rFonts w:hint="eastAsia" w:ascii="宋体" w:hAnsi="宋体"/>
                <w:bCs/>
                <w:color w:val="auto"/>
                <w:highlight w:val="none"/>
              </w:rPr>
              <w:t>个</w:t>
            </w:r>
            <w:r>
              <w:rPr>
                <w:rFonts w:ascii="宋体" w:hAnsi="宋体"/>
                <w:bCs/>
                <w:color w:val="auto"/>
                <w:highlight w:val="none"/>
              </w:rPr>
              <w:t>工作日内按发票面额付款。</w:t>
            </w:r>
            <w:r>
              <w:rPr>
                <w:rFonts w:hint="eastAsia" w:ascii="宋体" w:hAnsi="宋体"/>
                <w:color w:val="auto"/>
                <w:highlight w:val="none"/>
              </w:rPr>
              <w:t>如成交供应商未按国家要求开具发票，或未按合同履约的，视为违约，</w:t>
            </w:r>
            <w:r>
              <w:rPr>
                <w:rFonts w:hint="eastAsia" w:ascii="宋体" w:hAnsi="宋体" w:cs="宋体"/>
                <w:bCs/>
                <w:color w:val="auto"/>
                <w:highlight w:val="none"/>
              </w:rPr>
              <w:t>采购人有权扣减履约保证金，或要求解除合同，</w:t>
            </w:r>
            <w:r>
              <w:rPr>
                <w:rFonts w:hint="eastAsia" w:ascii="宋体" w:hAnsi="宋体"/>
                <w:color w:val="auto"/>
                <w:highlight w:val="none"/>
              </w:rPr>
              <w:t>并追究成交供应商法律责任。</w:t>
            </w:r>
          </w:p>
        </w:tc>
      </w:tr>
      <w:tr w14:paraId="2F01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3" w:type="pct"/>
            <w:gridSpan w:val="2"/>
            <w:noWrap w:val="0"/>
            <w:tcMar>
              <w:top w:w="13" w:type="dxa"/>
              <w:left w:w="57" w:type="dxa"/>
              <w:bottom w:w="0" w:type="dxa"/>
              <w:right w:w="57" w:type="dxa"/>
            </w:tcMar>
            <w:vAlign w:val="center"/>
          </w:tcPr>
          <w:p w14:paraId="7F262F77">
            <w:pPr>
              <w:jc w:val="center"/>
              <w:rPr>
                <w:rFonts w:ascii="宋体" w:hAnsi="宋体" w:cs="宋体"/>
                <w:b/>
                <w:bCs/>
                <w:color w:val="auto"/>
                <w:kern w:val="0"/>
                <w:highlight w:val="none"/>
              </w:rPr>
            </w:pPr>
            <w:r>
              <w:rPr>
                <w:rFonts w:hint="eastAsia" w:ascii="宋体" w:hAnsi="宋体" w:cs="宋体"/>
                <w:b/>
                <w:bCs/>
                <w:color w:val="auto"/>
                <w:kern w:val="0"/>
                <w:highlight w:val="none"/>
              </w:rPr>
              <w:t>计费</w:t>
            </w:r>
            <w:r>
              <w:rPr>
                <w:rFonts w:ascii="宋体" w:hAnsi="宋体" w:cs="宋体"/>
                <w:b/>
                <w:bCs/>
                <w:color w:val="auto"/>
                <w:kern w:val="0"/>
                <w:highlight w:val="none"/>
              </w:rPr>
              <w:t>要求</w:t>
            </w:r>
          </w:p>
        </w:tc>
        <w:tc>
          <w:tcPr>
            <w:tcW w:w="3776" w:type="pct"/>
            <w:gridSpan w:val="3"/>
            <w:noWrap w:val="0"/>
            <w:tcMar>
              <w:top w:w="13" w:type="dxa"/>
              <w:left w:w="57" w:type="dxa"/>
              <w:bottom w:w="0" w:type="dxa"/>
              <w:right w:w="57" w:type="dxa"/>
            </w:tcMar>
            <w:vAlign w:val="center"/>
          </w:tcPr>
          <w:p w14:paraId="2D02BFAD">
            <w:pPr>
              <w:rPr>
                <w:rFonts w:ascii="宋体" w:hAnsi="宋体" w:cs="宋体"/>
                <w:b/>
                <w:color w:val="auto"/>
                <w:kern w:val="0"/>
                <w:highlight w:val="none"/>
              </w:rPr>
            </w:pPr>
            <w:r>
              <w:rPr>
                <w:rFonts w:hint="eastAsia" w:ascii="宋体" w:hAnsi="宋体" w:cs="宋体"/>
                <w:b/>
                <w:color w:val="auto"/>
                <w:kern w:val="0"/>
                <w:highlight w:val="none"/>
              </w:rPr>
              <w:t>1.广西农业职业技术大学西校区二期工程建设项目第二批工程-食堂及创新中心实训综合楼、10#学生宿舍楼、11#学生宿舍楼跟踪</w:t>
            </w:r>
            <w:r>
              <w:rPr>
                <w:rFonts w:ascii="宋体" w:hAnsi="宋体" w:cs="宋体"/>
                <w:b/>
                <w:color w:val="auto"/>
                <w:kern w:val="0"/>
                <w:highlight w:val="none"/>
              </w:rPr>
              <w:t>审计</w:t>
            </w:r>
            <w:r>
              <w:rPr>
                <w:rFonts w:hint="eastAsia" w:ascii="宋体" w:hAnsi="宋体" w:cs="宋体"/>
                <w:b/>
                <w:color w:val="auto"/>
                <w:kern w:val="0"/>
                <w:highlight w:val="none"/>
              </w:rPr>
              <w:t>费：</w:t>
            </w:r>
          </w:p>
          <w:p w14:paraId="4E9ED309">
            <w:pPr>
              <w:rPr>
                <w:rFonts w:ascii="宋体" w:hAnsi="宋体" w:cs="宋体"/>
                <w:color w:val="auto"/>
                <w:kern w:val="0"/>
                <w:highlight w:val="none"/>
              </w:rPr>
            </w:pPr>
            <w:r>
              <w:rPr>
                <w:rFonts w:hint="eastAsia" w:ascii="宋体" w:hAnsi="宋体" w:cs="宋体"/>
                <w:color w:val="auto"/>
                <w:kern w:val="0"/>
                <w:highlight w:val="none"/>
              </w:rPr>
              <w:t>（1）计费额（项）=每月跟踪审计服务费×服务期限（具体服务期限以实际工期为准，最长不超过本工程施工合同工期，即实际工期大于本工程施工合同工期的情况下同样按照本工程施工合同工期结算。）</w:t>
            </w:r>
          </w:p>
          <w:p w14:paraId="3C56C6A5">
            <w:pPr>
              <w:rPr>
                <w:rFonts w:ascii="宋体" w:hAnsi="宋体" w:cs="宋体"/>
                <w:color w:val="auto"/>
                <w:kern w:val="0"/>
                <w:highlight w:val="none"/>
              </w:rPr>
            </w:pPr>
            <w:r>
              <w:rPr>
                <w:rFonts w:hint="eastAsia" w:ascii="宋体" w:hAnsi="宋体" w:cs="宋体"/>
                <w:color w:val="auto"/>
                <w:kern w:val="0"/>
                <w:highlight w:val="none"/>
              </w:rPr>
              <w:t>（2）所有项目不再另计调整系数。</w:t>
            </w:r>
          </w:p>
          <w:p w14:paraId="67BEB1A5">
            <w:pPr>
              <w:rPr>
                <w:rFonts w:ascii="宋体" w:hAnsi="宋体" w:cs="宋体"/>
                <w:b/>
                <w:color w:val="auto"/>
                <w:kern w:val="0"/>
                <w:highlight w:val="none"/>
              </w:rPr>
            </w:pPr>
            <w:r>
              <w:rPr>
                <w:rFonts w:ascii="宋体" w:hAnsi="宋体" w:cs="宋体"/>
                <w:b/>
                <w:color w:val="auto"/>
                <w:kern w:val="0"/>
                <w:highlight w:val="none"/>
              </w:rPr>
              <w:t>2</w:t>
            </w:r>
            <w:r>
              <w:rPr>
                <w:rFonts w:hint="eastAsia" w:ascii="宋体" w:hAnsi="宋体" w:cs="宋体"/>
                <w:b/>
                <w:color w:val="auto"/>
                <w:kern w:val="0"/>
                <w:highlight w:val="none"/>
              </w:rPr>
              <w:t>.广西农业职业技术大学西校区二期工程建设项目第二批工程-食堂及创新中心实训综合楼、10#学生宿舍楼、11#学生宿舍楼结算审核费：</w:t>
            </w:r>
          </w:p>
          <w:p w14:paraId="1E418044">
            <w:pPr>
              <w:rPr>
                <w:rFonts w:ascii="宋体" w:hAnsi="宋体" w:cs="宋体"/>
                <w:color w:val="auto"/>
                <w:kern w:val="0"/>
                <w:highlight w:val="none"/>
              </w:rPr>
            </w:pPr>
            <w:r>
              <w:rPr>
                <w:rFonts w:hint="eastAsia" w:ascii="宋体" w:hAnsi="宋体" w:cs="宋体"/>
                <w:color w:val="auto"/>
                <w:kern w:val="0"/>
                <w:highlight w:val="none"/>
              </w:rPr>
              <w:t>（1）计费额（项）=[基本费（送审工程造价×相应费率）（按收费标准实行差额累进计算）＋效益费（核减造价×5%）]×（1-价格优惠率）</w:t>
            </w:r>
          </w:p>
          <w:p w14:paraId="01141DE3">
            <w:pPr>
              <w:rPr>
                <w:rFonts w:ascii="宋体" w:hAnsi="宋体" w:cs="宋体"/>
                <w:color w:val="auto"/>
                <w:kern w:val="0"/>
                <w:highlight w:val="none"/>
              </w:rPr>
            </w:pPr>
            <w:r>
              <w:rPr>
                <w:rFonts w:hint="eastAsia" w:ascii="宋体" w:hAnsi="宋体" w:cs="宋体"/>
                <w:color w:val="auto"/>
                <w:kern w:val="0"/>
                <w:highlight w:val="none"/>
              </w:rPr>
              <w:t>（2）以桂价协字〔2019〕15号文中的序号6.1所列的收费标准计算，单项审核费按以上标准计费不足3000元的按3000元计费，所有项目不再另计调整系数，其余按桂价协字〔2019〕15号文规定执行。合同履行中委托的审计事项不适用于桂价协字〔2019〕15号文的，由采购人与成交供应商谈判确定。</w:t>
            </w:r>
          </w:p>
        </w:tc>
      </w:tr>
      <w:tr w14:paraId="75B8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223" w:type="pct"/>
            <w:gridSpan w:val="2"/>
            <w:noWrap w:val="0"/>
            <w:tcMar>
              <w:top w:w="13" w:type="dxa"/>
              <w:left w:w="57" w:type="dxa"/>
              <w:bottom w:w="0" w:type="dxa"/>
              <w:right w:w="57" w:type="dxa"/>
            </w:tcMar>
            <w:vAlign w:val="center"/>
          </w:tcPr>
          <w:p w14:paraId="41C4B492">
            <w:pPr>
              <w:jc w:val="center"/>
              <w:rPr>
                <w:rFonts w:ascii="宋体" w:hAnsi="宋体" w:cs="宋体"/>
                <w:color w:val="auto"/>
                <w:highlight w:val="none"/>
              </w:rPr>
            </w:pPr>
            <w:r>
              <w:rPr>
                <w:rFonts w:hint="eastAsia" w:ascii="宋体" w:hAnsi="宋体" w:cs="宋体"/>
                <w:b/>
                <w:bCs/>
                <w:color w:val="auto"/>
                <w:kern w:val="0"/>
                <w:highlight w:val="none"/>
              </w:rPr>
              <w:t>其他要求</w:t>
            </w:r>
          </w:p>
        </w:tc>
        <w:tc>
          <w:tcPr>
            <w:tcW w:w="3776" w:type="pct"/>
            <w:gridSpan w:val="3"/>
            <w:noWrap w:val="0"/>
            <w:tcMar>
              <w:top w:w="13" w:type="dxa"/>
              <w:left w:w="57" w:type="dxa"/>
              <w:bottom w:w="0" w:type="dxa"/>
              <w:right w:w="57" w:type="dxa"/>
            </w:tcMar>
            <w:vAlign w:val="center"/>
          </w:tcPr>
          <w:p w14:paraId="08D1D4F9">
            <w:pPr>
              <w:widowControl/>
              <w:jc w:val="left"/>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1.服务期内，成交供应商及其相关工作人员出现违反廉洁从业规定时，采购人将实行一票否决，终止合同并追究成交供应商相关责任。采购人认为有必要时，可以约谈、询问成交供应商的法定代表人及相关负责人，成交供应商不得拒绝。</w:t>
            </w:r>
          </w:p>
          <w:p w14:paraId="159E7ABE">
            <w:pPr>
              <w:rPr>
                <w:rFonts w:ascii="宋体" w:hAnsi="宋体" w:cs="宋体"/>
                <w:color w:val="auto"/>
                <w:highlight w:val="none"/>
              </w:rPr>
            </w:pPr>
            <w:r>
              <w:rPr>
                <w:rFonts w:hint="eastAsia" w:ascii="宋体" w:hAnsi="宋体" w:cs="宋体"/>
                <w:color w:val="auto"/>
                <w:kern w:val="0"/>
                <w:highlight w:val="none"/>
                <w:lang w:bidi="zh-CN"/>
              </w:rPr>
              <w:t>2.成交供应商不得转包，所有服务须由成交供应商提供。</w:t>
            </w:r>
          </w:p>
        </w:tc>
      </w:tr>
    </w:tbl>
    <w:p w14:paraId="29431A16">
      <w:pPr>
        <w:jc w:val="center"/>
        <w:rPr>
          <w:b/>
          <w:color w:val="auto"/>
          <w:sz w:val="28"/>
          <w:highlight w:val="none"/>
        </w:rPr>
      </w:pPr>
    </w:p>
    <w:p w14:paraId="10A040A0">
      <w:pPr>
        <w:spacing w:line="360" w:lineRule="auto"/>
        <w:jc w:val="left"/>
        <w:rPr>
          <w:rFonts w:ascii="宋体" w:hAnsi="宋体" w:cs="宋体"/>
          <w:color w:val="auto"/>
          <w:szCs w:val="21"/>
          <w:highlight w:val="none"/>
        </w:rPr>
      </w:pPr>
      <w:bookmarkStart w:id="55" w:name="_Toc78379748"/>
      <w:bookmarkStart w:id="56" w:name="_Toc335820554"/>
      <w:bookmarkStart w:id="57" w:name="_Toc48750083"/>
      <w:bookmarkStart w:id="58" w:name="_Toc47713797"/>
      <w:bookmarkStart w:id="59" w:name="_Toc48730169"/>
      <w:r>
        <w:rPr>
          <w:rFonts w:hint="eastAsia"/>
          <w:color w:val="auto"/>
          <w:sz w:val="18"/>
          <w:szCs w:val="18"/>
          <w:highlight w:val="none"/>
        </w:rPr>
        <w:br w:type="page"/>
      </w:r>
      <w:bookmarkEnd w:id="55"/>
      <w:bookmarkEnd w:id="56"/>
      <w:bookmarkEnd w:id="57"/>
      <w:bookmarkEnd w:id="58"/>
      <w:bookmarkEnd w:id="59"/>
      <w:r>
        <w:rPr>
          <w:rFonts w:hint="eastAsia"/>
          <w:color w:val="auto"/>
          <w:sz w:val="18"/>
          <w:szCs w:val="18"/>
          <w:highlight w:val="none"/>
        </w:rPr>
        <w:t xml:space="preserve"> </w:t>
      </w:r>
      <w:r>
        <w:rPr>
          <w:rFonts w:hint="eastAsia" w:ascii="宋体" w:hAnsi="宋体" w:cs="宋体"/>
          <w:b/>
          <w:bCs/>
          <w:color w:val="auto"/>
          <w:szCs w:val="21"/>
          <w:highlight w:val="none"/>
        </w:rPr>
        <w:t>2分标：室内体育馆跟踪审计和结算审核服务，采购预算金额（元）：</w:t>
      </w:r>
      <w:r>
        <w:rPr>
          <w:rFonts w:hint="eastAsia" w:ascii="宋体" w:hAnsi="宋体" w:cs="宋体"/>
          <w:b/>
          <w:bCs/>
          <w:color w:val="auto"/>
          <w:szCs w:val="21"/>
          <w:highlight w:val="none"/>
          <w:u w:val="single"/>
        </w:rPr>
        <w:t>529550.00</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59"/>
        <w:gridCol w:w="1469"/>
        <w:gridCol w:w="6086"/>
        <w:gridCol w:w="929"/>
        <w:gridCol w:w="714"/>
      </w:tblGrid>
      <w:tr w14:paraId="7C5D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noWrap w:val="0"/>
            <w:tcMar>
              <w:top w:w="13" w:type="dxa"/>
              <w:left w:w="57" w:type="dxa"/>
              <w:bottom w:w="0" w:type="dxa"/>
              <w:right w:w="57" w:type="dxa"/>
            </w:tcMar>
            <w:vAlign w:val="center"/>
          </w:tcPr>
          <w:p w14:paraId="02537882">
            <w:pPr>
              <w:rPr>
                <w:rFonts w:ascii="宋体" w:hAnsi="宋体" w:cs="仿宋_GB2312"/>
                <w:b/>
                <w:bCs/>
                <w:color w:val="auto"/>
                <w:kern w:val="0"/>
                <w:highlight w:val="none"/>
              </w:rPr>
            </w:pPr>
            <w:r>
              <w:rPr>
                <w:rFonts w:hint="eastAsia" w:ascii="宋体" w:hAnsi="宋体" w:cs="仿宋_GB2312"/>
                <w:b/>
                <w:bCs/>
                <w:color w:val="auto"/>
                <w:kern w:val="0"/>
                <w:highlight w:val="none"/>
              </w:rPr>
              <w:t>项目概况</w:t>
            </w:r>
            <w:r>
              <w:rPr>
                <w:rFonts w:ascii="宋体" w:hAnsi="宋体" w:cs="仿宋_GB2312"/>
                <w:b/>
                <w:bCs/>
                <w:color w:val="auto"/>
                <w:kern w:val="0"/>
                <w:highlight w:val="none"/>
              </w:rPr>
              <w:t>：</w:t>
            </w:r>
          </w:p>
          <w:p w14:paraId="0BFE3C50">
            <w:pPr>
              <w:rPr>
                <w:rFonts w:ascii="宋体" w:hAnsi="宋体" w:cs="仿宋_GB2312"/>
                <w:b/>
                <w:bCs/>
                <w:color w:val="auto"/>
                <w:kern w:val="0"/>
                <w:highlight w:val="none"/>
              </w:rPr>
            </w:pPr>
            <w:r>
              <w:rPr>
                <w:rFonts w:hint="eastAsia" w:ascii="宋体" w:hAnsi="宋体" w:cs="仿宋_GB2312"/>
                <w:b/>
                <w:bCs/>
                <w:color w:val="auto"/>
                <w:kern w:val="0"/>
                <w:highlight w:val="none"/>
              </w:rPr>
              <w:t>1.</w:t>
            </w:r>
            <w:r>
              <w:rPr>
                <w:rFonts w:ascii="宋体" w:hAnsi="宋体" w:cs="仿宋_GB2312"/>
                <w:b/>
                <w:bCs/>
                <w:color w:val="auto"/>
                <w:kern w:val="0"/>
                <w:highlight w:val="none"/>
              </w:rPr>
              <w:t>工程概况：</w:t>
            </w:r>
            <w:r>
              <w:rPr>
                <w:rFonts w:hint="eastAsia" w:ascii="宋体" w:hAnsi="宋体" w:cs="仿宋_GB2312"/>
                <w:b/>
                <w:bCs/>
                <w:color w:val="auto"/>
                <w:kern w:val="0"/>
                <w:highlight w:val="none"/>
              </w:rPr>
              <w:t>总建筑面积 13709.66 ㎡，楼层为两层。</w:t>
            </w:r>
          </w:p>
          <w:p w14:paraId="78A593DA">
            <w:pPr>
              <w:rPr>
                <w:rFonts w:ascii="宋体" w:hAnsi="宋体" w:cs="仿宋_GB2312"/>
                <w:b/>
                <w:bCs/>
                <w:color w:val="auto"/>
                <w:kern w:val="0"/>
                <w:highlight w:val="none"/>
              </w:rPr>
            </w:pPr>
            <w:r>
              <w:rPr>
                <w:rFonts w:hint="eastAsia" w:ascii="宋体" w:hAnsi="宋体" w:cs="仿宋_GB2312"/>
                <w:b/>
                <w:bCs/>
                <w:color w:val="auto"/>
                <w:kern w:val="0"/>
                <w:highlight w:val="none"/>
              </w:rPr>
              <w:t>2.施工工程招标控制价为6721.22万元，预计工期655天。</w:t>
            </w:r>
          </w:p>
        </w:tc>
      </w:tr>
      <w:tr w14:paraId="19E7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noWrap w:val="0"/>
            <w:tcMar>
              <w:top w:w="13" w:type="dxa"/>
              <w:left w:w="57" w:type="dxa"/>
              <w:bottom w:w="0" w:type="dxa"/>
              <w:right w:w="57" w:type="dxa"/>
            </w:tcMar>
            <w:vAlign w:val="center"/>
          </w:tcPr>
          <w:p w14:paraId="699E0261">
            <w:pPr>
              <w:rPr>
                <w:rFonts w:ascii="宋体" w:hAnsi="宋体" w:cs="仿宋_GB2312"/>
                <w:b/>
                <w:bCs/>
                <w:color w:val="auto"/>
                <w:kern w:val="0"/>
                <w:highlight w:val="none"/>
              </w:rPr>
            </w:pPr>
            <w:r>
              <w:rPr>
                <w:rFonts w:hint="eastAsia" w:ascii="宋体" w:hAnsi="宋体"/>
                <w:b/>
                <w:color w:val="auto"/>
                <w:highlight w:val="none"/>
              </w:rPr>
              <w:t>▲</w:t>
            </w:r>
            <w:r>
              <w:rPr>
                <w:rFonts w:hint="eastAsia" w:ascii="宋体" w:hAnsi="宋体" w:cs="仿宋_GB2312"/>
                <w:b/>
                <w:bCs/>
                <w:color w:val="auto"/>
                <w:kern w:val="0"/>
                <w:highlight w:val="none"/>
              </w:rPr>
              <w:t>一、技术要求</w:t>
            </w:r>
          </w:p>
        </w:tc>
      </w:tr>
      <w:tr w14:paraId="20B6A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6" w:type="pct"/>
            <w:noWrap w:val="0"/>
            <w:tcMar>
              <w:top w:w="13" w:type="dxa"/>
              <w:left w:w="57" w:type="dxa"/>
              <w:bottom w:w="0" w:type="dxa"/>
              <w:right w:w="57" w:type="dxa"/>
            </w:tcMar>
            <w:vAlign w:val="center"/>
          </w:tcPr>
          <w:p w14:paraId="1FEE3851">
            <w:pPr>
              <w:jc w:val="center"/>
              <w:rPr>
                <w:rFonts w:ascii="宋体" w:hAnsi="宋体"/>
                <w:b/>
                <w:bCs/>
                <w:color w:val="auto"/>
                <w:kern w:val="0"/>
                <w:highlight w:val="none"/>
              </w:rPr>
            </w:pPr>
            <w:r>
              <w:rPr>
                <w:rFonts w:hint="eastAsia" w:ascii="宋体" w:hAnsi="宋体"/>
                <w:b/>
                <w:bCs/>
                <w:color w:val="auto"/>
                <w:kern w:val="0"/>
                <w:highlight w:val="none"/>
              </w:rPr>
              <w:t>序号</w:t>
            </w:r>
          </w:p>
        </w:tc>
        <w:tc>
          <w:tcPr>
            <w:tcW w:w="752" w:type="pct"/>
            <w:noWrap w:val="0"/>
            <w:tcMar>
              <w:top w:w="13" w:type="dxa"/>
              <w:left w:w="57" w:type="dxa"/>
              <w:bottom w:w="0" w:type="dxa"/>
              <w:right w:w="57" w:type="dxa"/>
            </w:tcMar>
            <w:vAlign w:val="center"/>
          </w:tcPr>
          <w:p w14:paraId="33695B3A">
            <w:pPr>
              <w:snapToGrid w:val="0"/>
              <w:jc w:val="center"/>
              <w:rPr>
                <w:rFonts w:hint="eastAsia" w:ascii="宋体" w:hAnsi="宋体"/>
                <w:b/>
                <w:bCs/>
                <w:color w:val="auto"/>
                <w:highlight w:val="none"/>
              </w:rPr>
            </w:pPr>
            <w:r>
              <w:rPr>
                <w:rFonts w:hint="eastAsia" w:ascii="宋体" w:hAnsi="宋体"/>
                <w:b/>
                <w:bCs/>
                <w:color w:val="auto"/>
                <w:highlight w:val="none"/>
              </w:rPr>
              <w:t>标的名称</w:t>
            </w:r>
          </w:p>
        </w:tc>
        <w:tc>
          <w:tcPr>
            <w:tcW w:w="3119" w:type="pct"/>
            <w:noWrap w:val="0"/>
            <w:tcMar>
              <w:top w:w="13" w:type="dxa"/>
              <w:left w:w="57" w:type="dxa"/>
              <w:bottom w:w="0" w:type="dxa"/>
              <w:right w:w="57" w:type="dxa"/>
            </w:tcMar>
            <w:vAlign w:val="center"/>
          </w:tcPr>
          <w:p w14:paraId="63BD04EA">
            <w:pPr>
              <w:jc w:val="center"/>
              <w:rPr>
                <w:rFonts w:ascii="宋体" w:hAnsi="宋体" w:cs="仿宋_GB2312"/>
                <w:b/>
                <w:bCs/>
                <w:color w:val="auto"/>
                <w:kern w:val="0"/>
                <w:highlight w:val="none"/>
              </w:rPr>
            </w:pPr>
            <w:r>
              <w:rPr>
                <w:rFonts w:hint="eastAsia" w:ascii="宋体" w:hAnsi="宋体"/>
                <w:b/>
                <w:bCs/>
                <w:color w:val="auto"/>
                <w:highlight w:val="none"/>
              </w:rPr>
              <w:t>服务内容及</w:t>
            </w:r>
            <w:r>
              <w:rPr>
                <w:rFonts w:ascii="宋体" w:hAnsi="宋体"/>
                <w:b/>
                <w:bCs/>
                <w:color w:val="auto"/>
                <w:highlight w:val="none"/>
              </w:rPr>
              <w:t>要求</w:t>
            </w:r>
          </w:p>
        </w:tc>
        <w:tc>
          <w:tcPr>
            <w:tcW w:w="476" w:type="pct"/>
            <w:noWrap w:val="0"/>
            <w:vAlign w:val="center"/>
          </w:tcPr>
          <w:p w14:paraId="1EF1CE8C">
            <w:pPr>
              <w:jc w:val="center"/>
              <w:rPr>
                <w:rFonts w:ascii="宋体" w:hAnsi="宋体" w:cs="仿宋_GB2312"/>
                <w:b/>
                <w:bCs/>
                <w:color w:val="auto"/>
                <w:kern w:val="0"/>
                <w:highlight w:val="none"/>
              </w:rPr>
            </w:pPr>
            <w:r>
              <w:rPr>
                <w:rFonts w:hint="eastAsia" w:ascii="宋体" w:hAnsi="宋体" w:cs="仿宋_GB2312"/>
                <w:b/>
                <w:bCs/>
                <w:color w:val="auto"/>
                <w:kern w:val="0"/>
                <w:highlight w:val="none"/>
              </w:rPr>
              <w:t>计量单位</w:t>
            </w:r>
          </w:p>
        </w:tc>
        <w:tc>
          <w:tcPr>
            <w:tcW w:w="364" w:type="pct"/>
            <w:noWrap w:val="0"/>
            <w:vAlign w:val="center"/>
          </w:tcPr>
          <w:p w14:paraId="717CBA74">
            <w:pPr>
              <w:jc w:val="center"/>
              <w:rPr>
                <w:rFonts w:ascii="宋体" w:hAnsi="宋体" w:cs="仿宋_GB2312"/>
                <w:b/>
                <w:bCs/>
                <w:color w:val="auto"/>
                <w:kern w:val="0"/>
                <w:highlight w:val="none"/>
              </w:rPr>
            </w:pPr>
            <w:r>
              <w:rPr>
                <w:rFonts w:hint="eastAsia" w:ascii="宋体" w:hAnsi="宋体" w:cs="仿宋_GB2312"/>
                <w:b/>
                <w:bCs/>
                <w:color w:val="auto"/>
                <w:kern w:val="0"/>
                <w:highlight w:val="none"/>
              </w:rPr>
              <w:t>数量</w:t>
            </w:r>
          </w:p>
        </w:tc>
      </w:tr>
      <w:tr w14:paraId="38EA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6" w:type="pct"/>
            <w:noWrap w:val="0"/>
            <w:tcMar>
              <w:top w:w="13" w:type="dxa"/>
              <w:left w:w="57" w:type="dxa"/>
              <w:bottom w:w="0" w:type="dxa"/>
              <w:right w:w="57" w:type="dxa"/>
            </w:tcMar>
            <w:vAlign w:val="center"/>
          </w:tcPr>
          <w:p w14:paraId="6912A79A">
            <w:pPr>
              <w:pStyle w:val="82"/>
              <w:widowControl/>
              <w:ind w:left="420" w:hanging="420" w:firstLineChars="0"/>
              <w:jc w:val="left"/>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1.</w:t>
            </w:r>
          </w:p>
        </w:tc>
        <w:tc>
          <w:tcPr>
            <w:tcW w:w="752" w:type="pct"/>
            <w:noWrap w:val="0"/>
            <w:tcMar>
              <w:top w:w="13" w:type="dxa"/>
              <w:left w:w="57" w:type="dxa"/>
              <w:bottom w:w="0" w:type="dxa"/>
              <w:right w:w="57" w:type="dxa"/>
            </w:tcMar>
            <w:vAlign w:val="center"/>
          </w:tcPr>
          <w:p w14:paraId="6EE23ACA">
            <w:pPr>
              <w:widowControl/>
              <w:textAlignment w:val="center"/>
              <w:rPr>
                <w:rFonts w:ascii="宋体" w:hAnsi="宋体" w:cs="宋体"/>
                <w:color w:val="auto"/>
                <w:kern w:val="0"/>
                <w:highlight w:val="none"/>
                <w:lang w:bidi="zh-CN"/>
              </w:rPr>
            </w:pPr>
            <w:r>
              <w:rPr>
                <w:rFonts w:hint="eastAsia" w:ascii="宋体" w:hAnsi="宋体" w:cs="宋体"/>
                <w:color w:val="auto"/>
                <w:kern w:val="0"/>
                <w:highlight w:val="none"/>
              </w:rPr>
              <w:t>广西农业职业技术大学西校区二期工程建设项目第二批工程-室内体育馆</w:t>
            </w:r>
            <w:r>
              <w:rPr>
                <w:rFonts w:ascii="宋体" w:hAnsi="宋体" w:cs="宋体"/>
                <w:color w:val="auto"/>
                <w:kern w:val="0"/>
                <w:highlight w:val="none"/>
              </w:rPr>
              <w:t>跟踪审计</w:t>
            </w:r>
          </w:p>
        </w:tc>
        <w:tc>
          <w:tcPr>
            <w:tcW w:w="3119" w:type="pct"/>
            <w:noWrap w:val="0"/>
            <w:tcMar>
              <w:top w:w="13" w:type="dxa"/>
              <w:left w:w="57" w:type="dxa"/>
              <w:bottom w:w="0" w:type="dxa"/>
              <w:right w:w="57" w:type="dxa"/>
            </w:tcMar>
            <w:vAlign w:val="center"/>
          </w:tcPr>
          <w:p w14:paraId="65E345BB">
            <w:pPr>
              <w:widowControl/>
              <w:spacing w:line="280" w:lineRule="exact"/>
              <w:rPr>
                <w:rFonts w:ascii="宋体" w:hAnsi="宋体" w:cs="宋体"/>
                <w:color w:val="auto"/>
                <w:kern w:val="0"/>
                <w:highlight w:val="none"/>
              </w:rPr>
            </w:pPr>
            <w:r>
              <w:rPr>
                <w:rFonts w:hint="eastAsia" w:ascii="宋体" w:hAnsi="宋体" w:cs="宋体"/>
                <w:color w:val="auto"/>
                <w:kern w:val="0"/>
                <w:highlight w:val="none"/>
              </w:rPr>
              <w:t>1.成交供应商按采购人要求的时间（每周不少于一次，采购人可根据实际情况要求增加次数）前往工程项目现场实地查看，并按采购人要求完成进度款审核、工程变更价款审核、工程索赔审核、现场签证审核、材料设备询价与核价等工作并</w:t>
            </w:r>
            <w:r>
              <w:rPr>
                <w:rFonts w:ascii="宋体" w:hAnsi="宋体" w:cs="宋体"/>
                <w:color w:val="auto"/>
                <w:kern w:val="0"/>
                <w:highlight w:val="none"/>
              </w:rPr>
              <w:t>出具审核意见</w:t>
            </w:r>
            <w:r>
              <w:rPr>
                <w:rFonts w:hint="eastAsia" w:ascii="宋体" w:hAnsi="宋体" w:cs="宋体"/>
                <w:color w:val="auto"/>
                <w:kern w:val="0"/>
                <w:highlight w:val="none"/>
              </w:rPr>
              <w:t>和</w:t>
            </w:r>
            <w:r>
              <w:rPr>
                <w:rFonts w:ascii="宋体" w:hAnsi="宋体" w:cs="宋体"/>
                <w:color w:val="auto"/>
                <w:kern w:val="0"/>
                <w:highlight w:val="none"/>
              </w:rPr>
              <w:t>预算书（</w:t>
            </w:r>
            <w:r>
              <w:rPr>
                <w:rFonts w:hint="eastAsia" w:ascii="宋体" w:hAnsi="宋体" w:cs="宋体"/>
                <w:color w:val="auto"/>
                <w:kern w:val="0"/>
                <w:highlight w:val="none"/>
              </w:rPr>
              <w:t>如需</w:t>
            </w:r>
            <w:r>
              <w:rPr>
                <w:rFonts w:ascii="宋体" w:hAnsi="宋体" w:cs="宋体"/>
                <w:color w:val="auto"/>
                <w:kern w:val="0"/>
                <w:highlight w:val="none"/>
              </w:rPr>
              <w:t>）</w:t>
            </w:r>
            <w:r>
              <w:rPr>
                <w:rFonts w:hint="eastAsia" w:ascii="宋体" w:hAnsi="宋体" w:cs="宋体"/>
                <w:color w:val="auto"/>
                <w:kern w:val="0"/>
                <w:highlight w:val="none"/>
              </w:rPr>
              <w:t>。工程项目实施过程中，成交供应商根据采购人及施工进度要求提交本阶段工程跟踪审计日志，工程</w:t>
            </w:r>
            <w:r>
              <w:rPr>
                <w:rFonts w:ascii="宋体" w:hAnsi="宋体" w:cs="宋体"/>
                <w:color w:val="auto"/>
                <w:kern w:val="0"/>
                <w:highlight w:val="none"/>
              </w:rPr>
              <w:t>项目竣工</w:t>
            </w:r>
            <w:r>
              <w:rPr>
                <w:rFonts w:hint="eastAsia" w:ascii="宋体" w:hAnsi="宋体" w:cs="宋体"/>
                <w:color w:val="auto"/>
                <w:kern w:val="0"/>
                <w:highlight w:val="none"/>
              </w:rPr>
              <w:t>且成交供应商</w:t>
            </w:r>
            <w:r>
              <w:rPr>
                <w:rFonts w:ascii="宋体" w:hAnsi="宋体" w:cs="宋体"/>
                <w:color w:val="auto"/>
                <w:kern w:val="0"/>
                <w:highlight w:val="none"/>
              </w:rPr>
              <w:t>完成全部跟踪审计工作后在采购人要求的时间内提交本工程跟踪审计报告初稿，</w:t>
            </w:r>
            <w:r>
              <w:rPr>
                <w:rFonts w:hint="eastAsia" w:ascii="宋体" w:hAnsi="宋体" w:cs="宋体"/>
                <w:color w:val="auto"/>
                <w:kern w:val="0"/>
                <w:highlight w:val="none"/>
              </w:rPr>
              <w:t>经采购人审核、确认通过后提供一式贰份定稿的跟踪审计报告（附</w:t>
            </w:r>
            <w:r>
              <w:rPr>
                <w:rFonts w:ascii="宋体" w:hAnsi="宋体" w:cs="宋体"/>
                <w:color w:val="auto"/>
                <w:kern w:val="0"/>
                <w:highlight w:val="none"/>
              </w:rPr>
              <w:t>跟踪审计日志</w:t>
            </w:r>
            <w:r>
              <w:rPr>
                <w:rFonts w:hint="eastAsia" w:ascii="宋体" w:hAnsi="宋体" w:cs="宋体"/>
                <w:color w:val="auto"/>
                <w:kern w:val="0"/>
                <w:highlight w:val="none"/>
              </w:rPr>
              <w:t>）。</w:t>
            </w:r>
          </w:p>
          <w:p w14:paraId="74754457">
            <w:pPr>
              <w:widowControl/>
              <w:textAlignment w:val="center"/>
              <w:rPr>
                <w:rFonts w:ascii="宋体" w:hAnsi="宋体" w:cs="宋体"/>
                <w:color w:val="auto"/>
                <w:kern w:val="0"/>
                <w:highlight w:val="none"/>
              </w:rPr>
            </w:pPr>
            <w:r>
              <w:rPr>
                <w:rFonts w:hint="eastAsia" w:ascii="宋体" w:hAnsi="宋体" w:cs="宋体"/>
                <w:color w:val="auto"/>
                <w:kern w:val="0"/>
                <w:highlight w:val="none"/>
              </w:rPr>
              <w:t>2.采购人根据实际情况安排任务，成交供应商必须服从安排。</w:t>
            </w:r>
          </w:p>
          <w:p w14:paraId="559E483D">
            <w:pPr>
              <w:widowControl/>
              <w:textAlignment w:val="center"/>
              <w:rPr>
                <w:rFonts w:ascii="宋体" w:hAnsi="宋体" w:cs="宋体"/>
                <w:color w:val="auto"/>
                <w:kern w:val="0"/>
                <w:highlight w:val="none"/>
                <w:lang w:bidi="zh-CN"/>
              </w:rPr>
            </w:pPr>
            <w:r>
              <w:rPr>
                <w:rFonts w:hint="eastAsia" w:ascii="宋体" w:hAnsi="宋体" w:cs="宋体"/>
                <w:color w:val="auto"/>
                <w:kern w:val="0"/>
                <w:highlight w:val="none"/>
              </w:rPr>
              <w:t>3.</w:t>
            </w:r>
            <w:r>
              <w:rPr>
                <w:rFonts w:ascii="宋体" w:hAnsi="宋体" w:cs="宋体"/>
                <w:color w:val="auto"/>
                <w:kern w:val="0"/>
                <w:highlight w:val="none"/>
              </w:rPr>
              <w:t>本工程施工合同工期约22</w:t>
            </w:r>
            <w:r>
              <w:rPr>
                <w:rFonts w:hint="eastAsia" w:ascii="宋体" w:hAnsi="宋体" w:cs="宋体"/>
                <w:color w:val="auto"/>
                <w:kern w:val="0"/>
                <w:highlight w:val="none"/>
              </w:rPr>
              <w:t>个</w:t>
            </w:r>
            <w:r>
              <w:rPr>
                <w:rFonts w:ascii="宋体" w:hAnsi="宋体" w:cs="宋体"/>
                <w:color w:val="auto"/>
                <w:kern w:val="0"/>
                <w:highlight w:val="none"/>
              </w:rPr>
              <w:t>月。</w:t>
            </w:r>
          </w:p>
        </w:tc>
        <w:tc>
          <w:tcPr>
            <w:tcW w:w="476" w:type="pct"/>
            <w:noWrap w:val="0"/>
            <w:vAlign w:val="center"/>
          </w:tcPr>
          <w:p w14:paraId="68D60DAF">
            <w:pPr>
              <w:widowControl/>
              <w:jc w:val="center"/>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项</w:t>
            </w:r>
          </w:p>
        </w:tc>
        <w:tc>
          <w:tcPr>
            <w:tcW w:w="364" w:type="pct"/>
            <w:noWrap w:val="0"/>
            <w:vAlign w:val="center"/>
          </w:tcPr>
          <w:p w14:paraId="10A973B1">
            <w:pPr>
              <w:widowControl/>
              <w:jc w:val="center"/>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1</w:t>
            </w:r>
          </w:p>
        </w:tc>
      </w:tr>
      <w:tr w14:paraId="0231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86" w:type="pct"/>
            <w:noWrap w:val="0"/>
            <w:tcMar>
              <w:top w:w="13" w:type="dxa"/>
              <w:left w:w="57" w:type="dxa"/>
              <w:bottom w:w="0" w:type="dxa"/>
              <w:right w:w="57" w:type="dxa"/>
            </w:tcMar>
            <w:vAlign w:val="center"/>
          </w:tcPr>
          <w:p w14:paraId="058BA490">
            <w:pPr>
              <w:pStyle w:val="82"/>
              <w:widowControl/>
              <w:ind w:firstLine="0" w:firstLineChars="0"/>
              <w:jc w:val="left"/>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2.</w:t>
            </w:r>
          </w:p>
        </w:tc>
        <w:tc>
          <w:tcPr>
            <w:tcW w:w="752" w:type="pct"/>
            <w:noWrap w:val="0"/>
            <w:tcMar>
              <w:top w:w="13" w:type="dxa"/>
              <w:left w:w="57" w:type="dxa"/>
              <w:bottom w:w="0" w:type="dxa"/>
              <w:right w:w="57" w:type="dxa"/>
            </w:tcMar>
            <w:vAlign w:val="center"/>
          </w:tcPr>
          <w:p w14:paraId="753AC67C">
            <w:pPr>
              <w:widowControl/>
              <w:textAlignment w:val="center"/>
              <w:rPr>
                <w:rFonts w:ascii="宋体" w:hAnsi="宋体" w:cs="宋体"/>
                <w:color w:val="auto"/>
                <w:kern w:val="0"/>
                <w:highlight w:val="none"/>
                <w:lang w:bidi="zh-CN"/>
              </w:rPr>
            </w:pPr>
            <w:r>
              <w:rPr>
                <w:rFonts w:hint="eastAsia" w:ascii="宋体" w:hAnsi="宋体" w:cs="宋体"/>
                <w:color w:val="auto"/>
                <w:kern w:val="0"/>
                <w:highlight w:val="none"/>
              </w:rPr>
              <w:t>广西农业职业技术大学西校区二期工程建设项目第二批工程-室内体育馆结算审核</w:t>
            </w:r>
          </w:p>
        </w:tc>
        <w:tc>
          <w:tcPr>
            <w:tcW w:w="3119" w:type="pct"/>
            <w:noWrap w:val="0"/>
            <w:tcMar>
              <w:top w:w="13" w:type="dxa"/>
              <w:left w:w="57" w:type="dxa"/>
              <w:bottom w:w="0" w:type="dxa"/>
              <w:right w:w="57" w:type="dxa"/>
            </w:tcMar>
            <w:vAlign w:val="center"/>
          </w:tcPr>
          <w:p w14:paraId="0E0C20A5">
            <w:pPr>
              <w:widowControl/>
              <w:spacing w:line="280" w:lineRule="exact"/>
              <w:rPr>
                <w:rFonts w:ascii="宋体" w:hAnsi="宋体" w:cs="宋体"/>
                <w:color w:val="auto"/>
                <w:kern w:val="0"/>
                <w:highlight w:val="none"/>
              </w:rPr>
            </w:pPr>
            <w:r>
              <w:rPr>
                <w:rFonts w:hint="eastAsia" w:ascii="宋体" w:hAnsi="宋体" w:cs="宋体"/>
                <w:color w:val="auto"/>
                <w:kern w:val="0"/>
                <w:highlight w:val="none"/>
              </w:rPr>
              <w:t>1.</w:t>
            </w:r>
            <w:r>
              <w:rPr>
                <w:rFonts w:hint="eastAsia" w:ascii="宋体" w:hAnsi="宋体" w:cs="宋体"/>
                <w:color w:val="auto"/>
                <w:highlight w:val="none"/>
              </w:rPr>
              <w:t>收到</w:t>
            </w:r>
            <w:r>
              <w:rPr>
                <w:rFonts w:ascii="宋体" w:hAnsi="宋体" w:cs="宋体"/>
                <w:color w:val="auto"/>
                <w:highlight w:val="none"/>
              </w:rPr>
              <w:t>结算送审材料</w:t>
            </w:r>
            <w:r>
              <w:rPr>
                <w:rFonts w:hint="eastAsia" w:ascii="宋体" w:hAnsi="宋体" w:cs="宋体"/>
                <w:color w:val="auto"/>
                <w:highlight w:val="none"/>
              </w:rPr>
              <w:t>后</w:t>
            </w:r>
            <w:r>
              <w:rPr>
                <w:rFonts w:ascii="宋体" w:hAnsi="宋体" w:cs="宋体"/>
                <w:color w:val="auto"/>
                <w:highlight w:val="none"/>
              </w:rPr>
              <w:t>，</w:t>
            </w:r>
            <w:r>
              <w:rPr>
                <w:rFonts w:hint="eastAsia" w:ascii="宋体" w:hAnsi="宋体" w:cs="宋体"/>
                <w:color w:val="auto"/>
                <w:kern w:val="0"/>
                <w:highlight w:val="none"/>
              </w:rPr>
              <w:t>成交供应商按采购人要求的时间前往工程项目现场实地查看，成交供应商在采购人要求的时间内提交本工程竣工结算审核报告初稿，与</w:t>
            </w:r>
            <w:r>
              <w:rPr>
                <w:rFonts w:ascii="宋体" w:hAnsi="宋体" w:cs="宋体"/>
                <w:color w:val="auto"/>
                <w:kern w:val="0"/>
                <w:highlight w:val="none"/>
              </w:rPr>
              <w:t>施工单位核对确认</w:t>
            </w:r>
            <w:r>
              <w:rPr>
                <w:rFonts w:hint="eastAsia" w:ascii="宋体" w:hAnsi="宋体" w:cs="宋体"/>
                <w:color w:val="auto"/>
                <w:kern w:val="0"/>
                <w:highlight w:val="none"/>
              </w:rPr>
              <w:t>并</w:t>
            </w:r>
            <w:r>
              <w:rPr>
                <w:rFonts w:ascii="宋体" w:hAnsi="宋体" w:cs="宋体"/>
                <w:color w:val="auto"/>
                <w:kern w:val="0"/>
                <w:highlight w:val="none"/>
              </w:rPr>
              <w:t>经</w:t>
            </w:r>
            <w:r>
              <w:rPr>
                <w:rFonts w:hint="eastAsia" w:ascii="宋体" w:hAnsi="宋体" w:cs="宋体"/>
                <w:color w:val="auto"/>
                <w:kern w:val="0"/>
                <w:highlight w:val="none"/>
              </w:rPr>
              <w:t>采购人审核通过后（财评项目需经财评中心审核通过），提供一式六份定稿的竣工结算审核报告。</w:t>
            </w:r>
          </w:p>
          <w:p w14:paraId="449C2167">
            <w:pPr>
              <w:widowControl/>
              <w:textAlignment w:val="center"/>
              <w:rPr>
                <w:rFonts w:ascii="宋体" w:hAnsi="宋体" w:cs="宋体"/>
                <w:color w:val="auto"/>
                <w:kern w:val="0"/>
                <w:highlight w:val="none"/>
              </w:rPr>
            </w:pPr>
            <w:r>
              <w:rPr>
                <w:rFonts w:hint="eastAsia" w:ascii="宋体" w:hAnsi="宋体" w:cs="宋体"/>
                <w:color w:val="auto"/>
                <w:kern w:val="0"/>
                <w:highlight w:val="none"/>
              </w:rPr>
              <w:t>2.采购人根据实际情况安排任务，成交供应商必须服从安排。</w:t>
            </w:r>
          </w:p>
          <w:p w14:paraId="75CA1E03">
            <w:pPr>
              <w:widowControl/>
              <w:textAlignment w:val="center"/>
              <w:rPr>
                <w:rFonts w:ascii="宋体" w:hAnsi="宋体" w:cs="宋体"/>
                <w:color w:val="auto"/>
                <w:kern w:val="0"/>
                <w:highlight w:val="none"/>
              </w:rPr>
            </w:pPr>
            <w:r>
              <w:rPr>
                <w:rFonts w:ascii="宋体" w:hAnsi="宋体" w:cs="宋体"/>
                <w:color w:val="auto"/>
                <w:kern w:val="0"/>
                <w:highlight w:val="none"/>
              </w:rPr>
              <w:t>3.本项目结算审核</w:t>
            </w:r>
            <w:r>
              <w:rPr>
                <w:rFonts w:hint="eastAsia" w:ascii="宋体" w:hAnsi="宋体" w:cs="宋体"/>
                <w:color w:val="auto"/>
                <w:kern w:val="0"/>
                <w:highlight w:val="none"/>
              </w:rPr>
              <w:t>定稿后，如后期国家审计需重新审核，成交供应商需按要求配合。</w:t>
            </w:r>
          </w:p>
        </w:tc>
        <w:tc>
          <w:tcPr>
            <w:tcW w:w="476" w:type="pct"/>
            <w:noWrap w:val="0"/>
            <w:vAlign w:val="center"/>
          </w:tcPr>
          <w:p w14:paraId="73E75B6E">
            <w:pPr>
              <w:widowControl/>
              <w:jc w:val="center"/>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项</w:t>
            </w:r>
          </w:p>
        </w:tc>
        <w:tc>
          <w:tcPr>
            <w:tcW w:w="364" w:type="pct"/>
            <w:noWrap w:val="0"/>
            <w:vAlign w:val="center"/>
          </w:tcPr>
          <w:p w14:paraId="1768C006">
            <w:pPr>
              <w:widowControl/>
              <w:jc w:val="center"/>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1</w:t>
            </w:r>
          </w:p>
        </w:tc>
      </w:tr>
      <w:tr w14:paraId="69EC2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000" w:type="pct"/>
            <w:gridSpan w:val="5"/>
            <w:noWrap w:val="0"/>
            <w:tcMar>
              <w:top w:w="13" w:type="dxa"/>
              <w:left w:w="57" w:type="dxa"/>
              <w:bottom w:w="0" w:type="dxa"/>
              <w:right w:w="57" w:type="dxa"/>
            </w:tcMar>
            <w:vAlign w:val="center"/>
          </w:tcPr>
          <w:p w14:paraId="143398D3">
            <w:pPr>
              <w:widowControl/>
              <w:jc w:val="left"/>
              <w:textAlignment w:val="center"/>
              <w:rPr>
                <w:rFonts w:ascii="宋体" w:hAnsi="宋体" w:cs="宋体"/>
                <w:b/>
                <w:color w:val="auto"/>
                <w:kern w:val="0"/>
                <w:highlight w:val="none"/>
                <w:lang w:bidi="zh-CN"/>
              </w:rPr>
            </w:pPr>
            <w:r>
              <w:rPr>
                <w:rFonts w:hint="eastAsia" w:ascii="宋体" w:hAnsi="宋体"/>
                <w:b/>
                <w:color w:val="auto"/>
                <w:highlight w:val="none"/>
              </w:rPr>
              <w:t>▲</w:t>
            </w:r>
            <w:r>
              <w:rPr>
                <w:rFonts w:hint="eastAsia" w:ascii="宋体" w:hAnsi="宋体"/>
                <w:b/>
                <w:bCs/>
                <w:color w:val="auto"/>
                <w:highlight w:val="none"/>
              </w:rPr>
              <w:t>二、商务要求</w:t>
            </w:r>
          </w:p>
        </w:tc>
      </w:tr>
      <w:tr w14:paraId="1B86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39" w:type="pct"/>
            <w:gridSpan w:val="2"/>
            <w:noWrap w:val="0"/>
            <w:tcMar>
              <w:top w:w="13" w:type="dxa"/>
              <w:left w:w="57" w:type="dxa"/>
              <w:bottom w:w="0" w:type="dxa"/>
              <w:right w:w="57" w:type="dxa"/>
            </w:tcMar>
            <w:vAlign w:val="center"/>
          </w:tcPr>
          <w:p w14:paraId="18043043">
            <w:pPr>
              <w:jc w:val="center"/>
              <w:rPr>
                <w:rFonts w:ascii="宋体" w:hAnsi="宋体" w:cs="宋体"/>
                <w:b/>
                <w:bCs/>
                <w:color w:val="auto"/>
                <w:kern w:val="0"/>
                <w:highlight w:val="none"/>
              </w:rPr>
            </w:pPr>
            <w:r>
              <w:rPr>
                <w:rFonts w:hint="eastAsia" w:ascii="宋体" w:hAnsi="宋体" w:cs="宋体"/>
                <w:b/>
                <w:bCs/>
                <w:color w:val="auto"/>
                <w:kern w:val="0"/>
                <w:highlight w:val="none"/>
              </w:rPr>
              <w:t>报价方式</w:t>
            </w:r>
          </w:p>
        </w:tc>
        <w:tc>
          <w:tcPr>
            <w:tcW w:w="3960" w:type="pct"/>
            <w:gridSpan w:val="3"/>
            <w:noWrap w:val="0"/>
            <w:tcMar>
              <w:top w:w="13" w:type="dxa"/>
              <w:left w:w="57" w:type="dxa"/>
              <w:bottom w:w="0" w:type="dxa"/>
              <w:right w:w="57" w:type="dxa"/>
            </w:tcMar>
            <w:vAlign w:val="center"/>
          </w:tcPr>
          <w:p w14:paraId="07D09AA2">
            <w:pPr>
              <w:rPr>
                <w:rFonts w:ascii="宋体" w:hAnsi="宋体" w:cs="宋体"/>
                <w:color w:val="auto"/>
                <w:kern w:val="0"/>
                <w:highlight w:val="none"/>
              </w:rPr>
            </w:pPr>
            <w:r>
              <w:rPr>
                <w:rFonts w:hint="eastAsia" w:ascii="宋体" w:hAnsi="宋体" w:cs="宋体"/>
                <w:color w:val="auto"/>
                <w:kern w:val="0"/>
                <w:highlight w:val="none"/>
              </w:rPr>
              <w:t>1</w:t>
            </w:r>
            <w:r>
              <w:rPr>
                <w:rFonts w:ascii="宋体" w:hAnsi="宋体" w:cs="宋体"/>
                <w:color w:val="auto"/>
                <w:kern w:val="0"/>
                <w:highlight w:val="none"/>
              </w:rPr>
              <w:t>.</w:t>
            </w:r>
            <w:r>
              <w:rPr>
                <w:rFonts w:hint="eastAsia" w:ascii="宋体" w:hAnsi="宋体" w:cs="宋体"/>
                <w:color w:val="auto"/>
                <w:kern w:val="0"/>
                <w:highlight w:val="none"/>
              </w:rPr>
              <w:t>报价包括实施和完成项目采购需求的服务要求所需的劳务费、技术服务费、交通、通讯、办公场地、管理费、税费和利润等费用和政策性文件规定及合同包含的所有风险、 责任等各项所有的费用。</w:t>
            </w:r>
          </w:p>
          <w:p w14:paraId="0774E483">
            <w:pPr>
              <w:rPr>
                <w:rFonts w:ascii="宋体" w:hAnsi="宋体" w:cs="宋体"/>
                <w:color w:val="auto"/>
                <w:kern w:val="0"/>
                <w:highlight w:val="none"/>
              </w:rPr>
            </w:pPr>
            <w:r>
              <w:rPr>
                <w:rFonts w:hint="eastAsia" w:ascii="宋体" w:hAnsi="宋体" w:cs="宋体"/>
                <w:color w:val="auto"/>
                <w:kern w:val="0"/>
                <w:highlight w:val="none"/>
              </w:rPr>
              <w:t>2</w:t>
            </w:r>
            <w:r>
              <w:rPr>
                <w:rFonts w:ascii="宋体" w:hAnsi="宋体" w:cs="宋体"/>
                <w:color w:val="auto"/>
                <w:kern w:val="0"/>
                <w:highlight w:val="none"/>
              </w:rPr>
              <w:t>.不在有效报价范围内的</w:t>
            </w:r>
            <w:r>
              <w:rPr>
                <w:rFonts w:hint="eastAsia" w:ascii="宋体" w:hAnsi="宋体" w:cs="宋体"/>
                <w:color w:val="auto"/>
                <w:kern w:val="0"/>
                <w:highlight w:val="none"/>
              </w:rPr>
              <w:t>竞标</w:t>
            </w:r>
            <w:r>
              <w:rPr>
                <w:rFonts w:ascii="宋体" w:hAnsi="宋体" w:cs="宋体"/>
                <w:color w:val="auto"/>
                <w:kern w:val="0"/>
                <w:highlight w:val="none"/>
              </w:rPr>
              <w:t>报价作无效</w:t>
            </w:r>
            <w:r>
              <w:rPr>
                <w:rFonts w:hint="eastAsia" w:ascii="宋体" w:hAnsi="宋体" w:cs="宋体"/>
                <w:color w:val="auto"/>
                <w:kern w:val="0"/>
                <w:highlight w:val="none"/>
              </w:rPr>
              <w:t>竞标</w:t>
            </w:r>
            <w:r>
              <w:rPr>
                <w:rFonts w:ascii="宋体" w:hAnsi="宋体" w:cs="宋体"/>
                <w:color w:val="auto"/>
                <w:kern w:val="0"/>
                <w:highlight w:val="none"/>
              </w:rPr>
              <w:t>处理。</w:t>
            </w:r>
          </w:p>
          <w:p w14:paraId="63D0C08B">
            <w:pPr>
              <w:rPr>
                <w:rFonts w:ascii="宋体" w:hAnsi="宋体" w:cs="宋体"/>
                <w:color w:val="auto"/>
                <w:kern w:val="0"/>
                <w:highlight w:val="none"/>
              </w:rPr>
            </w:pPr>
            <w:r>
              <w:rPr>
                <w:rFonts w:hint="eastAsia" w:ascii="宋体" w:hAnsi="宋体" w:cs="宋体"/>
                <w:color w:val="auto"/>
                <w:kern w:val="0"/>
                <w:highlight w:val="none"/>
              </w:rPr>
              <w:t>3</w:t>
            </w:r>
            <w:r>
              <w:rPr>
                <w:rFonts w:ascii="宋体" w:hAnsi="宋体" w:cs="宋体"/>
                <w:color w:val="auto"/>
                <w:kern w:val="0"/>
                <w:highlight w:val="none"/>
              </w:rPr>
              <w:t>.</w:t>
            </w:r>
            <w:r>
              <w:rPr>
                <w:rFonts w:hint="eastAsia" w:ascii="宋体" w:hAnsi="宋体" w:cs="宋体"/>
                <w:color w:val="auto"/>
                <w:kern w:val="0"/>
                <w:highlight w:val="none"/>
              </w:rPr>
              <w:t>（1）跟踪</w:t>
            </w:r>
            <w:r>
              <w:rPr>
                <w:rFonts w:ascii="宋体" w:hAnsi="宋体" w:cs="宋体"/>
                <w:color w:val="auto"/>
                <w:kern w:val="0"/>
                <w:highlight w:val="none"/>
              </w:rPr>
              <w:t>审计服务费</w:t>
            </w:r>
            <w:r>
              <w:rPr>
                <w:rFonts w:hint="eastAsia" w:ascii="宋体" w:hAnsi="宋体" w:cs="宋体"/>
                <w:color w:val="auto"/>
                <w:kern w:val="0"/>
                <w:highlight w:val="none"/>
              </w:rPr>
              <w:t>：</w:t>
            </w:r>
            <w:r>
              <w:rPr>
                <w:rFonts w:ascii="宋体" w:hAnsi="宋体" w:cs="宋体"/>
                <w:color w:val="auto"/>
                <w:kern w:val="0"/>
                <w:highlight w:val="none"/>
              </w:rPr>
              <w:t>按每月</w:t>
            </w:r>
            <w:r>
              <w:rPr>
                <w:rFonts w:hint="eastAsia" w:ascii="宋体" w:hAnsi="宋体" w:cs="宋体"/>
                <w:color w:val="auto"/>
                <w:kern w:val="0"/>
                <w:highlight w:val="none"/>
              </w:rPr>
              <w:t>服务费</w:t>
            </w:r>
            <w:r>
              <w:rPr>
                <w:rFonts w:ascii="宋体" w:hAnsi="宋体" w:cs="宋体"/>
                <w:color w:val="auto"/>
                <w:kern w:val="0"/>
                <w:highlight w:val="none"/>
              </w:rPr>
              <w:t>金额</w:t>
            </w:r>
            <w:r>
              <w:rPr>
                <w:rFonts w:hint="eastAsia" w:ascii="宋体" w:hAnsi="宋体" w:cs="宋体"/>
                <w:color w:val="auto"/>
                <w:kern w:val="0"/>
                <w:highlight w:val="none"/>
              </w:rPr>
              <w:t>进行</w:t>
            </w:r>
            <w:r>
              <w:rPr>
                <w:rFonts w:ascii="宋体" w:hAnsi="宋体" w:cs="宋体"/>
                <w:color w:val="auto"/>
                <w:kern w:val="0"/>
                <w:highlight w:val="none"/>
              </w:rPr>
              <w:t>报价，</w:t>
            </w:r>
            <w:r>
              <w:rPr>
                <w:rFonts w:ascii="宋体" w:hAnsi="宋体" w:cs="宋体"/>
                <w:color w:val="auto"/>
                <w:kern w:val="0"/>
                <w:highlight w:val="none"/>
                <w:lang w:bidi="zh-CN"/>
              </w:rPr>
              <w:t>跟踪审计费</w:t>
            </w:r>
            <w:r>
              <w:rPr>
                <w:rFonts w:hint="eastAsia" w:ascii="宋体" w:hAnsi="宋体"/>
                <w:color w:val="auto"/>
                <w:highlight w:val="none"/>
              </w:rPr>
              <w:t>不高于1</w:t>
            </w:r>
            <w:r>
              <w:rPr>
                <w:rFonts w:ascii="宋体" w:hAnsi="宋体"/>
                <w:color w:val="auto"/>
                <w:highlight w:val="none"/>
              </w:rPr>
              <w:t>0000</w:t>
            </w:r>
            <w:r>
              <w:rPr>
                <w:rFonts w:hint="eastAsia" w:ascii="宋体" w:hAnsi="宋体"/>
                <w:color w:val="auto"/>
                <w:highlight w:val="none"/>
              </w:rPr>
              <w:t>元/月。（2）</w:t>
            </w:r>
            <w:r>
              <w:rPr>
                <w:rFonts w:hint="eastAsia" w:ascii="宋体" w:hAnsi="宋体" w:cs="宋体"/>
                <w:color w:val="auto"/>
                <w:kern w:val="0"/>
                <w:highlight w:val="none"/>
              </w:rPr>
              <w:t>结算审核费：以</w:t>
            </w:r>
            <w:r>
              <w:rPr>
                <w:rFonts w:hint="eastAsia" w:ascii="宋体" w:hAnsi="宋体" w:cs="宋体"/>
                <w:color w:val="auto"/>
                <w:kern w:val="0"/>
                <w:highlight w:val="none"/>
                <w:lang w:bidi="zh-CN"/>
              </w:rPr>
              <w:t>桂价协字〔2019〕15号文中序号6.1所列的收费标准计算，按</w:t>
            </w:r>
            <w:r>
              <w:rPr>
                <w:rFonts w:ascii="宋体" w:hAnsi="宋体" w:cs="宋体"/>
                <w:color w:val="auto"/>
                <w:kern w:val="0"/>
                <w:highlight w:val="none"/>
              </w:rPr>
              <w:t>价格优惠率进行报价</w:t>
            </w:r>
            <w:r>
              <w:rPr>
                <w:rFonts w:hint="eastAsia" w:ascii="宋体" w:hAnsi="宋体" w:cs="宋体"/>
                <w:color w:val="auto"/>
                <w:kern w:val="0"/>
                <w:highlight w:val="none"/>
              </w:rPr>
              <w:t>，价格</w:t>
            </w:r>
            <w:r>
              <w:rPr>
                <w:rFonts w:ascii="宋体" w:hAnsi="宋体" w:cs="宋体"/>
                <w:color w:val="auto"/>
                <w:kern w:val="0"/>
                <w:highlight w:val="none"/>
              </w:rPr>
              <w:t>优惠率不低于</w:t>
            </w:r>
            <w:r>
              <w:rPr>
                <w:rFonts w:hint="eastAsia" w:ascii="宋体" w:hAnsi="宋体" w:cs="宋体"/>
                <w:color w:val="auto"/>
                <w:kern w:val="0"/>
                <w:highlight w:val="none"/>
              </w:rPr>
              <w:t>25%</w:t>
            </w:r>
            <w:r>
              <w:rPr>
                <w:rFonts w:ascii="宋体" w:hAnsi="宋体" w:cs="宋体"/>
                <w:color w:val="auto"/>
                <w:kern w:val="0"/>
                <w:highlight w:val="none"/>
              </w:rPr>
              <w:t>。</w:t>
            </w:r>
          </w:p>
        </w:tc>
      </w:tr>
      <w:tr w14:paraId="6164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39" w:type="pct"/>
            <w:gridSpan w:val="2"/>
            <w:noWrap w:val="0"/>
            <w:tcMar>
              <w:top w:w="13" w:type="dxa"/>
              <w:left w:w="57" w:type="dxa"/>
              <w:bottom w:w="0" w:type="dxa"/>
              <w:right w:w="57" w:type="dxa"/>
            </w:tcMar>
            <w:vAlign w:val="center"/>
          </w:tcPr>
          <w:p w14:paraId="2AE2FC4D">
            <w:pPr>
              <w:jc w:val="center"/>
              <w:rPr>
                <w:rFonts w:ascii="宋体" w:hAnsi="宋体"/>
                <w:b/>
                <w:bCs/>
                <w:color w:val="auto"/>
                <w:highlight w:val="none"/>
              </w:rPr>
            </w:pPr>
            <w:r>
              <w:rPr>
                <w:rFonts w:hint="eastAsia" w:ascii="宋体" w:hAnsi="宋体" w:cs="宋体"/>
                <w:b/>
                <w:bCs/>
                <w:color w:val="auto"/>
                <w:kern w:val="0"/>
                <w:highlight w:val="none"/>
              </w:rPr>
              <w:t>服务期限及地点</w:t>
            </w:r>
          </w:p>
        </w:tc>
        <w:tc>
          <w:tcPr>
            <w:tcW w:w="3960" w:type="pct"/>
            <w:gridSpan w:val="3"/>
            <w:noWrap w:val="0"/>
            <w:tcMar>
              <w:top w:w="13" w:type="dxa"/>
              <w:left w:w="57" w:type="dxa"/>
              <w:bottom w:w="0" w:type="dxa"/>
              <w:right w:w="57" w:type="dxa"/>
            </w:tcMar>
            <w:vAlign w:val="center"/>
          </w:tcPr>
          <w:p w14:paraId="1E746450">
            <w:pPr>
              <w:widowControl/>
              <w:spacing w:line="320" w:lineRule="exact"/>
              <w:rPr>
                <w:rFonts w:ascii="宋体" w:hAnsi="宋体" w:cs="宋体"/>
                <w:b/>
                <w:color w:val="auto"/>
                <w:kern w:val="0"/>
                <w:highlight w:val="none"/>
              </w:rPr>
            </w:pPr>
            <w:r>
              <w:rPr>
                <w:rFonts w:hint="eastAsia" w:ascii="宋体" w:hAnsi="宋体" w:cs="宋体"/>
                <w:b/>
                <w:color w:val="auto"/>
                <w:kern w:val="0"/>
                <w:highlight w:val="none"/>
              </w:rPr>
              <w:t>1.服务期限：</w:t>
            </w:r>
          </w:p>
          <w:p w14:paraId="7D824BE5">
            <w:pPr>
              <w:widowControl/>
              <w:spacing w:line="320" w:lineRule="exact"/>
              <w:rPr>
                <w:rFonts w:ascii="宋体" w:hAnsi="宋体" w:cs="宋体"/>
                <w:b/>
                <w:color w:val="auto"/>
                <w:kern w:val="0"/>
                <w:highlight w:val="none"/>
              </w:rPr>
            </w:pPr>
            <w:r>
              <w:rPr>
                <w:rFonts w:hint="eastAsia" w:ascii="宋体" w:hAnsi="宋体" w:cs="宋体"/>
                <w:b/>
                <w:color w:val="auto"/>
                <w:kern w:val="0"/>
                <w:highlight w:val="none"/>
              </w:rPr>
              <w:t>（1）跟踪</w:t>
            </w:r>
            <w:r>
              <w:rPr>
                <w:rFonts w:ascii="宋体" w:hAnsi="宋体" w:cs="宋体"/>
                <w:b/>
                <w:color w:val="auto"/>
                <w:kern w:val="0"/>
                <w:highlight w:val="none"/>
              </w:rPr>
              <w:t>审计服务期限：</w:t>
            </w:r>
            <w:r>
              <w:rPr>
                <w:rFonts w:hint="eastAsia" w:ascii="宋体" w:hAnsi="宋体" w:cs="宋体"/>
                <w:color w:val="auto"/>
                <w:kern w:val="0"/>
                <w:highlight w:val="none"/>
              </w:rPr>
              <w:t>自合同签订之日起</w:t>
            </w:r>
            <w:r>
              <w:rPr>
                <w:rFonts w:ascii="宋体" w:hAnsi="宋体" w:cs="宋体"/>
                <w:color w:val="auto"/>
                <w:kern w:val="0"/>
                <w:highlight w:val="none"/>
              </w:rPr>
              <w:t>至</w:t>
            </w:r>
            <w:r>
              <w:rPr>
                <w:rFonts w:hint="eastAsia" w:ascii="宋体" w:hAnsi="宋体" w:cs="宋体"/>
                <w:color w:val="auto"/>
                <w:kern w:val="0"/>
                <w:highlight w:val="none"/>
              </w:rPr>
              <w:t>工程</w:t>
            </w:r>
            <w:r>
              <w:rPr>
                <w:rFonts w:ascii="宋体" w:hAnsi="宋体" w:cs="宋体"/>
                <w:color w:val="auto"/>
                <w:kern w:val="0"/>
                <w:highlight w:val="none"/>
              </w:rPr>
              <w:t>项目竣工</w:t>
            </w:r>
            <w:r>
              <w:rPr>
                <w:rFonts w:hint="eastAsia" w:ascii="宋体" w:hAnsi="宋体" w:cs="宋体"/>
                <w:color w:val="auto"/>
                <w:kern w:val="0"/>
                <w:highlight w:val="none"/>
              </w:rPr>
              <w:t>且成交供应商</w:t>
            </w:r>
            <w:r>
              <w:rPr>
                <w:rFonts w:ascii="宋体" w:hAnsi="宋体" w:cs="宋体"/>
                <w:color w:val="auto"/>
                <w:kern w:val="0"/>
                <w:highlight w:val="none"/>
              </w:rPr>
              <w:t>完成</w:t>
            </w:r>
            <w:r>
              <w:rPr>
                <w:rFonts w:hint="eastAsia" w:ascii="宋体" w:hAnsi="宋体" w:cs="宋体"/>
                <w:color w:val="auto"/>
                <w:kern w:val="0"/>
                <w:highlight w:val="none"/>
              </w:rPr>
              <w:t>进度款审核、工程变更价款审核、工程索赔审核、现场签证审核、材料设备询价与核价等全部</w:t>
            </w:r>
            <w:r>
              <w:rPr>
                <w:rFonts w:ascii="宋体" w:hAnsi="宋体" w:cs="宋体"/>
                <w:color w:val="auto"/>
                <w:kern w:val="0"/>
                <w:highlight w:val="none"/>
              </w:rPr>
              <w:t>跟踪审计</w:t>
            </w:r>
            <w:r>
              <w:rPr>
                <w:rFonts w:hint="eastAsia" w:ascii="宋体" w:hAnsi="宋体" w:cs="宋体"/>
                <w:color w:val="auto"/>
                <w:kern w:val="0"/>
                <w:highlight w:val="none"/>
              </w:rPr>
              <w:t>工作并</w:t>
            </w:r>
            <w:r>
              <w:rPr>
                <w:rFonts w:ascii="宋体" w:hAnsi="宋体" w:cs="宋体"/>
                <w:color w:val="auto"/>
                <w:kern w:val="0"/>
                <w:highlight w:val="none"/>
              </w:rPr>
              <w:t>出具</w:t>
            </w:r>
            <w:r>
              <w:rPr>
                <w:rFonts w:ascii="宋体" w:hAnsi="宋体" w:cs="宋体"/>
                <w:color w:val="auto"/>
                <w:highlight w:val="none"/>
              </w:rPr>
              <w:t>正式的</w:t>
            </w:r>
            <w:r>
              <w:rPr>
                <w:rFonts w:hint="eastAsia" w:ascii="宋体" w:hAnsi="宋体"/>
                <w:color w:val="auto"/>
                <w:highlight w:val="none"/>
              </w:rPr>
              <w:t>广西农业职业技术大学西校区二期工程建设项目第二批工程-室内体育馆审计报告（附</w:t>
            </w:r>
            <w:r>
              <w:rPr>
                <w:rFonts w:ascii="宋体" w:hAnsi="宋体"/>
                <w:color w:val="auto"/>
                <w:highlight w:val="none"/>
              </w:rPr>
              <w:t>跟踪审计日志</w:t>
            </w:r>
            <w:r>
              <w:rPr>
                <w:rFonts w:hint="eastAsia" w:ascii="宋体" w:hAnsi="宋体"/>
                <w:color w:val="auto"/>
                <w:highlight w:val="none"/>
              </w:rPr>
              <w:t>）</w:t>
            </w:r>
            <w:r>
              <w:rPr>
                <w:rFonts w:hint="eastAsia" w:ascii="宋体" w:hAnsi="宋体" w:cs="宋体"/>
                <w:color w:val="auto"/>
                <w:kern w:val="0"/>
                <w:highlight w:val="none"/>
              </w:rPr>
              <w:t>之日</w:t>
            </w:r>
            <w:r>
              <w:rPr>
                <w:rFonts w:ascii="宋体" w:hAnsi="宋体" w:cs="宋体"/>
                <w:color w:val="auto"/>
                <w:kern w:val="0"/>
                <w:highlight w:val="none"/>
              </w:rPr>
              <w:t>止。</w:t>
            </w:r>
          </w:p>
          <w:p w14:paraId="5BEE2D7C">
            <w:pPr>
              <w:widowControl/>
              <w:spacing w:line="320" w:lineRule="exact"/>
              <w:rPr>
                <w:rFonts w:ascii="宋体" w:hAnsi="宋体" w:cs="宋体"/>
                <w:color w:val="auto"/>
                <w:kern w:val="0"/>
                <w:highlight w:val="none"/>
              </w:rPr>
            </w:pPr>
            <w:r>
              <w:rPr>
                <w:rFonts w:hint="eastAsia" w:ascii="宋体" w:hAnsi="宋体" w:cs="宋体"/>
                <w:b/>
                <w:color w:val="auto"/>
                <w:kern w:val="0"/>
                <w:highlight w:val="none"/>
              </w:rPr>
              <w:t>（2）结算</w:t>
            </w:r>
            <w:r>
              <w:rPr>
                <w:rFonts w:ascii="宋体" w:hAnsi="宋体" w:cs="宋体"/>
                <w:b/>
                <w:color w:val="auto"/>
                <w:kern w:val="0"/>
                <w:highlight w:val="none"/>
              </w:rPr>
              <w:t>审核服务期限：</w:t>
            </w:r>
            <w:r>
              <w:rPr>
                <w:rFonts w:hint="eastAsia" w:ascii="宋体" w:hAnsi="宋体" w:cs="宋体"/>
                <w:bCs/>
                <w:color w:val="auto"/>
                <w:kern w:val="0"/>
                <w:highlight w:val="none"/>
              </w:rPr>
              <w:t>签订合同后，</w:t>
            </w:r>
            <w:r>
              <w:rPr>
                <w:rFonts w:hint="eastAsia" w:ascii="宋体" w:hAnsi="宋体" w:cs="宋体"/>
                <w:color w:val="auto"/>
                <w:kern w:val="0"/>
                <w:highlight w:val="none"/>
              </w:rPr>
              <w:t>自收到结算</w:t>
            </w:r>
            <w:r>
              <w:rPr>
                <w:rFonts w:ascii="宋体" w:hAnsi="宋体" w:cs="宋体"/>
                <w:color w:val="auto"/>
                <w:kern w:val="0"/>
                <w:highlight w:val="none"/>
              </w:rPr>
              <w:t>送审材料</w:t>
            </w:r>
            <w:r>
              <w:rPr>
                <w:rFonts w:hint="eastAsia" w:ascii="宋体" w:hAnsi="宋体" w:cs="宋体"/>
                <w:color w:val="auto"/>
                <w:kern w:val="0"/>
                <w:highlight w:val="none"/>
              </w:rPr>
              <w:t>之日起至成交供应商</w:t>
            </w:r>
            <w:r>
              <w:rPr>
                <w:rFonts w:hint="eastAsia" w:ascii="宋体" w:hAnsi="宋体" w:cs="宋体"/>
                <w:color w:val="auto"/>
                <w:highlight w:val="none"/>
              </w:rPr>
              <w:t>出具</w:t>
            </w:r>
            <w:r>
              <w:rPr>
                <w:rFonts w:ascii="宋体" w:hAnsi="宋体" w:cs="宋体"/>
                <w:color w:val="auto"/>
                <w:highlight w:val="none"/>
              </w:rPr>
              <w:t>正式的</w:t>
            </w:r>
            <w:r>
              <w:rPr>
                <w:rFonts w:hint="eastAsia" w:ascii="宋体" w:hAnsi="宋体"/>
                <w:color w:val="auto"/>
                <w:highlight w:val="none"/>
              </w:rPr>
              <w:t>广西农业职业技术大学西校区二期工程建设项目第二批工程-室内体育馆结算审核</w:t>
            </w:r>
            <w:r>
              <w:rPr>
                <w:rFonts w:ascii="宋体" w:hAnsi="宋体" w:cs="宋体"/>
                <w:color w:val="auto"/>
                <w:highlight w:val="none"/>
              </w:rPr>
              <w:t>报告之日止</w:t>
            </w:r>
            <w:r>
              <w:rPr>
                <w:rFonts w:hint="eastAsia" w:ascii="宋体" w:hAnsi="宋体" w:cs="宋体"/>
                <w:color w:val="auto"/>
                <w:kern w:val="0"/>
                <w:highlight w:val="none"/>
              </w:rPr>
              <w:t>。</w:t>
            </w:r>
          </w:p>
          <w:p w14:paraId="00179F62">
            <w:pPr>
              <w:rPr>
                <w:rFonts w:ascii="宋体" w:hAnsi="宋体"/>
                <w:color w:val="auto"/>
                <w:highlight w:val="none"/>
              </w:rPr>
            </w:pPr>
            <w:r>
              <w:rPr>
                <w:rFonts w:hint="eastAsia" w:ascii="宋体" w:hAnsi="宋体" w:cs="宋体"/>
                <w:b/>
                <w:color w:val="auto"/>
                <w:kern w:val="0"/>
                <w:highlight w:val="none"/>
              </w:rPr>
              <w:t>2.服务地点：</w:t>
            </w:r>
            <w:r>
              <w:rPr>
                <w:rFonts w:hint="eastAsia" w:ascii="宋体" w:hAnsi="宋体" w:cs="宋体"/>
                <w:color w:val="auto"/>
                <w:kern w:val="0"/>
                <w:highlight w:val="none"/>
              </w:rPr>
              <w:t>广西农业职业技术大学。</w:t>
            </w:r>
          </w:p>
        </w:tc>
      </w:tr>
      <w:tr w14:paraId="2D50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39" w:type="pct"/>
            <w:gridSpan w:val="2"/>
            <w:noWrap w:val="0"/>
            <w:tcMar>
              <w:top w:w="13" w:type="dxa"/>
              <w:left w:w="57" w:type="dxa"/>
              <w:bottom w:w="0" w:type="dxa"/>
              <w:right w:w="57" w:type="dxa"/>
            </w:tcMar>
            <w:vAlign w:val="center"/>
          </w:tcPr>
          <w:p w14:paraId="3621323C">
            <w:pPr>
              <w:jc w:val="center"/>
              <w:rPr>
                <w:rFonts w:ascii="宋体" w:hAnsi="宋体" w:cs="宋体"/>
                <w:b/>
                <w:bCs/>
                <w:color w:val="auto"/>
                <w:highlight w:val="none"/>
              </w:rPr>
            </w:pPr>
            <w:r>
              <w:rPr>
                <w:rFonts w:hint="eastAsia" w:ascii="宋体" w:hAnsi="宋体" w:cs="宋体"/>
                <w:b/>
                <w:bCs/>
                <w:color w:val="auto"/>
                <w:kern w:val="0"/>
                <w:highlight w:val="none"/>
              </w:rPr>
              <w:t>服务</w:t>
            </w:r>
            <w:r>
              <w:rPr>
                <w:rFonts w:ascii="宋体" w:hAnsi="宋体" w:cs="宋体"/>
                <w:b/>
                <w:bCs/>
                <w:color w:val="auto"/>
                <w:kern w:val="0"/>
                <w:highlight w:val="none"/>
              </w:rPr>
              <w:t>要求</w:t>
            </w:r>
          </w:p>
        </w:tc>
        <w:tc>
          <w:tcPr>
            <w:tcW w:w="3960" w:type="pct"/>
            <w:gridSpan w:val="3"/>
            <w:noWrap w:val="0"/>
            <w:tcMar>
              <w:top w:w="13" w:type="dxa"/>
              <w:left w:w="57" w:type="dxa"/>
              <w:bottom w:w="0" w:type="dxa"/>
              <w:right w:w="57" w:type="dxa"/>
            </w:tcMar>
            <w:vAlign w:val="center"/>
          </w:tcPr>
          <w:p w14:paraId="55FB916D">
            <w:pPr>
              <w:rPr>
                <w:rFonts w:ascii="宋体" w:hAnsi="宋体" w:cs="宋体"/>
                <w:color w:val="auto"/>
                <w:highlight w:val="none"/>
              </w:rPr>
            </w:pPr>
            <w:r>
              <w:rPr>
                <w:rFonts w:hint="eastAsia" w:ascii="宋体" w:hAnsi="宋体" w:cs="宋体"/>
                <w:b/>
                <w:color w:val="auto"/>
                <w:highlight w:val="none"/>
              </w:rPr>
              <w:t>1.具体服务内容和完成时间：</w:t>
            </w:r>
            <w:r>
              <w:rPr>
                <w:rFonts w:hint="eastAsia" w:ascii="宋体" w:hAnsi="宋体" w:cs="宋体"/>
                <w:color w:val="auto"/>
                <w:highlight w:val="none"/>
              </w:rPr>
              <w:t>在采购人要求的时间内完成广西农业职业技术大学西校区二期工程建设项目第二批工程-</w:t>
            </w:r>
            <w:r>
              <w:rPr>
                <w:rFonts w:hint="eastAsia" w:ascii="宋体" w:hAnsi="宋体"/>
                <w:color w:val="auto"/>
                <w:highlight w:val="none"/>
              </w:rPr>
              <w:t>室内体育馆</w:t>
            </w:r>
            <w:r>
              <w:rPr>
                <w:rFonts w:hint="eastAsia" w:ascii="宋体" w:hAnsi="宋体" w:cs="宋体"/>
                <w:color w:val="auto"/>
                <w:highlight w:val="none"/>
              </w:rPr>
              <w:t>跟踪审计及竣工结算审核服务，并出具正式的跟踪审计报告（附跟踪审计日志）及结算审核报告。具体</w:t>
            </w:r>
            <w:r>
              <w:rPr>
                <w:rFonts w:ascii="宋体" w:hAnsi="宋体" w:cs="宋体"/>
                <w:color w:val="auto"/>
                <w:highlight w:val="none"/>
              </w:rPr>
              <w:t>要求如下：</w:t>
            </w:r>
          </w:p>
          <w:p w14:paraId="6DF2C824">
            <w:pPr>
              <w:rPr>
                <w:rFonts w:ascii="宋体" w:hAnsi="宋体" w:cs="宋体"/>
                <w:color w:val="auto"/>
                <w:highlight w:val="none"/>
              </w:rPr>
            </w:pPr>
            <w:r>
              <w:rPr>
                <w:rFonts w:hint="eastAsia" w:ascii="宋体" w:hAnsi="宋体" w:cs="宋体"/>
                <w:b/>
                <w:color w:val="auto"/>
                <w:highlight w:val="none"/>
              </w:rPr>
              <w:t>（1）跟踪</w:t>
            </w:r>
            <w:r>
              <w:rPr>
                <w:rFonts w:ascii="宋体" w:hAnsi="宋体" w:cs="宋体"/>
                <w:b/>
                <w:color w:val="auto"/>
                <w:highlight w:val="none"/>
              </w:rPr>
              <w:t>审计服务：</w:t>
            </w:r>
            <w:r>
              <w:rPr>
                <w:rFonts w:hint="eastAsia" w:ascii="宋体" w:hAnsi="宋体" w:cs="宋体"/>
                <w:color w:val="auto"/>
                <w:kern w:val="0"/>
                <w:highlight w:val="none"/>
              </w:rPr>
              <w:t>成交供应商按采购人要求的时间（每周不少于一次，采购人可根据实际情况要求增加次数）前往工程项目现场实地查看，并按采购人要求完成进度款审核、工程变更价款审核、工程索赔审核、现场签证审核、材料设备询价与核价等工作并</w:t>
            </w:r>
            <w:r>
              <w:rPr>
                <w:rFonts w:ascii="宋体" w:hAnsi="宋体" w:cs="宋体"/>
                <w:color w:val="auto"/>
                <w:kern w:val="0"/>
                <w:highlight w:val="none"/>
              </w:rPr>
              <w:t>出具审核意见</w:t>
            </w:r>
            <w:r>
              <w:rPr>
                <w:rFonts w:hint="eastAsia" w:ascii="宋体" w:hAnsi="宋体" w:cs="宋体"/>
                <w:color w:val="auto"/>
                <w:kern w:val="0"/>
                <w:highlight w:val="none"/>
              </w:rPr>
              <w:t>和</w:t>
            </w:r>
            <w:r>
              <w:rPr>
                <w:rFonts w:ascii="宋体" w:hAnsi="宋体" w:cs="宋体"/>
                <w:color w:val="auto"/>
                <w:kern w:val="0"/>
                <w:highlight w:val="none"/>
              </w:rPr>
              <w:t>预算书（</w:t>
            </w:r>
            <w:r>
              <w:rPr>
                <w:rFonts w:hint="eastAsia" w:ascii="宋体" w:hAnsi="宋体" w:cs="宋体"/>
                <w:color w:val="auto"/>
                <w:kern w:val="0"/>
                <w:highlight w:val="none"/>
              </w:rPr>
              <w:t>如需</w:t>
            </w:r>
            <w:r>
              <w:rPr>
                <w:rFonts w:ascii="宋体" w:hAnsi="宋体" w:cs="宋体"/>
                <w:color w:val="auto"/>
                <w:kern w:val="0"/>
                <w:highlight w:val="none"/>
              </w:rPr>
              <w:t>）</w:t>
            </w:r>
            <w:r>
              <w:rPr>
                <w:rFonts w:hint="eastAsia" w:ascii="宋体" w:hAnsi="宋体" w:cs="宋体"/>
                <w:color w:val="auto"/>
                <w:kern w:val="0"/>
                <w:highlight w:val="none"/>
              </w:rPr>
              <w:t>。工程项目施工过程中，成交供应商根据采购人及施工进度要求（每季度）提交本阶段工程跟踪审计日志，工程项目竣工且成交供应商</w:t>
            </w:r>
            <w:r>
              <w:rPr>
                <w:rFonts w:ascii="宋体" w:hAnsi="宋体" w:cs="宋体"/>
                <w:color w:val="auto"/>
                <w:kern w:val="0"/>
                <w:highlight w:val="none"/>
              </w:rPr>
              <w:t>完成全部跟踪审计工作</w:t>
            </w:r>
            <w:r>
              <w:rPr>
                <w:rFonts w:hint="eastAsia" w:ascii="宋体" w:hAnsi="宋体" w:cs="宋体"/>
                <w:color w:val="auto"/>
                <w:kern w:val="0"/>
                <w:highlight w:val="none"/>
              </w:rPr>
              <w:t>后，成交供应商在采购人要求的时间内提交本工程跟踪审计报告初稿，经采购人审核、确认通过后提供一式贰份定稿的跟踪审计报告（附</w:t>
            </w:r>
            <w:r>
              <w:rPr>
                <w:rFonts w:ascii="宋体" w:hAnsi="宋体" w:cs="宋体"/>
                <w:color w:val="auto"/>
                <w:kern w:val="0"/>
                <w:highlight w:val="none"/>
              </w:rPr>
              <w:t>跟踪审计日志</w:t>
            </w:r>
            <w:r>
              <w:rPr>
                <w:rFonts w:hint="eastAsia" w:ascii="宋体" w:hAnsi="宋体" w:cs="宋体"/>
                <w:color w:val="auto"/>
                <w:kern w:val="0"/>
                <w:highlight w:val="none"/>
              </w:rPr>
              <w:t>）。</w:t>
            </w:r>
          </w:p>
          <w:p w14:paraId="2380074F">
            <w:pPr>
              <w:rPr>
                <w:rFonts w:ascii="宋体" w:hAnsi="宋体" w:cs="宋体"/>
                <w:color w:val="auto"/>
                <w:highlight w:val="none"/>
              </w:rPr>
            </w:pPr>
            <w:r>
              <w:rPr>
                <w:rFonts w:hint="eastAsia" w:ascii="宋体" w:hAnsi="宋体" w:cs="宋体"/>
                <w:b/>
                <w:color w:val="auto"/>
                <w:highlight w:val="none"/>
              </w:rPr>
              <w:t>（2）结算</w:t>
            </w:r>
            <w:r>
              <w:rPr>
                <w:rFonts w:ascii="宋体" w:hAnsi="宋体" w:cs="宋体"/>
                <w:b/>
                <w:color w:val="auto"/>
                <w:highlight w:val="none"/>
              </w:rPr>
              <w:t>审核服务：</w:t>
            </w:r>
            <w:r>
              <w:rPr>
                <w:rFonts w:hint="eastAsia" w:ascii="宋体" w:hAnsi="宋体" w:cs="宋体"/>
                <w:color w:val="auto"/>
                <w:highlight w:val="none"/>
              </w:rPr>
              <w:t>收到</w:t>
            </w:r>
            <w:r>
              <w:rPr>
                <w:rFonts w:ascii="宋体" w:hAnsi="宋体" w:cs="宋体"/>
                <w:color w:val="auto"/>
                <w:highlight w:val="none"/>
              </w:rPr>
              <w:t>结算送审材料</w:t>
            </w:r>
            <w:r>
              <w:rPr>
                <w:rFonts w:hint="eastAsia" w:ascii="宋体" w:hAnsi="宋体" w:cs="宋体"/>
                <w:color w:val="auto"/>
                <w:highlight w:val="none"/>
              </w:rPr>
              <w:t>后</w:t>
            </w:r>
            <w:r>
              <w:rPr>
                <w:rFonts w:ascii="宋体" w:hAnsi="宋体" w:cs="宋体"/>
                <w:color w:val="auto"/>
                <w:highlight w:val="none"/>
              </w:rPr>
              <w:t>，</w:t>
            </w:r>
            <w:r>
              <w:rPr>
                <w:rFonts w:hint="eastAsia" w:ascii="宋体" w:hAnsi="宋体" w:cs="宋体"/>
                <w:color w:val="auto"/>
                <w:kern w:val="0"/>
                <w:highlight w:val="none"/>
              </w:rPr>
              <w:t>成交供应商按采购人要求的时间前往工程项目现场实地查看，在采购人要求的时间内提交本工程竣工结算审核报告初稿，与</w:t>
            </w:r>
            <w:r>
              <w:rPr>
                <w:rFonts w:ascii="宋体" w:hAnsi="宋体" w:cs="宋体"/>
                <w:color w:val="auto"/>
                <w:kern w:val="0"/>
                <w:highlight w:val="none"/>
              </w:rPr>
              <w:t>施工单位核对确认</w:t>
            </w:r>
            <w:r>
              <w:rPr>
                <w:rFonts w:hint="eastAsia" w:ascii="宋体" w:hAnsi="宋体" w:cs="宋体"/>
                <w:color w:val="auto"/>
                <w:kern w:val="0"/>
                <w:highlight w:val="none"/>
              </w:rPr>
              <w:t>并</w:t>
            </w:r>
            <w:r>
              <w:rPr>
                <w:rFonts w:ascii="宋体" w:hAnsi="宋体" w:cs="宋体"/>
                <w:color w:val="auto"/>
                <w:kern w:val="0"/>
                <w:highlight w:val="none"/>
              </w:rPr>
              <w:t>经</w:t>
            </w:r>
            <w:r>
              <w:rPr>
                <w:rFonts w:hint="eastAsia" w:ascii="宋体" w:hAnsi="宋体" w:cs="宋体"/>
                <w:color w:val="auto"/>
                <w:kern w:val="0"/>
                <w:highlight w:val="none"/>
              </w:rPr>
              <w:t>采购人审核通过后（财评项目需经财评中心审核通过），提供一式六份定稿的竣工结算审核报告。本项目结算审核定稿后，如后期国家审计需重新审核，成交供应商需按要求配合。</w:t>
            </w:r>
          </w:p>
          <w:p w14:paraId="3BDCB709">
            <w:pPr>
              <w:rPr>
                <w:rFonts w:ascii="宋体" w:hAnsi="宋体" w:cs="宋体"/>
                <w:b/>
                <w:color w:val="auto"/>
                <w:highlight w:val="none"/>
              </w:rPr>
            </w:pPr>
            <w:r>
              <w:rPr>
                <w:rFonts w:hint="eastAsia" w:ascii="宋体" w:hAnsi="宋体" w:cs="宋体"/>
                <w:b/>
                <w:color w:val="auto"/>
                <w:highlight w:val="none"/>
              </w:rPr>
              <w:t>2.服务质量：</w:t>
            </w:r>
          </w:p>
          <w:p w14:paraId="23BCFF2A">
            <w:pPr>
              <w:rPr>
                <w:rFonts w:ascii="宋体" w:hAnsi="宋体" w:cs="宋体"/>
                <w:color w:val="auto"/>
                <w:highlight w:val="none"/>
              </w:rPr>
            </w:pPr>
            <w:r>
              <w:rPr>
                <w:rFonts w:hint="eastAsia" w:ascii="宋体" w:hAnsi="宋体" w:cs="宋体"/>
                <w:color w:val="auto"/>
                <w:highlight w:val="none"/>
              </w:rPr>
              <w:t>（1）审核报告结果误差率≤</w:t>
            </w:r>
            <w:r>
              <w:rPr>
                <w:rFonts w:ascii="宋体" w:hAnsi="宋体" w:cs="宋体"/>
                <w:color w:val="auto"/>
                <w:highlight w:val="none"/>
              </w:rPr>
              <w:t>3%</w:t>
            </w:r>
            <w:r>
              <w:rPr>
                <w:rFonts w:hint="eastAsia" w:ascii="宋体" w:hAnsi="宋体" w:cs="宋体"/>
                <w:color w:val="auto"/>
                <w:highlight w:val="none"/>
              </w:rPr>
              <w:t>，</w:t>
            </w:r>
            <w:r>
              <w:rPr>
                <w:rFonts w:hint="eastAsia" w:ascii="宋体" w:hAnsi="宋体" w:cs="宋体"/>
                <w:color w:val="auto"/>
                <w:kern w:val="0"/>
                <w:highlight w:val="none"/>
              </w:rPr>
              <w:t>采购</w:t>
            </w:r>
            <w:r>
              <w:rPr>
                <w:rFonts w:hint="eastAsia" w:ascii="宋体" w:hAnsi="宋体" w:cs="宋体"/>
                <w:color w:val="auto"/>
                <w:highlight w:val="none"/>
              </w:rPr>
              <w:t>人全额支付咨询费；3</w:t>
            </w:r>
            <w:r>
              <w:rPr>
                <w:rFonts w:ascii="宋体" w:hAnsi="宋体" w:cs="宋体"/>
                <w:color w:val="auto"/>
                <w:highlight w:val="none"/>
              </w:rPr>
              <w:t>%</w:t>
            </w:r>
            <w:r>
              <w:rPr>
                <w:rFonts w:hint="eastAsia" w:ascii="宋体" w:hAnsi="宋体" w:cs="宋体"/>
                <w:color w:val="auto"/>
                <w:highlight w:val="none"/>
              </w:rPr>
              <w:t>＜审核报告误差率≤5%，</w:t>
            </w:r>
            <w:r>
              <w:rPr>
                <w:rFonts w:hint="eastAsia" w:ascii="宋体" w:hAnsi="宋体" w:cs="宋体"/>
                <w:color w:val="auto"/>
                <w:kern w:val="0"/>
                <w:highlight w:val="none"/>
              </w:rPr>
              <w:t>采购</w:t>
            </w:r>
            <w:r>
              <w:rPr>
                <w:rFonts w:hint="eastAsia" w:ascii="宋体" w:hAnsi="宋体" w:cs="宋体"/>
                <w:color w:val="auto"/>
                <w:highlight w:val="none"/>
              </w:rPr>
              <w:t>人减半支付咨询费；审核报告误差率&gt;5%，</w:t>
            </w:r>
            <w:r>
              <w:rPr>
                <w:rFonts w:hint="eastAsia" w:ascii="宋体" w:hAnsi="宋体" w:cs="宋体"/>
                <w:color w:val="auto"/>
                <w:kern w:val="0"/>
                <w:highlight w:val="none"/>
              </w:rPr>
              <w:t>采购</w:t>
            </w:r>
            <w:r>
              <w:rPr>
                <w:rFonts w:hint="eastAsia" w:ascii="宋体" w:hAnsi="宋体" w:cs="宋体"/>
                <w:color w:val="auto"/>
                <w:highlight w:val="none"/>
              </w:rPr>
              <w:t>人不予支付咨询费。审核报告误差率=（审核报告结果－审计处复核结果）</w:t>
            </w:r>
            <w:r>
              <w:rPr>
                <w:rFonts w:ascii="宋体" w:hAnsi="宋体" w:cs="宋体"/>
                <w:color w:val="auto"/>
                <w:highlight w:val="none"/>
              </w:rPr>
              <w:t>/</w:t>
            </w:r>
            <w:r>
              <w:rPr>
                <w:rFonts w:hint="eastAsia" w:ascii="宋体" w:hAnsi="宋体" w:cs="宋体"/>
                <w:color w:val="auto"/>
                <w:highlight w:val="none"/>
              </w:rPr>
              <w:t>审核报告结果×100%。</w:t>
            </w:r>
          </w:p>
          <w:p w14:paraId="14AF763A">
            <w:pPr>
              <w:rPr>
                <w:rFonts w:ascii="宋体" w:hAnsi="宋体" w:cs="宋体"/>
                <w:color w:val="auto"/>
                <w:highlight w:val="none"/>
              </w:rPr>
            </w:pPr>
            <w:r>
              <w:rPr>
                <w:rFonts w:hint="eastAsia" w:ascii="宋体" w:hAnsi="宋体" w:cs="宋体"/>
                <w:color w:val="auto"/>
                <w:highlight w:val="none"/>
              </w:rPr>
              <w:t>（2）按照《广西农业职业技术大学委托社会中介机构审计服务管理办法》的要求进行考核，成交供应商进场3个月后做首次考核，考核分数低于60分的将予终止合同，首次考核后不定期进行考核。</w:t>
            </w:r>
            <w:r>
              <w:rPr>
                <w:rFonts w:hint="eastAsia" w:ascii="宋体" w:hAnsi="宋体" w:cs="宋体"/>
                <w:color w:val="auto"/>
                <w:highlight w:val="none"/>
                <w:lang w:eastAsia="zh-CN"/>
              </w:rPr>
              <w:t>【</w:t>
            </w:r>
            <w:r>
              <w:rPr>
                <w:rFonts w:hint="eastAsia" w:ascii="宋体" w:hAnsi="宋体" w:cs="宋体"/>
                <w:color w:val="auto"/>
                <w:highlight w:val="none"/>
              </w:rPr>
              <w:t>具体考核要求（见</w:t>
            </w:r>
            <w:r>
              <w:rPr>
                <w:rFonts w:ascii="宋体" w:hAnsi="宋体" w:cs="宋体"/>
                <w:color w:val="auto"/>
                <w:highlight w:val="none"/>
              </w:rPr>
              <w:t>附件</w:t>
            </w:r>
            <w:r>
              <w:rPr>
                <w:rFonts w:hint="eastAsia" w:ascii="宋体" w:hAnsi="宋体" w:cs="宋体"/>
                <w:color w:val="auto"/>
                <w:highlight w:val="none"/>
                <w:lang w:val="en-US" w:eastAsia="zh-CN"/>
              </w:rPr>
              <w:t>1</w:t>
            </w:r>
            <w:r>
              <w:rPr>
                <w:rFonts w:hint="eastAsia" w:ascii="宋体" w:hAnsi="宋体" w:cs="宋体"/>
                <w:color w:val="auto"/>
                <w:highlight w:val="none"/>
              </w:rPr>
              <w:t>）由采购人在安排项目前明确告知，如果成交供应商不接受考核的不能承接该项目。</w:t>
            </w:r>
            <w:r>
              <w:rPr>
                <w:rFonts w:hint="eastAsia" w:ascii="宋体" w:hAnsi="宋体" w:cs="宋体"/>
                <w:color w:val="auto"/>
                <w:highlight w:val="none"/>
                <w:lang w:eastAsia="zh-CN"/>
              </w:rPr>
              <w:t>】</w:t>
            </w:r>
          </w:p>
          <w:p w14:paraId="5922CE4F">
            <w:pPr>
              <w:rPr>
                <w:rFonts w:ascii="宋体" w:hAnsi="宋体" w:cs="宋体"/>
                <w:color w:val="auto"/>
                <w:highlight w:val="none"/>
              </w:rPr>
            </w:pPr>
            <w:r>
              <w:rPr>
                <w:rFonts w:hint="eastAsia" w:ascii="宋体" w:hAnsi="宋体" w:cs="宋体"/>
                <w:b/>
                <w:color w:val="auto"/>
                <w:highlight w:val="none"/>
              </w:rPr>
              <w:t>3.人员配备：</w:t>
            </w:r>
            <w:r>
              <w:rPr>
                <w:rFonts w:hint="eastAsia" w:ascii="宋体" w:hAnsi="宋体" w:cs="宋体"/>
                <w:color w:val="auto"/>
                <w:highlight w:val="none"/>
              </w:rPr>
              <w:t>配备的项目</w:t>
            </w:r>
            <w:r>
              <w:rPr>
                <w:rFonts w:ascii="宋体" w:hAnsi="宋体" w:cs="宋体"/>
                <w:color w:val="auto"/>
                <w:highlight w:val="none"/>
              </w:rPr>
              <w:t>负责人</w:t>
            </w:r>
            <w:r>
              <w:rPr>
                <w:rFonts w:hint="eastAsia" w:ascii="宋体" w:hAnsi="宋体" w:cs="宋体"/>
                <w:color w:val="auto"/>
                <w:highlight w:val="none"/>
              </w:rPr>
              <w:t>（1名）</w:t>
            </w:r>
            <w:r>
              <w:rPr>
                <w:rFonts w:hint="eastAsia" w:ascii="宋体" w:hAnsi="宋体"/>
                <w:bCs/>
                <w:color w:val="auto"/>
                <w:highlight w:val="none"/>
              </w:rPr>
              <w:t>应取得全国一级注册造价工程师资格（土建专业）并获</w:t>
            </w:r>
            <w:r>
              <w:rPr>
                <w:rFonts w:ascii="宋体" w:hAnsi="宋体"/>
                <w:bCs/>
                <w:color w:val="auto"/>
                <w:highlight w:val="none"/>
              </w:rPr>
              <w:t>副高级职称</w:t>
            </w:r>
            <w:r>
              <w:rPr>
                <w:rFonts w:hint="eastAsia" w:ascii="宋体" w:hAnsi="宋体" w:cs="宋体"/>
                <w:color w:val="auto"/>
                <w:highlight w:val="none"/>
              </w:rPr>
              <w:t>，</w:t>
            </w:r>
            <w:r>
              <w:rPr>
                <w:rFonts w:hint="eastAsia" w:ascii="宋体" w:hAnsi="宋体"/>
                <w:bCs/>
                <w:color w:val="auto"/>
                <w:highlight w:val="none"/>
              </w:rPr>
              <w:t>土建专业负责人（1名）和</w:t>
            </w:r>
            <w:r>
              <w:rPr>
                <w:rFonts w:ascii="宋体" w:hAnsi="宋体"/>
                <w:bCs/>
                <w:color w:val="auto"/>
                <w:highlight w:val="none"/>
              </w:rPr>
              <w:t>安装专业</w:t>
            </w:r>
            <w:r>
              <w:rPr>
                <w:rFonts w:hint="eastAsia" w:ascii="宋体" w:hAnsi="宋体"/>
                <w:bCs/>
                <w:color w:val="auto"/>
                <w:highlight w:val="none"/>
              </w:rPr>
              <w:t>负责人（1名）应取得全国一级注册造价工程师资格</w:t>
            </w:r>
            <w:r>
              <w:rPr>
                <w:rFonts w:hint="eastAsia" w:ascii="宋体" w:hAnsi="宋体" w:cs="宋体"/>
                <w:color w:val="auto"/>
                <w:highlight w:val="none"/>
              </w:rPr>
              <w:t>，其他审核人员数量应能满足项目要求。配备</w:t>
            </w:r>
            <w:r>
              <w:rPr>
                <w:rFonts w:ascii="宋体" w:hAnsi="宋体" w:cs="宋体"/>
                <w:color w:val="auto"/>
                <w:highlight w:val="none"/>
              </w:rPr>
              <w:t>的所有人员应</w:t>
            </w:r>
            <w:r>
              <w:rPr>
                <w:rFonts w:hint="eastAsia" w:ascii="宋体" w:hAnsi="宋体" w:cs="宋体"/>
                <w:color w:val="auto"/>
                <w:highlight w:val="none"/>
              </w:rPr>
              <w:t>具有良好的职业道德，具有较强的专业技术水平和较强沟通协调能力。如广西农业职业技术大学审计处对项目负责人提出指定要求的，成交供应商应尽可能满足要求，如无法满足应与采购人协商解决。</w:t>
            </w:r>
          </w:p>
        </w:tc>
      </w:tr>
      <w:tr w14:paraId="6189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39" w:type="pct"/>
            <w:gridSpan w:val="2"/>
            <w:noWrap w:val="0"/>
            <w:tcMar>
              <w:top w:w="13" w:type="dxa"/>
              <w:left w:w="57" w:type="dxa"/>
              <w:bottom w:w="0" w:type="dxa"/>
              <w:right w:w="57" w:type="dxa"/>
            </w:tcMar>
            <w:vAlign w:val="center"/>
          </w:tcPr>
          <w:p w14:paraId="262D98B7">
            <w:pPr>
              <w:jc w:val="center"/>
              <w:rPr>
                <w:rFonts w:ascii="宋体" w:hAnsi="宋体"/>
                <w:b/>
                <w:bCs/>
                <w:color w:val="auto"/>
                <w:highlight w:val="none"/>
              </w:rPr>
            </w:pPr>
            <w:r>
              <w:rPr>
                <w:rFonts w:hint="eastAsia" w:ascii="宋体" w:hAnsi="宋体" w:cs="宋体"/>
                <w:b/>
                <w:bCs/>
                <w:color w:val="auto"/>
                <w:kern w:val="0"/>
                <w:highlight w:val="none"/>
              </w:rPr>
              <w:t>付款方式</w:t>
            </w:r>
          </w:p>
        </w:tc>
        <w:tc>
          <w:tcPr>
            <w:tcW w:w="3960" w:type="pct"/>
            <w:gridSpan w:val="3"/>
            <w:noWrap w:val="0"/>
            <w:tcMar>
              <w:top w:w="13" w:type="dxa"/>
              <w:left w:w="57" w:type="dxa"/>
              <w:bottom w:w="0" w:type="dxa"/>
              <w:right w:w="57" w:type="dxa"/>
            </w:tcMar>
            <w:vAlign w:val="center"/>
          </w:tcPr>
          <w:p w14:paraId="4ED4B554">
            <w:pPr>
              <w:rPr>
                <w:rFonts w:ascii="宋体" w:hAnsi="宋体"/>
                <w:b/>
                <w:bCs/>
                <w:color w:val="auto"/>
                <w:highlight w:val="none"/>
              </w:rPr>
            </w:pPr>
            <w:r>
              <w:rPr>
                <w:rFonts w:hint="eastAsia" w:ascii="宋体" w:hAnsi="宋体"/>
                <w:b/>
                <w:bCs/>
                <w:color w:val="auto"/>
                <w:highlight w:val="none"/>
              </w:rPr>
              <w:t>1.付款</w:t>
            </w:r>
            <w:r>
              <w:rPr>
                <w:rFonts w:ascii="宋体" w:hAnsi="宋体"/>
                <w:b/>
                <w:bCs/>
                <w:color w:val="auto"/>
                <w:highlight w:val="none"/>
              </w:rPr>
              <w:t>时间</w:t>
            </w:r>
            <w:r>
              <w:rPr>
                <w:rFonts w:hint="eastAsia" w:ascii="宋体" w:hAnsi="宋体"/>
                <w:b/>
                <w:bCs/>
                <w:color w:val="auto"/>
                <w:highlight w:val="none"/>
              </w:rPr>
              <w:t>：</w:t>
            </w:r>
          </w:p>
          <w:p w14:paraId="158CE3C9">
            <w:pPr>
              <w:rPr>
                <w:rFonts w:ascii="宋体" w:hAnsi="宋体"/>
                <w:bCs/>
                <w:color w:val="auto"/>
                <w:highlight w:val="none"/>
              </w:rPr>
            </w:pPr>
            <w:r>
              <w:rPr>
                <w:rFonts w:hint="eastAsia" w:ascii="宋体" w:hAnsi="宋体"/>
                <w:b/>
                <w:bCs/>
                <w:color w:val="auto"/>
                <w:highlight w:val="none"/>
              </w:rPr>
              <w:t>（1）跟踪</w:t>
            </w:r>
            <w:r>
              <w:rPr>
                <w:rFonts w:ascii="宋体" w:hAnsi="宋体"/>
                <w:b/>
                <w:bCs/>
                <w:color w:val="auto"/>
                <w:highlight w:val="none"/>
              </w:rPr>
              <w:t>审计服务费：</w:t>
            </w:r>
            <w:r>
              <w:rPr>
                <w:rFonts w:hint="eastAsia" w:ascii="宋体" w:hAnsi="宋体"/>
                <w:bCs/>
                <w:color w:val="auto"/>
                <w:highlight w:val="none"/>
              </w:rPr>
              <w:t>跟踪</w:t>
            </w:r>
            <w:r>
              <w:rPr>
                <w:rFonts w:ascii="宋体" w:hAnsi="宋体"/>
                <w:bCs/>
                <w:color w:val="auto"/>
                <w:highlight w:val="none"/>
              </w:rPr>
              <w:t>审计服务费按季度支付(成交供应商须按要求提交本阶段工程跟踪审计日志)，</w:t>
            </w:r>
            <w:r>
              <w:rPr>
                <w:rFonts w:hint="eastAsia" w:ascii="宋体" w:hAnsi="宋体"/>
                <w:bCs/>
                <w:color w:val="auto"/>
                <w:highlight w:val="none"/>
              </w:rPr>
              <w:t>在支付</w:t>
            </w:r>
            <w:r>
              <w:rPr>
                <w:rFonts w:ascii="宋体" w:hAnsi="宋体"/>
                <w:bCs/>
                <w:color w:val="auto"/>
                <w:highlight w:val="none"/>
              </w:rPr>
              <w:t>最后一笔跟踪审计服务费前</w:t>
            </w:r>
            <w:r>
              <w:rPr>
                <w:rFonts w:hint="eastAsia" w:ascii="宋体" w:hAnsi="宋体"/>
                <w:bCs/>
                <w:color w:val="auto"/>
                <w:highlight w:val="none"/>
              </w:rPr>
              <w:t>成交供应商还</w:t>
            </w:r>
            <w:r>
              <w:rPr>
                <w:rFonts w:ascii="宋体" w:hAnsi="宋体"/>
                <w:bCs/>
                <w:color w:val="auto"/>
                <w:highlight w:val="none"/>
              </w:rPr>
              <w:t>须提交</w:t>
            </w:r>
            <w:r>
              <w:rPr>
                <w:rFonts w:hint="eastAsia" w:ascii="宋体" w:hAnsi="宋体"/>
                <w:bCs/>
                <w:color w:val="auto"/>
                <w:highlight w:val="none"/>
              </w:rPr>
              <w:t>经采购人审核通过的本工程跟踪审计报告（附</w:t>
            </w:r>
            <w:r>
              <w:rPr>
                <w:rFonts w:ascii="宋体" w:hAnsi="宋体"/>
                <w:bCs/>
                <w:color w:val="auto"/>
                <w:highlight w:val="none"/>
              </w:rPr>
              <w:t>跟踪</w:t>
            </w:r>
            <w:r>
              <w:rPr>
                <w:rFonts w:hint="eastAsia" w:ascii="宋体" w:hAnsi="宋体"/>
                <w:bCs/>
                <w:color w:val="auto"/>
                <w:highlight w:val="none"/>
              </w:rPr>
              <w:t>审计</w:t>
            </w:r>
            <w:r>
              <w:rPr>
                <w:rFonts w:ascii="宋体" w:hAnsi="宋体"/>
                <w:bCs/>
                <w:color w:val="auto"/>
                <w:highlight w:val="none"/>
              </w:rPr>
              <w:t>日志</w:t>
            </w:r>
            <w:r>
              <w:rPr>
                <w:rFonts w:hint="eastAsia" w:ascii="宋体" w:hAnsi="宋体"/>
                <w:bCs/>
                <w:color w:val="auto"/>
                <w:highlight w:val="none"/>
              </w:rPr>
              <w:t>）。</w:t>
            </w:r>
          </w:p>
          <w:p w14:paraId="30F64315">
            <w:pPr>
              <w:rPr>
                <w:rFonts w:ascii="宋体" w:hAnsi="宋体"/>
                <w:bCs/>
                <w:color w:val="auto"/>
                <w:highlight w:val="none"/>
              </w:rPr>
            </w:pPr>
            <w:r>
              <w:rPr>
                <w:rFonts w:hint="eastAsia" w:ascii="宋体" w:hAnsi="宋体"/>
                <w:b/>
                <w:bCs/>
                <w:color w:val="auto"/>
                <w:highlight w:val="none"/>
              </w:rPr>
              <w:t>（2）结算</w:t>
            </w:r>
            <w:r>
              <w:rPr>
                <w:rFonts w:ascii="宋体" w:hAnsi="宋体"/>
                <w:b/>
                <w:bCs/>
                <w:color w:val="auto"/>
                <w:highlight w:val="none"/>
              </w:rPr>
              <w:t>审核费：</w:t>
            </w:r>
            <w:r>
              <w:rPr>
                <w:rFonts w:ascii="宋体" w:hAnsi="宋体"/>
                <w:bCs/>
                <w:color w:val="auto"/>
                <w:highlight w:val="none"/>
              </w:rPr>
              <w:t>结算审核费在</w:t>
            </w:r>
            <w:r>
              <w:rPr>
                <w:rFonts w:hint="eastAsia" w:ascii="宋体" w:hAnsi="宋体"/>
                <w:bCs/>
                <w:color w:val="auto"/>
                <w:highlight w:val="none"/>
              </w:rPr>
              <w:t>完成</w:t>
            </w:r>
            <w:r>
              <w:rPr>
                <w:rFonts w:ascii="宋体" w:hAnsi="宋体"/>
                <w:bCs/>
                <w:color w:val="auto"/>
                <w:highlight w:val="none"/>
              </w:rPr>
              <w:t>结算审定</w:t>
            </w:r>
            <w:r>
              <w:rPr>
                <w:rFonts w:hint="eastAsia" w:ascii="宋体" w:hAnsi="宋体"/>
                <w:bCs/>
                <w:color w:val="auto"/>
                <w:highlight w:val="none"/>
              </w:rPr>
              <w:t>且成交供应商提交本</w:t>
            </w:r>
            <w:r>
              <w:rPr>
                <w:rFonts w:ascii="宋体" w:hAnsi="宋体"/>
                <w:bCs/>
                <w:color w:val="auto"/>
                <w:highlight w:val="none"/>
              </w:rPr>
              <w:t>工程结算审核报告后支付。</w:t>
            </w:r>
          </w:p>
          <w:p w14:paraId="38C2C01B">
            <w:pPr>
              <w:rPr>
                <w:rFonts w:ascii="宋体" w:hAnsi="宋体"/>
                <w:color w:val="auto"/>
                <w:highlight w:val="none"/>
              </w:rPr>
            </w:pPr>
            <w:r>
              <w:rPr>
                <w:rFonts w:ascii="宋体" w:hAnsi="宋体"/>
                <w:b/>
                <w:bCs/>
                <w:color w:val="auto"/>
                <w:highlight w:val="none"/>
              </w:rPr>
              <w:t>2.</w:t>
            </w:r>
            <w:r>
              <w:rPr>
                <w:rFonts w:hint="eastAsia" w:ascii="宋体" w:hAnsi="宋体"/>
                <w:b/>
                <w:bCs/>
                <w:color w:val="auto"/>
                <w:highlight w:val="none"/>
              </w:rPr>
              <w:t>付款</w:t>
            </w:r>
            <w:r>
              <w:rPr>
                <w:rFonts w:ascii="宋体" w:hAnsi="宋体"/>
                <w:b/>
                <w:bCs/>
                <w:color w:val="auto"/>
                <w:highlight w:val="none"/>
              </w:rPr>
              <w:t>要求：</w:t>
            </w:r>
            <w:r>
              <w:rPr>
                <w:rFonts w:hint="eastAsia" w:ascii="宋体" w:hAnsi="宋体"/>
                <w:bCs/>
                <w:color w:val="auto"/>
                <w:highlight w:val="none"/>
              </w:rPr>
              <w:t>每次支付前成交供应商须先</w:t>
            </w:r>
            <w:r>
              <w:rPr>
                <w:rFonts w:ascii="宋体" w:hAnsi="宋体"/>
                <w:bCs/>
                <w:color w:val="auto"/>
                <w:highlight w:val="none"/>
              </w:rPr>
              <w:t>开具</w:t>
            </w:r>
            <w:r>
              <w:rPr>
                <w:rFonts w:hint="eastAsia" w:ascii="宋体" w:hAnsi="宋体"/>
                <w:bCs/>
                <w:color w:val="auto"/>
                <w:highlight w:val="none"/>
              </w:rPr>
              <w:t>相应金额</w:t>
            </w:r>
            <w:r>
              <w:rPr>
                <w:rFonts w:ascii="宋体" w:hAnsi="宋体"/>
                <w:bCs/>
                <w:color w:val="auto"/>
                <w:highlight w:val="none"/>
              </w:rPr>
              <w:t>发票给</w:t>
            </w:r>
            <w:r>
              <w:rPr>
                <w:rFonts w:hint="eastAsia" w:ascii="宋体" w:hAnsi="宋体"/>
                <w:bCs/>
                <w:color w:val="auto"/>
                <w:highlight w:val="none"/>
              </w:rPr>
              <w:t>采购人</w:t>
            </w:r>
            <w:r>
              <w:rPr>
                <w:rFonts w:ascii="宋体" w:hAnsi="宋体"/>
                <w:bCs/>
                <w:color w:val="auto"/>
                <w:highlight w:val="none"/>
              </w:rPr>
              <w:t>，</w:t>
            </w:r>
            <w:r>
              <w:rPr>
                <w:rFonts w:hint="eastAsia" w:ascii="宋体" w:hAnsi="宋体"/>
                <w:bCs/>
                <w:color w:val="auto"/>
                <w:highlight w:val="none"/>
              </w:rPr>
              <w:t>采购人</w:t>
            </w:r>
            <w:r>
              <w:rPr>
                <w:rFonts w:ascii="宋体" w:hAnsi="宋体"/>
                <w:bCs/>
                <w:color w:val="auto"/>
                <w:highlight w:val="none"/>
              </w:rPr>
              <w:t>在收到发票后15</w:t>
            </w:r>
            <w:r>
              <w:rPr>
                <w:rFonts w:hint="eastAsia" w:ascii="宋体" w:hAnsi="宋体"/>
                <w:bCs/>
                <w:color w:val="auto"/>
                <w:highlight w:val="none"/>
              </w:rPr>
              <w:t>个</w:t>
            </w:r>
            <w:r>
              <w:rPr>
                <w:rFonts w:ascii="宋体" w:hAnsi="宋体"/>
                <w:bCs/>
                <w:color w:val="auto"/>
                <w:highlight w:val="none"/>
              </w:rPr>
              <w:t>工作日内按发票面额付款。</w:t>
            </w:r>
            <w:r>
              <w:rPr>
                <w:rFonts w:hint="eastAsia" w:ascii="宋体" w:hAnsi="宋体"/>
                <w:color w:val="auto"/>
                <w:highlight w:val="none"/>
              </w:rPr>
              <w:t>如成交供应商未按国家要求开具发票，或未按合同履约的，视为违约，</w:t>
            </w:r>
            <w:r>
              <w:rPr>
                <w:rFonts w:hint="eastAsia" w:ascii="宋体" w:hAnsi="宋体" w:cs="宋体"/>
                <w:bCs/>
                <w:color w:val="auto"/>
                <w:highlight w:val="none"/>
              </w:rPr>
              <w:t>采购人有权扣减履约保证金，或要求解除合同，</w:t>
            </w:r>
            <w:r>
              <w:rPr>
                <w:rFonts w:hint="eastAsia" w:ascii="宋体" w:hAnsi="宋体"/>
                <w:color w:val="auto"/>
                <w:highlight w:val="none"/>
              </w:rPr>
              <w:t>并追究成交供应商法律责任。</w:t>
            </w:r>
          </w:p>
        </w:tc>
      </w:tr>
      <w:tr w14:paraId="48A5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39" w:type="pct"/>
            <w:gridSpan w:val="2"/>
            <w:noWrap w:val="0"/>
            <w:tcMar>
              <w:top w:w="13" w:type="dxa"/>
              <w:left w:w="57" w:type="dxa"/>
              <w:bottom w:w="0" w:type="dxa"/>
              <w:right w:w="57" w:type="dxa"/>
            </w:tcMar>
            <w:vAlign w:val="center"/>
          </w:tcPr>
          <w:p w14:paraId="10EF94F2">
            <w:pPr>
              <w:jc w:val="center"/>
              <w:rPr>
                <w:rFonts w:ascii="宋体" w:hAnsi="宋体" w:cs="宋体"/>
                <w:b/>
                <w:bCs/>
                <w:color w:val="auto"/>
                <w:kern w:val="0"/>
                <w:highlight w:val="none"/>
              </w:rPr>
            </w:pPr>
            <w:r>
              <w:rPr>
                <w:rFonts w:hint="eastAsia" w:ascii="宋体" w:hAnsi="宋体" w:cs="宋体"/>
                <w:b/>
                <w:bCs/>
                <w:color w:val="auto"/>
                <w:kern w:val="0"/>
                <w:highlight w:val="none"/>
              </w:rPr>
              <w:t>计费</w:t>
            </w:r>
            <w:r>
              <w:rPr>
                <w:rFonts w:ascii="宋体" w:hAnsi="宋体" w:cs="宋体"/>
                <w:b/>
                <w:bCs/>
                <w:color w:val="auto"/>
                <w:kern w:val="0"/>
                <w:highlight w:val="none"/>
              </w:rPr>
              <w:t>要求</w:t>
            </w:r>
          </w:p>
        </w:tc>
        <w:tc>
          <w:tcPr>
            <w:tcW w:w="3960" w:type="pct"/>
            <w:gridSpan w:val="3"/>
            <w:noWrap w:val="0"/>
            <w:tcMar>
              <w:top w:w="13" w:type="dxa"/>
              <w:left w:w="57" w:type="dxa"/>
              <w:bottom w:w="0" w:type="dxa"/>
              <w:right w:w="57" w:type="dxa"/>
            </w:tcMar>
            <w:vAlign w:val="center"/>
          </w:tcPr>
          <w:p w14:paraId="2F32B57A">
            <w:pPr>
              <w:rPr>
                <w:rFonts w:ascii="宋体" w:hAnsi="宋体" w:cs="宋体"/>
                <w:b/>
                <w:color w:val="auto"/>
                <w:kern w:val="0"/>
                <w:highlight w:val="none"/>
              </w:rPr>
            </w:pPr>
            <w:r>
              <w:rPr>
                <w:rFonts w:hint="eastAsia" w:ascii="宋体" w:hAnsi="宋体" w:cs="宋体"/>
                <w:b/>
                <w:color w:val="auto"/>
                <w:kern w:val="0"/>
                <w:highlight w:val="none"/>
              </w:rPr>
              <w:t>1.广西农业职业技术大学西校区二期工程建设项目第二批工程-室内体育馆跟踪</w:t>
            </w:r>
            <w:r>
              <w:rPr>
                <w:rFonts w:ascii="宋体" w:hAnsi="宋体" w:cs="宋体"/>
                <w:b/>
                <w:color w:val="auto"/>
                <w:kern w:val="0"/>
                <w:highlight w:val="none"/>
              </w:rPr>
              <w:t>审计</w:t>
            </w:r>
            <w:r>
              <w:rPr>
                <w:rFonts w:hint="eastAsia" w:ascii="宋体" w:hAnsi="宋体" w:cs="宋体"/>
                <w:b/>
                <w:color w:val="auto"/>
                <w:kern w:val="0"/>
                <w:highlight w:val="none"/>
              </w:rPr>
              <w:t>费：</w:t>
            </w:r>
          </w:p>
          <w:p w14:paraId="31667C67">
            <w:pPr>
              <w:rPr>
                <w:rFonts w:ascii="宋体" w:hAnsi="宋体" w:cs="宋体"/>
                <w:color w:val="auto"/>
                <w:kern w:val="0"/>
                <w:highlight w:val="none"/>
              </w:rPr>
            </w:pPr>
            <w:r>
              <w:rPr>
                <w:rFonts w:hint="eastAsia" w:ascii="宋体" w:hAnsi="宋体" w:cs="宋体"/>
                <w:color w:val="auto"/>
                <w:kern w:val="0"/>
                <w:highlight w:val="none"/>
              </w:rPr>
              <w:t>（1）计费额（项）=每月跟踪审计服务费×服务期限（具体服务期限以实际工期为准，最长不超过本工程施工合同工期，即实际工期大于本工程施工合同工期的情况下同样按照本工程施工合同工期结算。）</w:t>
            </w:r>
          </w:p>
          <w:p w14:paraId="76BC91CC">
            <w:pPr>
              <w:rPr>
                <w:rFonts w:ascii="宋体" w:hAnsi="宋体" w:cs="宋体"/>
                <w:color w:val="auto"/>
                <w:kern w:val="0"/>
                <w:highlight w:val="none"/>
              </w:rPr>
            </w:pPr>
            <w:r>
              <w:rPr>
                <w:rFonts w:hint="eastAsia" w:ascii="宋体" w:hAnsi="宋体" w:cs="宋体"/>
                <w:color w:val="auto"/>
                <w:kern w:val="0"/>
                <w:highlight w:val="none"/>
              </w:rPr>
              <w:t>（2）所有项目不再另计调整系数。</w:t>
            </w:r>
          </w:p>
          <w:p w14:paraId="74622EF5">
            <w:pPr>
              <w:rPr>
                <w:rFonts w:ascii="宋体" w:hAnsi="宋体" w:cs="宋体"/>
                <w:b/>
                <w:color w:val="auto"/>
                <w:kern w:val="0"/>
                <w:highlight w:val="none"/>
              </w:rPr>
            </w:pPr>
            <w:r>
              <w:rPr>
                <w:rFonts w:ascii="宋体" w:hAnsi="宋体" w:cs="宋体"/>
                <w:b/>
                <w:color w:val="auto"/>
                <w:kern w:val="0"/>
                <w:highlight w:val="none"/>
              </w:rPr>
              <w:t>2</w:t>
            </w:r>
            <w:r>
              <w:rPr>
                <w:rFonts w:hint="eastAsia" w:ascii="宋体" w:hAnsi="宋体" w:cs="宋体"/>
                <w:b/>
                <w:color w:val="auto"/>
                <w:kern w:val="0"/>
                <w:highlight w:val="none"/>
              </w:rPr>
              <w:t>.广西农业职业技术大学西校区二期工程建设项目第二批工程-室内体育馆结算审核费：</w:t>
            </w:r>
          </w:p>
          <w:p w14:paraId="251AC91B">
            <w:pPr>
              <w:rPr>
                <w:rFonts w:ascii="宋体" w:hAnsi="宋体" w:cs="宋体"/>
                <w:color w:val="auto"/>
                <w:kern w:val="0"/>
                <w:highlight w:val="none"/>
              </w:rPr>
            </w:pPr>
            <w:r>
              <w:rPr>
                <w:rFonts w:hint="eastAsia" w:ascii="宋体" w:hAnsi="宋体" w:cs="宋体"/>
                <w:color w:val="auto"/>
                <w:kern w:val="0"/>
                <w:highlight w:val="none"/>
              </w:rPr>
              <w:t>（1）计费额（项）=[基本费（送审工程造价×相应费率）（按收费标准实行差额累进计算）＋效益费（核减造价×5%）]×（1-价格优惠率）</w:t>
            </w:r>
          </w:p>
          <w:p w14:paraId="701051CB">
            <w:pPr>
              <w:rPr>
                <w:rFonts w:ascii="宋体" w:hAnsi="宋体" w:cs="宋体"/>
                <w:color w:val="auto"/>
                <w:kern w:val="0"/>
                <w:highlight w:val="none"/>
              </w:rPr>
            </w:pPr>
            <w:r>
              <w:rPr>
                <w:rFonts w:hint="eastAsia" w:ascii="宋体" w:hAnsi="宋体" w:cs="宋体"/>
                <w:color w:val="auto"/>
                <w:kern w:val="0"/>
                <w:highlight w:val="none"/>
              </w:rPr>
              <w:t>（2）以桂价协字〔2019〕15号文中的序号6.1所列的收费标准计算，单项审核费按以上标准计费不足3000元的按3000元计费，所有项目不再另计调整系数，其余按桂价协字〔2019〕15号文规定执行。合同履行中委托的审计事项不适用于桂价协字〔2019〕15号文的，由采购人与成交供应商谈判确定。</w:t>
            </w:r>
          </w:p>
        </w:tc>
      </w:tr>
      <w:tr w14:paraId="622F7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039" w:type="pct"/>
            <w:gridSpan w:val="2"/>
            <w:noWrap w:val="0"/>
            <w:tcMar>
              <w:top w:w="13" w:type="dxa"/>
              <w:left w:w="57" w:type="dxa"/>
              <w:bottom w:w="0" w:type="dxa"/>
              <w:right w:w="57" w:type="dxa"/>
            </w:tcMar>
            <w:vAlign w:val="center"/>
          </w:tcPr>
          <w:p w14:paraId="433D92C3">
            <w:pPr>
              <w:jc w:val="center"/>
              <w:rPr>
                <w:rFonts w:ascii="宋体" w:hAnsi="宋体" w:cs="宋体"/>
                <w:color w:val="auto"/>
                <w:highlight w:val="none"/>
              </w:rPr>
            </w:pPr>
            <w:r>
              <w:rPr>
                <w:rFonts w:hint="eastAsia" w:ascii="宋体" w:hAnsi="宋体" w:cs="宋体"/>
                <w:b/>
                <w:bCs/>
                <w:color w:val="auto"/>
                <w:kern w:val="0"/>
                <w:highlight w:val="none"/>
              </w:rPr>
              <w:t>其他要求</w:t>
            </w:r>
          </w:p>
        </w:tc>
        <w:tc>
          <w:tcPr>
            <w:tcW w:w="3960" w:type="pct"/>
            <w:gridSpan w:val="3"/>
            <w:noWrap w:val="0"/>
            <w:tcMar>
              <w:top w:w="13" w:type="dxa"/>
              <w:left w:w="57" w:type="dxa"/>
              <w:bottom w:w="0" w:type="dxa"/>
              <w:right w:w="57" w:type="dxa"/>
            </w:tcMar>
            <w:vAlign w:val="center"/>
          </w:tcPr>
          <w:p w14:paraId="13339C1F">
            <w:pPr>
              <w:widowControl/>
              <w:jc w:val="left"/>
              <w:textAlignment w:val="center"/>
              <w:rPr>
                <w:rFonts w:ascii="宋体" w:hAnsi="宋体" w:cs="宋体"/>
                <w:color w:val="auto"/>
                <w:kern w:val="0"/>
                <w:highlight w:val="none"/>
                <w:lang w:bidi="zh-CN"/>
              </w:rPr>
            </w:pPr>
            <w:r>
              <w:rPr>
                <w:rFonts w:hint="eastAsia" w:ascii="宋体" w:hAnsi="宋体" w:cs="宋体"/>
                <w:color w:val="auto"/>
                <w:kern w:val="0"/>
                <w:highlight w:val="none"/>
                <w:lang w:bidi="zh-CN"/>
              </w:rPr>
              <w:t>1.服务期内，成交供应商及其相关工作人员出现违反廉洁从业规定时，采购人将实行一票否决，终止合同并追究成交供应商相关责任。采购人认为有必要时，可以约谈、询问成交供应商的法定代表人及相关负责人，成交供应商不得拒绝。</w:t>
            </w:r>
          </w:p>
          <w:p w14:paraId="68B766FA">
            <w:pPr>
              <w:rPr>
                <w:rFonts w:ascii="宋体" w:hAnsi="宋体" w:cs="宋体"/>
                <w:color w:val="auto"/>
                <w:highlight w:val="none"/>
              </w:rPr>
            </w:pPr>
            <w:r>
              <w:rPr>
                <w:rFonts w:hint="eastAsia" w:ascii="宋体" w:hAnsi="宋体" w:cs="宋体"/>
                <w:color w:val="auto"/>
                <w:kern w:val="0"/>
                <w:highlight w:val="none"/>
                <w:lang w:bidi="zh-CN"/>
              </w:rPr>
              <w:t>2.成交供应商不得转包，所有服务须由成交供应商提供。</w:t>
            </w:r>
          </w:p>
        </w:tc>
      </w:tr>
    </w:tbl>
    <w:p w14:paraId="1248C0E9">
      <w:pPr>
        <w:jc w:val="left"/>
        <w:rPr>
          <w:rFonts w:hint="eastAsia" w:ascii="Arial Unicode MS" w:hAnsi="Arial Unicode MS" w:eastAsia="Arial Unicode MS" w:cs="Arial Unicode MS"/>
          <w:color w:val="auto"/>
          <w:sz w:val="32"/>
          <w:szCs w:val="32"/>
          <w:highlight w:val="none"/>
          <w:lang w:val="en-US" w:eastAsia="zh-CN"/>
        </w:rPr>
      </w:pPr>
      <w:r>
        <w:rPr>
          <w:rFonts w:hint="eastAsia" w:ascii="Arial Unicode MS" w:hAnsi="Arial Unicode MS" w:eastAsia="Arial Unicode MS" w:cs="Arial Unicode MS"/>
          <w:color w:val="auto"/>
          <w:sz w:val="32"/>
          <w:szCs w:val="32"/>
          <w:highlight w:val="none"/>
        </w:rPr>
        <w:br w:type="page"/>
      </w:r>
      <w:r>
        <w:rPr>
          <w:rFonts w:hint="eastAsia" w:ascii="Arial Unicode MS" w:hAnsi="Arial Unicode MS" w:eastAsia="Arial Unicode MS" w:cs="Arial Unicode MS"/>
          <w:color w:val="auto"/>
          <w:sz w:val="32"/>
          <w:szCs w:val="32"/>
          <w:highlight w:val="none"/>
          <w:lang w:eastAsia="zh-CN"/>
        </w:rPr>
        <w:t>附件</w:t>
      </w:r>
      <w:r>
        <w:rPr>
          <w:rFonts w:hint="eastAsia" w:ascii="Arial Unicode MS" w:hAnsi="Arial Unicode MS" w:eastAsia="Arial Unicode MS" w:cs="Arial Unicode MS"/>
          <w:color w:val="auto"/>
          <w:sz w:val="32"/>
          <w:szCs w:val="32"/>
          <w:highlight w:val="none"/>
          <w:lang w:val="en-US" w:eastAsia="zh-CN"/>
        </w:rPr>
        <w:t>1</w:t>
      </w:r>
    </w:p>
    <w:p w14:paraId="01D38B53">
      <w:pPr>
        <w:rPr>
          <w:rFonts w:hint="eastAsia"/>
          <w:color w:val="auto"/>
          <w:sz w:val="28"/>
          <w:szCs w:val="28"/>
          <w:highlight w:val="none"/>
        </w:rPr>
      </w:pPr>
    </w:p>
    <w:p w14:paraId="28534F91">
      <w:pPr>
        <w:pStyle w:val="29"/>
        <w:rPr>
          <w:rFonts w:hint="eastAsia"/>
          <w:color w:val="auto"/>
          <w:highlight w:val="none"/>
          <w:shd w:val="clear" w:color="auto" w:fill="FFFFFF"/>
        </w:rPr>
      </w:pPr>
      <w:r>
        <w:rPr>
          <w:rFonts w:hint="eastAsia"/>
          <w:color w:val="auto"/>
          <w:highlight w:val="none"/>
          <w:shd w:val="clear" w:color="auto" w:fill="FFFFFF"/>
        </w:rPr>
        <w:t>考核</w:t>
      </w:r>
      <w:r>
        <w:rPr>
          <w:color w:val="auto"/>
          <w:highlight w:val="none"/>
          <w:shd w:val="clear" w:color="auto" w:fill="FFFFFF"/>
        </w:rPr>
        <w:t>要求</w:t>
      </w:r>
    </w:p>
    <w:p w14:paraId="6A3FE170">
      <w:pPr>
        <w:widowControl/>
        <w:ind w:firstLine="576" w:firstLineChars="205"/>
        <w:jc w:val="left"/>
        <w:rPr>
          <w:rFonts w:ascii="仿宋" w:hAnsi="仿宋" w:eastAsia="仿宋" w:cs="仿宋"/>
          <w:color w:val="auto"/>
          <w:kern w:val="0"/>
          <w:sz w:val="28"/>
          <w:szCs w:val="28"/>
          <w:highlight w:val="none"/>
          <w:shd w:val="clear" w:color="auto" w:fill="FFFFFF"/>
        </w:rPr>
      </w:pPr>
      <w:r>
        <w:rPr>
          <w:rFonts w:hint="eastAsia" w:ascii="仿宋" w:hAnsi="仿宋" w:eastAsia="仿宋" w:cs="楷体"/>
          <w:b/>
          <w:bCs/>
          <w:color w:val="auto"/>
          <w:kern w:val="0"/>
          <w:sz w:val="28"/>
          <w:szCs w:val="28"/>
          <w:highlight w:val="none"/>
          <w:shd w:val="clear" w:color="auto" w:fill="FFFFFF"/>
        </w:rPr>
        <w:t>一、</w:t>
      </w:r>
      <w:r>
        <w:rPr>
          <w:rFonts w:hint="eastAsia" w:ascii="仿宋" w:hAnsi="仿宋" w:eastAsia="仿宋" w:cs="仿宋"/>
          <w:color w:val="auto"/>
          <w:kern w:val="0"/>
          <w:sz w:val="28"/>
          <w:szCs w:val="28"/>
          <w:highlight w:val="none"/>
          <w:shd w:val="clear" w:color="auto" w:fill="FFFFFF"/>
        </w:rPr>
        <w:t>在社会中介机构实施项目过程中，采购人（委托人）应核查社会中介机构项目组的人员到位和尽职情况，对不胜任的人员应向社会中介机构提出更换意见。</w:t>
      </w:r>
    </w:p>
    <w:p w14:paraId="3CB1C81C">
      <w:pPr>
        <w:pStyle w:val="28"/>
        <w:widowControl w:val="0"/>
        <w:spacing w:before="0" w:beforeAutospacing="0" w:after="0" w:afterAutospacing="0"/>
        <w:ind w:firstLine="576" w:firstLineChars="205"/>
        <w:rPr>
          <w:rFonts w:ascii="仿宋" w:hAnsi="仿宋" w:eastAsia="仿宋" w:cs="仿宋"/>
          <w:color w:val="auto"/>
          <w:sz w:val="28"/>
          <w:szCs w:val="28"/>
          <w:highlight w:val="none"/>
          <w:shd w:val="clear" w:color="auto" w:fill="FFFFFF"/>
        </w:rPr>
      </w:pPr>
      <w:r>
        <w:rPr>
          <w:rFonts w:hint="eastAsia" w:ascii="仿宋" w:hAnsi="仿宋" w:eastAsia="仿宋" w:cs="楷体"/>
          <w:b/>
          <w:bCs/>
          <w:color w:val="auto"/>
          <w:sz w:val="28"/>
          <w:szCs w:val="28"/>
          <w:highlight w:val="none"/>
          <w:shd w:val="clear" w:color="auto" w:fill="FFFFFF"/>
        </w:rPr>
        <w:t>二、</w:t>
      </w:r>
      <w:r>
        <w:rPr>
          <w:rFonts w:hint="eastAsia" w:ascii="仿宋" w:hAnsi="仿宋" w:eastAsia="仿宋" w:cs="仿宋"/>
          <w:color w:val="auto"/>
          <w:sz w:val="28"/>
          <w:szCs w:val="28"/>
          <w:highlight w:val="none"/>
          <w:shd w:val="clear" w:color="auto" w:fill="FFFFFF"/>
        </w:rPr>
        <w:t>受托参与服务的社会中介机构有下列情形之一的，采购人</w:t>
      </w:r>
      <w:r>
        <w:rPr>
          <w:rFonts w:ascii="仿宋" w:hAnsi="仿宋" w:eastAsia="仿宋" w:cs="仿宋"/>
          <w:color w:val="auto"/>
          <w:sz w:val="28"/>
          <w:szCs w:val="28"/>
          <w:highlight w:val="none"/>
          <w:shd w:val="clear" w:color="auto" w:fill="FFFFFF"/>
        </w:rPr>
        <w:t>（</w:t>
      </w:r>
      <w:r>
        <w:rPr>
          <w:rFonts w:hint="eastAsia" w:ascii="仿宋" w:hAnsi="仿宋" w:eastAsia="仿宋" w:cs="仿宋"/>
          <w:color w:val="auto"/>
          <w:sz w:val="28"/>
          <w:szCs w:val="28"/>
          <w:highlight w:val="none"/>
          <w:shd w:val="clear" w:color="auto" w:fill="FFFFFF"/>
        </w:rPr>
        <w:t>委托人</w:t>
      </w:r>
      <w:r>
        <w:rPr>
          <w:rFonts w:ascii="仿宋" w:hAnsi="仿宋" w:eastAsia="仿宋" w:cs="仿宋"/>
          <w:color w:val="auto"/>
          <w:sz w:val="28"/>
          <w:szCs w:val="28"/>
          <w:highlight w:val="none"/>
          <w:shd w:val="clear" w:color="auto" w:fill="FFFFFF"/>
        </w:rPr>
        <w:t>）</w:t>
      </w:r>
      <w:r>
        <w:rPr>
          <w:rFonts w:hint="eastAsia" w:ascii="仿宋" w:hAnsi="仿宋" w:eastAsia="仿宋" w:cs="仿宋"/>
          <w:color w:val="auto"/>
          <w:sz w:val="28"/>
          <w:szCs w:val="28"/>
          <w:highlight w:val="none"/>
          <w:shd w:val="clear" w:color="auto" w:fill="FFFFFF"/>
        </w:rPr>
        <w:t>项目主管单位（部门）应予以警戒告示、扣减服务费用、暂停或取消其在学校承接业务资格；涉嫌犯罪的，依法追究刑事责任。</w:t>
      </w:r>
    </w:p>
    <w:p w14:paraId="44FB0C41">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（一）未按合同的要求实施项目审计、咨询，随意简化工作程序；</w:t>
      </w:r>
    </w:p>
    <w:p w14:paraId="1E46B8DA">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（二）工作程序不规范，报告严重失实，结论不准确，且拒绝进行重新审计或纠正；</w:t>
      </w:r>
    </w:p>
    <w:p w14:paraId="56F41A3D">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（三）存在应披露而未披露的重大事项等重大错漏；</w:t>
      </w:r>
    </w:p>
    <w:p w14:paraId="22E0AC4A">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（四）违反职业道德，弄虚作假、串通作弊、泄露被审计单位秘密；</w:t>
      </w:r>
    </w:p>
    <w:p w14:paraId="44FC1ADA">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（五）在有关部门的事后检查中发现存在重大失实和错误，给学校造成不良影响和损失的；</w:t>
      </w:r>
    </w:p>
    <w:p w14:paraId="221E1633">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（六）通过不正当手段取得审计、咨询业务或擅自将受托服务业务转包、分包给其他单位和个人的；</w:t>
      </w:r>
    </w:p>
    <w:p w14:paraId="1EDB53A1">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（七）有违法行为或在政府部门有不良记录，被禁止开展相关业务的；</w:t>
      </w:r>
    </w:p>
    <w:p w14:paraId="51800289">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（八）工作质量考核分数低于60分的；</w:t>
      </w:r>
    </w:p>
    <w:p w14:paraId="50DF7627">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（九）入库期间拒绝接受委托3次以上的；</w:t>
      </w:r>
    </w:p>
    <w:p w14:paraId="1E5D28C3">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（十）其他损害委托方或被审计单位的行为；</w:t>
      </w:r>
    </w:p>
    <w:p w14:paraId="45AD7851">
      <w:pPr>
        <w:pStyle w:val="28"/>
        <w:widowControl w:val="0"/>
        <w:spacing w:before="0" w:beforeAutospacing="0" w:after="0" w:afterAutospacing="0"/>
        <w:ind w:firstLine="574" w:firstLineChars="205"/>
        <w:rPr>
          <w:rFonts w:ascii="仿宋" w:hAnsi="仿宋" w:eastAsia="仿宋" w:cs="仿宋"/>
          <w:color w:val="auto"/>
          <w:sz w:val="28"/>
          <w:szCs w:val="28"/>
          <w:highlight w:val="none"/>
          <w:shd w:val="clear" w:color="auto" w:fill="FFFFFF"/>
        </w:rPr>
      </w:pPr>
      <w:r>
        <w:rPr>
          <w:rFonts w:hint="eastAsia" w:ascii="仿宋" w:hAnsi="仿宋" w:eastAsia="仿宋" w:cs="仿宋"/>
          <w:color w:val="auto"/>
          <w:sz w:val="28"/>
          <w:szCs w:val="28"/>
          <w:highlight w:val="none"/>
          <w:shd w:val="clear" w:color="auto" w:fill="FFFFFF"/>
        </w:rPr>
        <w:t>（十一）其他失信行为。</w:t>
      </w:r>
    </w:p>
    <w:p w14:paraId="24359E4E">
      <w:pPr>
        <w:ind w:firstLine="593" w:firstLineChars="212"/>
        <w:jc w:val="left"/>
        <w:rPr>
          <w:rFonts w:ascii="仿宋" w:hAnsi="仿宋" w:eastAsia="仿宋" w:cs="仿宋"/>
          <w:color w:val="auto"/>
          <w:kern w:val="0"/>
          <w:sz w:val="28"/>
          <w:szCs w:val="28"/>
          <w:highlight w:val="none"/>
          <w:shd w:val="clear" w:color="auto" w:fill="FFFFFF"/>
        </w:rPr>
      </w:pPr>
      <w:r>
        <w:rPr>
          <w:rFonts w:hint="eastAsia" w:ascii="仿宋" w:hAnsi="仿宋" w:eastAsia="仿宋" w:cs="楷体"/>
          <w:b w:val="0"/>
          <w:bCs w:val="0"/>
          <w:color w:val="auto"/>
          <w:kern w:val="0"/>
          <w:sz w:val="28"/>
          <w:szCs w:val="28"/>
          <w:highlight w:val="none"/>
          <w:shd w:val="clear" w:color="auto" w:fill="FFFFFF"/>
        </w:rPr>
        <w:t>三、</w:t>
      </w:r>
      <w:r>
        <w:rPr>
          <w:rFonts w:hint="eastAsia" w:ascii="仿宋" w:hAnsi="仿宋" w:eastAsia="仿宋" w:cs="仿宋"/>
          <w:color w:val="auto"/>
          <w:kern w:val="0"/>
          <w:sz w:val="28"/>
          <w:szCs w:val="28"/>
          <w:highlight w:val="none"/>
          <w:shd w:val="clear" w:color="auto" w:fill="FFFFFF"/>
        </w:rPr>
        <w:t>审计处</w:t>
      </w:r>
      <w:r>
        <w:rPr>
          <w:rFonts w:ascii="仿宋" w:hAnsi="仿宋" w:eastAsia="仿宋" w:cs="仿宋"/>
          <w:color w:val="auto"/>
          <w:kern w:val="0"/>
          <w:sz w:val="28"/>
          <w:szCs w:val="28"/>
          <w:highlight w:val="none"/>
          <w:shd w:val="clear" w:color="auto" w:fill="FFFFFF"/>
        </w:rPr>
        <w:t>建立质量评价指标体系，</w:t>
      </w:r>
      <w:r>
        <w:rPr>
          <w:rFonts w:hint="eastAsia" w:ascii="仿宋" w:hAnsi="仿宋" w:eastAsia="仿宋" w:cs="仿宋"/>
          <w:color w:val="auto"/>
          <w:kern w:val="0"/>
          <w:sz w:val="28"/>
          <w:szCs w:val="28"/>
          <w:highlight w:val="none"/>
          <w:shd w:val="clear" w:color="auto" w:fill="FFFFFF"/>
        </w:rPr>
        <w:t>采购人（委托人）主管项目单位（部门）</w:t>
      </w:r>
      <w:r>
        <w:rPr>
          <w:rFonts w:ascii="仿宋" w:hAnsi="仿宋" w:eastAsia="仿宋" w:cs="仿宋"/>
          <w:color w:val="auto"/>
          <w:kern w:val="0"/>
          <w:sz w:val="28"/>
          <w:szCs w:val="28"/>
          <w:highlight w:val="none"/>
          <w:shd w:val="clear" w:color="auto" w:fill="FFFFFF"/>
        </w:rPr>
        <w:t>对</w:t>
      </w:r>
      <w:r>
        <w:rPr>
          <w:rFonts w:hint="eastAsia" w:ascii="仿宋" w:hAnsi="仿宋" w:eastAsia="仿宋" w:cs="仿宋"/>
          <w:color w:val="auto"/>
          <w:kern w:val="0"/>
          <w:sz w:val="28"/>
          <w:szCs w:val="28"/>
          <w:highlight w:val="none"/>
          <w:shd w:val="clear" w:color="auto" w:fill="FFFFFF"/>
        </w:rPr>
        <w:t>社会</w:t>
      </w:r>
      <w:r>
        <w:rPr>
          <w:rFonts w:ascii="仿宋" w:hAnsi="仿宋" w:eastAsia="仿宋" w:cs="仿宋"/>
          <w:color w:val="auto"/>
          <w:kern w:val="0"/>
          <w:sz w:val="28"/>
          <w:szCs w:val="28"/>
          <w:highlight w:val="none"/>
          <w:shd w:val="clear" w:color="auto" w:fill="FFFFFF"/>
        </w:rPr>
        <w:t>中介机构一定时期的工作质量或者具体的项目质量</w:t>
      </w:r>
      <w:r>
        <w:rPr>
          <w:rFonts w:hint="eastAsia" w:ascii="仿宋" w:hAnsi="仿宋" w:eastAsia="仿宋" w:cs="仿宋"/>
          <w:color w:val="auto"/>
          <w:kern w:val="0"/>
          <w:sz w:val="28"/>
          <w:szCs w:val="28"/>
          <w:highlight w:val="none"/>
          <w:shd w:val="clear" w:color="auto" w:fill="FFFFFF"/>
        </w:rPr>
        <w:t>进行考核评价</w:t>
      </w:r>
      <w:r>
        <w:rPr>
          <w:rFonts w:ascii="仿宋" w:hAnsi="仿宋" w:eastAsia="仿宋" w:cs="仿宋"/>
          <w:color w:val="auto"/>
          <w:kern w:val="0"/>
          <w:sz w:val="28"/>
          <w:szCs w:val="28"/>
          <w:highlight w:val="none"/>
          <w:shd w:val="clear" w:color="auto" w:fill="FFFFFF"/>
        </w:rPr>
        <w:t>，</w:t>
      </w:r>
      <w:r>
        <w:rPr>
          <w:rFonts w:hint="eastAsia" w:ascii="仿宋" w:hAnsi="仿宋" w:eastAsia="仿宋" w:cs="仿宋"/>
          <w:color w:val="auto"/>
          <w:kern w:val="0"/>
          <w:sz w:val="28"/>
          <w:szCs w:val="28"/>
          <w:highlight w:val="none"/>
          <w:shd w:val="clear" w:color="auto" w:fill="FFFFFF"/>
        </w:rPr>
        <w:t>考核结果作为项目委托的重要参考。</w:t>
      </w:r>
    </w:p>
    <w:p w14:paraId="44E81C2F">
      <w:pPr>
        <w:widowControl/>
        <w:ind w:firstLine="574" w:firstLineChars="205"/>
        <w:jc w:val="left"/>
        <w:rPr>
          <w:rFonts w:ascii="仿宋" w:hAnsi="仿宋" w:eastAsia="仿宋" w:cs="仿宋"/>
          <w:color w:val="auto"/>
          <w:kern w:val="0"/>
          <w:sz w:val="28"/>
          <w:szCs w:val="28"/>
          <w:highlight w:val="none"/>
          <w:shd w:val="clear" w:color="auto" w:fill="FFFFFF"/>
        </w:rPr>
      </w:pPr>
      <w:r>
        <w:rPr>
          <w:rFonts w:hint="eastAsia" w:ascii="仿宋" w:hAnsi="仿宋" w:eastAsia="仿宋" w:cs="楷体"/>
          <w:b w:val="0"/>
          <w:bCs w:val="0"/>
          <w:color w:val="auto"/>
          <w:kern w:val="0"/>
          <w:sz w:val="28"/>
          <w:szCs w:val="28"/>
          <w:highlight w:val="none"/>
          <w:shd w:val="clear" w:color="auto" w:fill="FFFFFF"/>
        </w:rPr>
        <w:t>四、</w:t>
      </w:r>
      <w:r>
        <w:rPr>
          <w:rFonts w:hint="eastAsia" w:ascii="仿宋" w:hAnsi="仿宋" w:eastAsia="仿宋" w:cs="仿宋"/>
          <w:color w:val="auto"/>
          <w:kern w:val="0"/>
          <w:sz w:val="28"/>
          <w:szCs w:val="28"/>
          <w:highlight w:val="none"/>
          <w:shd w:val="clear" w:color="auto" w:fill="FFFFFF"/>
        </w:rPr>
        <w:t>对社会中介机构工作质量的评价内容一般包括：</w:t>
      </w:r>
    </w:p>
    <w:p w14:paraId="76A656B5">
      <w:pPr>
        <w:widowControl/>
        <w:numPr>
          <w:ilvl w:val="0"/>
          <w:numId w:val="1"/>
        </w:numPr>
        <w:ind w:firstLine="574" w:firstLineChars="205"/>
        <w:jc w:val="left"/>
        <w:rPr>
          <w:rFonts w:ascii="仿宋" w:hAnsi="仿宋" w:eastAsia="仿宋" w:cs="仿宋"/>
          <w:color w:val="auto"/>
          <w:kern w:val="0"/>
          <w:sz w:val="28"/>
          <w:szCs w:val="28"/>
          <w:highlight w:val="none"/>
          <w:shd w:val="clear" w:color="auto" w:fill="FFFFFF"/>
        </w:rPr>
      </w:pPr>
      <w:r>
        <w:rPr>
          <w:rFonts w:hint="eastAsia" w:ascii="仿宋" w:hAnsi="仿宋" w:eastAsia="仿宋" w:cs="仿宋"/>
          <w:color w:val="auto"/>
          <w:kern w:val="0"/>
          <w:sz w:val="28"/>
          <w:szCs w:val="28"/>
          <w:highlight w:val="none"/>
          <w:shd w:val="clear" w:color="auto" w:fill="FFFFFF"/>
        </w:rPr>
        <w:t>履行业务委托合同承诺的完成情况；</w:t>
      </w:r>
    </w:p>
    <w:p w14:paraId="7EC2DCB8">
      <w:pPr>
        <w:widowControl/>
        <w:numPr>
          <w:ilvl w:val="0"/>
          <w:numId w:val="1"/>
        </w:numPr>
        <w:ind w:firstLine="574" w:firstLineChars="205"/>
        <w:jc w:val="left"/>
        <w:rPr>
          <w:rFonts w:ascii="仿宋" w:hAnsi="仿宋" w:eastAsia="仿宋" w:cs="仿宋"/>
          <w:color w:val="auto"/>
          <w:kern w:val="0"/>
          <w:sz w:val="28"/>
          <w:szCs w:val="28"/>
          <w:highlight w:val="none"/>
          <w:shd w:val="clear" w:color="auto" w:fill="FFFFFF"/>
        </w:rPr>
      </w:pPr>
      <w:r>
        <w:rPr>
          <w:rFonts w:hint="eastAsia" w:ascii="仿宋" w:hAnsi="仿宋" w:eastAsia="仿宋" w:cs="仿宋"/>
          <w:color w:val="auto"/>
          <w:kern w:val="0"/>
          <w:sz w:val="28"/>
          <w:szCs w:val="28"/>
          <w:highlight w:val="none"/>
          <w:shd w:val="clear" w:color="auto" w:fill="FFFFFF"/>
        </w:rPr>
        <w:t>受托项目实施过程控制情况，包括实施方案制定、沟通协调、进度把控等；</w:t>
      </w:r>
    </w:p>
    <w:p w14:paraId="4BF16319">
      <w:pPr>
        <w:widowControl/>
        <w:ind w:firstLine="574" w:firstLineChars="205"/>
        <w:jc w:val="left"/>
        <w:rPr>
          <w:rFonts w:ascii="仿宋" w:hAnsi="仿宋" w:eastAsia="仿宋" w:cs="仿宋"/>
          <w:color w:val="auto"/>
          <w:kern w:val="0"/>
          <w:sz w:val="28"/>
          <w:szCs w:val="28"/>
          <w:highlight w:val="none"/>
          <w:shd w:val="clear" w:color="auto" w:fill="FFFFFF"/>
        </w:rPr>
      </w:pPr>
      <w:r>
        <w:rPr>
          <w:rFonts w:hint="eastAsia" w:ascii="仿宋" w:hAnsi="仿宋" w:eastAsia="仿宋" w:cs="仿宋"/>
          <w:color w:val="auto"/>
          <w:kern w:val="0"/>
          <w:sz w:val="28"/>
          <w:szCs w:val="28"/>
          <w:highlight w:val="none"/>
          <w:shd w:val="clear" w:color="auto" w:fill="FFFFFF"/>
        </w:rPr>
        <w:t>（三）审核报告质量；</w:t>
      </w:r>
    </w:p>
    <w:p w14:paraId="17840465">
      <w:pPr>
        <w:widowControl/>
        <w:ind w:firstLine="574" w:firstLineChars="205"/>
        <w:jc w:val="left"/>
        <w:rPr>
          <w:rFonts w:ascii="仿宋" w:hAnsi="仿宋" w:eastAsia="仿宋" w:cs="仿宋"/>
          <w:color w:val="auto"/>
          <w:kern w:val="0"/>
          <w:sz w:val="28"/>
          <w:szCs w:val="28"/>
          <w:highlight w:val="none"/>
          <w:shd w:val="clear" w:color="auto" w:fill="FFFFFF"/>
        </w:rPr>
      </w:pPr>
      <w:r>
        <w:rPr>
          <w:rFonts w:hint="eastAsia" w:ascii="仿宋" w:hAnsi="仿宋" w:eastAsia="仿宋" w:cs="仿宋"/>
          <w:color w:val="auto"/>
          <w:kern w:val="0"/>
          <w:sz w:val="28"/>
          <w:szCs w:val="28"/>
          <w:highlight w:val="none"/>
          <w:shd w:val="clear" w:color="auto" w:fill="FFFFFF"/>
        </w:rPr>
        <w:t>（四）专业胜任能力和职业道德遵守情况；</w:t>
      </w:r>
    </w:p>
    <w:p w14:paraId="3E978AC9">
      <w:pPr>
        <w:widowControl/>
        <w:ind w:firstLine="574" w:firstLineChars="205"/>
        <w:jc w:val="left"/>
        <w:rPr>
          <w:rFonts w:ascii="仿宋" w:hAnsi="仿宋" w:eastAsia="仿宋" w:cs="仿宋"/>
          <w:color w:val="auto"/>
          <w:kern w:val="0"/>
          <w:sz w:val="28"/>
          <w:szCs w:val="28"/>
          <w:highlight w:val="none"/>
          <w:shd w:val="clear" w:color="auto" w:fill="FFFFFF"/>
        </w:rPr>
      </w:pPr>
      <w:r>
        <w:rPr>
          <w:rFonts w:hint="eastAsia" w:ascii="仿宋" w:hAnsi="仿宋" w:eastAsia="仿宋" w:cs="仿宋"/>
          <w:color w:val="auto"/>
          <w:kern w:val="0"/>
          <w:sz w:val="28"/>
          <w:szCs w:val="28"/>
          <w:highlight w:val="none"/>
          <w:shd w:val="clear" w:color="auto" w:fill="FFFFFF"/>
        </w:rPr>
        <w:t>（五）受托项目资料移交的及时性和完整性；</w:t>
      </w:r>
    </w:p>
    <w:p w14:paraId="57B041DE">
      <w:pPr>
        <w:ind w:firstLine="560" w:firstLineChars="200"/>
        <w:jc w:val="left"/>
        <w:rPr>
          <w:rFonts w:hint="default" w:ascii="Arial Unicode MS" w:hAnsi="Arial Unicode MS" w:eastAsia="Arial Unicode MS" w:cs="Arial Unicode MS"/>
          <w:color w:val="auto"/>
          <w:sz w:val="32"/>
          <w:szCs w:val="32"/>
          <w:highlight w:val="none"/>
          <w:lang w:val="en-US" w:eastAsia="zh-CN"/>
        </w:rPr>
        <w:sectPr>
          <w:footerReference r:id="rId8" w:type="first"/>
          <w:footerReference r:id="rId7" w:type="default"/>
          <w:pgSz w:w="11911" w:h="16838"/>
          <w:pgMar w:top="1134" w:right="1134" w:bottom="1134" w:left="1134" w:header="720" w:footer="720" w:gutter="0"/>
          <w:cols w:space="720" w:num="1"/>
        </w:sectPr>
      </w:pPr>
      <w:r>
        <w:rPr>
          <w:rFonts w:hint="eastAsia" w:ascii="仿宋" w:hAnsi="仿宋" w:eastAsia="仿宋" w:cs="仿宋"/>
          <w:color w:val="auto"/>
          <w:kern w:val="0"/>
          <w:sz w:val="28"/>
          <w:szCs w:val="28"/>
          <w:highlight w:val="none"/>
          <w:shd w:val="clear" w:color="auto" w:fill="FFFFFF"/>
        </w:rPr>
        <w:t>（六）其他方面。</w:t>
      </w:r>
    </w:p>
    <w:p w14:paraId="394100B1">
      <w:pPr>
        <w:jc w:val="left"/>
        <w:rPr>
          <w:rFonts w:ascii="Arial Unicode MS" w:hAnsi="Arial Unicode MS" w:eastAsia="Arial Unicode MS" w:cs="Arial Unicode MS"/>
          <w:color w:val="auto"/>
          <w:kern w:val="0"/>
          <w:sz w:val="32"/>
          <w:szCs w:val="32"/>
          <w:highlight w:val="none"/>
        </w:rPr>
      </w:pPr>
      <w:r>
        <w:rPr>
          <w:rFonts w:hint="eastAsia" w:ascii="Arial Unicode MS" w:hAnsi="Arial Unicode MS" w:eastAsia="Arial Unicode MS" w:cs="Arial Unicode MS"/>
          <w:color w:val="auto"/>
          <w:sz w:val="32"/>
          <w:szCs w:val="32"/>
          <w:highlight w:val="none"/>
        </w:rPr>
        <w:t>附件</w:t>
      </w:r>
      <w:r>
        <w:rPr>
          <w:rFonts w:hint="eastAsia" w:ascii="Arial Unicode MS" w:hAnsi="Arial Unicode MS" w:cs="Arial Unicode MS"/>
          <w:color w:val="auto"/>
          <w:sz w:val="32"/>
          <w:szCs w:val="32"/>
          <w:highlight w:val="none"/>
          <w:lang w:val="en-US" w:eastAsia="zh-CN"/>
        </w:rPr>
        <w:t>2</w:t>
      </w:r>
    </w:p>
    <w:p w14:paraId="7F9D72F0">
      <w:pPr>
        <w:widowControl/>
        <w:spacing w:before="120" w:beforeLines="50" w:after="120" w:afterLines="50" w:line="280" w:lineRule="exact"/>
        <w:jc w:val="center"/>
        <w:rPr>
          <w:rFonts w:ascii="宋体" w:hAnsi="宋体" w:cs="宋体"/>
          <w:b/>
          <w:bCs/>
          <w:color w:val="auto"/>
          <w:kern w:val="0"/>
          <w:sz w:val="30"/>
          <w:szCs w:val="30"/>
          <w:highlight w:val="none"/>
        </w:rPr>
      </w:pPr>
      <w:bookmarkStart w:id="60" w:name="_Toc28361_WPSOffice_Level2"/>
      <w:r>
        <w:rPr>
          <w:rFonts w:hint="eastAsia" w:ascii="宋体" w:hAnsi="宋体" w:cs="宋体"/>
          <w:b/>
          <w:bCs/>
          <w:color w:val="auto"/>
          <w:kern w:val="0"/>
          <w:sz w:val="30"/>
          <w:szCs w:val="30"/>
          <w:highlight w:val="none"/>
        </w:rPr>
        <w:t>统计上大中小微型企业划分标准</w:t>
      </w:r>
      <w:bookmarkEnd w:id="60"/>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1369"/>
        <w:gridCol w:w="709"/>
        <w:gridCol w:w="1125"/>
        <w:gridCol w:w="1701"/>
        <w:gridCol w:w="1426"/>
        <w:gridCol w:w="992"/>
      </w:tblGrid>
      <w:tr w14:paraId="201FA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blHeader/>
          <w:jc w:val="center"/>
        </w:trPr>
        <w:tc>
          <w:tcPr>
            <w:tcW w:w="2113" w:type="dxa"/>
            <w:shd w:val="clear" w:color="auto" w:fill="8DB3E2"/>
            <w:noWrap w:val="0"/>
            <w:vAlign w:val="center"/>
          </w:tcPr>
          <w:p w14:paraId="26765ABE">
            <w:pPr>
              <w:widowControl/>
              <w:spacing w:line="280" w:lineRule="exact"/>
              <w:jc w:val="center"/>
              <w:rPr>
                <w:rFonts w:ascii="宋体" w:hAnsi="宋体" w:cs="宋体"/>
                <w:b/>
                <w:bCs/>
                <w:color w:val="auto"/>
                <w:kern w:val="0"/>
                <w:sz w:val="18"/>
                <w:szCs w:val="21"/>
                <w:highlight w:val="none"/>
              </w:rPr>
            </w:pPr>
            <w:r>
              <w:rPr>
                <w:rFonts w:hint="eastAsia" w:ascii="宋体" w:hAnsi="宋体" w:cs="宋体"/>
                <w:b/>
                <w:bCs/>
                <w:color w:val="auto"/>
                <w:kern w:val="0"/>
                <w:sz w:val="18"/>
                <w:szCs w:val="21"/>
                <w:highlight w:val="none"/>
              </w:rPr>
              <w:t>行业名称</w:t>
            </w:r>
          </w:p>
        </w:tc>
        <w:tc>
          <w:tcPr>
            <w:tcW w:w="1369" w:type="dxa"/>
            <w:shd w:val="clear" w:color="auto" w:fill="8DB3E2"/>
            <w:noWrap w:val="0"/>
            <w:vAlign w:val="center"/>
          </w:tcPr>
          <w:p w14:paraId="53A128DE">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指标名称</w:t>
            </w:r>
          </w:p>
        </w:tc>
        <w:tc>
          <w:tcPr>
            <w:tcW w:w="709" w:type="dxa"/>
            <w:shd w:val="clear" w:color="auto" w:fill="8DB3E2"/>
            <w:noWrap w:val="0"/>
            <w:vAlign w:val="center"/>
          </w:tcPr>
          <w:p w14:paraId="63E87657">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计量</w:t>
            </w:r>
          </w:p>
          <w:p w14:paraId="6C02713B">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单位</w:t>
            </w:r>
          </w:p>
        </w:tc>
        <w:tc>
          <w:tcPr>
            <w:tcW w:w="1125" w:type="dxa"/>
            <w:shd w:val="clear" w:color="auto" w:fill="8DB3E2"/>
            <w:noWrap w:val="0"/>
            <w:vAlign w:val="center"/>
          </w:tcPr>
          <w:p w14:paraId="1686D95D">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大型</w:t>
            </w:r>
          </w:p>
        </w:tc>
        <w:tc>
          <w:tcPr>
            <w:tcW w:w="1701" w:type="dxa"/>
            <w:shd w:val="clear" w:color="auto" w:fill="8DB3E2"/>
            <w:noWrap w:val="0"/>
            <w:vAlign w:val="center"/>
          </w:tcPr>
          <w:p w14:paraId="2B17FD20">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中型</w:t>
            </w:r>
          </w:p>
        </w:tc>
        <w:tc>
          <w:tcPr>
            <w:tcW w:w="1426" w:type="dxa"/>
            <w:shd w:val="clear" w:color="auto" w:fill="8DB3E2"/>
            <w:noWrap w:val="0"/>
            <w:vAlign w:val="center"/>
          </w:tcPr>
          <w:p w14:paraId="1DE1A207">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小型</w:t>
            </w:r>
          </w:p>
        </w:tc>
        <w:tc>
          <w:tcPr>
            <w:tcW w:w="992" w:type="dxa"/>
            <w:shd w:val="clear" w:color="auto" w:fill="8DB3E2"/>
            <w:noWrap w:val="0"/>
            <w:vAlign w:val="center"/>
          </w:tcPr>
          <w:p w14:paraId="266AE064">
            <w:pPr>
              <w:widowControl/>
              <w:spacing w:line="28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微型</w:t>
            </w:r>
          </w:p>
        </w:tc>
      </w:tr>
      <w:tr w14:paraId="0BC6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65D52661">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农、林、牧、渔业</w:t>
            </w:r>
          </w:p>
        </w:tc>
        <w:tc>
          <w:tcPr>
            <w:tcW w:w="1369" w:type="dxa"/>
            <w:noWrap w:val="0"/>
            <w:vAlign w:val="center"/>
          </w:tcPr>
          <w:p w14:paraId="2F3AE51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140E3BB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33B7926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0"/>
            <w:vAlign w:val="center"/>
          </w:tcPr>
          <w:p w14:paraId="3D3FDA1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noWrap w:val="0"/>
            <w:vAlign w:val="center"/>
          </w:tcPr>
          <w:p w14:paraId="125791A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992" w:type="dxa"/>
            <w:noWrap w:val="0"/>
            <w:vAlign w:val="center"/>
          </w:tcPr>
          <w:p w14:paraId="1B19C9A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6288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3E8FB24">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工业 *</w:t>
            </w:r>
          </w:p>
        </w:tc>
        <w:tc>
          <w:tcPr>
            <w:tcW w:w="1369" w:type="dxa"/>
            <w:noWrap w:val="0"/>
            <w:vAlign w:val="center"/>
          </w:tcPr>
          <w:p w14:paraId="781B198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0FD773D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66AA3DA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0298497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7ABA445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0"/>
            <w:vAlign w:val="center"/>
          </w:tcPr>
          <w:p w14:paraId="0FB034F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076F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1D0E014">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5B33DAE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673C652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2C3BDAC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0"/>
            <w:vAlign w:val="center"/>
          </w:tcPr>
          <w:p w14:paraId="043C7F5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426" w:type="dxa"/>
            <w:noWrap w:val="0"/>
            <w:vAlign w:val="center"/>
          </w:tcPr>
          <w:p w14:paraId="39FBF9A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992" w:type="dxa"/>
            <w:noWrap w:val="0"/>
            <w:vAlign w:val="center"/>
          </w:tcPr>
          <w:p w14:paraId="4C23857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7997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FB61E9F">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建筑业</w:t>
            </w:r>
          </w:p>
        </w:tc>
        <w:tc>
          <w:tcPr>
            <w:tcW w:w="1369" w:type="dxa"/>
            <w:noWrap w:val="0"/>
            <w:vAlign w:val="center"/>
          </w:tcPr>
          <w:p w14:paraId="60D1BFB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379BC08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51DD3F9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Y≥80000</w:t>
            </w:r>
          </w:p>
        </w:tc>
        <w:tc>
          <w:tcPr>
            <w:tcW w:w="1701" w:type="dxa"/>
            <w:noWrap w:val="0"/>
            <w:vAlign w:val="center"/>
          </w:tcPr>
          <w:p w14:paraId="5E238F1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426" w:type="dxa"/>
            <w:noWrap w:val="0"/>
            <w:vAlign w:val="center"/>
          </w:tcPr>
          <w:p w14:paraId="106E78B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992" w:type="dxa"/>
            <w:noWrap w:val="0"/>
            <w:vAlign w:val="center"/>
          </w:tcPr>
          <w:p w14:paraId="17F7565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2448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E37E0DA">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66E4D47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4FA1DFD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04C28FE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Z≥80000</w:t>
            </w:r>
          </w:p>
        </w:tc>
        <w:tc>
          <w:tcPr>
            <w:tcW w:w="1701" w:type="dxa"/>
            <w:noWrap w:val="0"/>
            <w:vAlign w:val="center"/>
          </w:tcPr>
          <w:p w14:paraId="14E4EDA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426" w:type="dxa"/>
            <w:noWrap w:val="0"/>
            <w:vAlign w:val="center"/>
          </w:tcPr>
          <w:p w14:paraId="356683B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992" w:type="dxa"/>
            <w:noWrap w:val="0"/>
            <w:vAlign w:val="center"/>
          </w:tcPr>
          <w:p w14:paraId="77EB600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542BB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4E1F8CE">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批发业</w:t>
            </w:r>
          </w:p>
        </w:tc>
        <w:tc>
          <w:tcPr>
            <w:tcW w:w="1369" w:type="dxa"/>
            <w:noWrap w:val="0"/>
            <w:vAlign w:val="center"/>
          </w:tcPr>
          <w:p w14:paraId="4978140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789A44D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7119BE6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0"/>
            <w:vAlign w:val="center"/>
          </w:tcPr>
          <w:p w14:paraId="62665EE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426" w:type="dxa"/>
            <w:noWrap w:val="0"/>
            <w:vAlign w:val="center"/>
          </w:tcPr>
          <w:p w14:paraId="34230A0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992" w:type="dxa"/>
            <w:noWrap w:val="0"/>
            <w:vAlign w:val="center"/>
          </w:tcPr>
          <w:p w14:paraId="1C03BF9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0434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A154B4F">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53DB87D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469CB75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39FE072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Y≥40000</w:t>
            </w:r>
          </w:p>
        </w:tc>
        <w:tc>
          <w:tcPr>
            <w:tcW w:w="1701" w:type="dxa"/>
            <w:noWrap w:val="0"/>
            <w:vAlign w:val="center"/>
          </w:tcPr>
          <w:p w14:paraId="3ED1808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426" w:type="dxa"/>
            <w:noWrap w:val="0"/>
            <w:vAlign w:val="center"/>
          </w:tcPr>
          <w:p w14:paraId="66C414AA">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992" w:type="dxa"/>
            <w:noWrap w:val="0"/>
            <w:vAlign w:val="center"/>
          </w:tcPr>
          <w:p w14:paraId="3A9BBB3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582A4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5C89AB7">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零售业</w:t>
            </w:r>
          </w:p>
        </w:tc>
        <w:tc>
          <w:tcPr>
            <w:tcW w:w="1369" w:type="dxa"/>
            <w:noWrap w:val="0"/>
            <w:vAlign w:val="center"/>
          </w:tcPr>
          <w:p w14:paraId="00A337E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7D46D5D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7C40BA3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2D46F61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426" w:type="dxa"/>
            <w:noWrap w:val="0"/>
            <w:vAlign w:val="center"/>
          </w:tcPr>
          <w:p w14:paraId="7445A95A">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10≤X＜50 </w:t>
            </w:r>
          </w:p>
        </w:tc>
        <w:tc>
          <w:tcPr>
            <w:tcW w:w="992" w:type="dxa"/>
            <w:noWrap w:val="0"/>
            <w:vAlign w:val="center"/>
          </w:tcPr>
          <w:p w14:paraId="0BA0859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3E55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495A6B7E">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457392F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26B62AC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3E708DB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w:t>
            </w:r>
          </w:p>
        </w:tc>
        <w:tc>
          <w:tcPr>
            <w:tcW w:w="1701" w:type="dxa"/>
            <w:noWrap w:val="0"/>
            <w:vAlign w:val="center"/>
          </w:tcPr>
          <w:p w14:paraId="52F3A23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426" w:type="dxa"/>
            <w:noWrap w:val="0"/>
            <w:vAlign w:val="center"/>
          </w:tcPr>
          <w:p w14:paraId="0E2D26DD">
            <w:pPr>
              <w:widowControl/>
              <w:spacing w:line="280" w:lineRule="exact"/>
              <w:ind w:left="-1" w:leftChars="-1" w:hanging="1"/>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992" w:type="dxa"/>
            <w:noWrap w:val="0"/>
            <w:vAlign w:val="center"/>
          </w:tcPr>
          <w:p w14:paraId="32EA108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8CEA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6EF0DF56">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交通运输业 *</w:t>
            </w:r>
          </w:p>
        </w:tc>
        <w:tc>
          <w:tcPr>
            <w:tcW w:w="1369" w:type="dxa"/>
            <w:noWrap w:val="0"/>
            <w:vAlign w:val="center"/>
          </w:tcPr>
          <w:p w14:paraId="2D58D1F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243160A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31A2BAC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4C9211D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76ACFFD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0"/>
            <w:vAlign w:val="center"/>
          </w:tcPr>
          <w:p w14:paraId="46529D0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63D9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3C620557">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6C235CB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472D7CC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2FE7AA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71F80CD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426" w:type="dxa"/>
            <w:noWrap w:val="0"/>
            <w:vAlign w:val="center"/>
          </w:tcPr>
          <w:p w14:paraId="3C235E6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992" w:type="dxa"/>
            <w:noWrap w:val="0"/>
            <w:vAlign w:val="center"/>
          </w:tcPr>
          <w:p w14:paraId="5B64477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56CA2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1B6935B5">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仓储业*</w:t>
            </w:r>
          </w:p>
        </w:tc>
        <w:tc>
          <w:tcPr>
            <w:tcW w:w="1369" w:type="dxa"/>
            <w:noWrap w:val="0"/>
            <w:vAlign w:val="center"/>
          </w:tcPr>
          <w:p w14:paraId="5E4E7FF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111827F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24E2A03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w:t>
            </w:r>
          </w:p>
        </w:tc>
        <w:tc>
          <w:tcPr>
            <w:tcW w:w="1701" w:type="dxa"/>
            <w:noWrap w:val="0"/>
            <w:vAlign w:val="center"/>
          </w:tcPr>
          <w:p w14:paraId="19F70458">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426" w:type="dxa"/>
            <w:noWrap w:val="0"/>
            <w:vAlign w:val="center"/>
          </w:tcPr>
          <w:p w14:paraId="4E1F5D6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992" w:type="dxa"/>
            <w:noWrap w:val="0"/>
            <w:vAlign w:val="center"/>
          </w:tcPr>
          <w:p w14:paraId="5F59FDF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EA73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2F0EA277">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5261E56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1EC0256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24BD1B4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6B0DA9A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426" w:type="dxa"/>
            <w:noWrap w:val="0"/>
            <w:vAlign w:val="center"/>
          </w:tcPr>
          <w:p w14:paraId="10E789B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0"/>
            <w:vAlign w:val="center"/>
          </w:tcPr>
          <w:p w14:paraId="023C353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1769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0442DB4F">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邮政业</w:t>
            </w:r>
          </w:p>
        </w:tc>
        <w:tc>
          <w:tcPr>
            <w:tcW w:w="1369" w:type="dxa"/>
            <w:noWrap w:val="0"/>
            <w:vAlign w:val="center"/>
          </w:tcPr>
          <w:p w14:paraId="0DE97A0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30EABA6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6FB5A0D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7D67F9B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401F0F4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992" w:type="dxa"/>
            <w:noWrap w:val="0"/>
            <w:vAlign w:val="center"/>
          </w:tcPr>
          <w:p w14:paraId="22EAFFB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443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C98DE67">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0E2E6DC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1F93272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13E6144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Y≥30000</w:t>
            </w:r>
          </w:p>
        </w:tc>
        <w:tc>
          <w:tcPr>
            <w:tcW w:w="1701" w:type="dxa"/>
            <w:noWrap w:val="0"/>
            <w:vAlign w:val="center"/>
          </w:tcPr>
          <w:p w14:paraId="09026B1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426" w:type="dxa"/>
            <w:noWrap w:val="0"/>
            <w:vAlign w:val="center"/>
          </w:tcPr>
          <w:p w14:paraId="4B2D492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0"/>
            <w:vAlign w:val="center"/>
          </w:tcPr>
          <w:p w14:paraId="143B96B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22D5D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9C7E36F">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住宿业</w:t>
            </w:r>
          </w:p>
        </w:tc>
        <w:tc>
          <w:tcPr>
            <w:tcW w:w="1369" w:type="dxa"/>
            <w:noWrap w:val="0"/>
            <w:vAlign w:val="center"/>
          </w:tcPr>
          <w:p w14:paraId="52D4780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5EC5539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62BEE1D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2F51509B">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0"/>
            <w:vAlign w:val="center"/>
          </w:tcPr>
          <w:p w14:paraId="66A5736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36950F7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1D7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B2B34F9">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4F076B7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6AD4F14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6914CA9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6D48CB3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0"/>
            <w:vAlign w:val="center"/>
          </w:tcPr>
          <w:p w14:paraId="78DB2C5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0"/>
            <w:vAlign w:val="center"/>
          </w:tcPr>
          <w:p w14:paraId="5DC0CF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0B7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2C5CDA20">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餐饮业</w:t>
            </w:r>
          </w:p>
        </w:tc>
        <w:tc>
          <w:tcPr>
            <w:tcW w:w="1369" w:type="dxa"/>
            <w:noWrap w:val="0"/>
            <w:vAlign w:val="center"/>
          </w:tcPr>
          <w:p w14:paraId="186E39B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18BD6BD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60D1616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29F80FC0">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7E0B6A5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6C7A826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90F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1A517CDD">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71D73B0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56D23D7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2AD2C43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56939AB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426" w:type="dxa"/>
            <w:noWrap w:val="0"/>
            <w:vAlign w:val="center"/>
          </w:tcPr>
          <w:p w14:paraId="309D69D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992" w:type="dxa"/>
            <w:noWrap w:val="0"/>
            <w:vAlign w:val="center"/>
          </w:tcPr>
          <w:p w14:paraId="0094CDF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1E86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restart"/>
            <w:noWrap w:val="0"/>
            <w:vAlign w:val="center"/>
          </w:tcPr>
          <w:p w14:paraId="733566FD">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信息传输业 *</w:t>
            </w:r>
          </w:p>
        </w:tc>
        <w:tc>
          <w:tcPr>
            <w:tcW w:w="1369" w:type="dxa"/>
            <w:noWrap w:val="0"/>
            <w:vAlign w:val="center"/>
          </w:tcPr>
          <w:p w14:paraId="796FB43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2EB2B7F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6B86C5E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X≥2000</w:t>
            </w:r>
          </w:p>
        </w:tc>
        <w:tc>
          <w:tcPr>
            <w:tcW w:w="1701" w:type="dxa"/>
            <w:noWrap w:val="0"/>
            <w:vAlign w:val="center"/>
          </w:tcPr>
          <w:p w14:paraId="4F66BEC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426" w:type="dxa"/>
            <w:noWrap w:val="0"/>
            <w:vAlign w:val="center"/>
          </w:tcPr>
          <w:p w14:paraId="5D32F65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0654C1BF">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616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vMerge w:val="continue"/>
            <w:noWrap w:val="0"/>
            <w:vAlign w:val="center"/>
          </w:tcPr>
          <w:p w14:paraId="59D3C5B8">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1624233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78B3537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AE97ED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Y≥100000</w:t>
            </w:r>
          </w:p>
        </w:tc>
        <w:tc>
          <w:tcPr>
            <w:tcW w:w="1701" w:type="dxa"/>
            <w:noWrap w:val="0"/>
            <w:vAlign w:val="center"/>
          </w:tcPr>
          <w:p w14:paraId="757204D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426" w:type="dxa"/>
            <w:noWrap w:val="0"/>
            <w:vAlign w:val="center"/>
          </w:tcPr>
          <w:p w14:paraId="560E032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0"/>
            <w:vAlign w:val="center"/>
          </w:tcPr>
          <w:p w14:paraId="0E9C4C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030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2CD7217A">
            <w:pPr>
              <w:widowControl/>
              <w:spacing w:line="280" w:lineRule="exact"/>
              <w:jc w:val="left"/>
              <w:rPr>
                <w:rFonts w:ascii="宋体" w:hAnsi="宋体" w:cs="宋体"/>
                <w:color w:val="auto"/>
                <w:spacing w:val="-12"/>
                <w:kern w:val="0"/>
                <w:sz w:val="18"/>
                <w:szCs w:val="18"/>
                <w:highlight w:val="none"/>
              </w:rPr>
            </w:pPr>
            <w:r>
              <w:rPr>
                <w:rFonts w:hint="eastAsia" w:ascii="宋体" w:hAnsi="宋体" w:cs="宋体"/>
                <w:color w:val="auto"/>
                <w:spacing w:val="-12"/>
                <w:kern w:val="0"/>
                <w:sz w:val="18"/>
                <w:szCs w:val="18"/>
                <w:highlight w:val="none"/>
              </w:rPr>
              <w:t>软件和信息技术服</w:t>
            </w:r>
            <w:r>
              <w:rPr>
                <w:rFonts w:hint="eastAsia" w:ascii="宋体" w:hAnsi="宋体" w:cs="宋体"/>
                <w:color w:val="auto"/>
                <w:kern w:val="0"/>
                <w:sz w:val="18"/>
                <w:szCs w:val="18"/>
                <w:highlight w:val="none"/>
              </w:rPr>
              <w:t>务业</w:t>
            </w:r>
          </w:p>
        </w:tc>
        <w:tc>
          <w:tcPr>
            <w:tcW w:w="1369" w:type="dxa"/>
            <w:noWrap w:val="0"/>
            <w:vAlign w:val="center"/>
          </w:tcPr>
          <w:p w14:paraId="61DDDEB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191AFF1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21AAA05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0DD4780D">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 xml:space="preserve">100≤X＜300 </w:t>
            </w:r>
          </w:p>
        </w:tc>
        <w:tc>
          <w:tcPr>
            <w:tcW w:w="1426" w:type="dxa"/>
            <w:noWrap w:val="0"/>
            <w:vAlign w:val="center"/>
          </w:tcPr>
          <w:p w14:paraId="53280F6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59CE0E6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3A1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44175E0D">
            <w:pPr>
              <w:widowControl/>
              <w:spacing w:line="280" w:lineRule="exact"/>
              <w:jc w:val="left"/>
              <w:rPr>
                <w:rFonts w:ascii="宋体" w:hAnsi="宋体" w:cs="宋体"/>
                <w:color w:val="auto"/>
                <w:spacing w:val="-12"/>
                <w:kern w:val="0"/>
                <w:sz w:val="18"/>
                <w:szCs w:val="18"/>
                <w:highlight w:val="none"/>
              </w:rPr>
            </w:pPr>
          </w:p>
        </w:tc>
        <w:tc>
          <w:tcPr>
            <w:tcW w:w="1369" w:type="dxa"/>
            <w:noWrap w:val="0"/>
            <w:vAlign w:val="center"/>
          </w:tcPr>
          <w:p w14:paraId="5F4BA0F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45DA30F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234918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Y≥10000</w:t>
            </w:r>
          </w:p>
        </w:tc>
        <w:tc>
          <w:tcPr>
            <w:tcW w:w="1701" w:type="dxa"/>
            <w:noWrap w:val="0"/>
            <w:vAlign w:val="center"/>
          </w:tcPr>
          <w:p w14:paraId="3C9A07A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426" w:type="dxa"/>
            <w:noWrap w:val="0"/>
            <w:vAlign w:val="center"/>
          </w:tcPr>
          <w:p w14:paraId="692E923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992" w:type="dxa"/>
            <w:noWrap w:val="0"/>
            <w:vAlign w:val="center"/>
          </w:tcPr>
          <w:p w14:paraId="46F7147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6017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528C0124">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房地产开发经营</w:t>
            </w:r>
          </w:p>
        </w:tc>
        <w:tc>
          <w:tcPr>
            <w:tcW w:w="1369" w:type="dxa"/>
            <w:noWrap w:val="0"/>
            <w:vAlign w:val="center"/>
          </w:tcPr>
          <w:p w14:paraId="323930A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6534B04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97885E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Y≥200000</w:t>
            </w:r>
          </w:p>
        </w:tc>
        <w:tc>
          <w:tcPr>
            <w:tcW w:w="1701" w:type="dxa"/>
            <w:noWrap w:val="0"/>
            <w:vAlign w:val="center"/>
          </w:tcPr>
          <w:p w14:paraId="61A9B32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426" w:type="dxa"/>
            <w:noWrap w:val="0"/>
            <w:vAlign w:val="center"/>
          </w:tcPr>
          <w:p w14:paraId="081B8B6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992" w:type="dxa"/>
            <w:noWrap w:val="0"/>
            <w:vAlign w:val="center"/>
          </w:tcPr>
          <w:p w14:paraId="7320BE7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0C5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5CD0A837">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5410BD47">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477BCAC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0A84548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Z≥10000</w:t>
            </w:r>
          </w:p>
        </w:tc>
        <w:tc>
          <w:tcPr>
            <w:tcW w:w="1701" w:type="dxa"/>
            <w:noWrap w:val="0"/>
            <w:vAlign w:val="center"/>
          </w:tcPr>
          <w:p w14:paraId="5019545B">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426" w:type="dxa"/>
            <w:noWrap w:val="0"/>
            <w:vAlign w:val="center"/>
          </w:tcPr>
          <w:p w14:paraId="4854566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2000≤Z＜5000</w:t>
            </w:r>
          </w:p>
        </w:tc>
        <w:tc>
          <w:tcPr>
            <w:tcW w:w="992" w:type="dxa"/>
            <w:noWrap w:val="0"/>
            <w:vAlign w:val="center"/>
          </w:tcPr>
          <w:p w14:paraId="1A66A4AE">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Z＜2000</w:t>
            </w:r>
          </w:p>
        </w:tc>
      </w:tr>
      <w:tr w14:paraId="0F2C2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3F51EC42">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物业管理</w:t>
            </w:r>
          </w:p>
        </w:tc>
        <w:tc>
          <w:tcPr>
            <w:tcW w:w="1369" w:type="dxa"/>
            <w:noWrap w:val="0"/>
            <w:vAlign w:val="center"/>
          </w:tcPr>
          <w:p w14:paraId="2398B27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22EB33E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45EB4F3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X≥1000</w:t>
            </w:r>
          </w:p>
        </w:tc>
        <w:tc>
          <w:tcPr>
            <w:tcW w:w="1701" w:type="dxa"/>
            <w:noWrap w:val="0"/>
            <w:vAlign w:val="center"/>
          </w:tcPr>
          <w:p w14:paraId="155B3D0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426" w:type="dxa"/>
            <w:noWrap w:val="0"/>
            <w:vAlign w:val="center"/>
          </w:tcPr>
          <w:p w14:paraId="3CDEA7C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992" w:type="dxa"/>
            <w:noWrap w:val="0"/>
            <w:vAlign w:val="center"/>
          </w:tcPr>
          <w:p w14:paraId="5618BAB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051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62C4DC7E">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63910A55">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709" w:type="dxa"/>
            <w:noWrap w:val="0"/>
            <w:vAlign w:val="center"/>
          </w:tcPr>
          <w:p w14:paraId="7503589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7A4FAC3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Y≥5000</w:t>
            </w:r>
          </w:p>
        </w:tc>
        <w:tc>
          <w:tcPr>
            <w:tcW w:w="1701" w:type="dxa"/>
            <w:noWrap w:val="0"/>
            <w:vAlign w:val="center"/>
          </w:tcPr>
          <w:p w14:paraId="34AB2EA1">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426" w:type="dxa"/>
            <w:noWrap w:val="0"/>
            <w:vAlign w:val="center"/>
          </w:tcPr>
          <w:p w14:paraId="644C25FA">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992" w:type="dxa"/>
            <w:noWrap w:val="0"/>
            <w:vAlign w:val="center"/>
          </w:tcPr>
          <w:p w14:paraId="6A3E53A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4D16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restart"/>
            <w:noWrap w:val="0"/>
            <w:vAlign w:val="center"/>
          </w:tcPr>
          <w:p w14:paraId="54BA532A">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租赁和商务服务业</w:t>
            </w:r>
          </w:p>
        </w:tc>
        <w:tc>
          <w:tcPr>
            <w:tcW w:w="1369" w:type="dxa"/>
            <w:noWrap w:val="0"/>
            <w:vAlign w:val="center"/>
          </w:tcPr>
          <w:p w14:paraId="6A9B441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45B42C26">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2EE5C1A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40A2A542">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0"/>
            <w:vAlign w:val="center"/>
          </w:tcPr>
          <w:p w14:paraId="3030001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42FCDA73">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D59C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113" w:type="dxa"/>
            <w:vMerge w:val="continue"/>
            <w:noWrap w:val="0"/>
            <w:vAlign w:val="center"/>
          </w:tcPr>
          <w:p w14:paraId="2C40990D">
            <w:pPr>
              <w:widowControl/>
              <w:spacing w:line="280" w:lineRule="exact"/>
              <w:jc w:val="left"/>
              <w:rPr>
                <w:rFonts w:ascii="宋体" w:hAnsi="宋体" w:cs="宋体"/>
                <w:color w:val="auto"/>
                <w:kern w:val="0"/>
                <w:sz w:val="18"/>
                <w:szCs w:val="18"/>
                <w:highlight w:val="none"/>
              </w:rPr>
            </w:pPr>
          </w:p>
        </w:tc>
        <w:tc>
          <w:tcPr>
            <w:tcW w:w="1369" w:type="dxa"/>
            <w:noWrap w:val="0"/>
            <w:vAlign w:val="center"/>
          </w:tcPr>
          <w:p w14:paraId="13A5490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709" w:type="dxa"/>
            <w:noWrap w:val="0"/>
            <w:vAlign w:val="center"/>
          </w:tcPr>
          <w:p w14:paraId="49B8139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125" w:type="dxa"/>
            <w:noWrap w:val="0"/>
            <w:vAlign w:val="center"/>
          </w:tcPr>
          <w:p w14:paraId="4557F5FD">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Z≥120000</w:t>
            </w:r>
          </w:p>
        </w:tc>
        <w:tc>
          <w:tcPr>
            <w:tcW w:w="1701" w:type="dxa"/>
            <w:noWrap w:val="0"/>
            <w:vAlign w:val="center"/>
          </w:tcPr>
          <w:p w14:paraId="5E8D3A59">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426" w:type="dxa"/>
            <w:noWrap w:val="0"/>
            <w:vAlign w:val="center"/>
          </w:tcPr>
          <w:p w14:paraId="433F2421">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992" w:type="dxa"/>
            <w:noWrap w:val="0"/>
            <w:vAlign w:val="center"/>
          </w:tcPr>
          <w:p w14:paraId="4E25B2A0">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Z＜100</w:t>
            </w:r>
          </w:p>
        </w:tc>
      </w:tr>
      <w:tr w14:paraId="1D5F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113" w:type="dxa"/>
            <w:noWrap w:val="0"/>
            <w:vAlign w:val="center"/>
          </w:tcPr>
          <w:p w14:paraId="147AF9D4">
            <w:pPr>
              <w:widowControl/>
              <w:spacing w:line="280" w:lineRule="exact"/>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其他未列明行业 *</w:t>
            </w:r>
          </w:p>
        </w:tc>
        <w:tc>
          <w:tcPr>
            <w:tcW w:w="1369" w:type="dxa"/>
            <w:noWrap w:val="0"/>
            <w:vAlign w:val="center"/>
          </w:tcPr>
          <w:p w14:paraId="0EC11592">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709" w:type="dxa"/>
            <w:noWrap w:val="0"/>
            <w:vAlign w:val="center"/>
          </w:tcPr>
          <w:p w14:paraId="5D367694">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125" w:type="dxa"/>
            <w:noWrap w:val="0"/>
            <w:vAlign w:val="center"/>
          </w:tcPr>
          <w:p w14:paraId="292563C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X≥300</w:t>
            </w:r>
          </w:p>
        </w:tc>
        <w:tc>
          <w:tcPr>
            <w:tcW w:w="1701" w:type="dxa"/>
            <w:noWrap w:val="0"/>
            <w:vAlign w:val="center"/>
          </w:tcPr>
          <w:p w14:paraId="47148227">
            <w:pPr>
              <w:widowControl/>
              <w:spacing w:line="280" w:lineRule="exact"/>
              <w:ind w:left="1" w:leftChars="-51" w:hanging="108" w:hangingChars="60"/>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426" w:type="dxa"/>
            <w:noWrap w:val="0"/>
            <w:vAlign w:val="center"/>
          </w:tcPr>
          <w:p w14:paraId="1B61F198">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992" w:type="dxa"/>
            <w:noWrap w:val="0"/>
            <w:vAlign w:val="center"/>
          </w:tcPr>
          <w:p w14:paraId="0289820C">
            <w:pPr>
              <w:widowControl/>
              <w:spacing w:line="28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4D51F0E2">
      <w:pPr>
        <w:widowControl/>
        <w:spacing w:line="280" w:lineRule="exact"/>
        <w:rPr>
          <w:rFonts w:ascii="宋体" w:hAnsi="宋体" w:cs="宋体"/>
          <w:color w:val="auto"/>
          <w:spacing w:val="8"/>
          <w:kern w:val="0"/>
          <w:sz w:val="24"/>
          <w:highlight w:val="none"/>
        </w:rPr>
      </w:pPr>
    </w:p>
    <w:p w14:paraId="0CA767CB">
      <w:pPr>
        <w:widowControl/>
        <w:spacing w:line="480" w:lineRule="auto"/>
        <w:rPr>
          <w:rFonts w:ascii="宋体" w:hAnsi="宋体" w:cs="宋体"/>
          <w:color w:val="auto"/>
          <w:spacing w:val="8"/>
          <w:kern w:val="0"/>
          <w:szCs w:val="21"/>
          <w:highlight w:val="none"/>
        </w:rPr>
      </w:pPr>
      <w:r>
        <w:rPr>
          <w:rFonts w:hint="eastAsia" w:ascii="宋体" w:hAnsi="宋体" w:cs="宋体"/>
          <w:color w:val="auto"/>
          <w:spacing w:val="8"/>
          <w:kern w:val="0"/>
          <w:szCs w:val="21"/>
          <w:highlight w:val="none"/>
        </w:rPr>
        <w:t>说明：</w:t>
      </w:r>
    </w:p>
    <w:p w14:paraId="1E1CE1FB">
      <w:pPr>
        <w:pStyle w:val="21"/>
        <w:adjustRightInd w:val="0"/>
        <w:spacing w:line="480" w:lineRule="auto"/>
        <w:ind w:firstLine="432" w:firstLineChars="200"/>
        <w:contextualSpacing/>
        <w:rPr>
          <w:rFonts w:hAnsi="宋体" w:cs="宋体"/>
          <w:color w:val="auto"/>
          <w:spacing w:val="8"/>
          <w:highlight w:val="none"/>
        </w:rPr>
      </w:pPr>
      <w:r>
        <w:rPr>
          <w:rFonts w:hint="eastAsia" w:hAnsi="宋体" w:cs="宋体"/>
          <w:color w:val="auto"/>
          <w:spacing w:val="8"/>
          <w:highlight w:val="none"/>
        </w:rPr>
        <w:t>1.大型、中型和小型企业须同时满足所列指标的下限，否则下划一档；微型企业只须满足所列指标中的一项即可。</w:t>
      </w:r>
    </w:p>
    <w:p w14:paraId="33E2C7BD">
      <w:pPr>
        <w:pStyle w:val="21"/>
        <w:adjustRightInd w:val="0"/>
        <w:spacing w:line="480" w:lineRule="auto"/>
        <w:ind w:firstLine="432" w:firstLineChars="200"/>
        <w:contextualSpacing/>
        <w:rPr>
          <w:rFonts w:hAnsi="宋体" w:cs="宋体"/>
          <w:color w:val="auto"/>
          <w:spacing w:val="8"/>
          <w:highlight w:val="none"/>
        </w:rPr>
      </w:pPr>
      <w:r>
        <w:rPr>
          <w:rFonts w:hint="eastAsia" w:hAnsi="宋体" w:cs="宋体"/>
          <w:color w:val="auto"/>
          <w:spacing w:val="8"/>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77474580">
      <w:pPr>
        <w:pStyle w:val="21"/>
        <w:spacing w:line="480" w:lineRule="auto"/>
        <w:ind w:firstLine="432" w:firstLineChars="200"/>
        <w:rPr>
          <w:rFonts w:hAnsi="宋体" w:cs="宋体"/>
          <w:color w:val="auto"/>
          <w:spacing w:val="8"/>
          <w:sz w:val="24"/>
          <w:szCs w:val="24"/>
          <w:highlight w:val="none"/>
        </w:rPr>
      </w:pPr>
      <w:r>
        <w:rPr>
          <w:rFonts w:hint="eastAsia" w:hAnsi="宋体" w:cs="宋体"/>
          <w:color w:val="auto"/>
          <w:spacing w:val="8"/>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6798D33B">
      <w:pPr>
        <w:pStyle w:val="3"/>
        <w:spacing w:line="240" w:lineRule="auto"/>
        <w:jc w:val="center"/>
        <w:rPr>
          <w:rFonts w:ascii="Calibri" w:hAnsi="Calibri"/>
          <w:color w:val="auto"/>
          <w:highlight w:val="none"/>
        </w:rPr>
      </w:pPr>
      <w:bookmarkStart w:id="61" w:name="_Toc80886927"/>
      <w:bookmarkStart w:id="62" w:name="_Toc3319"/>
      <w:r>
        <w:rPr>
          <w:rFonts w:hint="eastAsia" w:ascii="Cambria" w:hAnsi="Cambria"/>
          <w:bCs w:val="0"/>
          <w:color w:val="auto"/>
          <w:sz w:val="32"/>
          <w:szCs w:val="32"/>
          <w:highlight w:val="none"/>
        </w:rPr>
        <w:br w:type="page"/>
      </w:r>
      <w:bookmarkStart w:id="63" w:name="_Toc19152"/>
      <w:bookmarkStart w:id="64" w:name="_Toc7704"/>
      <w:bookmarkStart w:id="65" w:name="_Toc24174"/>
      <w:bookmarkStart w:id="66" w:name="_Toc2072"/>
      <w:bookmarkStart w:id="67" w:name="_Toc13614"/>
      <w:bookmarkStart w:id="68" w:name="_Toc9239"/>
      <w:r>
        <w:rPr>
          <w:rFonts w:hint="eastAsia" w:ascii="Cambria" w:hAnsi="Cambria"/>
          <w:bCs w:val="0"/>
          <w:color w:val="auto"/>
          <w:sz w:val="32"/>
          <w:szCs w:val="32"/>
          <w:highlight w:val="none"/>
        </w:rPr>
        <w:t>第三章 供应商须知</w:t>
      </w:r>
      <w:bookmarkEnd w:id="61"/>
      <w:bookmarkEnd w:id="62"/>
      <w:bookmarkEnd w:id="63"/>
      <w:bookmarkEnd w:id="64"/>
      <w:bookmarkEnd w:id="65"/>
      <w:bookmarkEnd w:id="66"/>
      <w:bookmarkEnd w:id="67"/>
      <w:bookmarkEnd w:id="68"/>
    </w:p>
    <w:p w14:paraId="52A28E53">
      <w:pPr>
        <w:pStyle w:val="4"/>
        <w:spacing w:line="240" w:lineRule="auto"/>
        <w:jc w:val="center"/>
        <w:rPr>
          <w:rFonts w:ascii="宋体" w:hAnsi="宋体"/>
          <w:b w:val="0"/>
          <w:color w:val="auto"/>
          <w:highlight w:val="none"/>
        </w:rPr>
      </w:pPr>
      <w:bookmarkStart w:id="69" w:name="_Toc9482"/>
      <w:bookmarkStart w:id="70" w:name="_Toc30660"/>
      <w:bookmarkStart w:id="71" w:name="_Toc80886928"/>
      <w:r>
        <w:rPr>
          <w:rFonts w:hint="eastAsia" w:ascii="宋体" w:hAnsi="宋体"/>
          <w:b w:val="0"/>
          <w:color w:val="auto"/>
          <w:highlight w:val="none"/>
        </w:rPr>
        <w:t>第一节 供应商须知前附表</w:t>
      </w:r>
      <w:bookmarkEnd w:id="69"/>
      <w:bookmarkEnd w:id="70"/>
      <w:bookmarkEnd w:id="71"/>
    </w:p>
    <w:tbl>
      <w:tblPr>
        <w:tblStyle w:val="3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3"/>
        <w:gridCol w:w="2060"/>
        <w:gridCol w:w="6599"/>
      </w:tblGrid>
      <w:tr w14:paraId="2B2166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63" w:type="dxa"/>
            <w:noWrap w:val="0"/>
            <w:vAlign w:val="top"/>
          </w:tcPr>
          <w:p w14:paraId="1003183F">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2060" w:type="dxa"/>
            <w:noWrap w:val="0"/>
            <w:vAlign w:val="center"/>
          </w:tcPr>
          <w:p w14:paraId="11EE9CE7">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条款内容</w:t>
            </w:r>
          </w:p>
        </w:tc>
        <w:tc>
          <w:tcPr>
            <w:tcW w:w="6599" w:type="dxa"/>
            <w:noWrap w:val="0"/>
            <w:vAlign w:val="top"/>
          </w:tcPr>
          <w:p w14:paraId="39D7523C">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具体要求</w:t>
            </w:r>
          </w:p>
        </w:tc>
      </w:tr>
      <w:tr w14:paraId="46F4D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39C8A6C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2060" w:type="dxa"/>
            <w:noWrap w:val="0"/>
            <w:vAlign w:val="center"/>
          </w:tcPr>
          <w:p w14:paraId="63821A3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供应商资格条件</w:t>
            </w:r>
          </w:p>
        </w:tc>
        <w:tc>
          <w:tcPr>
            <w:tcW w:w="6599" w:type="dxa"/>
            <w:noWrap w:val="0"/>
            <w:vAlign w:val="top"/>
          </w:tcPr>
          <w:p w14:paraId="4B304D80">
            <w:pPr>
              <w:spacing w:line="400" w:lineRule="exact"/>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72AB9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7D74494B">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5.1</w:t>
            </w:r>
          </w:p>
        </w:tc>
        <w:tc>
          <w:tcPr>
            <w:tcW w:w="2060" w:type="dxa"/>
            <w:noWrap w:val="0"/>
            <w:vAlign w:val="center"/>
          </w:tcPr>
          <w:p w14:paraId="583F6DF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是否接受联合体竞标</w:t>
            </w:r>
          </w:p>
        </w:tc>
        <w:tc>
          <w:tcPr>
            <w:tcW w:w="6599" w:type="dxa"/>
            <w:noWrap w:val="0"/>
            <w:vAlign w:val="center"/>
          </w:tcPr>
          <w:p w14:paraId="6BE91E5D">
            <w:pPr>
              <w:spacing w:line="400" w:lineRule="exact"/>
              <w:rPr>
                <w:rFonts w:ascii="宋体" w:hAnsi="宋体" w:cs="宋体"/>
                <w:color w:val="auto"/>
                <w:szCs w:val="21"/>
                <w:highlight w:val="none"/>
              </w:rPr>
            </w:pPr>
            <w:bookmarkStart w:id="72" w:name="PO_3000001868_PM007"/>
            <w:r>
              <w:rPr>
                <w:rFonts w:hint="eastAsia" w:ascii="宋体" w:hAnsi="宋体" w:cs="宋体"/>
                <w:color w:val="auto"/>
                <w:szCs w:val="21"/>
                <w:highlight w:val="none"/>
              </w:rPr>
              <w:t>详见竞争性磋商公告</w:t>
            </w:r>
            <w:bookmarkEnd w:id="72"/>
          </w:p>
        </w:tc>
      </w:tr>
      <w:tr w14:paraId="64C57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5B7D6CF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5.2</w:t>
            </w:r>
          </w:p>
        </w:tc>
        <w:tc>
          <w:tcPr>
            <w:tcW w:w="2060" w:type="dxa"/>
            <w:noWrap w:val="0"/>
            <w:vAlign w:val="center"/>
          </w:tcPr>
          <w:p w14:paraId="4DC9027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联合体竞标要求</w:t>
            </w:r>
          </w:p>
        </w:tc>
        <w:tc>
          <w:tcPr>
            <w:tcW w:w="6599" w:type="dxa"/>
            <w:noWrap w:val="0"/>
            <w:vAlign w:val="center"/>
          </w:tcPr>
          <w:p w14:paraId="292E52C2">
            <w:pPr>
              <w:spacing w:line="400" w:lineRule="exact"/>
              <w:rPr>
                <w:rFonts w:ascii="宋体" w:hAnsi="宋体" w:cs="宋体"/>
                <w:color w:val="auto"/>
                <w:szCs w:val="21"/>
                <w:highlight w:val="none"/>
              </w:rPr>
            </w:pPr>
            <w:r>
              <w:rPr>
                <w:rFonts w:hint="eastAsia" w:ascii="宋体" w:hAnsi="宋体" w:cs="宋体"/>
                <w:color w:val="auto"/>
                <w:szCs w:val="21"/>
                <w:highlight w:val="none"/>
              </w:rPr>
              <w:t>无</w:t>
            </w:r>
          </w:p>
        </w:tc>
      </w:tr>
      <w:tr w14:paraId="7A91D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1BB6945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6.1</w:t>
            </w:r>
          </w:p>
        </w:tc>
        <w:tc>
          <w:tcPr>
            <w:tcW w:w="2060" w:type="dxa"/>
            <w:noWrap w:val="0"/>
            <w:vAlign w:val="center"/>
          </w:tcPr>
          <w:p w14:paraId="41E9A7F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是否允许分包</w:t>
            </w:r>
          </w:p>
        </w:tc>
        <w:tc>
          <w:tcPr>
            <w:tcW w:w="6599" w:type="dxa"/>
            <w:noWrap w:val="0"/>
            <w:vAlign w:val="center"/>
          </w:tcPr>
          <w:p w14:paraId="774B971E">
            <w:pPr>
              <w:pStyle w:val="12"/>
              <w:spacing w:line="400" w:lineRule="exac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不允许分包</w:t>
            </w:r>
          </w:p>
          <w:p w14:paraId="04B1AB97">
            <w:pPr>
              <w:pStyle w:val="12"/>
              <w:spacing w:line="400" w:lineRule="exact"/>
              <w:rPr>
                <w:rFonts w:ascii="宋体" w:hAnsi="宋体" w:cs="宋体"/>
                <w:color w:val="auto"/>
                <w:szCs w:val="21"/>
                <w:highlight w:val="none"/>
              </w:rPr>
            </w:pPr>
            <w:r>
              <w:rPr>
                <w:rFonts w:hint="eastAsia" w:ascii="宋体" w:hAnsi="宋体" w:cs="宋体"/>
                <w:color w:val="auto"/>
                <w:szCs w:val="21"/>
                <w:highlight w:val="none"/>
              </w:rPr>
              <w:t>□允许分包</w:t>
            </w:r>
          </w:p>
          <w:p w14:paraId="191AFB08">
            <w:pPr>
              <w:pStyle w:val="12"/>
              <w:spacing w:line="400" w:lineRule="exact"/>
              <w:rPr>
                <w:rFonts w:ascii="宋体" w:hAnsi="宋体" w:cs="宋体"/>
                <w:color w:val="auto"/>
                <w:szCs w:val="21"/>
                <w:highlight w:val="none"/>
                <w:u w:val="single"/>
              </w:rPr>
            </w:pPr>
            <w:r>
              <w:rPr>
                <w:rFonts w:hint="eastAsia" w:ascii="宋体" w:hAnsi="宋体" w:cs="宋体"/>
                <w:color w:val="auto"/>
                <w:szCs w:val="21"/>
                <w:highlight w:val="none"/>
              </w:rPr>
              <w:t>分包内容：</w:t>
            </w:r>
            <w:r>
              <w:rPr>
                <w:rFonts w:hint="eastAsia" w:ascii="宋体" w:hAnsi="宋体" w:cs="宋体"/>
                <w:color w:val="auto"/>
                <w:szCs w:val="21"/>
                <w:highlight w:val="none"/>
                <w:u w:val="single"/>
              </w:rPr>
              <w:t xml:space="preserve">                                     。</w:t>
            </w:r>
          </w:p>
          <w:p w14:paraId="5C213FAC">
            <w:pPr>
              <w:pStyle w:val="12"/>
              <w:spacing w:line="400" w:lineRule="exact"/>
              <w:rPr>
                <w:rFonts w:ascii="宋体" w:hAnsi="宋体" w:cs="宋体"/>
                <w:color w:val="auto"/>
                <w:szCs w:val="21"/>
                <w:highlight w:val="none"/>
              </w:rPr>
            </w:pPr>
            <w:r>
              <w:rPr>
                <w:rFonts w:hint="eastAsia" w:ascii="宋体" w:hAnsi="宋体" w:cs="宋体"/>
                <w:color w:val="auto"/>
                <w:szCs w:val="21"/>
                <w:highlight w:val="none"/>
              </w:rPr>
              <w:t>分包金额或者比例：</w:t>
            </w:r>
            <w:r>
              <w:rPr>
                <w:rFonts w:hint="eastAsia" w:ascii="宋体" w:hAnsi="宋体" w:cs="宋体"/>
                <w:color w:val="auto"/>
                <w:szCs w:val="21"/>
                <w:highlight w:val="none"/>
                <w:u w:val="single"/>
              </w:rPr>
              <w:t xml:space="preserve">                                     。</w:t>
            </w:r>
          </w:p>
        </w:tc>
      </w:tr>
      <w:tr w14:paraId="754997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38063FD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12.1.1</w:t>
            </w:r>
          </w:p>
        </w:tc>
        <w:tc>
          <w:tcPr>
            <w:tcW w:w="2060" w:type="dxa"/>
            <w:noWrap w:val="0"/>
            <w:vAlign w:val="center"/>
          </w:tcPr>
          <w:p w14:paraId="4B184354">
            <w:pPr>
              <w:snapToGrid w:val="0"/>
              <w:spacing w:line="400" w:lineRule="exact"/>
              <w:jc w:val="center"/>
              <w:rPr>
                <w:rFonts w:ascii="宋体" w:hAnsi="宋体" w:cs="宋体"/>
                <w:color w:val="auto"/>
                <w:szCs w:val="21"/>
                <w:highlight w:val="none"/>
              </w:rPr>
            </w:pPr>
            <w:r>
              <w:rPr>
                <w:rFonts w:hint="eastAsia" w:ascii="宋体" w:hAnsi="宋体" w:cs="宋体"/>
                <w:b/>
                <w:color w:val="auto"/>
                <w:szCs w:val="21"/>
                <w:highlight w:val="none"/>
              </w:rPr>
              <w:t>资格证明文件</w:t>
            </w:r>
          </w:p>
        </w:tc>
        <w:tc>
          <w:tcPr>
            <w:tcW w:w="6599" w:type="dxa"/>
            <w:noWrap w:val="0"/>
            <w:vAlign w:val="center"/>
          </w:tcPr>
          <w:p w14:paraId="5045F406">
            <w:pPr>
              <w:pStyle w:val="12"/>
              <w:spacing w:line="400" w:lineRule="exact"/>
              <w:rPr>
                <w:rFonts w:ascii="宋体" w:hAnsi="宋体" w:cs="宋体"/>
                <w:color w:val="auto"/>
                <w:szCs w:val="21"/>
                <w:highlight w:val="none"/>
              </w:rPr>
            </w:pPr>
            <w:r>
              <w:rPr>
                <w:rFonts w:hint="eastAsia" w:ascii="宋体" w:hAnsi="宋体" w:cs="宋体"/>
                <w:color w:val="auto"/>
                <w:szCs w:val="21"/>
                <w:highlight w:val="none"/>
              </w:rPr>
              <w:t>1.供应商为法人或者其他组织的提供其营业执照等证明文件复印件（如营业执照或者事业单位法人证书或者执业许可证等），供应商为自然人的提供其有效身份证正反面复印件；（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9378BAD">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2.供应商依法缴纳税收的相关材料（提供税款所属时期为</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4</w:t>
            </w:r>
            <w:r>
              <w:rPr>
                <w:rFonts w:hint="eastAsia" w:ascii="宋体" w:hAnsi="宋体" w:cs="宋体"/>
                <w:color w:val="auto"/>
                <w:szCs w:val="21"/>
                <w:highlight w:val="none"/>
              </w:rPr>
              <w:t>月至首次响应文件提交截止时间止的任意3个月的依法缴纳税收的凭据复印件；依法免税的供应商，必须提供相应文件证明其依法免税。从取得营业执照时间起到首次响应文件提交截止时间为止不足要求月数的，只需提供从取得营业执照起的依法缴纳税收相应证明文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093B291">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3.供应商依法缴纳社会保障资金的相关材料（提供税款所属时期或缴费起始时间为</w:t>
            </w:r>
            <w:r>
              <w:rPr>
                <w:rFonts w:hint="eastAsia" w:ascii="宋体" w:hAnsi="宋体" w:cs="宋体"/>
                <w:color w:val="auto"/>
                <w:szCs w:val="21"/>
                <w:highlight w:val="none"/>
                <w:u w:val="single"/>
              </w:rPr>
              <w:t>2025</w:t>
            </w:r>
            <w:r>
              <w:rPr>
                <w:rFonts w:hint="eastAsia" w:ascii="宋体" w:hAnsi="宋体" w:cs="宋体"/>
                <w:color w:val="auto"/>
                <w:szCs w:val="21"/>
                <w:highlight w:val="none"/>
              </w:rPr>
              <w:t>年</w:t>
            </w:r>
            <w:r>
              <w:rPr>
                <w:rFonts w:hint="eastAsia" w:ascii="宋体" w:hAnsi="宋体" w:cs="宋体"/>
                <w:color w:val="auto"/>
                <w:szCs w:val="21"/>
                <w:highlight w:val="none"/>
                <w:u w:val="single"/>
              </w:rPr>
              <w:t>4</w:t>
            </w:r>
            <w:r>
              <w:rPr>
                <w:rFonts w:hint="eastAsia" w:ascii="宋体" w:hAnsi="宋体" w:cs="宋体"/>
                <w:color w:val="auto"/>
                <w:szCs w:val="21"/>
                <w:highlight w:val="none"/>
              </w:rPr>
              <w:t>月至首次响应文件提交截止时间止的任意3个月的依法缴纳社会保障资金的缴费凭证复印件；依法不需要缴纳社会保障资金的供应商，必须提供相应文件证明不需要缴纳社会保障资金。从取得营业执照时间起到首次响应文件提交截止时间为止不足要求月数的只需提供从取得营业执照起的依法缴纳社会保障资金的相应证明文件）；（</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1475912">
            <w:pPr>
              <w:snapToGrid w:val="0"/>
              <w:spacing w:line="400" w:lineRule="exact"/>
              <w:jc w:val="left"/>
              <w:rPr>
                <w:rFonts w:ascii="宋体" w:hAnsi="宋体" w:cs="宋体"/>
                <w:b/>
                <w:color w:val="auto"/>
                <w:szCs w:val="21"/>
                <w:highlight w:val="none"/>
              </w:rPr>
            </w:pPr>
            <w:r>
              <w:rPr>
                <w:rFonts w:hint="eastAsia" w:ascii="宋体" w:hAnsi="宋体" w:cs="宋体"/>
                <w:color w:val="auto"/>
                <w:szCs w:val="21"/>
                <w:highlight w:val="none"/>
              </w:rPr>
              <w:t>4.供应商财务状况报告（提供2024年度经审计的财务报告复印件或者截标时间前半年内至少一个月能反映财务状况的报表或者供应商自拟的截标时间前半年内至少一个月的财务情况说明）；（</w:t>
            </w:r>
            <w:r>
              <w:rPr>
                <w:rFonts w:hint="eastAsia" w:ascii="宋体" w:hAnsi="宋体" w:cs="宋体"/>
                <w:b/>
                <w:bCs/>
                <w:color w:val="auto"/>
                <w:szCs w:val="21"/>
                <w:highlight w:val="none"/>
              </w:rPr>
              <w:t>必须提供，否则响应文件按无效响应处理</w:t>
            </w:r>
            <w:r>
              <w:rPr>
                <w:rFonts w:hint="eastAsia" w:ascii="宋体" w:hAnsi="宋体" w:cs="宋体"/>
                <w:color w:val="auto"/>
                <w:szCs w:val="21"/>
                <w:highlight w:val="none"/>
              </w:rPr>
              <w:t>）</w:t>
            </w:r>
          </w:p>
          <w:p w14:paraId="2863B14E">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5.供应商直接控股股东信息表（格式后附）；（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4711C93">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6.供应商直接管理关系信息表（格式后附）；（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152633B">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7.声明函（格式后附）；（</w:t>
            </w:r>
            <w:bookmarkStart w:id="73" w:name="OLE_LINK6"/>
            <w:r>
              <w:rPr>
                <w:rFonts w:hint="eastAsia" w:ascii="宋体" w:hAnsi="宋体" w:cs="宋体"/>
                <w:b/>
                <w:color w:val="auto"/>
                <w:szCs w:val="21"/>
                <w:highlight w:val="none"/>
              </w:rPr>
              <w:t>必须提供，否则响应文件按无效响应处理</w:t>
            </w:r>
            <w:bookmarkEnd w:id="73"/>
            <w:r>
              <w:rPr>
                <w:rFonts w:hint="eastAsia" w:ascii="宋体" w:hAnsi="宋体" w:cs="宋体"/>
                <w:color w:val="auto"/>
                <w:szCs w:val="21"/>
                <w:highlight w:val="none"/>
              </w:rPr>
              <w:t>）</w:t>
            </w:r>
          </w:p>
          <w:p w14:paraId="70D924EB">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8.联合体竞标协议书（格式后附）；（</w:t>
            </w:r>
            <w:r>
              <w:rPr>
                <w:rFonts w:hint="eastAsia" w:ascii="宋体" w:hAnsi="宋体" w:cs="宋体"/>
                <w:b/>
                <w:color w:val="auto"/>
                <w:szCs w:val="21"/>
                <w:highlight w:val="none"/>
              </w:rPr>
              <w:t>联合体竞标时必须提供，否则响应文件按无效响应处理</w:t>
            </w:r>
            <w:r>
              <w:rPr>
                <w:rFonts w:hint="eastAsia" w:ascii="宋体" w:hAnsi="宋体" w:cs="宋体"/>
                <w:color w:val="auto"/>
                <w:szCs w:val="21"/>
                <w:highlight w:val="none"/>
              </w:rPr>
              <w:t>）</w:t>
            </w:r>
          </w:p>
          <w:p w14:paraId="71CD5993">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9.除竞争性磋商文件规定必须提供以外，供应商认为需要提供的其他证明材料（格式自拟）。</w:t>
            </w:r>
          </w:p>
          <w:p w14:paraId="6D43651B">
            <w:pPr>
              <w:pStyle w:val="12"/>
              <w:spacing w:line="400" w:lineRule="exact"/>
              <w:rPr>
                <w:rFonts w:ascii="宋体" w:hAnsi="宋体" w:cs="宋体"/>
                <w:b/>
                <w:color w:val="auto"/>
                <w:szCs w:val="21"/>
                <w:highlight w:val="none"/>
              </w:rPr>
            </w:pPr>
            <w:r>
              <w:rPr>
                <w:rFonts w:hint="eastAsia" w:ascii="宋体" w:hAnsi="宋体" w:cs="宋体"/>
                <w:b/>
                <w:color w:val="auto"/>
                <w:szCs w:val="21"/>
                <w:highlight w:val="none"/>
              </w:rPr>
              <w:t>注：</w:t>
            </w:r>
          </w:p>
          <w:p w14:paraId="1A833054">
            <w:pPr>
              <w:pStyle w:val="12"/>
              <w:spacing w:line="400" w:lineRule="exact"/>
              <w:rPr>
                <w:rFonts w:ascii="宋体" w:hAnsi="宋体" w:cs="宋体"/>
                <w:b/>
                <w:color w:val="auto"/>
                <w:szCs w:val="21"/>
                <w:highlight w:val="none"/>
              </w:rPr>
            </w:pPr>
            <w:r>
              <w:rPr>
                <w:rFonts w:hint="eastAsia" w:ascii="宋体" w:hAnsi="宋体" w:cs="宋体"/>
                <w:b/>
                <w:color w:val="auto"/>
                <w:szCs w:val="21"/>
                <w:highlight w:val="none"/>
              </w:rPr>
              <w:t>　　1.以上标明“必须提供”的材料属于复印件的扫描件的，必须加盖供应商公章，否则响应文件按无效响应处理。</w:t>
            </w:r>
          </w:p>
          <w:p w14:paraId="268BE8DE">
            <w:pPr>
              <w:pStyle w:val="12"/>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2.联合体竞标时，第1-6项资格证明文件联合体各方均必须分别提供，联合体各方分别盖章，否则响应文件按无效响应处理。</w:t>
            </w:r>
          </w:p>
        </w:tc>
      </w:tr>
      <w:tr w14:paraId="075B8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noWrap w:val="0"/>
            <w:vAlign w:val="center"/>
          </w:tcPr>
          <w:p w14:paraId="62D6E3C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12.1.2</w:t>
            </w:r>
          </w:p>
        </w:tc>
        <w:tc>
          <w:tcPr>
            <w:tcW w:w="2060" w:type="dxa"/>
            <w:noWrap w:val="0"/>
            <w:vAlign w:val="center"/>
          </w:tcPr>
          <w:p w14:paraId="334432F2">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商务技术文件</w:t>
            </w:r>
          </w:p>
        </w:tc>
        <w:tc>
          <w:tcPr>
            <w:tcW w:w="6599" w:type="dxa"/>
            <w:noWrap w:val="0"/>
            <w:vAlign w:val="center"/>
          </w:tcPr>
          <w:p w14:paraId="6EB17B6F">
            <w:pPr>
              <w:spacing w:line="400" w:lineRule="exact"/>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CA759B1">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2.法定代表人身份证明及法定代表人有效身份证正反面复印件（格式后附）；（</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747152A">
            <w:pPr>
              <w:spacing w:line="400" w:lineRule="exact"/>
              <w:rPr>
                <w:rFonts w:ascii="宋体" w:hAnsi="宋体" w:cs="宋体"/>
                <w:b/>
                <w:color w:val="auto"/>
                <w:szCs w:val="21"/>
                <w:highlight w:val="none"/>
              </w:rPr>
            </w:pPr>
            <w:r>
              <w:rPr>
                <w:rFonts w:hint="eastAsia" w:ascii="宋体" w:hAnsi="宋体" w:cs="宋体"/>
                <w:color w:val="auto"/>
                <w:szCs w:val="21"/>
                <w:highlight w:val="none"/>
              </w:rPr>
              <w:t>3.授权委托书及委托代理人有效身份证正反面复印件（格式后附）；（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5217FB80">
            <w:pPr>
              <w:spacing w:line="400" w:lineRule="exact"/>
              <w:rPr>
                <w:rFonts w:ascii="宋体" w:hAnsi="宋体" w:cs="宋体"/>
                <w:color w:val="auto"/>
                <w:szCs w:val="21"/>
                <w:highlight w:val="none"/>
              </w:rPr>
            </w:pPr>
            <w:r>
              <w:rPr>
                <w:rFonts w:hint="eastAsia" w:ascii="宋体" w:hAnsi="宋体" w:cs="宋体"/>
                <w:color w:val="auto"/>
                <w:szCs w:val="21"/>
                <w:highlight w:val="none"/>
              </w:rPr>
              <w:t>4.磋商保证金提交凭证；（</w:t>
            </w:r>
            <w:r>
              <w:rPr>
                <w:rFonts w:hint="eastAsia"/>
                <w:b/>
                <w:bCs/>
                <w:color w:val="auto"/>
                <w:highlight w:val="none"/>
              </w:rPr>
              <w:t>如要求提交磋商保证金的则必须提供</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12A2EF66">
            <w:pPr>
              <w:spacing w:line="400" w:lineRule="exact"/>
              <w:rPr>
                <w:rFonts w:ascii="宋体" w:hAnsi="宋体" w:cs="宋体"/>
                <w:color w:val="auto"/>
                <w:szCs w:val="21"/>
                <w:highlight w:val="none"/>
              </w:rPr>
            </w:pPr>
            <w:r>
              <w:rPr>
                <w:rFonts w:hint="eastAsia" w:ascii="宋体" w:hAnsi="宋体" w:cs="宋体"/>
                <w:color w:val="auto"/>
                <w:szCs w:val="21"/>
                <w:highlight w:val="none"/>
              </w:rPr>
              <w:t>5.商务要求偏离表（格式后附）；（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E8BAB20">
            <w:pPr>
              <w:spacing w:line="400" w:lineRule="exact"/>
              <w:rPr>
                <w:rFonts w:ascii="宋体" w:hAnsi="宋体" w:cs="宋体"/>
                <w:iCs/>
                <w:color w:val="auto"/>
                <w:szCs w:val="21"/>
                <w:highlight w:val="none"/>
              </w:rPr>
            </w:pPr>
            <w:r>
              <w:rPr>
                <w:rFonts w:hint="eastAsia" w:ascii="宋体" w:hAnsi="宋体" w:cs="宋体"/>
                <w:color w:val="auto"/>
                <w:szCs w:val="21"/>
                <w:highlight w:val="none"/>
              </w:rPr>
              <w:t>6.</w:t>
            </w:r>
            <w:r>
              <w:rPr>
                <w:rFonts w:hint="eastAsia" w:ascii="宋体" w:hAnsi="宋体" w:cs="宋体"/>
                <w:bCs/>
                <w:color w:val="auto"/>
                <w:szCs w:val="21"/>
                <w:highlight w:val="none"/>
              </w:rPr>
              <w:t>服务方案</w:t>
            </w:r>
            <w:r>
              <w:rPr>
                <w:rFonts w:hint="eastAsia" w:ascii="宋体" w:hAnsi="宋体" w:cs="宋体"/>
                <w:color w:val="auto"/>
                <w:szCs w:val="21"/>
                <w:highlight w:val="none"/>
              </w:rPr>
              <w:t>（格式自拟）；</w:t>
            </w:r>
            <w:r>
              <w:rPr>
                <w:rFonts w:hint="eastAsia" w:ascii="宋体" w:hAnsi="宋体" w:cs="宋体"/>
                <w:iCs/>
                <w:color w:val="auto"/>
                <w:szCs w:val="21"/>
                <w:highlight w:val="none"/>
              </w:rPr>
              <w:t xml:space="preserve"> </w:t>
            </w:r>
          </w:p>
          <w:p w14:paraId="313B2A37">
            <w:pPr>
              <w:spacing w:line="400" w:lineRule="exact"/>
              <w:rPr>
                <w:rFonts w:ascii="宋体" w:hAnsi="宋体" w:cs="宋体"/>
                <w:color w:val="auto"/>
                <w:szCs w:val="21"/>
                <w:highlight w:val="none"/>
              </w:rPr>
            </w:pPr>
            <w:r>
              <w:rPr>
                <w:rFonts w:hint="eastAsia" w:ascii="宋体" w:hAnsi="宋体" w:cs="宋体"/>
                <w:color w:val="auto"/>
                <w:szCs w:val="21"/>
                <w:highlight w:val="none"/>
              </w:rPr>
              <w:t>7.技术要求偏离表（格式后附）；（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97253F1">
            <w:pPr>
              <w:spacing w:line="400" w:lineRule="exact"/>
              <w:rPr>
                <w:rFonts w:ascii="宋体" w:hAnsi="宋体" w:cs="宋体"/>
                <w:color w:val="auto"/>
                <w:szCs w:val="21"/>
                <w:highlight w:val="none"/>
              </w:rPr>
            </w:pPr>
            <w:r>
              <w:rPr>
                <w:rFonts w:hint="eastAsia" w:ascii="宋体" w:hAnsi="宋体" w:cs="宋体"/>
                <w:color w:val="auto"/>
                <w:szCs w:val="21"/>
                <w:highlight w:val="none"/>
              </w:rPr>
              <w:t xml:space="preserve">8.项目实施人员一览表（格式自拟）； </w:t>
            </w:r>
          </w:p>
          <w:p w14:paraId="21EE7309">
            <w:pPr>
              <w:spacing w:line="400" w:lineRule="exact"/>
              <w:rPr>
                <w:rFonts w:ascii="宋体" w:hAnsi="宋体" w:cs="宋体"/>
                <w:bCs/>
                <w:color w:val="auto"/>
                <w:szCs w:val="21"/>
                <w:highlight w:val="none"/>
              </w:rPr>
            </w:pPr>
            <w:r>
              <w:rPr>
                <w:rFonts w:hint="eastAsia" w:ascii="宋体" w:hAnsi="宋体" w:cs="宋体"/>
                <w:bCs/>
                <w:color w:val="auto"/>
                <w:szCs w:val="21"/>
                <w:highlight w:val="none"/>
              </w:rPr>
              <w:t>9.代理服务费承诺书</w:t>
            </w:r>
            <w:r>
              <w:rPr>
                <w:rFonts w:hint="eastAsia" w:ascii="宋体" w:hAnsi="宋体" w:cs="宋体"/>
                <w:color w:val="auto"/>
                <w:szCs w:val="21"/>
                <w:highlight w:val="none"/>
              </w:rPr>
              <w:t>（格式后附）；</w:t>
            </w:r>
          </w:p>
          <w:p w14:paraId="7ACF8541">
            <w:pPr>
              <w:spacing w:line="400" w:lineRule="exact"/>
              <w:rPr>
                <w:rFonts w:ascii="宋体" w:hAnsi="宋体" w:cs="宋体"/>
                <w:color w:val="auto"/>
                <w:szCs w:val="21"/>
                <w:highlight w:val="none"/>
              </w:rPr>
            </w:pPr>
            <w:r>
              <w:rPr>
                <w:rFonts w:hint="eastAsia" w:ascii="宋体" w:hAnsi="宋体" w:cs="宋体"/>
                <w:color w:val="auto"/>
                <w:szCs w:val="21"/>
                <w:highlight w:val="none"/>
              </w:rPr>
              <w:t>10.对应采购需求的技术要求、商务要求提供的其他文件资料（格式自拟）；</w:t>
            </w:r>
          </w:p>
          <w:p w14:paraId="119F84F2">
            <w:pPr>
              <w:spacing w:line="400" w:lineRule="exact"/>
              <w:rPr>
                <w:rFonts w:ascii="宋体" w:hAnsi="宋体" w:cs="宋体"/>
                <w:color w:val="auto"/>
                <w:szCs w:val="21"/>
                <w:highlight w:val="none"/>
              </w:rPr>
            </w:pPr>
            <w:r>
              <w:rPr>
                <w:rFonts w:ascii="宋体" w:hAnsi="宋体" w:cs="宋体"/>
                <w:color w:val="auto"/>
                <w:szCs w:val="21"/>
                <w:highlight w:val="none"/>
              </w:rPr>
              <w:t>1</w:t>
            </w:r>
            <w:r>
              <w:rPr>
                <w:rFonts w:hint="eastAsia" w:ascii="宋体" w:hAnsi="宋体" w:cs="宋体"/>
                <w:color w:val="auto"/>
                <w:szCs w:val="21"/>
                <w:highlight w:val="none"/>
              </w:rPr>
              <w:t>1.供应商认为需要提供的其他有关资料。</w:t>
            </w:r>
          </w:p>
          <w:p w14:paraId="2637A7F3">
            <w:pPr>
              <w:snapToGrid w:val="0"/>
              <w:spacing w:line="400" w:lineRule="exact"/>
              <w:jc w:val="left"/>
              <w:rPr>
                <w:rFonts w:ascii="宋体" w:hAnsi="宋体" w:cs="宋体"/>
                <w:b/>
                <w:color w:val="auto"/>
                <w:szCs w:val="21"/>
                <w:highlight w:val="none"/>
              </w:rPr>
            </w:pPr>
            <w:r>
              <w:rPr>
                <w:rFonts w:hint="eastAsia" w:ascii="宋体" w:hAnsi="宋体" w:cs="宋体"/>
                <w:b/>
                <w:color w:val="auto"/>
                <w:szCs w:val="21"/>
                <w:highlight w:val="none"/>
              </w:rPr>
              <w:t xml:space="preserve">注： </w:t>
            </w:r>
          </w:p>
          <w:p w14:paraId="12DF0540">
            <w:pPr>
              <w:snapToGrid w:val="0"/>
              <w:spacing w:line="400" w:lineRule="exact"/>
              <w:ind w:firstLine="413" w:firstLineChars="196"/>
              <w:jc w:val="left"/>
              <w:rPr>
                <w:rFonts w:ascii="宋体" w:hAnsi="宋体" w:cs="宋体"/>
                <w:b/>
                <w:color w:val="auto"/>
                <w:szCs w:val="21"/>
                <w:highlight w:val="none"/>
              </w:rPr>
            </w:pPr>
            <w:r>
              <w:rPr>
                <w:rFonts w:hint="eastAsia" w:ascii="宋体" w:hAnsi="宋体" w:cs="宋体"/>
                <w:b/>
                <w:color w:val="auto"/>
                <w:szCs w:val="21"/>
                <w:highlight w:val="none"/>
              </w:rPr>
              <w:t>1.法定代表人授权委托书必须由法定代表人及其委托代理人签字，并加盖供应商公章，否则响应文件按无效响应处理。</w:t>
            </w:r>
          </w:p>
          <w:p w14:paraId="58990518">
            <w:pPr>
              <w:spacing w:line="400" w:lineRule="exact"/>
              <w:ind w:firstLine="413" w:firstLineChars="196"/>
              <w:rPr>
                <w:rFonts w:ascii="宋体" w:hAnsi="宋体" w:cs="宋体"/>
                <w:b/>
                <w:color w:val="auto"/>
                <w:szCs w:val="21"/>
                <w:highlight w:val="none"/>
              </w:rPr>
            </w:pPr>
            <w:r>
              <w:rPr>
                <w:rFonts w:hint="eastAsia" w:ascii="宋体" w:hAnsi="宋体" w:cs="宋体"/>
                <w:b/>
                <w:color w:val="auto"/>
                <w:szCs w:val="21"/>
                <w:highlight w:val="none"/>
              </w:rPr>
              <w:t>2.以上标明“必须提供”的材料属于复印件的扫描件的，必须加盖供应商公章，否则响应文件按无效响应处理。</w:t>
            </w:r>
          </w:p>
        </w:tc>
      </w:tr>
      <w:tr w14:paraId="166AD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6986EBC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12.1.3</w:t>
            </w:r>
          </w:p>
        </w:tc>
        <w:tc>
          <w:tcPr>
            <w:tcW w:w="2060" w:type="dxa"/>
            <w:noWrap w:val="0"/>
            <w:vAlign w:val="center"/>
          </w:tcPr>
          <w:p w14:paraId="00CF10E1">
            <w:pPr>
              <w:spacing w:line="400" w:lineRule="exact"/>
              <w:jc w:val="center"/>
              <w:rPr>
                <w:rFonts w:ascii="宋体" w:hAnsi="宋体" w:cs="宋体"/>
                <w:color w:val="auto"/>
                <w:szCs w:val="21"/>
                <w:highlight w:val="none"/>
              </w:rPr>
            </w:pPr>
            <w:r>
              <w:rPr>
                <w:rFonts w:hint="eastAsia" w:ascii="宋体" w:hAnsi="宋体" w:cs="宋体"/>
                <w:b/>
                <w:bCs/>
                <w:color w:val="auto"/>
                <w:szCs w:val="21"/>
                <w:highlight w:val="none"/>
              </w:rPr>
              <w:t>报价文件</w:t>
            </w:r>
          </w:p>
        </w:tc>
        <w:tc>
          <w:tcPr>
            <w:tcW w:w="6599" w:type="dxa"/>
            <w:noWrap w:val="0"/>
            <w:vAlign w:val="center"/>
          </w:tcPr>
          <w:p w14:paraId="5470511E">
            <w:pPr>
              <w:spacing w:line="400" w:lineRule="exact"/>
              <w:jc w:val="left"/>
              <w:rPr>
                <w:rFonts w:ascii="宋体" w:hAnsi="宋体" w:cs="宋体"/>
                <w:color w:val="auto"/>
                <w:szCs w:val="21"/>
                <w:highlight w:val="none"/>
              </w:rPr>
            </w:pPr>
            <w:r>
              <w:rPr>
                <w:rFonts w:hint="eastAsia" w:ascii="宋体" w:hAnsi="宋体" w:cs="宋体"/>
                <w:color w:val="auto"/>
                <w:szCs w:val="21"/>
                <w:highlight w:val="none"/>
              </w:rPr>
              <w:t>1.响应函（格式后附）；</w:t>
            </w:r>
            <w:r>
              <w:rPr>
                <w:rFonts w:hint="eastAsia" w:ascii="宋体" w:hAnsi="宋体" w:cs="宋体"/>
                <w:b/>
                <w:color w:val="auto"/>
                <w:szCs w:val="21"/>
                <w:highlight w:val="none"/>
              </w:rPr>
              <w:t>（必须提供，否则响应文件按无效响应处理）</w:t>
            </w:r>
          </w:p>
          <w:p w14:paraId="59F013E3">
            <w:pPr>
              <w:spacing w:line="400" w:lineRule="exact"/>
              <w:rPr>
                <w:rFonts w:ascii="宋体" w:hAnsi="宋体" w:cs="宋体"/>
                <w:color w:val="auto"/>
                <w:szCs w:val="21"/>
                <w:highlight w:val="none"/>
              </w:rPr>
            </w:pPr>
            <w:r>
              <w:rPr>
                <w:rFonts w:hint="eastAsia" w:ascii="宋体" w:hAnsi="宋体" w:cs="宋体"/>
                <w:color w:val="auto"/>
                <w:szCs w:val="21"/>
                <w:highlight w:val="none"/>
              </w:rPr>
              <w:t>2.响应报价表（格式后附）；（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44C4C90">
            <w:pPr>
              <w:spacing w:line="400" w:lineRule="exact"/>
              <w:rPr>
                <w:rFonts w:ascii="宋体" w:hAnsi="宋体" w:cs="宋体"/>
                <w:color w:val="auto"/>
                <w:szCs w:val="21"/>
                <w:highlight w:val="none"/>
              </w:rPr>
            </w:pPr>
            <w:r>
              <w:rPr>
                <w:rFonts w:hint="eastAsia" w:ascii="宋体" w:hAnsi="宋体" w:cs="宋体"/>
                <w:color w:val="auto"/>
                <w:szCs w:val="21"/>
                <w:highlight w:val="none"/>
              </w:rPr>
              <w:t>3.供应商中小企业声明函或者残疾人福利性单位声明函（格式后附）或者供应商属于监狱企业的需提供由省级以上监狱管理局、戒毒管理局（含新疆生产建设兵团）出具的属于监狱企业的证明文件。（</w:t>
            </w:r>
            <w:r>
              <w:rPr>
                <w:rFonts w:hint="eastAsia" w:ascii="宋体" w:hAnsi="宋体" w:cs="宋体"/>
                <w:b/>
                <w:color w:val="auto"/>
                <w:szCs w:val="21"/>
                <w:highlight w:val="none"/>
              </w:rPr>
              <w:t>如有请提供</w:t>
            </w:r>
            <w:r>
              <w:rPr>
                <w:rFonts w:hint="eastAsia" w:ascii="宋体" w:hAnsi="宋体" w:cs="宋体"/>
                <w:color w:val="auto"/>
                <w:szCs w:val="21"/>
                <w:highlight w:val="none"/>
              </w:rPr>
              <w:t>）</w:t>
            </w:r>
          </w:p>
          <w:p w14:paraId="26B1EDFF">
            <w:pPr>
              <w:spacing w:line="400" w:lineRule="exact"/>
              <w:rPr>
                <w:rFonts w:ascii="宋体" w:hAnsi="宋体" w:cs="宋体"/>
                <w:color w:val="auto"/>
                <w:szCs w:val="21"/>
                <w:highlight w:val="none"/>
              </w:rPr>
            </w:pPr>
            <w:r>
              <w:rPr>
                <w:rFonts w:hint="eastAsia" w:ascii="宋体" w:hAnsi="宋体" w:cs="宋体"/>
                <w:color w:val="auto"/>
                <w:szCs w:val="21"/>
                <w:highlight w:val="none"/>
              </w:rPr>
              <w:t>4.供应商针对报价需要说明的其他文件和说明（格式自拟）。</w:t>
            </w:r>
          </w:p>
        </w:tc>
      </w:tr>
      <w:tr w14:paraId="3F063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6ABDA0D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12.2</w:t>
            </w:r>
          </w:p>
        </w:tc>
        <w:tc>
          <w:tcPr>
            <w:tcW w:w="2060" w:type="dxa"/>
            <w:noWrap w:val="0"/>
            <w:vAlign w:val="center"/>
          </w:tcPr>
          <w:p w14:paraId="59EB983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6599" w:type="dxa"/>
            <w:noWrap w:val="0"/>
            <w:vAlign w:val="center"/>
          </w:tcPr>
          <w:p w14:paraId="13EC2E77">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1.响应文件电子版要求：按照本竞争性磋商文件“第五章 响应文件格式”编写，第五章未附格式的，由供应商自行拟定。</w:t>
            </w:r>
          </w:p>
          <w:p w14:paraId="2185A204">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2.响应文件电子版密封方式：电子响应文件通过平台有效CA加密后在广西政府采购云平台投送。</w:t>
            </w:r>
          </w:p>
        </w:tc>
      </w:tr>
      <w:tr w14:paraId="2CB6F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6B4FB2F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15.2</w:t>
            </w:r>
          </w:p>
        </w:tc>
        <w:tc>
          <w:tcPr>
            <w:tcW w:w="2060" w:type="dxa"/>
            <w:noWrap w:val="0"/>
            <w:vAlign w:val="center"/>
          </w:tcPr>
          <w:p w14:paraId="0374A3B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响应报价要求</w:t>
            </w:r>
          </w:p>
        </w:tc>
        <w:tc>
          <w:tcPr>
            <w:tcW w:w="6599" w:type="dxa"/>
            <w:noWrap w:val="0"/>
            <w:vAlign w:val="center"/>
          </w:tcPr>
          <w:p w14:paraId="6957A9E7">
            <w:pPr>
              <w:snapToGrid w:val="0"/>
              <w:spacing w:line="400" w:lineRule="exact"/>
              <w:jc w:val="left"/>
              <w:rPr>
                <w:rFonts w:ascii="宋体" w:hAnsi="宋体" w:cs="宋体"/>
                <w:color w:val="auto"/>
                <w:highlight w:val="none"/>
              </w:rPr>
            </w:pPr>
            <w:r>
              <w:rPr>
                <w:rFonts w:hint="eastAsia" w:ascii="宋体" w:hAnsi="宋体" w:cs="宋体"/>
                <w:color w:val="auto"/>
                <w:highlight w:val="none"/>
              </w:rPr>
              <w:t>响应报价必须包含满足本次竞标全部采购需求所应提供的服务，以及伴随的货物和工程（如有）的价格；包含竞标服务、货物、工程的成本、运输（含保险）、安装（如有）、调试、检验、技术服务、培训、税费等所有费用。（采购需求另有约定的，从其约定。）</w:t>
            </w:r>
          </w:p>
          <w:p w14:paraId="7061058C">
            <w:pPr>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☑响应报价包含验收费用</w:t>
            </w:r>
          </w:p>
          <w:p w14:paraId="38099501">
            <w:pPr>
              <w:pStyle w:val="14"/>
              <w:spacing w:after="0" w:line="400" w:lineRule="exact"/>
              <w:rPr>
                <w:rFonts w:ascii="宋体" w:hAnsi="宋体" w:cs="宋体"/>
                <w:color w:val="auto"/>
                <w:highlight w:val="none"/>
              </w:rPr>
            </w:pPr>
            <w:r>
              <w:rPr>
                <w:rFonts w:hint="eastAsia" w:ascii="宋体" w:hAnsi="宋体" w:cs="宋体"/>
                <w:b/>
                <w:color w:val="auto"/>
                <w:szCs w:val="21"/>
                <w:highlight w:val="none"/>
              </w:rPr>
              <w:sym w:font="Wingdings 2" w:char="00A3"/>
            </w:r>
            <w:r>
              <w:rPr>
                <w:rFonts w:hint="eastAsia" w:ascii="宋体" w:hAnsi="宋体" w:cs="宋体"/>
                <w:b/>
                <w:color w:val="auto"/>
                <w:szCs w:val="21"/>
                <w:highlight w:val="none"/>
              </w:rPr>
              <w:t>响应报价不包含验收费用</w:t>
            </w:r>
          </w:p>
        </w:tc>
      </w:tr>
      <w:tr w14:paraId="0052E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5E3039F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16.2</w:t>
            </w:r>
          </w:p>
        </w:tc>
        <w:tc>
          <w:tcPr>
            <w:tcW w:w="2060" w:type="dxa"/>
            <w:noWrap w:val="0"/>
            <w:vAlign w:val="center"/>
          </w:tcPr>
          <w:p w14:paraId="53EE28D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竞标有效期</w:t>
            </w:r>
          </w:p>
        </w:tc>
        <w:tc>
          <w:tcPr>
            <w:tcW w:w="6599" w:type="dxa"/>
            <w:noWrap w:val="0"/>
            <w:vAlign w:val="center"/>
          </w:tcPr>
          <w:p w14:paraId="510908FB">
            <w:pPr>
              <w:pStyle w:val="11"/>
              <w:widowControl w:val="0"/>
              <w:tabs>
                <w:tab w:val="clear" w:pos="454"/>
              </w:tabs>
              <w:snapToGrid w:val="0"/>
              <w:spacing w:afterLines="0" w:line="400" w:lineRule="exact"/>
              <w:ind w:left="283" w:hanging="283" w:hangingChars="135"/>
              <w:rPr>
                <w:rFonts w:ascii="宋体" w:hAnsi="宋体" w:cs="宋体"/>
                <w:color w:val="auto"/>
                <w:kern w:val="2"/>
                <w:sz w:val="21"/>
                <w:szCs w:val="21"/>
                <w:highlight w:val="none"/>
              </w:rPr>
            </w:pPr>
            <w:r>
              <w:rPr>
                <w:rFonts w:hint="eastAsia" w:ascii="宋体" w:hAnsi="宋体" w:cs="宋体"/>
                <w:color w:val="auto"/>
                <w:kern w:val="2"/>
                <w:sz w:val="21"/>
                <w:szCs w:val="21"/>
                <w:highlight w:val="none"/>
              </w:rPr>
              <w:t>自首次响应文件提交截止之日起</w:t>
            </w:r>
            <w:r>
              <w:rPr>
                <w:rFonts w:hint="eastAsia" w:ascii="宋体" w:hAnsi="宋体" w:cs="宋体"/>
                <w:color w:val="auto"/>
                <w:kern w:val="2"/>
                <w:sz w:val="21"/>
                <w:szCs w:val="21"/>
                <w:highlight w:val="none"/>
                <w:u w:val="single"/>
              </w:rPr>
              <w:t>60</w:t>
            </w:r>
            <w:r>
              <w:rPr>
                <w:rFonts w:hint="eastAsia" w:ascii="宋体" w:hAnsi="宋体" w:cs="宋体"/>
                <w:color w:val="auto"/>
                <w:kern w:val="2"/>
                <w:sz w:val="21"/>
                <w:szCs w:val="21"/>
                <w:highlight w:val="none"/>
              </w:rPr>
              <w:t>日。</w:t>
            </w:r>
          </w:p>
        </w:tc>
      </w:tr>
      <w:tr w14:paraId="53848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3A9AF17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17.1</w:t>
            </w:r>
          </w:p>
        </w:tc>
        <w:tc>
          <w:tcPr>
            <w:tcW w:w="2060" w:type="dxa"/>
            <w:noWrap w:val="0"/>
            <w:vAlign w:val="center"/>
          </w:tcPr>
          <w:p w14:paraId="44390691">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磋商保证金</w:t>
            </w:r>
          </w:p>
        </w:tc>
        <w:tc>
          <w:tcPr>
            <w:tcW w:w="6599" w:type="dxa"/>
            <w:noWrap w:val="0"/>
            <w:vAlign w:val="center"/>
          </w:tcPr>
          <w:p w14:paraId="02CFF099">
            <w:pPr>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 本项目不需要缴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磋商保证金。</w:t>
            </w:r>
          </w:p>
          <w:p w14:paraId="71BB4A98">
            <w:pPr>
              <w:snapToGrid w:val="0"/>
              <w:spacing w:line="400" w:lineRule="exact"/>
              <w:rPr>
                <w:rFonts w:ascii="宋体" w:hAnsi="宋体" w:cs="宋体"/>
                <w:b/>
                <w:bCs/>
                <w:color w:val="auto"/>
                <w:szCs w:val="21"/>
                <w:highlight w:val="none"/>
              </w:rPr>
            </w:pPr>
            <w:r>
              <w:rPr>
                <w:rFonts w:hint="eastAsia" w:ascii="宋体" w:hAnsi="宋体" w:cs="宋体"/>
                <w:b/>
                <w:bCs/>
                <w:color w:val="auto"/>
                <w:szCs w:val="21"/>
                <w:highlight w:val="none"/>
              </w:rPr>
              <w:sym w:font="Wingdings 2" w:char="0052"/>
            </w:r>
            <w:r>
              <w:rPr>
                <w:rFonts w:hint="eastAsia" w:ascii="宋体" w:hAnsi="宋体" w:cs="宋体"/>
                <w:b/>
                <w:bCs/>
                <w:color w:val="auto"/>
                <w:szCs w:val="21"/>
                <w:highlight w:val="none"/>
              </w:rPr>
              <w:t xml:space="preserve"> 本项目需要缴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磋商保证金，相关要求如下：</w:t>
            </w:r>
          </w:p>
          <w:p w14:paraId="710158C1">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1.磋商保证金的缴纳方式：详见竞争性磋商公告。</w:t>
            </w:r>
          </w:p>
          <w:p w14:paraId="768FDBEE">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2.磋商保证金的金额：详见竞争性磋商公告。</w:t>
            </w:r>
          </w:p>
          <w:p w14:paraId="4532DFE3">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3.磋商保证金采用银行转账缴纳方式的，在首次响应文件提交截止时间前交至采购代理机构指定账户并且到账，供应商应将银行转账底单的复印件作为磋商保证金提交凭证，放置于商务文件中，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61B3380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4.磋商保证金采用支票、汇票、本票或者金融机构、担保机构出具的保函等缴纳方式的，供应商应将支票、汇票、本票或者金融机构、担保机构出具的保函等的复印件或者金融机构、担保机构出具的</w:t>
            </w:r>
            <w:r>
              <w:rPr>
                <w:rFonts w:hint="eastAsia" w:ascii="宋体" w:hAnsi="宋体" w:cs="宋体"/>
                <w:color w:val="auto"/>
                <w:kern w:val="0"/>
                <w:szCs w:val="21"/>
                <w:highlight w:val="none"/>
              </w:rPr>
              <w:t>电子保函</w:t>
            </w:r>
            <w:r>
              <w:rPr>
                <w:rFonts w:hint="eastAsia" w:ascii="宋体" w:hAnsi="宋体" w:cs="宋体"/>
                <w:color w:val="auto"/>
                <w:szCs w:val="21"/>
                <w:highlight w:val="none"/>
              </w:rPr>
              <w:t>作为磋商保证金提交凭证，放置于商务文件中，</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。供应商必须在</w:t>
            </w:r>
            <w:r>
              <w:rPr>
                <w:rFonts w:hint="eastAsia" w:ascii="宋体" w:hAnsi="宋体" w:cs="宋体"/>
                <w:color w:val="auto"/>
                <w:kern w:val="0"/>
                <w:szCs w:val="21"/>
                <w:highlight w:val="none"/>
              </w:rPr>
              <w:t>首次响应文件提交截止时间前</w:t>
            </w:r>
            <w:r>
              <w:rPr>
                <w:rFonts w:hint="eastAsia" w:ascii="宋体" w:hAnsi="宋体" w:cs="宋体"/>
                <w:color w:val="auto"/>
                <w:szCs w:val="21"/>
                <w:highlight w:val="none"/>
              </w:rPr>
              <w:t>将支票、汇票、本票或者金融机构、担保机构出具的保函（</w:t>
            </w:r>
            <w:r>
              <w:rPr>
                <w:rFonts w:hint="eastAsia" w:ascii="宋体" w:hAnsi="宋体" w:cs="宋体"/>
                <w:color w:val="auto"/>
                <w:kern w:val="0"/>
                <w:szCs w:val="21"/>
                <w:highlight w:val="none"/>
              </w:rPr>
              <w:t>电子保函除外</w:t>
            </w:r>
            <w:r>
              <w:rPr>
                <w:rFonts w:hint="eastAsia" w:ascii="宋体" w:hAnsi="宋体" w:cs="宋体"/>
                <w:color w:val="auto"/>
                <w:szCs w:val="21"/>
                <w:highlight w:val="none"/>
              </w:rPr>
              <w:t>）等原件提交给采购代理机构，由采购代理机构向供应商出具回执，并妥善保管。</w:t>
            </w:r>
          </w:p>
          <w:p w14:paraId="283C2B4F">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5.磋商保证金指定账户：详见竞争性磋商公告。</w:t>
            </w:r>
          </w:p>
          <w:p w14:paraId="28E7AC38">
            <w:pPr>
              <w:snapToGrid w:val="0"/>
              <w:spacing w:line="400" w:lineRule="exact"/>
              <w:rPr>
                <w:rFonts w:ascii="宋体" w:hAnsi="宋体" w:cs="宋体"/>
                <w:b/>
                <w:color w:val="auto"/>
                <w:szCs w:val="21"/>
                <w:highlight w:val="none"/>
              </w:rPr>
            </w:pPr>
            <w:r>
              <w:rPr>
                <w:rFonts w:hint="eastAsia" w:ascii="宋体" w:hAnsi="宋体" w:cs="宋体"/>
                <w:color w:val="auto"/>
                <w:szCs w:val="21"/>
                <w:highlight w:val="none"/>
              </w:rPr>
              <w:t>6.供应商为联合体的，可以由联合体中的一方或者多方共同缴纳磋商保证金，其缴纳的磋商保证金对联合体各方均具有约束力。</w:t>
            </w:r>
          </w:p>
          <w:p w14:paraId="0B9BFFE5">
            <w:pPr>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 xml:space="preserve">备注： </w:t>
            </w:r>
          </w:p>
          <w:p w14:paraId="15FCF49F">
            <w:pPr>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1.磋商保证金在首次响应文件提交截止时间后提交的，或者不按规定缴纳方式缴纳的，或者未足额缴纳的（包含保函额度不足的），视为无效磋商保证金。</w:t>
            </w:r>
          </w:p>
          <w:p w14:paraId="0C9FE611">
            <w:pPr>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2.供应商采用现金方式或者从个人账户（自然人竞标除外）转出的磋商保证金，视为无效磋商保证金。</w:t>
            </w:r>
          </w:p>
          <w:p w14:paraId="784E3E8C">
            <w:pPr>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3.支票、汇票或者本票出现无效或者背书情形的，视为无效磋商保证金。</w:t>
            </w:r>
          </w:p>
          <w:p w14:paraId="3D3FC4BE">
            <w:pPr>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4.保函有效期低于竞标有效期的，视为无效磋商保证金。</w:t>
            </w:r>
          </w:p>
          <w:p w14:paraId="276B4570">
            <w:pPr>
              <w:autoSpaceDE w:val="0"/>
              <w:autoSpaceDN w:val="0"/>
              <w:snapToGrid w:val="0"/>
              <w:spacing w:line="400" w:lineRule="exact"/>
              <w:textAlignment w:val="bottom"/>
              <w:rPr>
                <w:rFonts w:ascii="宋体" w:hAnsi="宋体" w:cs="宋体"/>
                <w:color w:val="auto"/>
                <w:szCs w:val="21"/>
                <w:highlight w:val="none"/>
              </w:rPr>
            </w:pPr>
            <w:r>
              <w:rPr>
                <w:rFonts w:hint="eastAsia" w:ascii="宋体" w:hAnsi="宋体" w:cs="宋体"/>
                <w:b/>
                <w:color w:val="auto"/>
                <w:szCs w:val="21"/>
                <w:highlight w:val="none"/>
              </w:rPr>
              <w:t>5.采用金融、担保机构出具保函的，必须为无条件保函，否则视为无效磋商保证金。</w:t>
            </w:r>
          </w:p>
        </w:tc>
      </w:tr>
      <w:tr w14:paraId="304F7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3" w:type="dxa"/>
            <w:vMerge w:val="restart"/>
            <w:noWrap w:val="0"/>
            <w:vAlign w:val="center"/>
          </w:tcPr>
          <w:p w14:paraId="1E499FD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20.1</w:t>
            </w:r>
          </w:p>
        </w:tc>
        <w:tc>
          <w:tcPr>
            <w:tcW w:w="2060" w:type="dxa"/>
            <w:noWrap w:val="0"/>
            <w:vAlign w:val="center"/>
          </w:tcPr>
          <w:p w14:paraId="75EBB59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首次响应文件提交截止时间</w:t>
            </w:r>
          </w:p>
        </w:tc>
        <w:tc>
          <w:tcPr>
            <w:tcW w:w="6599" w:type="dxa"/>
            <w:noWrap w:val="0"/>
            <w:vAlign w:val="center"/>
          </w:tcPr>
          <w:p w14:paraId="09F455A9">
            <w:pPr>
              <w:snapToGrid w:val="0"/>
              <w:spacing w:line="400" w:lineRule="exact"/>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1E4F0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63" w:type="dxa"/>
            <w:vMerge w:val="continue"/>
            <w:noWrap w:val="0"/>
            <w:vAlign w:val="center"/>
          </w:tcPr>
          <w:p w14:paraId="7F0EB0C6">
            <w:pPr>
              <w:spacing w:line="400" w:lineRule="exact"/>
              <w:jc w:val="center"/>
              <w:rPr>
                <w:rFonts w:ascii="宋体" w:hAnsi="宋体" w:cs="宋体"/>
                <w:color w:val="auto"/>
                <w:szCs w:val="21"/>
                <w:highlight w:val="none"/>
              </w:rPr>
            </w:pPr>
          </w:p>
        </w:tc>
        <w:tc>
          <w:tcPr>
            <w:tcW w:w="2060" w:type="dxa"/>
            <w:noWrap w:val="0"/>
            <w:vAlign w:val="center"/>
          </w:tcPr>
          <w:p w14:paraId="7CDFCA5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首次响应文件开启</w:t>
            </w:r>
          </w:p>
          <w:p w14:paraId="1507548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时间</w:t>
            </w:r>
          </w:p>
        </w:tc>
        <w:tc>
          <w:tcPr>
            <w:tcW w:w="6599" w:type="dxa"/>
            <w:noWrap w:val="0"/>
            <w:vAlign w:val="center"/>
          </w:tcPr>
          <w:p w14:paraId="15D705EE">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095C5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vMerge w:val="continue"/>
            <w:noWrap w:val="0"/>
            <w:vAlign w:val="center"/>
          </w:tcPr>
          <w:p w14:paraId="414308B9">
            <w:pPr>
              <w:spacing w:line="400" w:lineRule="exact"/>
              <w:jc w:val="center"/>
              <w:rPr>
                <w:rFonts w:ascii="宋体" w:hAnsi="宋体" w:cs="宋体"/>
                <w:color w:val="auto"/>
                <w:szCs w:val="21"/>
                <w:highlight w:val="none"/>
              </w:rPr>
            </w:pPr>
          </w:p>
        </w:tc>
        <w:tc>
          <w:tcPr>
            <w:tcW w:w="2060" w:type="dxa"/>
            <w:noWrap w:val="0"/>
            <w:vAlign w:val="center"/>
          </w:tcPr>
          <w:p w14:paraId="5D2EE76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首次响应文件提交地点</w:t>
            </w:r>
          </w:p>
        </w:tc>
        <w:tc>
          <w:tcPr>
            <w:tcW w:w="6599" w:type="dxa"/>
            <w:noWrap w:val="0"/>
            <w:vAlign w:val="center"/>
          </w:tcPr>
          <w:p w14:paraId="46FDAD43">
            <w:pPr>
              <w:snapToGrid w:val="0"/>
              <w:spacing w:line="400" w:lineRule="exact"/>
              <w:jc w:val="left"/>
              <w:rPr>
                <w:rFonts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6D41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noWrap w:val="0"/>
            <w:vAlign w:val="center"/>
          </w:tcPr>
          <w:p w14:paraId="06CF5BC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20.6</w:t>
            </w:r>
          </w:p>
        </w:tc>
        <w:tc>
          <w:tcPr>
            <w:tcW w:w="2060" w:type="dxa"/>
            <w:noWrap w:val="0"/>
            <w:vAlign w:val="center"/>
          </w:tcPr>
          <w:p w14:paraId="1306C1E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备份响应文件</w:t>
            </w:r>
          </w:p>
        </w:tc>
        <w:tc>
          <w:tcPr>
            <w:tcW w:w="6599" w:type="dxa"/>
            <w:noWrap w:val="0"/>
            <w:vAlign w:val="center"/>
          </w:tcPr>
          <w:p w14:paraId="5243F99C">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本项目不接受备份响应文件。</w:t>
            </w:r>
          </w:p>
        </w:tc>
      </w:tr>
      <w:tr w14:paraId="4CEB78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63" w:type="dxa"/>
            <w:noWrap w:val="0"/>
            <w:vAlign w:val="center"/>
          </w:tcPr>
          <w:p w14:paraId="6973785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1</w:t>
            </w:r>
          </w:p>
        </w:tc>
        <w:tc>
          <w:tcPr>
            <w:tcW w:w="2060" w:type="dxa"/>
            <w:noWrap w:val="0"/>
            <w:vAlign w:val="center"/>
          </w:tcPr>
          <w:p w14:paraId="19F1322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首次响应文件的补充、修改与撤回</w:t>
            </w:r>
          </w:p>
        </w:tc>
        <w:tc>
          <w:tcPr>
            <w:tcW w:w="6599" w:type="dxa"/>
            <w:noWrap w:val="0"/>
            <w:vAlign w:val="center"/>
          </w:tcPr>
          <w:p w14:paraId="1E4BAD8B">
            <w:pPr>
              <w:snapToGrid w:val="0"/>
              <w:spacing w:line="400" w:lineRule="exact"/>
              <w:jc w:val="left"/>
              <w:rPr>
                <w:rFonts w:ascii="宋体" w:hAnsi="宋体" w:cs="宋体"/>
                <w:color w:val="auto"/>
                <w:szCs w:val="21"/>
                <w:highlight w:val="none"/>
              </w:rPr>
            </w:pPr>
            <w:r>
              <w:rPr>
                <w:rFonts w:hint="eastAsia" w:ascii="宋体" w:hAnsi="宋体" w:cs="宋体"/>
                <w:color w:val="auto"/>
                <w:szCs w:val="21"/>
                <w:highlight w:val="none"/>
              </w:rPr>
              <w:t>详见</w:t>
            </w:r>
            <w:r>
              <w:rPr>
                <w:rFonts w:hint="eastAsia" w:ascii="宋体" w:hAnsi="宋体"/>
                <w:bCs/>
                <w:color w:val="auto"/>
                <w:highlight w:val="none"/>
              </w:rPr>
              <w:t>供应商须知正文</w:t>
            </w:r>
            <w:r>
              <w:rPr>
                <w:rFonts w:hint="eastAsia" w:ascii="宋体" w:hAnsi="宋体" w:cs="宋体"/>
                <w:color w:val="auto"/>
                <w:szCs w:val="21"/>
                <w:highlight w:val="none"/>
              </w:rPr>
              <w:t>。</w:t>
            </w:r>
          </w:p>
        </w:tc>
      </w:tr>
      <w:tr w14:paraId="286224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63" w:type="dxa"/>
            <w:vMerge w:val="restart"/>
            <w:noWrap w:val="0"/>
            <w:vAlign w:val="center"/>
          </w:tcPr>
          <w:p w14:paraId="69B801D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25</w:t>
            </w:r>
          </w:p>
        </w:tc>
        <w:tc>
          <w:tcPr>
            <w:tcW w:w="2060" w:type="dxa"/>
            <w:noWrap w:val="0"/>
            <w:vAlign w:val="center"/>
          </w:tcPr>
          <w:p w14:paraId="41353F4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负偏离要求</w:t>
            </w:r>
          </w:p>
        </w:tc>
        <w:tc>
          <w:tcPr>
            <w:tcW w:w="6599" w:type="dxa"/>
            <w:noWrap w:val="0"/>
            <w:vAlign w:val="center"/>
          </w:tcPr>
          <w:p w14:paraId="6DDE1EE5">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商务要求评审中允许负偏离的条款数为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p w14:paraId="7661CEEB">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技术要求评审中允许负偏离的条款数为</w:t>
            </w:r>
            <w:r>
              <w:rPr>
                <w:rFonts w:hint="eastAsia" w:ascii="宋体" w:hAnsi="宋体" w:cs="宋体"/>
                <w:color w:val="auto"/>
                <w:szCs w:val="21"/>
                <w:highlight w:val="none"/>
                <w:u w:val="single"/>
              </w:rPr>
              <w:t xml:space="preserve">  0  </w:t>
            </w:r>
            <w:r>
              <w:rPr>
                <w:rFonts w:hint="eastAsia" w:ascii="宋体" w:hAnsi="宋体" w:cs="宋体"/>
                <w:color w:val="auto"/>
                <w:szCs w:val="21"/>
                <w:highlight w:val="none"/>
              </w:rPr>
              <w:t>项。</w:t>
            </w:r>
          </w:p>
        </w:tc>
      </w:tr>
      <w:tr w14:paraId="42897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591AFE42">
            <w:pPr>
              <w:spacing w:line="400" w:lineRule="exact"/>
              <w:jc w:val="center"/>
              <w:rPr>
                <w:rFonts w:ascii="宋体" w:hAnsi="宋体" w:cs="宋体"/>
                <w:color w:val="auto"/>
                <w:szCs w:val="21"/>
                <w:highlight w:val="none"/>
              </w:rPr>
            </w:pPr>
          </w:p>
        </w:tc>
        <w:tc>
          <w:tcPr>
            <w:tcW w:w="2060" w:type="dxa"/>
            <w:noWrap w:val="0"/>
            <w:vAlign w:val="center"/>
          </w:tcPr>
          <w:p w14:paraId="4171A78E">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评审方法</w:t>
            </w:r>
          </w:p>
        </w:tc>
        <w:tc>
          <w:tcPr>
            <w:tcW w:w="6599" w:type="dxa"/>
            <w:noWrap w:val="0"/>
            <w:vAlign w:val="center"/>
          </w:tcPr>
          <w:p w14:paraId="2C0E6B53">
            <w:pPr>
              <w:pStyle w:val="12"/>
              <w:spacing w:line="400" w:lineRule="exact"/>
              <w:rPr>
                <w:rFonts w:ascii="宋体" w:hAnsi="宋体" w:cs="宋体"/>
                <w:b/>
                <w:color w:val="auto"/>
                <w:szCs w:val="21"/>
                <w:highlight w:val="none"/>
              </w:rPr>
            </w:pPr>
            <w:r>
              <w:rPr>
                <w:rFonts w:hint="eastAsia"/>
                <w:color w:val="auto"/>
                <w:highlight w:val="none"/>
              </w:rPr>
              <w:t>本项目采用综合评分法。综合评分法是指响应文件满足竞争性磋商文件全部实质性要求且按评审因素的量化指标评审得分最高的供应商为成交候选供应商的评审方法。</w:t>
            </w:r>
          </w:p>
        </w:tc>
      </w:tr>
      <w:tr w14:paraId="1529B8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52C26F91">
            <w:pPr>
              <w:spacing w:line="400" w:lineRule="exact"/>
              <w:jc w:val="center"/>
              <w:rPr>
                <w:rFonts w:ascii="宋体" w:hAnsi="宋体" w:cs="宋体"/>
                <w:color w:val="auto"/>
                <w:szCs w:val="21"/>
                <w:highlight w:val="none"/>
              </w:rPr>
            </w:pPr>
          </w:p>
        </w:tc>
        <w:tc>
          <w:tcPr>
            <w:tcW w:w="2060" w:type="dxa"/>
            <w:noWrap w:val="0"/>
            <w:vAlign w:val="center"/>
          </w:tcPr>
          <w:p w14:paraId="6A319CD3">
            <w:pPr>
              <w:snapToGrid w:val="0"/>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磋商的顺序</w:t>
            </w:r>
          </w:p>
        </w:tc>
        <w:tc>
          <w:tcPr>
            <w:tcW w:w="6599" w:type="dxa"/>
            <w:noWrap w:val="0"/>
            <w:vAlign w:val="center"/>
          </w:tcPr>
          <w:p w14:paraId="57B37742">
            <w:pPr>
              <w:pStyle w:val="12"/>
              <w:spacing w:line="400" w:lineRule="exact"/>
              <w:rPr>
                <w:rFonts w:ascii="宋体" w:hAnsi="宋体" w:cs="宋体"/>
                <w:color w:val="auto"/>
                <w:szCs w:val="21"/>
                <w:highlight w:val="none"/>
              </w:rPr>
            </w:pPr>
            <w:r>
              <w:rPr>
                <w:rFonts w:hint="eastAsia" w:ascii="宋体" w:hAnsi="宋体" w:cs="宋体"/>
                <w:color w:val="auto"/>
                <w:szCs w:val="21"/>
                <w:highlight w:val="none"/>
              </w:rPr>
              <w:t>□按照提交首次响应文件的顺序，通知磋商时，若某供应商不在通知现场时，该供应商排序到最后磋商，按照签到的顺序由其下一位供应商先参与磋商。</w:t>
            </w:r>
          </w:p>
          <w:p w14:paraId="2A9045F5">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随机排序。</w:t>
            </w:r>
          </w:p>
          <w:p w14:paraId="2556AA58">
            <w:pPr>
              <w:pStyle w:val="12"/>
              <w:spacing w:line="400" w:lineRule="exact"/>
              <w:rPr>
                <w:rFonts w:ascii="宋体" w:hAnsi="宋体" w:cs="宋体"/>
                <w:b/>
                <w:color w:val="auto"/>
                <w:szCs w:val="21"/>
                <w:highlight w:val="none"/>
              </w:rPr>
            </w:pPr>
            <w:r>
              <w:rPr>
                <w:rFonts w:hint="eastAsia" w:ascii="宋体" w:hAnsi="宋体" w:cs="宋体"/>
                <w:b/>
                <w:color w:val="auto"/>
                <w:szCs w:val="21"/>
                <w:highlight w:val="none"/>
              </w:rPr>
              <w:t>参与磋商前，磋商小组如有要求，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2A995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5E3D1C9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27</w:t>
            </w:r>
          </w:p>
        </w:tc>
        <w:tc>
          <w:tcPr>
            <w:tcW w:w="2060" w:type="dxa"/>
            <w:noWrap w:val="0"/>
            <w:vAlign w:val="center"/>
          </w:tcPr>
          <w:p w14:paraId="7B0051D2">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履约保证金</w:t>
            </w:r>
          </w:p>
        </w:tc>
        <w:tc>
          <w:tcPr>
            <w:tcW w:w="6599" w:type="dxa"/>
            <w:noWrap w:val="0"/>
            <w:vAlign w:val="center"/>
          </w:tcPr>
          <w:p w14:paraId="62E1E31E">
            <w:pPr>
              <w:spacing w:line="400" w:lineRule="exact"/>
              <w:rPr>
                <w:rFonts w:ascii="宋体" w:hAnsi="宋体" w:cs="宋体"/>
                <w:b/>
                <w:bCs/>
                <w:color w:val="auto"/>
                <w:szCs w:val="21"/>
                <w:highlight w:val="none"/>
              </w:rPr>
            </w:pPr>
            <w:r>
              <w:rPr>
                <w:rFonts w:hint="eastAsia" w:ascii="宋体" w:hAnsi="宋体" w:cs="宋体"/>
                <w:b/>
                <w:bCs/>
                <w:color w:val="auto"/>
                <w:szCs w:val="21"/>
                <w:highlight w:val="none"/>
              </w:rPr>
              <w:sym w:font="Wingdings 2" w:char="00A3"/>
            </w:r>
            <w:r>
              <w:rPr>
                <w:rFonts w:hint="eastAsia" w:ascii="宋体" w:hAnsi="宋体" w:cs="宋体"/>
                <w:b/>
                <w:bCs/>
                <w:color w:val="auto"/>
                <w:szCs w:val="21"/>
                <w:highlight w:val="none"/>
              </w:rPr>
              <w:t xml:space="preserve"> 本项目不需要缴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履约保证金。</w:t>
            </w:r>
          </w:p>
          <w:p w14:paraId="7325B9E1">
            <w:pPr>
              <w:spacing w:line="400" w:lineRule="exact"/>
              <w:rPr>
                <w:rFonts w:ascii="宋体" w:hAnsi="宋体" w:cs="宋体"/>
                <w:b/>
                <w:bCs/>
                <w:color w:val="auto"/>
                <w:szCs w:val="21"/>
                <w:highlight w:val="none"/>
              </w:rPr>
            </w:pPr>
            <w:r>
              <w:rPr>
                <w:rFonts w:hint="eastAsia" w:ascii="宋体" w:hAnsi="宋体" w:cs="宋体"/>
                <w:b/>
                <w:bCs/>
                <w:color w:val="auto"/>
                <w:szCs w:val="21"/>
                <w:highlight w:val="none"/>
              </w:rPr>
              <w:t>☑ 本项目需要缴</w:t>
            </w:r>
            <w:r>
              <w:rPr>
                <w:rFonts w:hint="eastAsia" w:ascii="宋体" w:hAnsi="宋体" w:cs="宋体"/>
                <w:b/>
                <w:bCs/>
                <w:color w:val="auto"/>
                <w:kern w:val="0"/>
                <w:szCs w:val="21"/>
                <w:highlight w:val="none"/>
              </w:rPr>
              <w:t>纳</w:t>
            </w:r>
            <w:r>
              <w:rPr>
                <w:rFonts w:hint="eastAsia" w:ascii="宋体" w:hAnsi="宋体" w:cs="宋体"/>
                <w:b/>
                <w:bCs/>
                <w:color w:val="auto"/>
                <w:szCs w:val="21"/>
                <w:highlight w:val="none"/>
              </w:rPr>
              <w:t>履约保证金，相关要求如下：</w:t>
            </w:r>
          </w:p>
          <w:p w14:paraId="698CF8E8">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1.履约保证金金额：按分标采购预算金额的2%。</w:t>
            </w:r>
          </w:p>
          <w:p w14:paraId="2DDEE82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2.履约保证金提交方式：以银行转账或电汇或其他政府采购法律法规允许的方式，由成交供应商在签订合同前按规定的金额直接缴入委托人账户。否则，不予办理签订合同。</w:t>
            </w:r>
          </w:p>
          <w:p w14:paraId="5D2C634E">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履约保证金退付方式、时间及条件：成交供应商按合同要求完成全部工作且无违约情形，并按合同要求提交本工程定稿的、经相关单位签字盖章的跟踪审计报告（附跟踪审计日志）和结算审核报告后，由成交供应商向采购人财务部门提供审签完成的《政府采购项目履约保证金退付意见书》，采购人财务部门在收到合格材料后5个工作日内办理退还手续（不计利息）。在履约保证金退还日期前，若成交供应商的开户名称、开户银行、账号有变动的，请以书面形式通知采购人，否则由此产生的后果由成交供应商自负。</w:t>
            </w:r>
          </w:p>
          <w:p w14:paraId="1D8421B9">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4.缴纳履约保证金指定账户的信息：</w:t>
            </w:r>
          </w:p>
          <w:p w14:paraId="6F9DED65">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开户名：广西农业职业技术大学</w:t>
            </w:r>
          </w:p>
          <w:p w14:paraId="494E8C8C">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开户行：交通银行南宁大学路支行</w:t>
            </w:r>
          </w:p>
          <w:p w14:paraId="550445DB">
            <w:pPr>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账  号：451060605013002182351</w:t>
            </w:r>
          </w:p>
          <w:p w14:paraId="17A6B746">
            <w:pPr>
              <w:spacing w:line="400" w:lineRule="exact"/>
              <w:rPr>
                <w:rFonts w:ascii="宋体" w:hAnsi="宋体" w:cs="宋体"/>
                <w:color w:val="auto"/>
                <w:szCs w:val="21"/>
                <w:highlight w:val="none"/>
              </w:rPr>
            </w:pPr>
            <w:r>
              <w:rPr>
                <w:rFonts w:hint="eastAsia" w:ascii="宋体" w:hAnsi="宋体" w:cs="宋体"/>
                <w:color w:val="auto"/>
                <w:szCs w:val="21"/>
                <w:highlight w:val="none"/>
              </w:rPr>
              <w:t>备注：</w:t>
            </w:r>
          </w:p>
          <w:p w14:paraId="3C9597F6">
            <w:pPr>
              <w:spacing w:line="400" w:lineRule="exact"/>
              <w:rPr>
                <w:rFonts w:ascii="宋体" w:hAnsi="宋体" w:cs="宋体"/>
                <w:b/>
                <w:color w:val="auto"/>
                <w:szCs w:val="21"/>
                <w:highlight w:val="none"/>
              </w:rPr>
            </w:pPr>
            <w:r>
              <w:rPr>
                <w:rFonts w:hint="eastAsia" w:ascii="宋体" w:hAnsi="宋体" w:cs="宋体"/>
                <w:b/>
                <w:color w:val="auto"/>
                <w:szCs w:val="21"/>
                <w:highlight w:val="none"/>
              </w:rPr>
              <w:t>1.履约保证金不足额缴纳的（包含保函额度不足的），或者不按规定提交方式提交的，或者保函有效期低于合同履行期限的（即合同中规定的当事人履行自己的义务，如交付标的物、价款或者报酬，履行劳务、完成工作的时间界限）的，视为未按规定提交履约保证金。</w:t>
            </w:r>
          </w:p>
          <w:p w14:paraId="38747E62">
            <w:pPr>
              <w:spacing w:line="400" w:lineRule="exact"/>
              <w:rPr>
                <w:rFonts w:ascii="宋体" w:hAnsi="宋体" w:cs="宋体"/>
                <w:b/>
                <w:color w:val="auto"/>
                <w:szCs w:val="21"/>
                <w:highlight w:val="none"/>
              </w:rPr>
            </w:pPr>
            <w:r>
              <w:rPr>
                <w:rFonts w:hint="eastAsia" w:ascii="宋体" w:hAnsi="宋体" w:cs="宋体"/>
                <w:b/>
                <w:color w:val="auto"/>
                <w:szCs w:val="21"/>
                <w:highlight w:val="none"/>
              </w:rPr>
              <w:t>2.采用金融、担保机构出具保函的，必须为无条件保函，否则视为未按规定提交履约保证金。</w:t>
            </w:r>
          </w:p>
          <w:p w14:paraId="5601D235">
            <w:pPr>
              <w:spacing w:line="400" w:lineRule="exact"/>
              <w:rPr>
                <w:rFonts w:ascii="宋体" w:hAnsi="宋体" w:cs="宋体"/>
                <w:color w:val="auto"/>
                <w:szCs w:val="21"/>
                <w:highlight w:val="none"/>
              </w:rPr>
            </w:pPr>
            <w:r>
              <w:rPr>
                <w:rFonts w:hint="eastAsia" w:ascii="宋体" w:hAnsi="宋体" w:cs="宋体"/>
                <w:b/>
                <w:color w:val="auto"/>
                <w:szCs w:val="21"/>
                <w:highlight w:val="none"/>
              </w:rPr>
              <w:t>3.供应商为联合体的，可由联合体任意一方或者联合体各方共同提交履约保证金，视为有效履约保证金。</w:t>
            </w:r>
            <w:r>
              <w:rPr>
                <w:rFonts w:hint="eastAsia" w:ascii="宋体" w:hAnsi="宋体" w:cs="宋体"/>
                <w:color w:val="auto"/>
                <w:szCs w:val="21"/>
                <w:highlight w:val="none"/>
              </w:rPr>
              <w:t xml:space="preserve"> </w:t>
            </w:r>
          </w:p>
        </w:tc>
      </w:tr>
      <w:tr w14:paraId="0D67B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7BE02D4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28.5</w:t>
            </w:r>
          </w:p>
        </w:tc>
        <w:tc>
          <w:tcPr>
            <w:tcW w:w="2060" w:type="dxa"/>
            <w:noWrap w:val="0"/>
            <w:vAlign w:val="center"/>
          </w:tcPr>
          <w:p w14:paraId="082A1EB8">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签订合同携带的材料</w:t>
            </w:r>
          </w:p>
        </w:tc>
        <w:tc>
          <w:tcPr>
            <w:tcW w:w="6599" w:type="dxa"/>
            <w:noWrap w:val="0"/>
            <w:vAlign w:val="center"/>
          </w:tcPr>
          <w:p w14:paraId="7E1F0A62">
            <w:pPr>
              <w:snapToGrid w:val="0"/>
              <w:spacing w:line="400" w:lineRule="exact"/>
              <w:rPr>
                <w:b/>
                <w:bCs/>
                <w:i/>
                <w:iCs/>
                <w:color w:val="auto"/>
                <w:szCs w:val="21"/>
                <w:highlight w:val="none"/>
              </w:rPr>
            </w:pPr>
            <w:r>
              <w:rPr>
                <w:rFonts w:hint="eastAsia" w:cs="宋体"/>
                <w:color w:val="auto"/>
                <w:szCs w:val="21"/>
                <w:highlight w:val="none"/>
              </w:rPr>
              <w:t>□</w:t>
            </w:r>
            <w:r>
              <w:rPr>
                <w:rFonts w:hint="eastAsia"/>
                <w:color w:val="auto"/>
                <w:szCs w:val="21"/>
                <w:highlight w:val="none"/>
              </w:rPr>
              <w:t>适用于签订电子合同的情形：使用的有效CA证书加盖单位电子公章。</w:t>
            </w:r>
          </w:p>
          <w:p w14:paraId="74EF2B74">
            <w:pPr>
              <w:autoSpaceDE w:val="0"/>
              <w:autoSpaceDN w:val="0"/>
              <w:snapToGrid w:val="0"/>
              <w:spacing w:line="400" w:lineRule="exact"/>
              <w:textAlignment w:val="bottom"/>
              <w:rPr>
                <w:rFonts w:ascii="宋体" w:hAnsi="宋体"/>
                <w:color w:val="auto"/>
                <w:szCs w:val="21"/>
                <w:highlight w:val="none"/>
              </w:rPr>
            </w:pPr>
            <w:r>
              <w:rPr>
                <w:rFonts w:hint="eastAsia" w:cs="宋体"/>
                <w:color w:val="auto"/>
                <w:szCs w:val="21"/>
                <w:highlight w:val="none"/>
              </w:rPr>
              <w:sym w:font="Wingdings 2" w:char="0052"/>
            </w:r>
            <w:r>
              <w:rPr>
                <w:rFonts w:hint="eastAsia"/>
                <w:color w:val="auto"/>
                <w:szCs w:val="21"/>
                <w:highlight w:val="none"/>
              </w:rPr>
              <w:t>适用于签订纸质合同的情形：</w:t>
            </w:r>
            <w:r>
              <w:rPr>
                <w:rFonts w:hint="eastAsia" w:ascii="宋体" w:hAnsi="宋体"/>
                <w:color w:val="auto"/>
                <w:szCs w:val="21"/>
                <w:highlight w:val="none"/>
              </w:rPr>
              <w:t>委托代理人负责签订合同的，须携带有效的法定代表人授权委托书及其委托代理人身份证原件等其他资格证件。</w:t>
            </w:r>
          </w:p>
          <w:p w14:paraId="1F0B003B">
            <w:pPr>
              <w:snapToGrid w:val="0"/>
              <w:spacing w:line="400" w:lineRule="exact"/>
              <w:rPr>
                <w:rFonts w:ascii="宋体" w:hAnsi="宋体" w:cs="宋体"/>
                <w:b/>
                <w:bCs/>
                <w:i/>
                <w:iCs/>
                <w:color w:val="auto"/>
                <w:szCs w:val="21"/>
                <w:highlight w:val="none"/>
              </w:rPr>
            </w:pPr>
            <w:r>
              <w:rPr>
                <w:rFonts w:hint="eastAsia" w:ascii="宋体" w:hAnsi="宋体"/>
                <w:color w:val="auto"/>
                <w:szCs w:val="21"/>
                <w:highlight w:val="none"/>
              </w:rPr>
              <w:t>法定代表人负责签订合同的，须携带法定代表人</w:t>
            </w:r>
            <w:r>
              <w:rPr>
                <w:rFonts w:ascii="宋体" w:hAnsi="宋体"/>
                <w:color w:val="auto"/>
                <w:szCs w:val="21"/>
                <w:highlight w:val="none"/>
              </w:rPr>
              <w:t>身份证明原件</w:t>
            </w:r>
            <w:r>
              <w:rPr>
                <w:rFonts w:hint="eastAsia" w:ascii="宋体" w:hAnsi="宋体"/>
                <w:color w:val="auto"/>
                <w:szCs w:val="21"/>
                <w:highlight w:val="none"/>
              </w:rPr>
              <w:t>及</w:t>
            </w:r>
            <w:r>
              <w:rPr>
                <w:rFonts w:ascii="宋体" w:hAnsi="宋体"/>
                <w:color w:val="auto"/>
                <w:szCs w:val="21"/>
                <w:highlight w:val="none"/>
              </w:rPr>
              <w:t>身份证原件</w:t>
            </w:r>
            <w:r>
              <w:rPr>
                <w:rFonts w:hint="eastAsia" w:ascii="宋体" w:hAnsi="宋体"/>
                <w:color w:val="auto"/>
                <w:szCs w:val="21"/>
                <w:highlight w:val="none"/>
              </w:rPr>
              <w:t>等其他证明材料。</w:t>
            </w:r>
          </w:p>
        </w:tc>
      </w:tr>
      <w:tr w14:paraId="57C66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restart"/>
            <w:noWrap w:val="0"/>
            <w:vAlign w:val="center"/>
          </w:tcPr>
          <w:p w14:paraId="08EE00E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30.2</w:t>
            </w:r>
          </w:p>
        </w:tc>
        <w:tc>
          <w:tcPr>
            <w:tcW w:w="2060" w:type="dxa"/>
            <w:noWrap w:val="0"/>
            <w:vAlign w:val="center"/>
          </w:tcPr>
          <w:p w14:paraId="48F5EF6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接收质疑函方式</w:t>
            </w:r>
          </w:p>
        </w:tc>
        <w:tc>
          <w:tcPr>
            <w:tcW w:w="6599" w:type="dxa"/>
            <w:noWrap w:val="0"/>
            <w:vAlign w:val="center"/>
          </w:tcPr>
          <w:p w14:paraId="33D4275F">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以书面形式</w:t>
            </w:r>
          </w:p>
        </w:tc>
      </w:tr>
      <w:tr w14:paraId="6A55E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3972EB88">
            <w:pPr>
              <w:spacing w:line="400" w:lineRule="exact"/>
              <w:jc w:val="center"/>
              <w:rPr>
                <w:rFonts w:ascii="宋体" w:hAnsi="宋体" w:cs="宋体"/>
                <w:color w:val="auto"/>
                <w:szCs w:val="21"/>
                <w:highlight w:val="none"/>
              </w:rPr>
            </w:pPr>
          </w:p>
        </w:tc>
        <w:tc>
          <w:tcPr>
            <w:tcW w:w="2060" w:type="dxa"/>
            <w:noWrap w:val="0"/>
            <w:vAlign w:val="center"/>
          </w:tcPr>
          <w:p w14:paraId="57A04A1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质疑联系部门及联系方式</w:t>
            </w:r>
          </w:p>
        </w:tc>
        <w:tc>
          <w:tcPr>
            <w:tcW w:w="6599" w:type="dxa"/>
            <w:noWrap w:val="0"/>
            <w:vAlign w:val="center"/>
          </w:tcPr>
          <w:p w14:paraId="3D26235B">
            <w:pPr>
              <w:pStyle w:val="21"/>
              <w:snapToGrid w:val="0"/>
              <w:spacing w:line="400" w:lineRule="exact"/>
              <w:rPr>
                <w:rFonts w:hAnsi="宋体" w:cs="宋体"/>
                <w:color w:val="auto"/>
                <w:kern w:val="2"/>
                <w:sz w:val="21"/>
                <w:highlight w:val="none"/>
              </w:rPr>
            </w:pPr>
            <w:r>
              <w:rPr>
                <w:rFonts w:hint="eastAsia" w:hAnsi="宋体" w:cs="宋体"/>
                <w:color w:val="auto"/>
                <w:kern w:val="2"/>
                <w:sz w:val="21"/>
                <w:highlight w:val="none"/>
              </w:rPr>
              <w:t>广西科联招标中心有限公司监督审核部</w:t>
            </w:r>
          </w:p>
          <w:p w14:paraId="17BEF3CE">
            <w:pPr>
              <w:pStyle w:val="21"/>
              <w:snapToGrid w:val="0"/>
              <w:spacing w:line="400" w:lineRule="exact"/>
              <w:rPr>
                <w:rFonts w:hAnsi="宋体" w:cs="宋体"/>
                <w:color w:val="auto"/>
                <w:kern w:val="2"/>
                <w:sz w:val="21"/>
                <w:highlight w:val="none"/>
              </w:rPr>
            </w:pPr>
            <w:r>
              <w:rPr>
                <w:rFonts w:hint="eastAsia" w:hAnsi="宋体" w:cs="宋体"/>
                <w:color w:val="auto"/>
                <w:kern w:val="2"/>
                <w:sz w:val="21"/>
                <w:highlight w:val="none"/>
              </w:rPr>
              <w:t>联系电话：0771-3486228</w:t>
            </w:r>
          </w:p>
          <w:p w14:paraId="0F44FF7E">
            <w:pPr>
              <w:snapToGrid w:val="0"/>
              <w:spacing w:line="400" w:lineRule="exact"/>
              <w:rPr>
                <w:rFonts w:hint="eastAsia" w:hAnsi="宋体" w:cs="宋体"/>
                <w:color w:val="auto"/>
                <w:highlight w:val="none"/>
              </w:rPr>
            </w:pPr>
            <w:r>
              <w:rPr>
                <w:rFonts w:hint="eastAsia" w:hAnsi="宋体" w:cs="宋体"/>
                <w:color w:val="auto"/>
                <w:highlight w:val="none"/>
              </w:rPr>
              <w:t>地址：广西南宁市大学东路</w:t>
            </w:r>
            <w:r>
              <w:rPr>
                <w:rFonts w:hAnsi="宋体" w:cs="宋体"/>
                <w:color w:val="auto"/>
                <w:highlight w:val="none"/>
              </w:rPr>
              <w:t>170</w:t>
            </w:r>
            <w:r>
              <w:rPr>
                <w:rFonts w:hint="eastAsia" w:hAnsi="宋体" w:cs="宋体"/>
                <w:color w:val="auto"/>
                <w:highlight w:val="none"/>
              </w:rPr>
              <w:t>号（广西农业机械研究院内）广西科联招标中心有限公司103室</w:t>
            </w:r>
          </w:p>
          <w:p w14:paraId="592717C8">
            <w:pPr>
              <w:snapToGrid w:val="0"/>
              <w:spacing w:line="400" w:lineRule="exact"/>
              <w:rPr>
                <w:rFonts w:hint="eastAsia" w:hAnsi="宋体" w:eastAsia="宋体" w:cs="宋体"/>
                <w:color w:val="auto"/>
                <w:highlight w:val="none"/>
                <w:lang w:eastAsia="zh-CN"/>
              </w:rPr>
            </w:pPr>
            <w:r>
              <w:rPr>
                <w:rFonts w:hint="eastAsia" w:hAnsi="宋体" w:cs="宋体"/>
                <w:color w:val="auto"/>
                <w:highlight w:val="none"/>
                <w:lang w:eastAsia="zh-CN"/>
              </w:rPr>
              <w:t>采购人联系方式：见竞争性磋商公告</w:t>
            </w:r>
          </w:p>
        </w:tc>
      </w:tr>
      <w:tr w14:paraId="0D1C02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vMerge w:val="continue"/>
            <w:noWrap w:val="0"/>
            <w:vAlign w:val="center"/>
          </w:tcPr>
          <w:p w14:paraId="5C89592E">
            <w:pPr>
              <w:spacing w:line="400" w:lineRule="exact"/>
              <w:jc w:val="center"/>
              <w:rPr>
                <w:rFonts w:ascii="宋体" w:hAnsi="宋体" w:cs="宋体"/>
                <w:color w:val="auto"/>
                <w:szCs w:val="21"/>
                <w:highlight w:val="none"/>
              </w:rPr>
            </w:pPr>
          </w:p>
        </w:tc>
        <w:tc>
          <w:tcPr>
            <w:tcW w:w="2060" w:type="dxa"/>
            <w:noWrap w:val="0"/>
            <w:vAlign w:val="center"/>
          </w:tcPr>
          <w:p w14:paraId="01992493">
            <w:pPr>
              <w:spacing w:line="400" w:lineRule="exact"/>
              <w:jc w:val="center"/>
              <w:rPr>
                <w:rFonts w:ascii="宋体" w:hAnsi="宋体" w:cs="宋体"/>
                <w:color w:val="auto"/>
                <w:szCs w:val="21"/>
                <w:highlight w:val="none"/>
              </w:rPr>
            </w:pPr>
            <w:r>
              <w:rPr>
                <w:rFonts w:hint="eastAsia" w:ascii="宋体" w:hAnsi="宋体" w:cs="宋体"/>
                <w:color w:val="auto"/>
                <w:highlight w:val="none"/>
              </w:rPr>
              <w:t>现场提交质疑办理业务时间</w:t>
            </w:r>
          </w:p>
        </w:tc>
        <w:tc>
          <w:tcPr>
            <w:tcW w:w="6599" w:type="dxa"/>
            <w:noWrap w:val="0"/>
            <w:vAlign w:val="center"/>
          </w:tcPr>
          <w:p w14:paraId="49E2BC27">
            <w:pPr>
              <w:snapToGrid w:val="0"/>
              <w:spacing w:line="400" w:lineRule="exact"/>
              <w:rPr>
                <w:rFonts w:ascii="宋体" w:hAnsi="宋体" w:cs="宋体"/>
                <w:color w:val="auto"/>
                <w:szCs w:val="21"/>
                <w:highlight w:val="none"/>
              </w:rPr>
            </w:pPr>
            <w:r>
              <w:rPr>
                <w:rFonts w:hint="eastAsia" w:ascii="宋体" w:hAnsi="宋体" w:cs="宋体"/>
                <w:color w:val="auto"/>
                <w:highlight w:val="none"/>
              </w:rPr>
              <w:t>质疑期内每个工作日（北京时间）上午</w:t>
            </w:r>
            <w:r>
              <w:rPr>
                <w:rFonts w:hint="eastAsia" w:ascii="宋体" w:hAnsi="宋体" w:cs="宋体"/>
                <w:color w:val="auto"/>
                <w:highlight w:val="none"/>
                <w:u w:val="single"/>
              </w:rPr>
              <w:t>8</w:t>
            </w:r>
            <w:r>
              <w:rPr>
                <w:rFonts w:hint="eastAsia" w:ascii="宋体" w:hAnsi="宋体" w:cs="宋体"/>
                <w:color w:val="auto"/>
                <w:highlight w:val="none"/>
              </w:rPr>
              <w:t>时</w:t>
            </w:r>
            <w:r>
              <w:rPr>
                <w:rFonts w:hint="eastAsia" w:ascii="宋体" w:hAnsi="宋体" w:cs="宋体"/>
                <w:color w:val="auto"/>
                <w:highlight w:val="none"/>
                <w:u w:val="single"/>
              </w:rPr>
              <w:t>00</w:t>
            </w:r>
            <w:r>
              <w:rPr>
                <w:rFonts w:hint="eastAsia" w:ascii="宋体" w:hAnsi="宋体" w:cs="宋体"/>
                <w:color w:val="auto"/>
                <w:highlight w:val="none"/>
              </w:rPr>
              <w:t>分到</w:t>
            </w:r>
            <w:r>
              <w:rPr>
                <w:rFonts w:hint="eastAsia" w:ascii="宋体" w:hAnsi="宋体" w:cs="宋体"/>
                <w:color w:val="auto"/>
                <w:highlight w:val="none"/>
                <w:u w:val="single"/>
              </w:rPr>
              <w:t>12</w:t>
            </w:r>
            <w:r>
              <w:rPr>
                <w:rFonts w:hint="eastAsia" w:ascii="宋体" w:hAnsi="宋体" w:cs="宋体"/>
                <w:color w:val="auto"/>
                <w:highlight w:val="none"/>
              </w:rPr>
              <w:t>时</w:t>
            </w:r>
            <w:r>
              <w:rPr>
                <w:rFonts w:hint="eastAsia" w:ascii="宋体" w:hAnsi="宋体" w:cs="宋体"/>
                <w:color w:val="auto"/>
                <w:highlight w:val="none"/>
                <w:u w:val="single"/>
              </w:rPr>
              <w:t>00</w:t>
            </w:r>
            <w:r>
              <w:rPr>
                <w:rFonts w:hint="eastAsia" w:ascii="宋体" w:hAnsi="宋体" w:cs="宋体"/>
                <w:color w:val="auto"/>
                <w:highlight w:val="none"/>
              </w:rPr>
              <w:t>分，下午</w:t>
            </w:r>
            <w:r>
              <w:rPr>
                <w:rFonts w:hint="eastAsia" w:ascii="宋体" w:hAnsi="宋体" w:cs="宋体"/>
                <w:color w:val="auto"/>
                <w:highlight w:val="none"/>
                <w:u w:val="single"/>
              </w:rPr>
              <w:t>15</w:t>
            </w:r>
            <w:r>
              <w:rPr>
                <w:rFonts w:hint="eastAsia" w:ascii="宋体" w:hAnsi="宋体" w:cs="宋体"/>
                <w:color w:val="auto"/>
                <w:highlight w:val="none"/>
              </w:rPr>
              <w:t>时</w:t>
            </w:r>
            <w:r>
              <w:rPr>
                <w:rFonts w:hint="eastAsia" w:ascii="宋体" w:hAnsi="宋体" w:cs="宋体"/>
                <w:color w:val="auto"/>
                <w:highlight w:val="none"/>
                <w:u w:val="single"/>
              </w:rPr>
              <w:t>00</w:t>
            </w:r>
            <w:r>
              <w:rPr>
                <w:rFonts w:hint="eastAsia" w:ascii="宋体" w:hAnsi="宋体" w:cs="宋体"/>
                <w:color w:val="auto"/>
                <w:highlight w:val="none"/>
              </w:rPr>
              <w:t>分到</w:t>
            </w:r>
            <w:r>
              <w:rPr>
                <w:rFonts w:hint="eastAsia" w:ascii="宋体" w:hAnsi="宋体" w:cs="宋体"/>
                <w:color w:val="auto"/>
                <w:highlight w:val="none"/>
                <w:u w:val="single"/>
              </w:rPr>
              <w:t>18</w:t>
            </w:r>
            <w:r>
              <w:rPr>
                <w:rFonts w:hint="eastAsia" w:ascii="宋体" w:hAnsi="宋体" w:cs="宋体"/>
                <w:color w:val="auto"/>
                <w:highlight w:val="none"/>
              </w:rPr>
              <w:t>时</w:t>
            </w:r>
            <w:r>
              <w:rPr>
                <w:rFonts w:hint="eastAsia" w:ascii="宋体" w:hAnsi="宋体" w:cs="宋体"/>
                <w:color w:val="auto"/>
                <w:highlight w:val="none"/>
                <w:u w:val="single"/>
              </w:rPr>
              <w:t>00</w:t>
            </w:r>
            <w:r>
              <w:rPr>
                <w:rFonts w:hint="eastAsia" w:ascii="宋体" w:hAnsi="宋体" w:cs="宋体"/>
                <w:color w:val="auto"/>
                <w:highlight w:val="none"/>
              </w:rPr>
              <w:t>分。</w:t>
            </w:r>
          </w:p>
        </w:tc>
      </w:tr>
      <w:tr w14:paraId="7D151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37B9D3D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30.6</w:t>
            </w:r>
          </w:p>
        </w:tc>
        <w:tc>
          <w:tcPr>
            <w:tcW w:w="2060" w:type="dxa"/>
            <w:noWrap w:val="0"/>
            <w:vAlign w:val="center"/>
          </w:tcPr>
          <w:p w14:paraId="1914F28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受理投诉方式</w:t>
            </w:r>
          </w:p>
        </w:tc>
        <w:tc>
          <w:tcPr>
            <w:tcW w:w="6599" w:type="dxa"/>
            <w:noWrap w:val="0"/>
            <w:vAlign w:val="center"/>
          </w:tcPr>
          <w:p w14:paraId="4B2F01AA">
            <w:pPr>
              <w:snapToGrid w:val="0"/>
              <w:spacing w:line="400" w:lineRule="exact"/>
              <w:rPr>
                <w:rFonts w:ascii="Calibri"/>
                <w:color w:val="auto"/>
                <w:highlight w:val="none"/>
              </w:rPr>
            </w:pPr>
            <w:r>
              <w:rPr>
                <w:rFonts w:hint="eastAsia" w:ascii="Calibri"/>
                <w:color w:val="auto"/>
                <w:highlight w:val="none"/>
              </w:rPr>
              <w:t>1.受理方式：纸质方式受理，投诉书正、副本（经过质疑的事项才可投诉）。</w:t>
            </w:r>
          </w:p>
          <w:p w14:paraId="49B57B2C">
            <w:pPr>
              <w:snapToGrid w:val="0"/>
              <w:spacing w:line="400" w:lineRule="exact"/>
              <w:rPr>
                <w:rFonts w:ascii="Calibri"/>
                <w:color w:val="auto"/>
                <w:highlight w:val="none"/>
              </w:rPr>
            </w:pPr>
            <w:r>
              <w:rPr>
                <w:rFonts w:hint="eastAsia" w:ascii="Calibri"/>
                <w:color w:val="auto"/>
                <w:highlight w:val="none"/>
              </w:rPr>
              <w:t>2.通讯方式</w:t>
            </w:r>
          </w:p>
          <w:p w14:paraId="7D9DD43F">
            <w:pPr>
              <w:snapToGrid w:val="0"/>
              <w:spacing w:line="400" w:lineRule="exact"/>
              <w:rPr>
                <w:rFonts w:ascii="Calibri"/>
                <w:color w:val="auto"/>
                <w:highlight w:val="none"/>
              </w:rPr>
            </w:pPr>
            <w:r>
              <w:rPr>
                <w:rFonts w:hint="eastAsia" w:ascii="Calibri"/>
                <w:color w:val="auto"/>
                <w:highlight w:val="none"/>
              </w:rPr>
              <w:t>名称：广西壮族自治区财政厅政府采购监督管理处</w:t>
            </w:r>
          </w:p>
          <w:p w14:paraId="3ADFC348">
            <w:pPr>
              <w:snapToGrid w:val="0"/>
              <w:spacing w:line="400" w:lineRule="exact"/>
              <w:rPr>
                <w:rFonts w:ascii="Calibri"/>
                <w:color w:val="auto"/>
                <w:highlight w:val="none"/>
              </w:rPr>
            </w:pPr>
            <w:r>
              <w:rPr>
                <w:rFonts w:hint="eastAsia" w:ascii="Calibri"/>
                <w:color w:val="auto"/>
                <w:highlight w:val="none"/>
              </w:rPr>
              <w:t>地址：南宁市桃源路69号</w:t>
            </w:r>
          </w:p>
          <w:p w14:paraId="398A4981">
            <w:pPr>
              <w:snapToGrid w:val="0"/>
              <w:spacing w:line="400" w:lineRule="exact"/>
              <w:rPr>
                <w:rFonts w:ascii="宋体" w:hAnsi="宋体" w:cs="宋体"/>
                <w:color w:val="auto"/>
                <w:highlight w:val="none"/>
              </w:rPr>
            </w:pPr>
            <w:r>
              <w:rPr>
                <w:rFonts w:hint="eastAsia" w:ascii="Calibri"/>
                <w:color w:val="auto"/>
                <w:highlight w:val="none"/>
              </w:rPr>
              <w:t>联系电话：</w:t>
            </w:r>
            <w:r>
              <w:rPr>
                <w:rFonts w:hint="eastAsia" w:ascii="宋体" w:hAnsi="宋体" w:cs="宋体"/>
                <w:color w:val="auto"/>
                <w:szCs w:val="21"/>
                <w:highlight w:val="none"/>
              </w:rPr>
              <w:t>0771-5331539、5331544</w:t>
            </w:r>
          </w:p>
        </w:tc>
      </w:tr>
      <w:tr w14:paraId="695AF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6E46C1B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32</w:t>
            </w:r>
          </w:p>
        </w:tc>
        <w:tc>
          <w:tcPr>
            <w:tcW w:w="2060" w:type="dxa"/>
            <w:noWrap w:val="0"/>
            <w:vAlign w:val="center"/>
          </w:tcPr>
          <w:p w14:paraId="4111335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采购代理服务费</w:t>
            </w:r>
          </w:p>
        </w:tc>
        <w:tc>
          <w:tcPr>
            <w:tcW w:w="6599" w:type="dxa"/>
            <w:noWrap w:val="0"/>
            <w:vAlign w:val="center"/>
          </w:tcPr>
          <w:p w14:paraId="2466C931">
            <w:pPr>
              <w:snapToGrid w:val="0"/>
              <w:spacing w:line="400" w:lineRule="exact"/>
              <w:rPr>
                <w:rFonts w:cs="宋体"/>
                <w:color w:val="auto"/>
                <w:kern w:val="0"/>
                <w:szCs w:val="21"/>
                <w:highlight w:val="none"/>
              </w:rPr>
            </w:pPr>
            <w:r>
              <w:rPr>
                <w:rFonts w:hint="eastAsia" w:cs="宋体"/>
                <w:color w:val="auto"/>
                <w:kern w:val="0"/>
                <w:szCs w:val="21"/>
                <w:highlight w:val="none"/>
              </w:rPr>
              <w:t>1. 是否收取</w:t>
            </w:r>
            <w:r>
              <w:rPr>
                <w:rFonts w:hint="eastAsia" w:ascii="宋体" w:hAnsi="宋体" w:cs="宋体"/>
                <w:color w:val="auto"/>
                <w:szCs w:val="21"/>
                <w:highlight w:val="none"/>
              </w:rPr>
              <w:t>采购代理服务费</w:t>
            </w:r>
            <w:r>
              <w:rPr>
                <w:rFonts w:hint="eastAsia" w:cs="宋体"/>
                <w:color w:val="auto"/>
                <w:kern w:val="0"/>
                <w:szCs w:val="21"/>
                <w:highlight w:val="none"/>
              </w:rPr>
              <w:t>：</w:t>
            </w:r>
          </w:p>
          <w:p w14:paraId="33F36B8B">
            <w:pPr>
              <w:snapToGrid w:val="0"/>
              <w:spacing w:line="400" w:lineRule="exact"/>
              <w:rPr>
                <w:rFonts w:cs="宋体"/>
                <w:color w:val="auto"/>
                <w:kern w:val="0"/>
                <w:szCs w:val="21"/>
                <w:highlight w:val="none"/>
              </w:rPr>
            </w:pPr>
            <w:r>
              <w:rPr>
                <w:rFonts w:hint="eastAsia" w:cs="宋体"/>
                <w:color w:val="auto"/>
                <w:kern w:val="0"/>
                <w:szCs w:val="21"/>
                <w:highlight w:val="none"/>
              </w:rPr>
              <w:sym w:font="Wingdings 2" w:char="0052"/>
            </w:r>
            <w:r>
              <w:rPr>
                <w:rFonts w:hint="eastAsia" w:cs="宋体"/>
                <w:color w:val="auto"/>
                <w:kern w:val="0"/>
                <w:szCs w:val="21"/>
                <w:highlight w:val="none"/>
              </w:rPr>
              <w:t>是    □ 否</w:t>
            </w:r>
          </w:p>
          <w:p w14:paraId="50A666B4">
            <w:pPr>
              <w:snapToGrid w:val="0"/>
              <w:spacing w:line="400" w:lineRule="exact"/>
              <w:rPr>
                <w:rFonts w:cs="宋体"/>
                <w:color w:val="auto"/>
                <w:kern w:val="0"/>
                <w:szCs w:val="21"/>
                <w:highlight w:val="none"/>
              </w:rPr>
            </w:pPr>
            <w:r>
              <w:rPr>
                <w:rFonts w:hint="eastAsia" w:cs="宋体"/>
                <w:color w:val="auto"/>
                <w:kern w:val="0"/>
                <w:szCs w:val="21"/>
                <w:highlight w:val="none"/>
              </w:rPr>
              <w:t>2.采购代理服务费支付方式：</w:t>
            </w:r>
          </w:p>
          <w:p w14:paraId="6836ED43">
            <w:pPr>
              <w:snapToGrid w:val="0"/>
              <w:spacing w:line="400" w:lineRule="exact"/>
              <w:rPr>
                <w:rFonts w:cs="宋体"/>
                <w:color w:val="auto"/>
                <w:kern w:val="0"/>
                <w:szCs w:val="21"/>
                <w:highlight w:val="none"/>
              </w:rPr>
            </w:pPr>
            <w:r>
              <w:rPr>
                <w:rFonts w:hint="eastAsia" w:cs="宋体"/>
                <w:color w:val="auto"/>
                <w:kern w:val="0"/>
                <w:szCs w:val="21"/>
                <w:highlight w:val="none"/>
              </w:rPr>
              <w:sym w:font="Wingdings 2" w:char="0052"/>
            </w:r>
            <w:r>
              <w:rPr>
                <w:rFonts w:hint="eastAsia" w:cs="宋体"/>
                <w:color w:val="auto"/>
                <w:kern w:val="0"/>
                <w:szCs w:val="21"/>
                <w:highlight w:val="none"/>
              </w:rPr>
              <w:t>本项目采购代理服务费由</w:t>
            </w:r>
            <w:r>
              <w:rPr>
                <w:rFonts w:hint="eastAsia" w:cs="宋体"/>
                <w:color w:val="auto"/>
                <w:kern w:val="0"/>
                <w:szCs w:val="21"/>
                <w:highlight w:val="none"/>
                <w:u w:val="single"/>
              </w:rPr>
              <w:t>成交供应商</w:t>
            </w:r>
            <w:r>
              <w:rPr>
                <w:rFonts w:hint="eastAsia" w:cs="宋体"/>
                <w:color w:val="auto"/>
                <w:kern w:val="0"/>
                <w:szCs w:val="21"/>
                <w:highlight w:val="none"/>
              </w:rPr>
              <w:t>在签订合同前，</w:t>
            </w:r>
            <w:r>
              <w:rPr>
                <w:rFonts w:hint="eastAsia" w:hAnsi="宋体" w:cs="宋体"/>
                <w:color w:val="auto"/>
                <w:highlight w:val="none"/>
              </w:rPr>
              <w:t>以银行转账、电汇等方式</w:t>
            </w:r>
            <w:r>
              <w:rPr>
                <w:rFonts w:hint="eastAsia" w:cs="宋体"/>
                <w:color w:val="auto"/>
                <w:kern w:val="0"/>
                <w:szCs w:val="21"/>
                <w:highlight w:val="none"/>
              </w:rPr>
              <w:t>一次性向采购代理机构支付。</w:t>
            </w:r>
          </w:p>
          <w:p w14:paraId="18B763A3">
            <w:pPr>
              <w:snapToGrid w:val="0"/>
              <w:spacing w:line="400" w:lineRule="exact"/>
              <w:rPr>
                <w:rFonts w:cs="宋体"/>
                <w:color w:val="auto"/>
                <w:kern w:val="0"/>
                <w:szCs w:val="21"/>
                <w:highlight w:val="none"/>
              </w:rPr>
            </w:pPr>
            <w:r>
              <w:rPr>
                <w:rFonts w:hint="eastAsia" w:cs="宋体"/>
                <w:color w:val="auto"/>
                <w:kern w:val="0"/>
                <w:szCs w:val="21"/>
                <w:highlight w:val="none"/>
              </w:rPr>
              <w:t>□采购人支付</w:t>
            </w:r>
          </w:p>
          <w:p w14:paraId="7D808BA5">
            <w:pPr>
              <w:snapToGrid w:val="0"/>
              <w:spacing w:line="400" w:lineRule="exact"/>
              <w:rPr>
                <w:rFonts w:cs="宋体"/>
                <w:color w:val="auto"/>
                <w:kern w:val="0"/>
                <w:szCs w:val="21"/>
                <w:highlight w:val="none"/>
              </w:rPr>
            </w:pPr>
            <w:r>
              <w:rPr>
                <w:rFonts w:hint="eastAsia" w:cs="宋体"/>
                <w:color w:val="auto"/>
                <w:kern w:val="0"/>
                <w:szCs w:val="21"/>
                <w:highlight w:val="none"/>
              </w:rPr>
              <w:t>3.采购代理服务费收取标准：</w:t>
            </w:r>
          </w:p>
          <w:p w14:paraId="7ADD725B">
            <w:pPr>
              <w:snapToGrid w:val="0"/>
              <w:spacing w:line="400" w:lineRule="exact"/>
              <w:rPr>
                <w:rFonts w:cs="宋体"/>
                <w:color w:val="auto"/>
                <w:kern w:val="0"/>
                <w:szCs w:val="21"/>
                <w:highlight w:val="none"/>
              </w:rPr>
            </w:pPr>
            <w:r>
              <w:rPr>
                <w:rFonts w:hint="eastAsia" w:cs="宋体"/>
                <w:color w:val="auto"/>
                <w:kern w:val="0"/>
                <w:szCs w:val="21"/>
                <w:highlight w:val="none"/>
              </w:rPr>
              <w:sym w:font="Wingdings 2" w:char="0052"/>
            </w:r>
            <w:r>
              <w:rPr>
                <w:rFonts w:hint="eastAsia" w:cs="宋体"/>
                <w:color w:val="auto"/>
                <w:kern w:val="0"/>
                <w:szCs w:val="21"/>
                <w:highlight w:val="none"/>
              </w:rPr>
              <w:t>以分标/项目（</w:t>
            </w:r>
            <w:r>
              <w:rPr>
                <w:rFonts w:hint="eastAsia" w:cs="宋体"/>
                <w:color w:val="auto"/>
                <w:kern w:val="0"/>
                <w:szCs w:val="21"/>
                <w:highlight w:val="none"/>
              </w:rPr>
              <w:sym w:font="Wingdings 2" w:char="00A3"/>
            </w:r>
            <w:r>
              <w:rPr>
                <w:rFonts w:hint="eastAsia" w:cs="宋体"/>
                <w:color w:val="auto"/>
                <w:kern w:val="0"/>
                <w:szCs w:val="21"/>
                <w:highlight w:val="none"/>
              </w:rPr>
              <w:t>成交总金额/</w:t>
            </w:r>
            <w:r>
              <w:rPr>
                <w:rFonts w:hint="eastAsia" w:cs="宋体"/>
                <w:color w:val="auto"/>
                <w:kern w:val="0"/>
                <w:szCs w:val="21"/>
                <w:highlight w:val="none"/>
              </w:rPr>
              <w:sym w:font="Wingdings 2" w:char="0052"/>
            </w:r>
            <w:r>
              <w:rPr>
                <w:rFonts w:hint="eastAsia" w:cs="宋体"/>
                <w:color w:val="auto"/>
                <w:kern w:val="0"/>
                <w:szCs w:val="21"/>
                <w:highlight w:val="none"/>
              </w:rPr>
              <w:t>采购预算/□暂定成交金额/□其他</w:t>
            </w:r>
            <w:r>
              <w:rPr>
                <w:rFonts w:hint="eastAsia" w:cs="宋体"/>
                <w:color w:val="auto"/>
                <w:kern w:val="0"/>
                <w:szCs w:val="21"/>
                <w:highlight w:val="none"/>
                <w:u w:val="single"/>
              </w:rPr>
              <w:t xml:space="preserve"> </w:t>
            </w:r>
            <w:r>
              <w:rPr>
                <w:rFonts w:cs="宋体"/>
                <w:color w:val="auto"/>
                <w:kern w:val="0"/>
                <w:szCs w:val="21"/>
                <w:highlight w:val="none"/>
                <w:u w:val="single"/>
              </w:rPr>
              <w:t xml:space="preserve">  </w:t>
            </w:r>
            <w:r>
              <w:rPr>
                <w:rFonts w:hint="eastAsia" w:cs="宋体"/>
                <w:color w:val="auto"/>
                <w:kern w:val="0"/>
                <w:szCs w:val="21"/>
                <w:highlight w:val="none"/>
              </w:rPr>
              <w:t>）为计费额，按</w:t>
            </w:r>
            <w:r>
              <w:rPr>
                <w:rFonts w:hint="eastAsia" w:hAnsi="宋体" w:cs="宋体"/>
                <w:color w:val="auto"/>
                <w:highlight w:val="none"/>
              </w:rPr>
              <w:t>本须知正文第32.</w:t>
            </w:r>
            <w:r>
              <w:rPr>
                <w:rFonts w:hAnsi="宋体" w:cs="宋体"/>
                <w:color w:val="auto"/>
                <w:highlight w:val="none"/>
              </w:rPr>
              <w:t>2</w:t>
            </w:r>
            <w:r>
              <w:rPr>
                <w:rFonts w:hint="eastAsia" w:hAnsi="宋体" w:cs="宋体"/>
                <w:color w:val="auto"/>
                <w:highlight w:val="none"/>
              </w:rPr>
              <w:t>条规定的（服务类）收费计算标准</w:t>
            </w:r>
            <w:r>
              <w:rPr>
                <w:rFonts w:hint="eastAsia" w:cs="宋体"/>
                <w:color w:val="auto"/>
                <w:kern w:val="0"/>
                <w:szCs w:val="21"/>
                <w:highlight w:val="none"/>
              </w:rPr>
              <w:t>采用差额定率累进法计算出收费基准价格，采购代理机构收费以（</w:t>
            </w:r>
            <w:r>
              <w:rPr>
                <w:rFonts w:hint="eastAsia" w:cs="宋体"/>
                <w:color w:val="auto"/>
                <w:kern w:val="0"/>
                <w:szCs w:val="21"/>
                <w:highlight w:val="none"/>
              </w:rPr>
              <w:sym w:font="Wingdings 2" w:char="0052"/>
            </w:r>
            <w:r>
              <w:rPr>
                <w:rFonts w:hint="eastAsia" w:cs="宋体"/>
                <w:color w:val="auto"/>
                <w:kern w:val="0"/>
                <w:szCs w:val="21"/>
                <w:highlight w:val="none"/>
              </w:rPr>
              <w:t>收费基准价格/□收费基准价格下浮</w:t>
            </w:r>
            <w:r>
              <w:rPr>
                <w:rFonts w:hint="eastAsia" w:cs="宋体"/>
                <w:color w:val="auto"/>
                <w:kern w:val="0"/>
                <w:szCs w:val="21"/>
                <w:highlight w:val="none"/>
                <w:u w:val="single"/>
              </w:rPr>
              <w:t xml:space="preserve"> </w:t>
            </w:r>
            <w:r>
              <w:rPr>
                <w:rFonts w:cs="宋体"/>
                <w:color w:val="auto"/>
                <w:kern w:val="0"/>
                <w:szCs w:val="21"/>
                <w:highlight w:val="none"/>
                <w:u w:val="single"/>
              </w:rPr>
              <w:t xml:space="preserve"> </w:t>
            </w:r>
            <w:r>
              <w:rPr>
                <w:rFonts w:hint="eastAsia" w:cs="宋体"/>
                <w:color w:val="auto"/>
                <w:kern w:val="0"/>
                <w:szCs w:val="21"/>
                <w:highlight w:val="none"/>
                <w:u w:val="single"/>
              </w:rPr>
              <w:t>%</w:t>
            </w:r>
            <w:r>
              <w:rPr>
                <w:rFonts w:cs="宋体"/>
                <w:color w:val="auto"/>
                <w:kern w:val="0"/>
                <w:szCs w:val="21"/>
                <w:highlight w:val="none"/>
              </w:rPr>
              <w:t>/</w:t>
            </w:r>
            <w:r>
              <w:rPr>
                <w:rFonts w:hint="eastAsia" w:cs="宋体"/>
                <w:color w:val="auto"/>
                <w:kern w:val="0"/>
                <w:szCs w:val="21"/>
                <w:highlight w:val="none"/>
              </w:rPr>
              <w:t>□收费基准价格上浮</w:t>
            </w:r>
            <w:r>
              <w:rPr>
                <w:rFonts w:hint="eastAsia" w:cs="宋体"/>
                <w:color w:val="auto"/>
                <w:kern w:val="0"/>
                <w:szCs w:val="21"/>
                <w:highlight w:val="none"/>
                <w:u w:val="single"/>
              </w:rPr>
              <w:t xml:space="preserve"> </w:t>
            </w:r>
            <w:r>
              <w:rPr>
                <w:rFonts w:cs="宋体"/>
                <w:color w:val="auto"/>
                <w:kern w:val="0"/>
                <w:szCs w:val="21"/>
                <w:highlight w:val="none"/>
                <w:u w:val="single"/>
              </w:rPr>
              <w:t xml:space="preserve">  </w:t>
            </w:r>
            <w:r>
              <w:rPr>
                <w:rFonts w:hint="eastAsia" w:cs="宋体"/>
                <w:color w:val="auto"/>
                <w:kern w:val="0"/>
                <w:szCs w:val="21"/>
                <w:highlight w:val="none"/>
                <w:u w:val="single"/>
              </w:rPr>
              <w:t>%</w:t>
            </w:r>
            <w:r>
              <w:rPr>
                <w:rFonts w:hint="eastAsia" w:cs="宋体"/>
                <w:color w:val="auto"/>
                <w:kern w:val="0"/>
                <w:szCs w:val="21"/>
                <w:highlight w:val="none"/>
              </w:rPr>
              <w:t>）收取，</w:t>
            </w:r>
            <w:r>
              <w:rPr>
                <w:rFonts w:hint="eastAsia" w:hAnsi="宋体" w:cs="宋体"/>
                <w:color w:val="auto"/>
                <w:highlight w:val="none"/>
              </w:rPr>
              <w:t>如按前述方式计算出来的对应分标采购代理服务费不足人民币陆仟元整的，按人民币陆仟元</w:t>
            </w:r>
            <w:r>
              <w:rPr>
                <w:rFonts w:hint="eastAsia"/>
                <w:color w:val="auto"/>
                <w:highlight w:val="none"/>
              </w:rPr>
              <w:t>整</w:t>
            </w:r>
            <w:r>
              <w:rPr>
                <w:rFonts w:hint="eastAsia" w:hAnsi="宋体" w:cs="宋体"/>
                <w:color w:val="auto"/>
                <w:highlight w:val="none"/>
              </w:rPr>
              <w:t>收取</w:t>
            </w:r>
            <w:r>
              <w:rPr>
                <w:rFonts w:hint="eastAsia" w:cs="宋体"/>
                <w:color w:val="auto"/>
                <w:kern w:val="0"/>
                <w:szCs w:val="21"/>
                <w:highlight w:val="none"/>
              </w:rPr>
              <w:t>。</w:t>
            </w:r>
          </w:p>
          <w:p w14:paraId="319D0167">
            <w:pPr>
              <w:snapToGrid w:val="0"/>
              <w:spacing w:line="400" w:lineRule="exact"/>
              <w:rPr>
                <w:rFonts w:cs="宋体"/>
                <w:color w:val="auto"/>
                <w:kern w:val="0"/>
                <w:szCs w:val="21"/>
                <w:highlight w:val="none"/>
                <w:u w:val="single"/>
              </w:rPr>
            </w:pPr>
            <w:r>
              <w:rPr>
                <w:rFonts w:hint="eastAsia" w:cs="宋体"/>
                <w:color w:val="auto"/>
                <w:kern w:val="0"/>
                <w:szCs w:val="21"/>
                <w:highlight w:val="none"/>
              </w:rPr>
              <w:t>□固定采购代理收费：</w:t>
            </w:r>
            <w:r>
              <w:rPr>
                <w:rFonts w:hint="eastAsia" w:cs="宋体"/>
                <w:color w:val="auto"/>
                <w:kern w:val="0"/>
                <w:szCs w:val="21"/>
                <w:highlight w:val="none"/>
                <w:u w:val="single"/>
              </w:rPr>
              <w:t xml:space="preserve">           。</w:t>
            </w:r>
          </w:p>
          <w:p w14:paraId="4C7A433B">
            <w:pPr>
              <w:snapToGrid w:val="0"/>
              <w:spacing w:line="400" w:lineRule="exact"/>
              <w:rPr>
                <w:rFonts w:cs="宋体"/>
                <w:color w:val="auto"/>
                <w:kern w:val="0"/>
                <w:szCs w:val="21"/>
                <w:highlight w:val="none"/>
              </w:rPr>
            </w:pPr>
            <w:r>
              <w:rPr>
                <w:rFonts w:hint="eastAsia" w:cs="宋体"/>
                <w:color w:val="auto"/>
                <w:kern w:val="0"/>
                <w:szCs w:val="21"/>
                <w:highlight w:val="none"/>
              </w:rPr>
              <w:t>4. 采购代理服务费收取银行账户的信息</w:t>
            </w:r>
          </w:p>
          <w:p w14:paraId="5819170E">
            <w:pPr>
              <w:snapToGrid w:val="0"/>
              <w:spacing w:line="400" w:lineRule="exact"/>
              <w:rPr>
                <w:rFonts w:cs="宋体"/>
                <w:color w:val="auto"/>
                <w:kern w:val="0"/>
                <w:szCs w:val="21"/>
                <w:highlight w:val="none"/>
              </w:rPr>
            </w:pPr>
            <w:r>
              <w:rPr>
                <w:rFonts w:hint="eastAsia" w:cs="宋体"/>
                <w:color w:val="auto"/>
                <w:kern w:val="0"/>
                <w:szCs w:val="21"/>
                <w:highlight w:val="none"/>
              </w:rPr>
              <w:t>开户名称：广西科联招标中心有限公司</w:t>
            </w:r>
          </w:p>
          <w:p w14:paraId="5C179D0A">
            <w:pPr>
              <w:snapToGrid w:val="0"/>
              <w:spacing w:line="400" w:lineRule="exact"/>
              <w:rPr>
                <w:rFonts w:cs="宋体"/>
                <w:color w:val="auto"/>
                <w:kern w:val="0"/>
                <w:szCs w:val="21"/>
                <w:highlight w:val="none"/>
              </w:rPr>
            </w:pPr>
            <w:r>
              <w:rPr>
                <w:rFonts w:hint="eastAsia" w:cs="宋体"/>
                <w:color w:val="auto"/>
                <w:kern w:val="0"/>
                <w:szCs w:val="21"/>
                <w:highlight w:val="none"/>
              </w:rPr>
              <w:t xml:space="preserve">开户银行：中国工商银行南宁市高新科技支行 </w:t>
            </w:r>
          </w:p>
          <w:p w14:paraId="0F716E29">
            <w:pPr>
              <w:snapToGrid w:val="0"/>
              <w:spacing w:line="400" w:lineRule="exact"/>
              <w:rPr>
                <w:rFonts w:cs="宋体"/>
                <w:color w:val="auto"/>
                <w:kern w:val="0"/>
                <w:szCs w:val="21"/>
                <w:highlight w:val="none"/>
              </w:rPr>
            </w:pPr>
            <w:r>
              <w:rPr>
                <w:rFonts w:hint="eastAsia" w:cs="宋体"/>
                <w:color w:val="auto"/>
                <w:kern w:val="0"/>
                <w:szCs w:val="21"/>
                <w:highlight w:val="none"/>
              </w:rPr>
              <w:t xml:space="preserve">银行账号：2102111229300032105 </w:t>
            </w:r>
          </w:p>
          <w:p w14:paraId="48DBE57C">
            <w:pPr>
              <w:snapToGrid w:val="0"/>
              <w:spacing w:line="400" w:lineRule="exact"/>
              <w:rPr>
                <w:rFonts w:ascii="宋体" w:hAnsi="宋体" w:cs="宋体"/>
                <w:color w:val="auto"/>
                <w:kern w:val="0"/>
                <w:szCs w:val="21"/>
                <w:highlight w:val="none"/>
              </w:rPr>
            </w:pPr>
            <w:r>
              <w:rPr>
                <w:rFonts w:hint="eastAsia" w:cs="宋体"/>
                <w:color w:val="auto"/>
                <w:kern w:val="0"/>
                <w:szCs w:val="21"/>
                <w:highlight w:val="none"/>
              </w:rPr>
              <w:t>开户行行号：102611011101</w:t>
            </w:r>
          </w:p>
        </w:tc>
      </w:tr>
      <w:tr w14:paraId="4AC84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2D1C1A2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33.1</w:t>
            </w:r>
          </w:p>
        </w:tc>
        <w:tc>
          <w:tcPr>
            <w:tcW w:w="2060" w:type="dxa"/>
            <w:noWrap w:val="0"/>
            <w:vAlign w:val="center"/>
          </w:tcPr>
          <w:p w14:paraId="09B07FCB">
            <w:pPr>
              <w:spacing w:line="400" w:lineRule="exact"/>
              <w:jc w:val="center"/>
              <w:rPr>
                <w:rFonts w:ascii="宋体" w:hAnsi="宋体" w:cs="宋体"/>
                <w:color w:val="auto"/>
                <w:szCs w:val="21"/>
                <w:highlight w:val="none"/>
              </w:rPr>
            </w:pPr>
            <w:r>
              <w:rPr>
                <w:rFonts w:hint="eastAsia" w:ascii="宋体" w:hAnsi="宋体" w:cs="宋体"/>
                <w:color w:val="auto"/>
                <w:highlight w:val="none"/>
              </w:rPr>
              <w:t>解释</w:t>
            </w:r>
          </w:p>
        </w:tc>
        <w:tc>
          <w:tcPr>
            <w:tcW w:w="6599" w:type="dxa"/>
            <w:noWrap w:val="0"/>
            <w:vAlign w:val="center"/>
          </w:tcPr>
          <w:p w14:paraId="02070093">
            <w:pPr>
              <w:snapToGrid w:val="0"/>
              <w:spacing w:line="400" w:lineRule="exact"/>
              <w:rPr>
                <w:rFonts w:ascii="宋体" w:hAnsi="宋体" w:cs="宋体"/>
                <w:b/>
                <w:color w:val="auto"/>
                <w:kern w:val="0"/>
                <w:szCs w:val="21"/>
                <w:highlight w:val="none"/>
              </w:rPr>
            </w:pPr>
            <w:r>
              <w:rPr>
                <w:rFonts w:hint="eastAsia" w:ascii="宋体" w:hAnsi="宋体" w:cs="宋体"/>
                <w:b/>
                <w:color w:val="auto"/>
                <w:kern w:val="0"/>
                <w:szCs w:val="21"/>
                <w:highlight w:val="none"/>
              </w:rPr>
              <w:t>解释：</w:t>
            </w:r>
            <w:r>
              <w:rPr>
                <w:rFonts w:hint="eastAsia" w:ascii="宋体" w:hAnsi="宋体" w:cs="宋体"/>
                <w:color w:val="auto"/>
                <w:kern w:val="0"/>
                <w:szCs w:val="21"/>
                <w:highlight w:val="none"/>
              </w:rPr>
              <w:t>构成本竞争性磋商文件的各个组成文件应互为解释，互为说明；除竞争性磋商文件中有特别规定外，仅适用于竞标阶段的规定，按更正公告（澄清公告）、竞争性磋商公告、采购需求、供应商须知、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cs="宋体"/>
                <w:b/>
                <w:color w:val="auto"/>
                <w:kern w:val="0"/>
                <w:szCs w:val="21"/>
                <w:highlight w:val="none"/>
              </w:rPr>
              <w:t>由采购人或者采购代理机构负责解释。</w:t>
            </w:r>
          </w:p>
          <w:p w14:paraId="462A9452">
            <w:pPr>
              <w:snapToGrid w:val="0"/>
              <w:spacing w:line="400" w:lineRule="exact"/>
              <w:rPr>
                <w:rFonts w:ascii="宋体" w:hAnsi="宋体" w:cs="宋体"/>
                <w:b/>
                <w:color w:val="auto"/>
                <w:kern w:val="0"/>
                <w:szCs w:val="21"/>
                <w:highlight w:val="none"/>
              </w:rPr>
            </w:pPr>
            <w:r>
              <w:rPr>
                <w:rFonts w:hint="eastAsia" w:ascii="宋体" w:hAnsi="宋体" w:cs="宋体"/>
                <w:b/>
                <w:color w:val="auto"/>
                <w:kern w:val="0"/>
                <w:szCs w:val="21"/>
                <w:highlight w:val="none"/>
              </w:rPr>
              <w:t>法律责任：</w:t>
            </w:r>
          </w:p>
          <w:p w14:paraId="27170FE4">
            <w:pPr>
              <w:snapToGrid w:val="0"/>
              <w:spacing w:line="400" w:lineRule="exact"/>
              <w:rPr>
                <w:rFonts w:ascii="宋体" w:hAnsi="宋体" w:cs="宋体"/>
                <w:color w:val="auto"/>
                <w:kern w:val="0"/>
                <w:szCs w:val="21"/>
                <w:highlight w:val="none"/>
              </w:rPr>
            </w:pPr>
            <w:r>
              <w:rPr>
                <w:rFonts w:hint="eastAsia" w:ascii="宋体" w:hAnsi="宋体" w:cs="宋体"/>
                <w:color w:val="auto"/>
                <w:kern w:val="0"/>
                <w:szCs w:val="21"/>
                <w:highlight w:val="none"/>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tc>
      </w:tr>
      <w:tr w14:paraId="40400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63" w:type="dxa"/>
            <w:noWrap w:val="0"/>
            <w:vAlign w:val="center"/>
          </w:tcPr>
          <w:p w14:paraId="300B9CEE">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33.2</w:t>
            </w:r>
          </w:p>
        </w:tc>
        <w:tc>
          <w:tcPr>
            <w:tcW w:w="2060" w:type="dxa"/>
            <w:noWrap w:val="0"/>
            <w:vAlign w:val="center"/>
          </w:tcPr>
          <w:p w14:paraId="2F6417C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其他</w:t>
            </w:r>
          </w:p>
        </w:tc>
        <w:tc>
          <w:tcPr>
            <w:tcW w:w="6599" w:type="dxa"/>
            <w:noWrap w:val="0"/>
            <w:vAlign w:val="center"/>
          </w:tcPr>
          <w:p w14:paraId="683F857D">
            <w:pPr>
              <w:pStyle w:val="12"/>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本竞争性磋商文件中描述供应商的“公章”是指根据我国对公章的管理规定，使用供应商法定主体行为名称制作的实物印章或供应商通过指定电子化政府采购平台办理数字证书（CA认证）获得的以法定主体行为名称制作的电子印章。除本竞争性磋商文件有特殊规定外，供应商的财务章、部门章、分公司章、工会章、合同章、投标专用章、业务专用章及银行的转账章、现金收讫章、现金付讫章等其他形式印章均</w:t>
            </w:r>
            <w:r>
              <w:rPr>
                <w:rFonts w:hint="eastAsia" w:ascii="宋体" w:hAnsi="宋体" w:cs="宋体"/>
                <w:b/>
                <w:bCs/>
                <w:color w:val="auto"/>
                <w:szCs w:val="21"/>
                <w:highlight w:val="none"/>
              </w:rPr>
              <w:t>不能代替公章</w:t>
            </w:r>
            <w:r>
              <w:rPr>
                <w:rFonts w:hint="eastAsia" w:ascii="宋体" w:hAnsi="宋体" w:cs="宋体"/>
                <w:color w:val="auto"/>
                <w:szCs w:val="21"/>
                <w:highlight w:val="none"/>
              </w:rPr>
              <w:t>。</w:t>
            </w:r>
          </w:p>
          <w:p w14:paraId="71A6FFEB">
            <w:pPr>
              <w:pStyle w:val="12"/>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2.本竞争性磋商文件中描述供应商的“签字”是指供应商通过指定电子化政府采购平台办理数字证书（CA认证）获得的以供应商法定代表人或者委托代理人姓名制作的</w:t>
            </w:r>
            <w:r>
              <w:rPr>
                <w:rFonts w:hint="eastAsia" w:ascii="宋体" w:hAnsi="宋体" w:cs="宋体"/>
                <w:b/>
                <w:bCs/>
                <w:color w:val="auto"/>
                <w:szCs w:val="21"/>
                <w:highlight w:val="none"/>
              </w:rPr>
              <w:t>电子印章或手写签字。</w:t>
            </w:r>
          </w:p>
          <w:p w14:paraId="7C5D4DAA">
            <w:pPr>
              <w:pStyle w:val="12"/>
              <w:tabs>
                <w:tab w:val="center" w:pos="4153"/>
                <w:tab w:val="right" w:pos="8306"/>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竞争性磋商文件所称的“电子签章”“电子签名”，是指经广西政府采购云平台认可的CA认证的电子签名数据为表现形式的印章，可用于签署电子响应文件，电子印章与实物印章具有同等法律效力，不因其采用电子化表现形式而否定其法律效力。</w:t>
            </w:r>
          </w:p>
          <w:p w14:paraId="1892EA00">
            <w:pPr>
              <w:pStyle w:val="12"/>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供应商为其他组织或者自然人时，本竞争性磋商文件规定的法定代表人指负责人或者自然人。本竞争性磋商文件所称负责人是指参加竞标的其他组织营业执照上的负责人，本竞争性磋商文件所称自然人指参与竞标的自然人本人。</w:t>
            </w:r>
          </w:p>
          <w:p w14:paraId="06E00AFA">
            <w:pPr>
              <w:pStyle w:val="12"/>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5.自然人竞标的，竞争性磋商文件规定盖公章处由自然人摁手指指印。</w:t>
            </w:r>
          </w:p>
          <w:p w14:paraId="7D4415BF">
            <w:pPr>
              <w:snapToGrid w:val="0"/>
              <w:spacing w:line="400" w:lineRule="exact"/>
              <w:rPr>
                <w:rFonts w:ascii="宋体" w:hAnsi="宋体" w:cs="宋体"/>
                <w:color w:val="auto"/>
                <w:kern w:val="0"/>
                <w:szCs w:val="21"/>
                <w:highlight w:val="none"/>
              </w:rPr>
            </w:pPr>
            <w:r>
              <w:rPr>
                <w:rFonts w:hint="eastAsia" w:ascii="宋体" w:hAnsi="宋体" w:cs="宋体"/>
                <w:color w:val="auto"/>
                <w:szCs w:val="21"/>
                <w:highlight w:val="none"/>
              </w:rPr>
              <w:t xml:space="preserve">    6.本竞争性磋商文件所称的“以上”“以下”“以内”“届满”，包括本数；所称的“不满”“超过”“以外”，不包括本数。</w:t>
            </w:r>
          </w:p>
        </w:tc>
      </w:tr>
    </w:tbl>
    <w:p w14:paraId="72FFC405">
      <w:pPr>
        <w:pStyle w:val="4"/>
        <w:spacing w:line="420" w:lineRule="exact"/>
        <w:jc w:val="center"/>
        <w:rPr>
          <w:rFonts w:ascii="宋体" w:hAnsi="宋体"/>
          <w:b w:val="0"/>
          <w:color w:val="auto"/>
          <w:highlight w:val="none"/>
        </w:rPr>
      </w:pPr>
      <w:r>
        <w:rPr>
          <w:rFonts w:ascii="宋体" w:hAnsi="宋体"/>
          <w:b w:val="0"/>
          <w:color w:val="auto"/>
          <w:highlight w:val="none"/>
        </w:rPr>
        <w:br w:type="page"/>
      </w:r>
      <w:bookmarkStart w:id="74" w:name="_Toc27094"/>
      <w:bookmarkStart w:id="75" w:name="_Toc80886929"/>
      <w:bookmarkStart w:id="76" w:name="_Toc30957"/>
      <w:r>
        <w:rPr>
          <w:rFonts w:hint="eastAsia" w:ascii="宋体" w:hAnsi="宋体"/>
          <w:b w:val="0"/>
          <w:color w:val="auto"/>
          <w:highlight w:val="none"/>
        </w:rPr>
        <w:t>第二节 供应商须知正文</w:t>
      </w:r>
      <w:bookmarkEnd w:id="74"/>
      <w:bookmarkEnd w:id="75"/>
      <w:bookmarkEnd w:id="76"/>
    </w:p>
    <w:p w14:paraId="0D11BB8E">
      <w:pPr>
        <w:pStyle w:val="5"/>
        <w:spacing w:before="0" w:after="0" w:line="400" w:lineRule="exact"/>
        <w:ind w:firstLine="640" w:firstLineChars="200"/>
        <w:rPr>
          <w:b w:val="0"/>
          <w:color w:val="auto"/>
          <w:highlight w:val="none"/>
        </w:rPr>
      </w:pPr>
      <w:bookmarkStart w:id="77" w:name="_Toc80886930"/>
      <w:bookmarkStart w:id="78" w:name="_Toc6457"/>
      <w:bookmarkStart w:id="79" w:name="_Toc26166"/>
      <w:r>
        <w:rPr>
          <w:rFonts w:hint="eastAsia"/>
          <w:b w:val="0"/>
          <w:color w:val="auto"/>
          <w:highlight w:val="none"/>
        </w:rPr>
        <w:t>一、总则</w:t>
      </w:r>
      <w:bookmarkEnd w:id="77"/>
      <w:bookmarkEnd w:id="78"/>
      <w:bookmarkEnd w:id="79"/>
    </w:p>
    <w:p w14:paraId="30DB04FB">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674C9C5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1C0CD9F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74DF78D1">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46C12BE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42E50667">
      <w:pPr>
        <w:spacing w:line="40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12B8C93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74B70C6A">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2.4“服务”是指除货物和工程以外的其他政府采购对象。</w:t>
      </w:r>
    </w:p>
    <w:p w14:paraId="7519E4F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2.5“竞标”是指供应商按照本项目竞争性磋商公告规定的方式获取磋商文件、提交响应文件并希望获得标的的行为。</w:t>
      </w:r>
    </w:p>
    <w:p w14:paraId="73D0B1C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w:t>
      </w:r>
      <w:r>
        <w:rPr>
          <w:rFonts w:hint="eastAsia" w:ascii="宋体" w:hAnsi="宋体" w:cs="宋体"/>
          <w:color w:val="auto"/>
          <w:szCs w:val="21"/>
          <w:highlight w:val="none"/>
        </w:rPr>
        <w:t>报价文件、商务和技术文件</w:t>
      </w:r>
      <w:r>
        <w:rPr>
          <w:rFonts w:hint="eastAsia" w:ascii="宋体" w:hAnsi="宋体" w:cs="宋体"/>
          <w:color w:val="auto"/>
          <w:spacing w:val="-6"/>
          <w:szCs w:val="21"/>
          <w:highlight w:val="none"/>
        </w:rPr>
        <w:t>等所有内容的文件。</w:t>
      </w:r>
    </w:p>
    <w:p w14:paraId="7FF1260D">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21A8DE5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3B0A8A9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671E266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353077D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39EFE0A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35DB4AD3">
      <w:pPr>
        <w:spacing w:line="400" w:lineRule="exact"/>
        <w:ind w:firstLine="420" w:firstLineChars="200"/>
        <w:rPr>
          <w:rFonts w:cs="宋体"/>
          <w:color w:val="auto"/>
          <w:szCs w:val="21"/>
          <w:highlight w:val="none"/>
        </w:rPr>
      </w:pPr>
      <w:r>
        <w:rPr>
          <w:rFonts w:hint="eastAsia" w:ascii="宋体" w:hAnsi="宋体" w:cs="宋体"/>
          <w:color w:val="auto"/>
          <w:szCs w:val="21"/>
          <w:highlight w:val="none"/>
        </w:rPr>
        <w:t>2.13“评审报价”是指供应商提</w:t>
      </w:r>
      <w:r>
        <w:rPr>
          <w:rFonts w:hint="eastAsia" w:cs="宋体"/>
          <w:color w:val="auto"/>
          <w:szCs w:val="21"/>
          <w:highlight w:val="none"/>
        </w:rPr>
        <w:t>交的最后报价并经修正（如有）和政策功能价格扣除（如有）后的价格。</w:t>
      </w:r>
    </w:p>
    <w:p w14:paraId="4B75489A">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E6E25E3">
      <w:pPr>
        <w:spacing w:line="400" w:lineRule="exact"/>
        <w:ind w:firstLine="420" w:firstLineChars="200"/>
        <w:rPr>
          <w:rFonts w:cs="宋体"/>
          <w:color w:val="auto"/>
          <w:szCs w:val="21"/>
          <w:highlight w:val="none"/>
        </w:rPr>
      </w:pPr>
      <w:r>
        <w:rPr>
          <w:rFonts w:hint="eastAsia" w:cs="宋体"/>
          <w:color w:val="auto"/>
          <w:szCs w:val="21"/>
          <w:highlight w:val="none"/>
        </w:rPr>
        <w:t>供应商的资格条件详见“供应商须知前附表”。</w:t>
      </w:r>
    </w:p>
    <w:p w14:paraId="14C7FF04">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60C33C3C">
      <w:pPr>
        <w:spacing w:line="400" w:lineRule="exact"/>
        <w:ind w:firstLine="420" w:firstLineChars="200"/>
        <w:rPr>
          <w:rFonts w:cs="宋体"/>
          <w:color w:val="auto"/>
          <w:szCs w:val="21"/>
          <w:highlight w:val="none"/>
        </w:rPr>
      </w:pPr>
      <w:r>
        <w:rPr>
          <w:rFonts w:hint="eastAsia"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552B673E">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32D3FF6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2670E9E8">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s="宋体"/>
          <w:color w:val="auto"/>
          <w:highlight w:val="none"/>
        </w:rPr>
        <w:t>如接受联合体竞标，</w:t>
      </w:r>
      <w:r>
        <w:rPr>
          <w:rFonts w:hint="eastAsia" w:ascii="宋体" w:hAnsi="宋体" w:cs="宋体"/>
          <w:color w:val="auto"/>
          <w:szCs w:val="21"/>
          <w:highlight w:val="none"/>
        </w:rPr>
        <w:t>联合体竞标要求详见“供应商须知前附表”。</w:t>
      </w:r>
    </w:p>
    <w:p w14:paraId="58E0BF9A">
      <w:pPr>
        <w:spacing w:line="400" w:lineRule="exact"/>
        <w:ind w:firstLine="420" w:firstLineChars="200"/>
        <w:rPr>
          <w:bCs/>
          <w:color w:val="auto"/>
          <w:szCs w:val="21"/>
          <w:highlight w:val="none"/>
        </w:rPr>
      </w:pPr>
      <w:r>
        <w:rPr>
          <w:rFonts w:hint="eastAsia" w:ascii="宋体" w:hAnsi="宋体" w:cs="宋体"/>
          <w:color w:val="auto"/>
          <w:szCs w:val="21"/>
          <w:highlight w:val="none"/>
        </w:rPr>
        <w:t>5.3根据《政府采购促进中小企业发展管理办法》（财库〔2020〕46号）第九条及《广西壮族自治区财政厅关于贯彻落实政府采购支持中小企业发展政策的通知》（桂财采〔2022〕31号）规定，接受大中型企业与小微企业组成联合体的采购项目，对于联合协议约定小微企业的合同份额占到合同总金额 30%以上的，采购人、采购代理机构应当对联合体的报价给予 4%-6%的扣除，用扣除后的价格参加评审。组成联合体的小微企业与联合体内其他企业、分包企业之间存在直接控股、管理关系的，不享受价格扣除优惠政策。</w:t>
      </w:r>
    </w:p>
    <w:p w14:paraId="5D94FBA7">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7DBD122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6.1本项目不允许转包。</w:t>
      </w:r>
    </w:p>
    <w:p w14:paraId="45096C9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6.2本项目是否允许分包详见“供应商须知前附表”，本项目不允许违法分包。</w:t>
      </w:r>
    </w:p>
    <w:p w14:paraId="70BACE8B">
      <w:pPr>
        <w:spacing w:line="400" w:lineRule="exact"/>
        <w:ind w:firstLine="420" w:firstLineChars="200"/>
        <w:rPr>
          <w:rFonts w:cs="宋体"/>
          <w:color w:val="auto"/>
          <w:szCs w:val="21"/>
          <w:highlight w:val="none"/>
        </w:rPr>
      </w:pPr>
      <w:r>
        <w:rPr>
          <w:rFonts w:hint="eastAsia" w:ascii="宋体" w:hAnsi="宋体" w:cs="宋体"/>
          <w:color w:val="auto"/>
          <w:szCs w:val="21"/>
          <w:highlight w:val="none"/>
        </w:rPr>
        <w:t>6.3根据《政府采购促进中小企业发展管理办法》（财库〔2020〕46号）第九条及《广西壮族自治区财政厅关于贯彻落实政府采购支持中小企业发展政策的通知》（桂财采〔2022〕31号）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r>
        <w:rPr>
          <w:rFonts w:hint="eastAsia" w:ascii="宋体" w:hAnsi="宋体" w:cs="宋体"/>
          <w:bCs/>
          <w:color w:val="auto"/>
          <w:szCs w:val="21"/>
          <w:highlight w:val="none"/>
        </w:rPr>
        <w:t>。</w:t>
      </w:r>
    </w:p>
    <w:p w14:paraId="49E241E2">
      <w:pPr>
        <w:spacing w:line="400" w:lineRule="exact"/>
        <w:ind w:firstLine="482" w:firstLineChars="200"/>
        <w:rPr>
          <w:rFonts w:ascii="黑体" w:hAnsi="黑体" w:eastAsia="黑体" w:cs="宋体"/>
          <w:b/>
          <w:bCs/>
          <w:color w:val="auto"/>
          <w:sz w:val="24"/>
          <w:highlight w:val="none"/>
        </w:rPr>
      </w:pPr>
      <w:bookmarkStart w:id="80" w:name="_Toc254970532"/>
      <w:bookmarkStart w:id="81" w:name="_Toc254970673"/>
      <w:r>
        <w:rPr>
          <w:rFonts w:hint="eastAsia" w:ascii="黑体" w:hAnsi="黑体" w:eastAsia="黑体" w:cs="宋体"/>
          <w:b/>
          <w:bCs/>
          <w:color w:val="auto"/>
          <w:sz w:val="24"/>
          <w:highlight w:val="none"/>
        </w:rPr>
        <w:t>7.特别说明</w:t>
      </w:r>
      <w:bookmarkEnd w:id="80"/>
      <w:bookmarkEnd w:id="81"/>
    </w:p>
    <w:p w14:paraId="482BE784">
      <w:pPr>
        <w:spacing w:line="400" w:lineRule="exact"/>
        <w:ind w:firstLine="420" w:firstLineChars="200"/>
        <w:rPr>
          <w:rFonts w:ascii="宋体" w:hAnsi="宋体" w:cs="宋体"/>
          <w:color w:val="auto"/>
          <w:szCs w:val="21"/>
          <w:highlight w:val="none"/>
        </w:rPr>
      </w:pPr>
      <w:bookmarkStart w:id="82" w:name="_8.1提供相同品牌产品且通过资格审查、符合性审查的不同投标人参加同一合"/>
      <w:bookmarkEnd w:id="82"/>
      <w:r>
        <w:rPr>
          <w:rFonts w:hint="eastAsia" w:ascii="宋体" w:hAnsi="宋体" w:cs="宋体"/>
          <w:color w:val="auto"/>
          <w:szCs w:val="21"/>
          <w:highlight w:val="none"/>
        </w:rPr>
        <w:t>7.1</w:t>
      </w:r>
      <w:bookmarkStart w:id="83" w:name="_Hlk65832145"/>
      <w:r>
        <w:rPr>
          <w:rFonts w:hint="eastAsia" w:ascii="宋体" w:hAnsi="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83"/>
    <w:p w14:paraId="3ED3D55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2F5311B8">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04657A4">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7.4在政府采购活动中，采购人员及相关人员与供应商有下列利害关系之一的，应当回避：</w:t>
      </w:r>
    </w:p>
    <w:p w14:paraId="23989BF7">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（1）参加采购活动前3年内与供应商存在劳动关系；</w:t>
      </w:r>
    </w:p>
    <w:p w14:paraId="72EF4FB4">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（2）参加采购活动前3年内担任供应商的董事、监事；</w:t>
      </w:r>
    </w:p>
    <w:p w14:paraId="21B34696">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（3）参加采购活动前3年内是供应商的控股股东或者实际控制人；</w:t>
      </w:r>
    </w:p>
    <w:p w14:paraId="7DA7B3E3">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（4）与供应商的法定代表人或者负责人有夫妻、直系血亲、三代以内旁系血亲或者近姻亲关系；</w:t>
      </w:r>
    </w:p>
    <w:p w14:paraId="37E12D80">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（5）与供应商有其他可能影响政府采购活动公平、公正进行的关系。</w:t>
      </w:r>
    </w:p>
    <w:p w14:paraId="50304440">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85F8A62">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7.5有下列情形之一的视为供应商相互串通竞标，响应文件将被视为无效：</w:t>
      </w:r>
    </w:p>
    <w:p w14:paraId="13F8C751">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 xml:space="preserve">（1）不同供应商的响应文件由同一单位或者个人编制；或不同供应商报名的IP地址一致的； </w:t>
      </w:r>
    </w:p>
    <w:p w14:paraId="14406771">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（2）不同供应商委托同一单位或者个人办理竞标事宜；</w:t>
      </w:r>
    </w:p>
    <w:p w14:paraId="46B101FD">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（3）不同的供应商的响应文件载明的项目管理员为同一个人；</w:t>
      </w:r>
    </w:p>
    <w:p w14:paraId="235B14C7">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（4）不同供应商的响应文件异常一致或者报价呈规律性差异；</w:t>
      </w:r>
    </w:p>
    <w:p w14:paraId="228AC15A">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（5）不同供应商的响应文件相互混装；</w:t>
      </w:r>
    </w:p>
    <w:p w14:paraId="7EFB15EE">
      <w:pPr>
        <w:tabs>
          <w:tab w:val="left" w:pos="6931"/>
        </w:tabs>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（6）不同供应商的磋商保证金从同一单位或者个人账户转出。</w:t>
      </w:r>
      <w:r>
        <w:rPr>
          <w:rFonts w:hint="eastAsia" w:ascii="宋体" w:hAnsi="宋体" w:cs="宋体"/>
          <w:b/>
          <w:bCs/>
          <w:color w:val="auto"/>
          <w:szCs w:val="21"/>
          <w:highlight w:val="none"/>
        </w:rPr>
        <w:tab/>
      </w:r>
    </w:p>
    <w:p w14:paraId="737121D0">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7.6供应商有下列情形之一的，属于恶意串通行为，将报同级监督管理部门：</w:t>
      </w:r>
    </w:p>
    <w:p w14:paraId="1A1E73A4">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（1）供应商直接或者间接从采购人或者采购代理机构处获得其他供应商的相关信息并修改其响应文件；</w:t>
      </w:r>
    </w:p>
    <w:p w14:paraId="4DC951A6">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（2）供应商按照采购人或者采购代理机构的授意撤换、修改响应文件；</w:t>
      </w:r>
    </w:p>
    <w:p w14:paraId="0DD0550D">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（3）供应商之间协商报价、技术方案等响应文件的实质性内容；</w:t>
      </w:r>
    </w:p>
    <w:p w14:paraId="2193ACFA">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（4）属于同一集团、协会、商会等组织成员的供应商按照该组织要求协同参加政府采购活动；</w:t>
      </w:r>
    </w:p>
    <w:p w14:paraId="2446B93A">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C46F6CC">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（6）供应商之间商定部分供应商放弃参加政府采购活动或者放弃成交；</w:t>
      </w:r>
    </w:p>
    <w:p w14:paraId="1D32AAF1">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（7）供应商与采购人或者采购代理机构之间、供应商相互之间，为谋求特定供应商成交或者排斥其他供应商的其他串通行为。</w:t>
      </w:r>
    </w:p>
    <w:p w14:paraId="1EE62D07">
      <w:pPr>
        <w:pStyle w:val="5"/>
        <w:spacing w:before="0" w:after="0" w:line="400" w:lineRule="exact"/>
        <w:ind w:firstLine="640" w:firstLineChars="200"/>
        <w:rPr>
          <w:b w:val="0"/>
          <w:bCs w:val="0"/>
          <w:color w:val="auto"/>
          <w:highlight w:val="none"/>
        </w:rPr>
      </w:pPr>
      <w:bookmarkStart w:id="84" w:name="_Toc12713"/>
      <w:bookmarkStart w:id="85" w:name="_Toc80886931"/>
      <w:bookmarkStart w:id="86" w:name="_Toc27583"/>
      <w:bookmarkStart w:id="87" w:name="_Toc254970675"/>
      <w:bookmarkStart w:id="88" w:name="_Toc254970534"/>
      <w:r>
        <w:rPr>
          <w:rFonts w:hint="eastAsia"/>
          <w:b w:val="0"/>
          <w:bCs w:val="0"/>
          <w:color w:val="auto"/>
          <w:highlight w:val="none"/>
        </w:rPr>
        <w:t>二、磋商文件</w:t>
      </w:r>
      <w:bookmarkEnd w:id="84"/>
      <w:bookmarkEnd w:id="85"/>
      <w:bookmarkEnd w:id="86"/>
      <w:bookmarkEnd w:id="87"/>
      <w:bookmarkEnd w:id="88"/>
    </w:p>
    <w:p w14:paraId="3FFE7005">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1476C605">
      <w:pPr>
        <w:spacing w:line="400" w:lineRule="exact"/>
        <w:ind w:firstLine="420" w:firstLineChars="200"/>
        <w:jc w:val="left"/>
        <w:rPr>
          <w:color w:val="auto"/>
          <w:szCs w:val="21"/>
          <w:highlight w:val="none"/>
        </w:rPr>
      </w:pPr>
      <w:r>
        <w:rPr>
          <w:rFonts w:hint="eastAsia"/>
          <w:color w:val="auto"/>
          <w:szCs w:val="21"/>
          <w:highlight w:val="none"/>
        </w:rPr>
        <w:t>第一章 竞争性磋商公告；</w:t>
      </w:r>
    </w:p>
    <w:p w14:paraId="30D7AACC">
      <w:pPr>
        <w:spacing w:line="400" w:lineRule="exact"/>
        <w:ind w:firstLine="420" w:firstLineChars="200"/>
        <w:jc w:val="left"/>
        <w:rPr>
          <w:color w:val="auto"/>
          <w:szCs w:val="21"/>
          <w:highlight w:val="none"/>
        </w:rPr>
      </w:pPr>
      <w:r>
        <w:rPr>
          <w:rFonts w:hint="eastAsia"/>
          <w:color w:val="auto"/>
          <w:szCs w:val="21"/>
          <w:highlight w:val="none"/>
        </w:rPr>
        <w:t>第二章 采购需求；</w:t>
      </w:r>
    </w:p>
    <w:p w14:paraId="34D0361B">
      <w:pPr>
        <w:spacing w:line="400" w:lineRule="exact"/>
        <w:ind w:firstLine="420" w:firstLineChars="200"/>
        <w:jc w:val="left"/>
        <w:rPr>
          <w:color w:val="auto"/>
          <w:szCs w:val="21"/>
          <w:highlight w:val="none"/>
        </w:rPr>
      </w:pPr>
      <w:r>
        <w:rPr>
          <w:rFonts w:hint="eastAsia"/>
          <w:color w:val="auto"/>
          <w:szCs w:val="21"/>
          <w:highlight w:val="none"/>
        </w:rPr>
        <w:t xml:space="preserve">第三章 供应商须知； </w:t>
      </w:r>
    </w:p>
    <w:p w14:paraId="42CD15AF">
      <w:pPr>
        <w:spacing w:line="400" w:lineRule="exact"/>
        <w:ind w:firstLine="420" w:firstLineChars="200"/>
        <w:jc w:val="left"/>
        <w:rPr>
          <w:color w:val="auto"/>
          <w:szCs w:val="21"/>
          <w:highlight w:val="none"/>
        </w:rPr>
      </w:pPr>
      <w:r>
        <w:rPr>
          <w:rFonts w:hint="eastAsia"/>
          <w:color w:val="auto"/>
          <w:szCs w:val="21"/>
          <w:highlight w:val="none"/>
        </w:rPr>
        <w:t>第四章 评审程序、评审方法和评审标准；</w:t>
      </w:r>
    </w:p>
    <w:p w14:paraId="270C4A61">
      <w:pPr>
        <w:spacing w:line="400" w:lineRule="exact"/>
        <w:ind w:firstLine="420" w:firstLineChars="200"/>
        <w:jc w:val="left"/>
        <w:rPr>
          <w:color w:val="auto"/>
          <w:szCs w:val="21"/>
          <w:highlight w:val="none"/>
        </w:rPr>
      </w:pPr>
      <w:r>
        <w:rPr>
          <w:rFonts w:hint="eastAsia"/>
          <w:color w:val="auto"/>
          <w:szCs w:val="21"/>
          <w:highlight w:val="none"/>
        </w:rPr>
        <w:t>第五章 响应文件格式；</w:t>
      </w:r>
    </w:p>
    <w:p w14:paraId="27EEA602">
      <w:pPr>
        <w:spacing w:line="400" w:lineRule="exact"/>
        <w:ind w:firstLine="420" w:firstLineChars="200"/>
        <w:jc w:val="left"/>
        <w:rPr>
          <w:color w:val="auto"/>
          <w:szCs w:val="21"/>
          <w:highlight w:val="none"/>
        </w:rPr>
      </w:pPr>
      <w:r>
        <w:rPr>
          <w:rFonts w:hint="eastAsia"/>
          <w:color w:val="auto"/>
          <w:szCs w:val="21"/>
          <w:highlight w:val="none"/>
        </w:rPr>
        <w:t>第六章 合同文本；</w:t>
      </w:r>
    </w:p>
    <w:p w14:paraId="2305DC70">
      <w:pPr>
        <w:spacing w:line="400" w:lineRule="exact"/>
        <w:ind w:firstLine="420" w:firstLineChars="200"/>
        <w:jc w:val="left"/>
        <w:rPr>
          <w:color w:val="auto"/>
          <w:szCs w:val="21"/>
          <w:highlight w:val="none"/>
        </w:rPr>
      </w:pPr>
      <w:r>
        <w:rPr>
          <w:rFonts w:hint="eastAsia"/>
          <w:color w:val="auto"/>
          <w:szCs w:val="21"/>
          <w:highlight w:val="none"/>
        </w:rPr>
        <w:t>第七章 质疑、投诉材料格式。</w:t>
      </w:r>
    </w:p>
    <w:p w14:paraId="1EDD8BC7">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1B952E11">
      <w:pPr>
        <w:spacing w:line="400" w:lineRule="exact"/>
        <w:ind w:firstLine="420" w:firstLineChars="200"/>
        <w:rPr>
          <w:color w:val="auto"/>
          <w:szCs w:val="21"/>
          <w:highlight w:val="none"/>
        </w:rPr>
      </w:pPr>
      <w:r>
        <w:rPr>
          <w:rFonts w:hint="eastAsia"/>
          <w:color w:val="auto"/>
          <w:szCs w:val="21"/>
          <w:highlight w:val="none"/>
        </w:rPr>
        <w:t>供应商应认真阅读磋商文件的采购需求，如供应商对磋商文件有疑问的，如要求采购人作出澄清或者修改的，供应商应在</w:t>
      </w:r>
      <w:r>
        <w:rPr>
          <w:color w:val="auto"/>
          <w:szCs w:val="21"/>
          <w:highlight w:val="none"/>
        </w:rPr>
        <w:t>提交首次响应文件截止之日前</w:t>
      </w:r>
      <w:r>
        <w:rPr>
          <w:rFonts w:hint="eastAsia"/>
          <w:color w:val="auto"/>
          <w:szCs w:val="21"/>
          <w:highlight w:val="none"/>
        </w:rPr>
        <w:t>，以书面形式向</w:t>
      </w:r>
      <w:r>
        <w:rPr>
          <w:color w:val="auto"/>
          <w:szCs w:val="21"/>
          <w:highlight w:val="none"/>
        </w:rPr>
        <w:t>采购人、采购代理机构</w:t>
      </w:r>
      <w:r>
        <w:rPr>
          <w:rFonts w:hint="eastAsia"/>
          <w:color w:val="auto"/>
          <w:szCs w:val="21"/>
          <w:highlight w:val="none"/>
        </w:rPr>
        <w:t>提出。</w:t>
      </w:r>
    </w:p>
    <w:p w14:paraId="2A0103B0">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0B9F69BD">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6A020AD7">
      <w:pPr>
        <w:spacing w:line="40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5B67268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5日前，以书面形式（目前为网上公告和系统短信等形式）通知所有获取磋商文件的供应商，不足5日的，应当顺延提交首次响应文件截止时间。澄清或者更正公告在竞争性磋商公告发布媒体上发布，一经发布，视作已以书面形式通知所有获取竞争性磋商文件的潜在供应商，不再另行通知，所有潜在供应商应密切关注竞争性磋商公告发布媒体，因未能及时获知，由此产生的后果均应自行承担。</w:t>
      </w:r>
    </w:p>
    <w:p w14:paraId="36081B4D">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10.4</w:t>
      </w:r>
      <w:r>
        <w:rPr>
          <w:rFonts w:hint="eastAsia" w:ascii="宋体" w:hAnsi="宋体" w:cs="宋体"/>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7567F927">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10.5  采购人和采购代理机构可以视采购具体情况，变更提交首次响应文件截止时间和竞谈时间，变更时间将在竞争性磋商公告中“七、其他补充事宜2.网上查询地址”规定的政府采购信息发布媒体上发布更正公告。</w:t>
      </w:r>
    </w:p>
    <w:p w14:paraId="7112E7AE">
      <w:pPr>
        <w:spacing w:line="400" w:lineRule="exact"/>
        <w:ind w:firstLine="400" w:firstLineChars="200"/>
        <w:rPr>
          <w:rFonts w:ascii="宋体" w:hAnsi="宋体" w:cs="宋体"/>
          <w:color w:val="auto"/>
          <w:kern w:val="0"/>
          <w:sz w:val="20"/>
          <w:szCs w:val="21"/>
          <w:highlight w:val="none"/>
        </w:rPr>
      </w:pPr>
      <w:r>
        <w:rPr>
          <w:rFonts w:hint="eastAsia" w:ascii="宋体" w:hAnsi="宋体" w:cs="宋体"/>
          <w:color w:val="auto"/>
          <w:kern w:val="0"/>
          <w:sz w:val="20"/>
          <w:szCs w:val="21"/>
          <w:highlight w:val="none"/>
        </w:rPr>
        <w:t>▲</w:t>
      </w:r>
      <w:r>
        <w:rPr>
          <w:rFonts w:hint="eastAsia" w:ascii="宋体" w:hAnsi="宋体" w:cs="宋体"/>
          <w:b/>
          <w:color w:val="auto"/>
          <w:kern w:val="0"/>
          <w:sz w:val="20"/>
          <w:szCs w:val="21"/>
          <w:highlight w:val="none"/>
        </w:rPr>
        <w:t>响应文件未按磋商文件的澄清、修改的内容编制，又不符合实质性要求的，其响应文件按无效处理。</w:t>
      </w:r>
    </w:p>
    <w:p w14:paraId="0F7D07C2">
      <w:pPr>
        <w:pStyle w:val="5"/>
        <w:spacing w:before="0" w:after="0" w:line="400" w:lineRule="exact"/>
        <w:ind w:firstLine="320" w:firstLineChars="100"/>
        <w:rPr>
          <w:b w:val="0"/>
          <w:bCs w:val="0"/>
          <w:color w:val="auto"/>
          <w:highlight w:val="none"/>
        </w:rPr>
      </w:pPr>
      <w:r>
        <w:rPr>
          <w:rFonts w:hint="eastAsia"/>
          <w:b w:val="0"/>
          <w:bCs w:val="0"/>
          <w:color w:val="auto"/>
          <w:highlight w:val="none"/>
        </w:rPr>
        <w:t xml:space="preserve">  </w:t>
      </w:r>
      <w:bookmarkStart w:id="89" w:name="_Toc21690"/>
      <w:bookmarkStart w:id="90" w:name="_Toc21480"/>
      <w:bookmarkStart w:id="91" w:name="_Toc80886932"/>
      <w:r>
        <w:rPr>
          <w:rFonts w:hint="eastAsia"/>
          <w:b w:val="0"/>
          <w:bCs w:val="0"/>
          <w:color w:val="auto"/>
          <w:highlight w:val="none"/>
        </w:rPr>
        <w:t>三、响应文件的编制</w:t>
      </w:r>
      <w:bookmarkEnd w:id="89"/>
      <w:bookmarkEnd w:id="90"/>
      <w:bookmarkEnd w:id="91"/>
    </w:p>
    <w:p w14:paraId="5E97BF9F">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50D4EADE">
      <w:pPr>
        <w:spacing w:line="400" w:lineRule="exact"/>
        <w:ind w:firstLine="420" w:firstLineChars="200"/>
        <w:rPr>
          <w:rFonts w:cs="宋体"/>
          <w:color w:val="auto"/>
          <w:szCs w:val="21"/>
          <w:highlight w:val="none"/>
        </w:rPr>
      </w:pPr>
      <w:r>
        <w:rPr>
          <w:rFonts w:hint="eastAsia" w:cs="宋体"/>
          <w:color w:val="auto"/>
          <w:szCs w:val="21"/>
          <w:highlight w:val="none"/>
        </w:rPr>
        <w:t>供应商必须按照磋商文件的要求编制响应文件，并对其提交的响应文件的真实性、合法性承担法律责任。响应文件必须对磋商文件作出实质性响应。</w:t>
      </w:r>
    </w:p>
    <w:p w14:paraId="4582C17C">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0CE3D95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08BCD42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12.1.1资格证明文件：详见供应商须知前附表</w:t>
      </w:r>
    </w:p>
    <w:p w14:paraId="709D3B1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12.1.2商务技术文件：详见供应商须知前附表</w:t>
      </w:r>
    </w:p>
    <w:p w14:paraId="1315A48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12.1.3报价文件：详见供应商须知前附表</w:t>
      </w:r>
    </w:p>
    <w:p w14:paraId="5423308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12.2响应文件电子版：详见供应商须知前附表</w:t>
      </w:r>
    </w:p>
    <w:p w14:paraId="1A37CEBC">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639A28FB">
      <w:pPr>
        <w:spacing w:line="400" w:lineRule="exact"/>
        <w:ind w:firstLine="420" w:firstLineChars="200"/>
        <w:rPr>
          <w:rFonts w:cs="宋体"/>
          <w:color w:val="auto"/>
          <w:szCs w:val="21"/>
          <w:highlight w:val="none"/>
        </w:rPr>
      </w:pPr>
      <w:r>
        <w:rPr>
          <w:rFonts w:hint="eastAsia"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356B23C">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78F4A652">
      <w:pPr>
        <w:spacing w:line="400" w:lineRule="exact"/>
        <w:ind w:firstLine="420" w:firstLineChars="200"/>
        <w:rPr>
          <w:rFonts w:cs="宋体"/>
          <w:color w:val="auto"/>
          <w:szCs w:val="21"/>
          <w:highlight w:val="none"/>
        </w:rPr>
      </w:pPr>
      <w:r>
        <w:rPr>
          <w:rFonts w:hint="eastAsia" w:cs="宋体"/>
          <w:color w:val="auto"/>
          <w:szCs w:val="21"/>
          <w:highlight w:val="none"/>
        </w:rPr>
        <w:t>供应商没有按照磋商文件要求提供全部资料，或者供应商没有对磋商文件在各方面作出实质性响应可能导致其响应无效，是供应商应当考虑的风险。</w:t>
      </w:r>
    </w:p>
    <w:p w14:paraId="772FF133">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0BD2C47F">
      <w:pPr>
        <w:tabs>
          <w:tab w:val="left" w:pos="2492"/>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00DCD8A">
      <w:pPr>
        <w:tabs>
          <w:tab w:val="left" w:pos="2492"/>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0A1254E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15.3响应报价要求</w:t>
      </w:r>
    </w:p>
    <w:p w14:paraId="017070C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31CDDEE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（1）供应商必须就“采购需求”中所竞标的项目/每个分标的全部内容分别作完整唯一报价（跟踪审计服务费每月费用及结算审核费价格优惠率），不得存在漏项报价；</w:t>
      </w:r>
    </w:p>
    <w:p w14:paraId="43EB15A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（2）供应商必须就所竞标的项目/分标的单项内容作唯一报价。</w:t>
      </w:r>
    </w:p>
    <w:p w14:paraId="0BB49DA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15.3.2响应报价（包含首次报价、最后报价）超过所竞标项目/分标规定的有效报价范围，其响应文件将按无效处理。</w:t>
      </w:r>
    </w:p>
    <w:p w14:paraId="3D3A0736">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14CA984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10EA3951">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123463F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1230E6D6">
      <w:pPr>
        <w:spacing w:line="400" w:lineRule="exact"/>
        <w:ind w:firstLine="482" w:firstLineChars="200"/>
        <w:rPr>
          <w:rFonts w:ascii="黑体" w:hAnsi="黑体" w:eastAsia="黑体" w:cs="宋体"/>
          <w:b/>
          <w:bCs/>
          <w:i/>
          <w:iCs/>
          <w:color w:val="auto"/>
          <w:sz w:val="24"/>
          <w:highlight w:val="none"/>
        </w:rPr>
      </w:pPr>
      <w:r>
        <w:rPr>
          <w:rFonts w:hint="eastAsia" w:ascii="黑体" w:hAnsi="黑体" w:eastAsia="黑体" w:cs="宋体"/>
          <w:b/>
          <w:bCs/>
          <w:color w:val="auto"/>
          <w:sz w:val="24"/>
          <w:highlight w:val="none"/>
        </w:rPr>
        <w:t>17.磋商保证金</w:t>
      </w:r>
    </w:p>
    <w:p w14:paraId="1B2A6C73">
      <w:pPr>
        <w:spacing w:line="400" w:lineRule="exact"/>
        <w:ind w:left="420" w:leftChars="200"/>
        <w:rPr>
          <w:rFonts w:ascii="宋体" w:hAnsi="宋体" w:cs="宋体"/>
          <w:color w:val="auto"/>
          <w:szCs w:val="21"/>
          <w:highlight w:val="none"/>
        </w:rPr>
      </w:pPr>
      <w:r>
        <w:rPr>
          <w:rFonts w:hint="eastAsia" w:ascii="宋体" w:hAnsi="宋体" w:cs="宋体"/>
          <w:color w:val="auto"/>
          <w:szCs w:val="21"/>
          <w:highlight w:val="none"/>
        </w:rPr>
        <w:t>17.1供应商须按“供应商须知前附表”的规定提交磋商保证金。</w:t>
      </w:r>
    </w:p>
    <w:p w14:paraId="139BB594">
      <w:pPr>
        <w:spacing w:line="400" w:lineRule="exact"/>
        <w:ind w:left="420" w:leftChars="200"/>
        <w:rPr>
          <w:rFonts w:ascii="宋体" w:hAnsi="宋体" w:cs="宋体"/>
          <w:color w:val="auto"/>
          <w:szCs w:val="21"/>
          <w:highlight w:val="none"/>
        </w:rPr>
      </w:pPr>
      <w:r>
        <w:rPr>
          <w:rFonts w:hint="eastAsia" w:ascii="宋体" w:hAnsi="宋体" w:cs="宋体"/>
          <w:color w:val="auto"/>
          <w:szCs w:val="21"/>
          <w:highlight w:val="none"/>
        </w:rPr>
        <w:t>17.2磋商保证金的退还</w:t>
      </w:r>
    </w:p>
    <w:p w14:paraId="13E0D83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17.2.1未</w:t>
      </w:r>
      <w:r>
        <w:rPr>
          <w:rFonts w:hint="eastAsia" w:ascii="宋体" w:hAnsi="宋体" w:cs="宋体"/>
          <w:color w:val="auto"/>
          <w:spacing w:val="-6"/>
          <w:szCs w:val="21"/>
          <w:highlight w:val="none"/>
        </w:rPr>
        <w:t>成交供应商的磋商保证金自成交通知书发出之日起5个工作日内退还，退还方式如下：</w:t>
      </w:r>
    </w:p>
    <w:p w14:paraId="41F9B6B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（1）采用银行转账方式的，以转账方式退回到供应商银行账户。</w:t>
      </w:r>
    </w:p>
    <w:p w14:paraId="3CA31BD8">
      <w:pPr>
        <w:pStyle w:val="8"/>
        <w:spacing w:line="400" w:lineRule="exact"/>
        <w:ind w:firstLine="315" w:firstLineChars="150"/>
        <w:rPr>
          <w:rFonts w:ascii="宋体" w:hAnsi="宋体"/>
          <w:color w:val="auto"/>
          <w:szCs w:val="21"/>
          <w:highlight w:val="none"/>
        </w:rPr>
      </w:pPr>
      <w:r>
        <w:rPr>
          <w:rFonts w:hint="eastAsia" w:ascii="宋体" w:hAnsi="宋体" w:cs="宋体"/>
          <w:color w:val="auto"/>
          <w:szCs w:val="21"/>
          <w:highlight w:val="none"/>
        </w:rPr>
        <w:t>（2）</w:t>
      </w:r>
      <w:r>
        <w:rPr>
          <w:rFonts w:hint="eastAsia" w:ascii="宋体" w:hAnsi="宋体"/>
          <w:color w:val="auto"/>
          <w:szCs w:val="21"/>
          <w:highlight w:val="none"/>
        </w:rPr>
        <w:t>采用支票、汇票、本票或者金融机构、担保机构出具的保函等方式的，由供应商代表持相关授权证明材料至采购代理机构办理支票、汇票、本票或者金融机构、担保机构出具的保函等原件退还手续。</w:t>
      </w:r>
    </w:p>
    <w:p w14:paraId="6E6B789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17.2.2成交供应商的磋商保证金自签订合同之日起5个工作日内退还，退还方式同未成交供应商的磋商保证金的退还方式；或者转为成交供应商的履约保证金。 </w:t>
      </w:r>
    </w:p>
    <w:p w14:paraId="2BCC70C9">
      <w:pPr>
        <w:spacing w:line="400" w:lineRule="exact"/>
        <w:ind w:left="420" w:leftChars="200"/>
        <w:rPr>
          <w:rFonts w:ascii="宋体" w:hAnsi="宋体" w:cs="宋体"/>
          <w:color w:val="auto"/>
          <w:szCs w:val="21"/>
          <w:highlight w:val="none"/>
        </w:rPr>
      </w:pPr>
      <w:r>
        <w:rPr>
          <w:rFonts w:hint="eastAsia" w:ascii="宋体" w:hAnsi="宋体" w:cs="宋体"/>
          <w:color w:val="auto"/>
          <w:szCs w:val="21"/>
          <w:highlight w:val="none"/>
        </w:rPr>
        <w:t>17.3磋商保证金不计息。</w:t>
      </w:r>
    </w:p>
    <w:p w14:paraId="71855AC0">
      <w:pPr>
        <w:spacing w:line="400" w:lineRule="exact"/>
        <w:ind w:left="420" w:leftChars="200"/>
        <w:rPr>
          <w:rFonts w:ascii="宋体" w:hAnsi="宋体" w:cs="宋体"/>
          <w:color w:val="auto"/>
          <w:szCs w:val="21"/>
          <w:highlight w:val="none"/>
        </w:rPr>
      </w:pPr>
      <w:r>
        <w:rPr>
          <w:rFonts w:hint="eastAsia" w:ascii="宋体" w:hAnsi="宋体" w:cs="宋体"/>
          <w:color w:val="auto"/>
          <w:szCs w:val="21"/>
          <w:highlight w:val="none"/>
        </w:rPr>
        <w:t xml:space="preserve">17.4供应商有下列情形之一的，磋商保证金将不予退还： </w:t>
      </w:r>
    </w:p>
    <w:p w14:paraId="434AEBF5">
      <w:pPr>
        <w:spacing w:line="400" w:lineRule="exact"/>
        <w:ind w:left="420" w:leftChars="200"/>
        <w:rPr>
          <w:rFonts w:ascii="宋体" w:hAnsi="宋体" w:cs="宋体"/>
          <w:color w:val="auto"/>
          <w:szCs w:val="21"/>
          <w:highlight w:val="none"/>
        </w:rPr>
      </w:pPr>
      <w:r>
        <w:rPr>
          <w:rFonts w:hint="eastAsia" w:ascii="宋体" w:hAnsi="宋体" w:cs="宋体"/>
          <w:color w:val="auto"/>
          <w:szCs w:val="21"/>
          <w:highlight w:val="none"/>
        </w:rPr>
        <w:t>（1）供应商在提交响应文件截止时间后撤回响应文件的；</w:t>
      </w:r>
    </w:p>
    <w:p w14:paraId="0724CBB0">
      <w:pPr>
        <w:spacing w:line="400" w:lineRule="exact"/>
        <w:ind w:left="420" w:leftChars="200"/>
        <w:rPr>
          <w:rFonts w:ascii="宋体" w:hAnsi="宋体" w:cs="宋体"/>
          <w:color w:val="auto"/>
          <w:szCs w:val="21"/>
          <w:highlight w:val="none"/>
        </w:rPr>
      </w:pPr>
      <w:r>
        <w:rPr>
          <w:rFonts w:hint="eastAsia" w:ascii="宋体" w:hAnsi="宋体" w:cs="宋体"/>
          <w:color w:val="auto"/>
          <w:szCs w:val="21"/>
          <w:highlight w:val="none"/>
        </w:rPr>
        <w:t>（2）供应商在响应文件中提供虚假材料的；</w:t>
      </w:r>
    </w:p>
    <w:p w14:paraId="5E7AAF4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（3）除因不可抗力或者磋商文件认可的情形以外，成交供应商不与采购人签订合同的；</w:t>
      </w:r>
    </w:p>
    <w:p w14:paraId="7C2F2433">
      <w:pPr>
        <w:spacing w:line="400" w:lineRule="exact"/>
        <w:ind w:left="420" w:leftChars="200"/>
        <w:rPr>
          <w:rFonts w:ascii="宋体" w:hAnsi="宋体" w:cs="宋体"/>
          <w:color w:val="auto"/>
          <w:szCs w:val="21"/>
          <w:highlight w:val="none"/>
        </w:rPr>
      </w:pPr>
      <w:r>
        <w:rPr>
          <w:rFonts w:hint="eastAsia" w:ascii="宋体" w:hAnsi="宋体" w:cs="宋体"/>
          <w:color w:val="auto"/>
          <w:szCs w:val="21"/>
          <w:highlight w:val="none"/>
        </w:rPr>
        <w:t>（4）供应商与采购人、其他供应商或者采购代理机构恶意串通的；</w:t>
      </w:r>
    </w:p>
    <w:p w14:paraId="31E915FC">
      <w:pPr>
        <w:spacing w:line="400" w:lineRule="exact"/>
        <w:ind w:left="420" w:leftChars="200"/>
        <w:rPr>
          <w:rFonts w:cs="宋体"/>
          <w:color w:val="auto"/>
          <w:szCs w:val="21"/>
          <w:highlight w:val="none"/>
        </w:rPr>
      </w:pPr>
      <w:r>
        <w:rPr>
          <w:rFonts w:hint="eastAsia" w:ascii="宋体" w:hAnsi="宋体" w:cs="宋体"/>
          <w:color w:val="auto"/>
          <w:szCs w:val="21"/>
          <w:highlight w:val="none"/>
        </w:rPr>
        <w:t>（5）磋商文件规定的其他情形。</w:t>
      </w:r>
    </w:p>
    <w:p w14:paraId="78757970">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5359FFE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469C0C5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18.2响应文件应按资格证明文件、报价文件分别编制，商务技术文件合并编制，本磋商只接受电子版响应文件，要求见本章“12.2响应文件电子版要求”。</w:t>
      </w:r>
    </w:p>
    <w:p w14:paraId="27AF92E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w:t>
      </w:r>
      <w:bookmarkStart w:id="92" w:name="_Hlk65832699"/>
      <w:r>
        <w:rPr>
          <w:rFonts w:hint="eastAsia" w:ascii="宋体" w:hAnsi="宋体" w:cs="宋体"/>
          <w:color w:val="auto"/>
          <w:szCs w:val="21"/>
          <w:highlight w:val="none"/>
        </w:rPr>
        <w:t>3响应文件须由供应商按</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第五章 响应文件格式</w:t>
      </w:r>
      <w:r>
        <w:rPr>
          <w:rFonts w:hint="eastAsia" w:ascii="宋体" w:hAnsi="宋体" w:cs="宋体"/>
          <w:color w:val="auto"/>
          <w:kern w:val="0"/>
          <w:szCs w:val="21"/>
          <w:highlight w:val="none"/>
          <w:lang w:val="zh-CN"/>
        </w:rPr>
        <w:t>”</w:t>
      </w:r>
      <w:r>
        <w:rPr>
          <w:rFonts w:hint="eastAsia" w:ascii="宋体" w:hAnsi="宋体" w:cs="宋体"/>
          <w:color w:val="auto"/>
          <w:szCs w:val="21"/>
          <w:highlight w:val="none"/>
        </w:rPr>
        <w:t>要求进行签署、盖章</w:t>
      </w:r>
      <w:bookmarkEnd w:id="92"/>
      <w:r>
        <w:rPr>
          <w:rFonts w:hint="eastAsia" w:ascii="宋体" w:hAnsi="宋体" w:cs="宋体"/>
          <w:color w:val="auto"/>
          <w:szCs w:val="21"/>
          <w:highlight w:val="none"/>
        </w:rPr>
        <w:t>，</w:t>
      </w:r>
      <w:r>
        <w:rPr>
          <w:rFonts w:hint="eastAsia" w:ascii="宋体" w:hAnsi="宋体" w:cs="宋体"/>
          <w:b/>
          <w:bCs/>
          <w:color w:val="auto"/>
          <w:szCs w:val="21"/>
          <w:highlight w:val="none"/>
        </w:rPr>
        <w:t>否则其响应文件按无效响应处理</w:t>
      </w:r>
      <w:r>
        <w:rPr>
          <w:rFonts w:hint="eastAsia" w:ascii="宋体" w:hAnsi="宋体" w:cs="宋体"/>
          <w:color w:val="auto"/>
          <w:szCs w:val="21"/>
          <w:highlight w:val="none"/>
        </w:rPr>
        <w:t>。</w:t>
      </w:r>
    </w:p>
    <w:p w14:paraId="19786BF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18.4响应文件中标注的供应商名称应与营业执照（事业单位法人证书、执业许可证、自然人身份证）及供应商公章一致，</w:t>
      </w:r>
      <w:r>
        <w:rPr>
          <w:rFonts w:hint="eastAsia" w:ascii="宋体" w:hAnsi="宋体" w:cs="宋体"/>
          <w:b/>
          <w:bCs/>
          <w:color w:val="auto"/>
          <w:szCs w:val="21"/>
          <w:highlight w:val="none"/>
        </w:rPr>
        <w:t>否则其响应文件按无效响应处理。</w:t>
      </w:r>
    </w:p>
    <w:p w14:paraId="37D9D79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w:t>
      </w:r>
    </w:p>
    <w:p w14:paraId="3CE97CB9">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6CD66D76">
      <w:pPr>
        <w:spacing w:line="400" w:lineRule="exact"/>
        <w:ind w:firstLine="420" w:firstLineChars="200"/>
        <w:rPr>
          <w:rFonts w:ascii="宋体" w:hAnsi="宋体" w:cs="宋体"/>
          <w:b/>
          <w:bCs/>
          <w:color w:val="auto"/>
          <w:kern w:val="0"/>
          <w:szCs w:val="21"/>
          <w:highlight w:val="none"/>
          <w:lang w:val="zh-CN"/>
        </w:rPr>
      </w:pPr>
      <w:r>
        <w:rPr>
          <w:rFonts w:hint="eastAsia" w:ascii="宋体" w:hAnsi="宋体" w:cs="宋体"/>
          <w:color w:val="auto"/>
          <w:kern w:val="0"/>
          <w:szCs w:val="21"/>
          <w:highlight w:val="none"/>
          <w:lang w:val="zh-CN"/>
        </w:rPr>
        <w:t>19.1</w:t>
      </w:r>
      <w:r>
        <w:rPr>
          <w:rFonts w:hint="eastAsia" w:ascii="宋体" w:hAnsi="宋体" w:cs="宋体"/>
          <w:b/>
          <w:bCs/>
          <w:color w:val="auto"/>
          <w:kern w:val="0"/>
          <w:szCs w:val="21"/>
          <w:highlight w:val="none"/>
          <w:lang w:val="zh-CN"/>
        </w:rPr>
        <w:t>供应商进行电子交易应安装客户端软件—“</w:t>
      </w:r>
      <w:r>
        <w:rPr>
          <w:rFonts w:hint="eastAsia" w:ascii="宋体" w:hAnsi="宋体" w:cs="宋体"/>
          <w:b/>
          <w:bCs/>
          <w:color w:val="auto"/>
          <w:szCs w:val="21"/>
          <w:highlight w:val="none"/>
        </w:rPr>
        <w:t>广西政府采购云平台新版客户端</w:t>
      </w:r>
      <w:r>
        <w:rPr>
          <w:rFonts w:hint="eastAsia" w:ascii="宋体" w:hAnsi="宋体" w:cs="宋体"/>
          <w:b/>
          <w:bCs/>
          <w:color w:val="auto"/>
          <w:kern w:val="0"/>
          <w:szCs w:val="21"/>
          <w:highlight w:val="none"/>
          <w:lang w:val="zh-CN"/>
        </w:rPr>
        <w:t>”，并按照磋商文件和电子交易平台的要求编制并加密响应文件。供应商未按规定加密的响应文件，电子交易平台将拒收并提示。</w:t>
      </w:r>
    </w:p>
    <w:p w14:paraId="77DBF819">
      <w:pPr>
        <w:spacing w:line="400" w:lineRule="exact"/>
        <w:ind w:firstLine="420" w:firstLineChars="200"/>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19.2使用“</w:t>
      </w:r>
      <w:r>
        <w:rPr>
          <w:rFonts w:hint="eastAsia" w:ascii="宋体" w:hAnsi="宋体" w:cs="宋体"/>
          <w:color w:val="auto"/>
          <w:kern w:val="0"/>
          <w:szCs w:val="21"/>
          <w:highlight w:val="none"/>
        </w:rPr>
        <w:t>广西政府采购云平台</w:t>
      </w:r>
      <w:r>
        <w:rPr>
          <w:rFonts w:hint="eastAsia" w:ascii="宋体" w:hAnsi="宋体" w:cs="宋体"/>
          <w:color w:val="auto"/>
          <w:kern w:val="0"/>
          <w:szCs w:val="21"/>
          <w:highlight w:val="none"/>
          <w:lang w:val="zh-CN"/>
        </w:rPr>
        <w:t>电子交易客户端”需要提前申领CA数字证书。</w:t>
      </w:r>
    </w:p>
    <w:p w14:paraId="2AA5533C">
      <w:pP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19.3为确保网上操作合法、有效和安全，供应商应当在响应文件提交截止时间前完成在“</w:t>
      </w:r>
      <w:r>
        <w:rPr>
          <w:rFonts w:hint="eastAsia" w:ascii="宋体" w:hAnsi="宋体" w:cs="宋体"/>
          <w:color w:val="auto"/>
          <w:szCs w:val="21"/>
          <w:highlight w:val="none"/>
        </w:rPr>
        <w:t>广西政府采购云平台</w:t>
      </w:r>
      <w:r>
        <w:rPr>
          <w:rFonts w:hint="eastAsia" w:ascii="宋体" w:hAnsi="宋体" w:cs="宋体"/>
          <w:color w:val="auto"/>
          <w:kern w:val="0"/>
          <w:szCs w:val="21"/>
          <w:highlight w:val="none"/>
        </w:rPr>
        <w:t>”的身份认证，确保在电子交易过程中能够对相关数据电文进行加密和使用电子签名。</w:t>
      </w:r>
    </w:p>
    <w:p w14:paraId="361584DD">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2161608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0623B31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20.2 在响应文件提交截止时间以后，不能补充、修改响应文件。</w:t>
      </w:r>
    </w:p>
    <w:p w14:paraId="7451F13D">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20.3 在提交“最后报价”后，供应商不能退出磋商。</w:t>
      </w:r>
    </w:p>
    <w:p w14:paraId="1BE5F4F8">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6E1E78D">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20.5 采购机构不可视情况延长提交响应文件的截止时间。</w:t>
      </w:r>
    </w:p>
    <w:p w14:paraId="19843E6D">
      <w:pPr>
        <w:spacing w:line="400" w:lineRule="exact"/>
        <w:ind w:firstLine="420" w:firstLineChars="200"/>
        <w:rPr>
          <w:rFonts w:ascii="宋体" w:hAnsi="宋体" w:cs="宋体"/>
          <w:bCs/>
          <w:color w:val="auto"/>
          <w:szCs w:val="21"/>
          <w:highlight w:val="none"/>
        </w:rPr>
      </w:pPr>
      <w:r>
        <w:rPr>
          <w:rFonts w:hint="eastAsia" w:ascii="宋体" w:hAnsi="宋体" w:cs="宋体"/>
          <w:color w:val="auto"/>
          <w:szCs w:val="21"/>
          <w:highlight w:val="none"/>
        </w:rPr>
        <w:t>20.6备份响应文件。</w:t>
      </w:r>
      <w:r>
        <w:rPr>
          <w:rFonts w:hint="eastAsia" w:ascii="宋体" w:hAnsi="宋体" w:cs="宋体"/>
          <w:bCs/>
          <w:color w:val="auto"/>
          <w:szCs w:val="21"/>
          <w:highlight w:val="none"/>
        </w:rPr>
        <w:t>详见“供应商须知前附表”。</w:t>
      </w:r>
    </w:p>
    <w:p w14:paraId="350ACA43">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1DEEF652">
      <w:pPr>
        <w:adjustRightInd w:val="0"/>
        <w:spacing w:line="400" w:lineRule="exact"/>
        <w:ind w:firstLine="420" w:firstLineChars="200"/>
        <w:rPr>
          <w:rFonts w:cs="宋体"/>
          <w:color w:val="auto"/>
          <w:szCs w:val="21"/>
          <w:highlight w:val="none"/>
        </w:rPr>
      </w:pPr>
      <w:r>
        <w:rPr>
          <w:rFonts w:hint="eastAsia" w:ascii="宋体" w:hAnsi="宋体" w:cs="仿宋_GB2312"/>
          <w:color w:val="auto"/>
          <w:kern w:val="0"/>
          <w:szCs w:val="21"/>
          <w:highlight w:val="none"/>
        </w:rPr>
        <w:t>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文件提交截止时间后提交的响应文件，电子交易平台将拒收</w:t>
      </w:r>
      <w:r>
        <w:rPr>
          <w:rFonts w:hint="eastAsia" w:cs="宋体"/>
          <w:color w:val="auto"/>
          <w:szCs w:val="21"/>
          <w:highlight w:val="none"/>
        </w:rPr>
        <w:t>。</w:t>
      </w:r>
      <w:bookmarkStart w:id="93" w:name="_Hlk45702405"/>
    </w:p>
    <w:p w14:paraId="06E8BBA2">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22.截止时间后的撤回</w:t>
      </w:r>
    </w:p>
    <w:bookmarkEnd w:id="93"/>
    <w:p w14:paraId="0A3C8AB6">
      <w:pPr>
        <w:pStyle w:val="17"/>
        <w:spacing w:line="400" w:lineRule="exact"/>
        <w:rPr>
          <w:b/>
          <w:bCs/>
          <w:color w:val="auto"/>
          <w:highlight w:val="none"/>
        </w:rPr>
      </w:pPr>
      <w:r>
        <w:rPr>
          <w:rFonts w:hint="eastAsia"/>
          <w:color w:val="auto"/>
          <w:highlight w:val="none"/>
        </w:rPr>
        <w:t>供应商在首次响应文件提交截止时间后向采购人、采购代理机构书面申请撤回电子响应文件的，将根据本须知正文17.4的规定不予退还其磋商保证金（如有）。</w:t>
      </w:r>
    </w:p>
    <w:p w14:paraId="5353D20F">
      <w:pPr>
        <w:pStyle w:val="5"/>
        <w:spacing w:before="0" w:after="0" w:line="400" w:lineRule="exact"/>
        <w:ind w:firstLine="640" w:firstLineChars="200"/>
        <w:rPr>
          <w:b w:val="0"/>
          <w:bCs w:val="0"/>
          <w:color w:val="auto"/>
          <w:highlight w:val="none"/>
        </w:rPr>
      </w:pPr>
      <w:r>
        <w:rPr>
          <w:rFonts w:hint="eastAsia"/>
          <w:b w:val="0"/>
          <w:bCs w:val="0"/>
          <w:color w:val="auto"/>
          <w:highlight w:val="none"/>
        </w:rPr>
        <w:t xml:space="preserve">  </w:t>
      </w:r>
      <w:bookmarkStart w:id="94" w:name="_Toc80886933"/>
      <w:bookmarkStart w:id="95" w:name="_Toc17876"/>
      <w:bookmarkStart w:id="96" w:name="_Toc20044"/>
      <w:r>
        <w:rPr>
          <w:rFonts w:hint="eastAsia"/>
          <w:b w:val="0"/>
          <w:bCs w:val="0"/>
          <w:color w:val="auto"/>
          <w:highlight w:val="none"/>
        </w:rPr>
        <w:t>四、评审及磋商</w:t>
      </w:r>
      <w:bookmarkEnd w:id="94"/>
      <w:bookmarkEnd w:id="95"/>
      <w:bookmarkEnd w:id="96"/>
    </w:p>
    <w:p w14:paraId="43A69418">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23.磋商小组成立</w:t>
      </w:r>
    </w:p>
    <w:p w14:paraId="0BCBF4B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4858C5A8">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23.2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14:paraId="0239AB78">
      <w:pPr>
        <w:spacing w:line="400" w:lineRule="exact"/>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4</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首次响应文件的开启</w:t>
      </w:r>
    </w:p>
    <w:p w14:paraId="76659E2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24.1首次响应文件由磋商小组或者采购代理机构在“供应商须知前附表”规定的时间开启。</w:t>
      </w:r>
    </w:p>
    <w:p w14:paraId="1DB82173">
      <w:pPr>
        <w:spacing w:line="400" w:lineRule="exact"/>
        <w:ind w:firstLine="420" w:firstLineChars="200"/>
        <w:rPr>
          <w:rFonts w:ascii="宋体" w:hAnsi="宋体" w:cs="宋体"/>
          <w:bCs/>
          <w:color w:val="auto"/>
          <w:kern w:val="0"/>
          <w:szCs w:val="21"/>
          <w:highlight w:val="none"/>
        </w:rPr>
      </w:pPr>
      <w:r>
        <w:rPr>
          <w:rFonts w:hint="eastAsia" w:ascii="宋体" w:hAnsi="宋体" w:cs="宋体"/>
          <w:color w:val="auto"/>
          <w:kern w:val="0"/>
          <w:szCs w:val="21"/>
          <w:highlight w:val="none"/>
        </w:rPr>
        <w:t xml:space="preserve">24.2 </w:t>
      </w:r>
      <w:r>
        <w:rPr>
          <w:rFonts w:hint="eastAsia" w:ascii="宋体" w:hAnsi="宋体" w:cs="宋体"/>
          <w:bCs/>
          <w:color w:val="auto"/>
          <w:kern w:val="0"/>
          <w:szCs w:val="21"/>
          <w:highlight w:val="none"/>
        </w:rPr>
        <w:t>响应文件解密</w:t>
      </w:r>
    </w:p>
    <w:p w14:paraId="0CF3EC10">
      <w:pPr>
        <w:snapToGrid w:val="0"/>
        <w:spacing w:line="400" w:lineRule="exact"/>
        <w:ind w:firstLine="420" w:firstLineChars="200"/>
        <w:rPr>
          <w:rFonts w:ascii="宋体" w:hAnsi="宋体" w:cs="宋体"/>
          <w:color w:val="auto"/>
          <w:kern w:val="0"/>
          <w:szCs w:val="21"/>
          <w:highlight w:val="none"/>
        </w:rPr>
      </w:pPr>
      <w:r>
        <w:rPr>
          <w:rFonts w:hint="eastAsia" w:ascii="宋体" w:hAnsi="宋体" w:cs="宋体"/>
          <w:bCs/>
          <w:color w:val="auto"/>
          <w:kern w:val="0"/>
          <w:szCs w:val="21"/>
          <w:highlight w:val="none"/>
        </w:rPr>
        <w:t>采购代理机构将在“供应商须知前附表”规定的时</w:t>
      </w:r>
      <w:r>
        <w:rPr>
          <w:rFonts w:hint="eastAsia" w:ascii="宋体" w:hAnsi="宋体" w:cs="宋体"/>
          <w:color w:val="auto"/>
          <w:kern w:val="0"/>
          <w:szCs w:val="21"/>
          <w:highlight w:val="none"/>
        </w:rPr>
        <w:t>间通过电子交易平台组织响应文件开启，采购机构依托电子交易平台发起开始解密指令，供应商的法定代表人或其委托代理人</w:t>
      </w:r>
      <w:r>
        <w:rPr>
          <w:rFonts w:hint="eastAsia" w:ascii="宋体" w:hAnsi="宋体" w:cs="宋体"/>
          <w:b/>
          <w:color w:val="auto"/>
          <w:kern w:val="0"/>
          <w:szCs w:val="21"/>
          <w:highlight w:val="none"/>
        </w:rPr>
        <w:t>须携带加密时所用的CA锁按平台提示和采购文件的规定登录到广西政府采购云平台电子开标大厅签到并在规定的时间内完成对电子响应文件在线解密</w:t>
      </w:r>
      <w:r>
        <w:rPr>
          <w:rFonts w:hint="eastAsia" w:ascii="宋体" w:hAnsi="宋体" w:cs="宋体"/>
          <w:color w:val="auto"/>
          <w:kern w:val="0"/>
          <w:szCs w:val="21"/>
          <w:highlight w:val="none"/>
        </w:rPr>
        <w:t>。</w:t>
      </w:r>
      <w:r>
        <w:rPr>
          <w:rFonts w:hint="eastAsia" w:ascii="宋体" w:hAnsi="宋体" w:cs="宋体"/>
          <w:color w:val="auto"/>
          <w:kern w:val="1"/>
          <w:szCs w:val="21"/>
          <w:highlight w:val="none"/>
        </w:rPr>
        <w:t>响应文件未按时解密的</w:t>
      </w:r>
      <w:r>
        <w:rPr>
          <w:rFonts w:hint="eastAsia" w:ascii="宋体" w:hAnsi="宋体" w:cs="宋体"/>
          <w:color w:val="auto"/>
          <w:kern w:val="0"/>
          <w:szCs w:val="21"/>
          <w:highlight w:val="none"/>
        </w:rPr>
        <w:t>，</w:t>
      </w:r>
      <w:r>
        <w:rPr>
          <w:rFonts w:hint="eastAsia" w:ascii="宋体" w:hAnsi="宋体" w:cs="宋体"/>
          <w:b/>
          <w:color w:val="auto"/>
          <w:kern w:val="0"/>
          <w:szCs w:val="21"/>
          <w:highlight w:val="none"/>
        </w:rPr>
        <w:t>视为响应文件无效。</w:t>
      </w:r>
      <w:r>
        <w:rPr>
          <w:rFonts w:hint="eastAsia" w:ascii="宋体" w:hAnsi="宋体" w:cs="宋体"/>
          <w:color w:val="auto"/>
          <w:kern w:val="0"/>
          <w:szCs w:val="21"/>
          <w:highlight w:val="none"/>
        </w:rPr>
        <w:t>（解密</w:t>
      </w:r>
      <w:r>
        <w:rPr>
          <w:rFonts w:hint="eastAsia" w:ascii="宋体" w:hAnsi="宋体" w:cs="宋体"/>
          <w:bCs/>
          <w:color w:val="auto"/>
          <w:kern w:val="0"/>
          <w:szCs w:val="21"/>
          <w:highlight w:val="none"/>
        </w:rPr>
        <w:t>异常情况处理：详见本章</w:t>
      </w:r>
      <w:r>
        <w:rPr>
          <w:rFonts w:hint="eastAsia" w:ascii="宋体" w:hAnsi="宋体" w:cs="宋体"/>
          <w:color w:val="auto"/>
          <w:kern w:val="0"/>
          <w:szCs w:val="21"/>
          <w:highlight w:val="none"/>
        </w:rPr>
        <w:t>25.4电子交易活动的中止。）</w:t>
      </w:r>
    </w:p>
    <w:p w14:paraId="6DE6BF5D">
      <w:pP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如</w:t>
      </w:r>
      <w:r>
        <w:rPr>
          <w:rFonts w:hint="eastAsia" w:ascii="宋体" w:hAnsi="宋体" w:cs="宋体"/>
          <w:bCs/>
          <w:color w:val="auto"/>
          <w:kern w:val="0"/>
          <w:szCs w:val="21"/>
          <w:highlight w:val="none"/>
        </w:rPr>
        <w:t>供应商成功解密响应文件，但未在“</w:t>
      </w:r>
      <w:r>
        <w:rPr>
          <w:rFonts w:hint="eastAsia" w:ascii="宋体" w:hAnsi="宋体" w:cs="宋体"/>
          <w:color w:val="auto"/>
          <w:szCs w:val="21"/>
          <w:highlight w:val="none"/>
        </w:rPr>
        <w:t>广西政府采购云平台</w:t>
      </w:r>
      <w:r>
        <w:rPr>
          <w:rFonts w:hint="eastAsia" w:ascii="宋体" w:hAnsi="宋体" w:cs="宋体"/>
          <w:bCs/>
          <w:color w:val="auto"/>
          <w:kern w:val="0"/>
          <w:szCs w:val="21"/>
          <w:highlight w:val="none"/>
        </w:rPr>
        <w:t>”电子开标大厅参加磋商的，视同认可磋商过程和结果，</w:t>
      </w:r>
      <w:r>
        <w:rPr>
          <w:rFonts w:hint="eastAsia" w:ascii="宋体" w:hAnsi="宋体" w:cs="宋体"/>
          <w:color w:val="auto"/>
          <w:kern w:val="0"/>
          <w:szCs w:val="21"/>
          <w:highlight w:val="none"/>
        </w:rPr>
        <w:t>由此产生的后果由供应商自行负责。 参与磋商的供应商不足3家的，不得磋商。</w:t>
      </w:r>
    </w:p>
    <w:p w14:paraId="11E87B23">
      <w:pPr>
        <w:spacing w:line="400" w:lineRule="exact"/>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5.评审程序、评审方法和评审标准</w:t>
      </w:r>
    </w:p>
    <w:p w14:paraId="526DE4B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25.1</w:t>
      </w:r>
      <w:r>
        <w:rPr>
          <w:rFonts w:hint="eastAsia" w:ascii="宋体" w:hAnsi="宋体" w:cs="宋体"/>
          <w:color w:val="auto"/>
          <w:highlight w:val="none"/>
        </w:rPr>
        <w:t>本项目的评审方法详见“供应商须知前附表”。</w:t>
      </w:r>
      <w:r>
        <w:rPr>
          <w:rFonts w:hint="eastAsia" w:ascii="宋体" w:hAnsi="宋体" w:cs="宋体"/>
          <w:color w:val="auto"/>
          <w:szCs w:val="21"/>
          <w:highlight w:val="none"/>
        </w:rPr>
        <w:t>磋商小组按照“第四章 评审程序、评审方法和评审标准”规定的方法、评审因素、标准和程序对响应文件进行评审。</w:t>
      </w:r>
    </w:p>
    <w:p w14:paraId="38E07923">
      <w:pPr>
        <w:pStyle w:val="14"/>
        <w:spacing w:after="0" w:line="400" w:lineRule="exact"/>
        <w:ind w:firstLine="420" w:firstLineChars="200"/>
        <w:rPr>
          <w:rFonts w:ascii="宋体" w:hAnsi="宋体" w:cs="宋体"/>
          <w:color w:val="auto"/>
          <w:highlight w:val="none"/>
        </w:rPr>
      </w:pPr>
      <w:r>
        <w:rPr>
          <w:rFonts w:hint="eastAsia" w:ascii="宋体" w:hAnsi="宋体" w:cs="宋体"/>
          <w:color w:val="auto"/>
          <w:szCs w:val="21"/>
          <w:highlight w:val="none"/>
        </w:rPr>
        <w:t>25.2磋商文件内容违反国家有关强制性规定的，磋商小组应当停止评审并向采购人或者采购代理机构说明情况，并在评审报告中书面体现。</w:t>
      </w:r>
    </w:p>
    <w:p w14:paraId="1BE3A54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25.3 采购需求负偏离要求及磋商顺序详见“供应商须知前附表”。</w:t>
      </w:r>
    </w:p>
    <w:p w14:paraId="23407A1D">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25.4电子交易活动的中止。采购过程中出现以下情形，导致电子交易平台无法正常运行，或者无法保证电子交易的公平、公正和安全时，采购机构可中止电子交易活动：</w:t>
      </w:r>
    </w:p>
    <w:p w14:paraId="5C32FA88">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4AEA2666">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3AD60000">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2ED2FBC3">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 xml:space="preserve">（4）病毒发作导致不能进行正常操作的； </w:t>
      </w:r>
    </w:p>
    <w:p w14:paraId="42557C69">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（5）其他无法保证电子交易的公平、公正和安全的情况。</w:t>
      </w:r>
    </w:p>
    <w:p w14:paraId="414FB1EE">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25.5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691797C3">
      <w:pPr>
        <w:pStyle w:val="5"/>
        <w:spacing w:before="0" w:after="0" w:line="400" w:lineRule="exact"/>
        <w:ind w:firstLine="480" w:firstLineChars="150"/>
        <w:rPr>
          <w:b w:val="0"/>
          <w:bCs w:val="0"/>
          <w:color w:val="auto"/>
          <w:highlight w:val="none"/>
        </w:rPr>
      </w:pPr>
      <w:bookmarkStart w:id="97" w:name="_Toc80886934"/>
      <w:bookmarkStart w:id="98" w:name="_Toc17745"/>
      <w:bookmarkStart w:id="99" w:name="_Toc12018"/>
      <w:r>
        <w:rPr>
          <w:rFonts w:hint="eastAsia"/>
          <w:b w:val="0"/>
          <w:bCs w:val="0"/>
          <w:color w:val="auto"/>
          <w:highlight w:val="none"/>
        </w:rPr>
        <w:t>五、成交及合同</w:t>
      </w:r>
      <w:bookmarkEnd w:id="97"/>
      <w:bookmarkEnd w:id="98"/>
      <w:bookmarkEnd w:id="99"/>
    </w:p>
    <w:p w14:paraId="33374E64">
      <w:pPr>
        <w:spacing w:line="400" w:lineRule="exact"/>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6.确定成交供应商及结果公告</w:t>
      </w:r>
    </w:p>
    <w:p w14:paraId="6808D60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26.1确定成交供应商。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5D1E24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26.2成交通知及成交结果公告。采购代理机构应当在</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供应商确定后2个工作日内，在省级以上财政部门指定的媒体上公告成交结果，同时向成交供应商发出成交通知书。</w:t>
      </w:r>
    </w:p>
    <w:p w14:paraId="435D233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依法确定排名第二的成交候选人为成交供应商。排名第二的成交候选人因上述规定的同样原因被取消成交资格的，采购人可以依法确定排名第三的成交候选人为成交供应商，以此类推。以上信息查询记录及相关证据与磋商文件一并保存。成交供应商享受《政府采购促进中小企业发展管理办法》（财库〔2020〕46号）规定的中小企业扶持政策的，采购人、采购代理机构应当随成交结果公开成交供应商的《中小企业声明函》。</w:t>
      </w:r>
    </w:p>
    <w:p w14:paraId="6EA5350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26.4采购人、采购代理机构认为供应商对采购过程、成交结果提出的质疑成立且影响或者可能影响成交结果的，在合格供应商符合法定数量时，可以从合格的成交候选人中另行确定成交供应商的，应当依法另行确定成交供应商；否则应当重新开展采购活动。</w:t>
      </w:r>
    </w:p>
    <w:p w14:paraId="4543F42F">
      <w:pPr>
        <w:spacing w:line="40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26.5排名第一的成交候选人放弃成交，采购人可以按照评审报告推荐的成交候选人名单排序，依法确定下一候选人为成交</w:t>
      </w:r>
      <w:r>
        <w:rPr>
          <w:rFonts w:hint="eastAsia" w:ascii="宋体" w:hAnsi="宋体" w:cs="宋体"/>
          <w:color w:val="auto"/>
          <w:szCs w:val="21"/>
          <w:highlight w:val="none"/>
        </w:rPr>
        <w:t>供应商</w:t>
      </w:r>
      <w:r>
        <w:rPr>
          <w:rFonts w:hint="eastAsia" w:ascii="宋体" w:hAnsi="宋体" w:cs="宋体"/>
          <w:bCs/>
          <w:color w:val="auto"/>
          <w:szCs w:val="21"/>
          <w:highlight w:val="none"/>
        </w:rPr>
        <w:t>，也可以重新开展政府采购活动</w:t>
      </w:r>
      <w:r>
        <w:rPr>
          <w:rFonts w:hint="eastAsia" w:ascii="宋体" w:hAnsi="宋体" w:cs="宋体"/>
          <w:color w:val="auto"/>
          <w:szCs w:val="21"/>
          <w:highlight w:val="none"/>
        </w:rPr>
        <w:t>。</w:t>
      </w:r>
    </w:p>
    <w:p w14:paraId="556A82DA">
      <w:pPr>
        <w:spacing w:line="400" w:lineRule="exact"/>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7.履约保证金</w:t>
      </w:r>
    </w:p>
    <w:p w14:paraId="3BDF3A3A">
      <w:pPr>
        <w:spacing w:line="400" w:lineRule="exact"/>
        <w:ind w:firstLine="424" w:firstLineChars="202"/>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7.1</w:t>
      </w:r>
      <w:r>
        <w:rPr>
          <w:rFonts w:ascii="宋体" w:hAnsi="宋体" w:cs="宋体"/>
          <w:color w:val="auto"/>
          <w:szCs w:val="21"/>
          <w:highlight w:val="none"/>
        </w:rPr>
        <w:t xml:space="preserve"> </w:t>
      </w:r>
      <w:r>
        <w:rPr>
          <w:rFonts w:hint="eastAsia" w:ascii="宋体" w:hAnsi="宋体" w:cs="宋体"/>
          <w:color w:val="auto"/>
          <w:szCs w:val="21"/>
          <w:highlight w:val="none"/>
        </w:rPr>
        <w:t>履约保证金的金额、提交方式、退付的时间和条件详见 “供应商须知前附表”。成交供应商未按规定提交履约保证金的，视为拒绝</w:t>
      </w:r>
      <w:r>
        <w:rPr>
          <w:rFonts w:ascii="宋体" w:hAnsi="宋体"/>
          <w:color w:val="auto"/>
          <w:highlight w:val="none"/>
        </w:rPr>
        <w:t>与采购人</w:t>
      </w:r>
      <w:r>
        <w:rPr>
          <w:rFonts w:hint="eastAsia" w:ascii="宋体" w:hAnsi="宋体" w:cs="宋体"/>
          <w:color w:val="auto"/>
          <w:szCs w:val="21"/>
          <w:highlight w:val="none"/>
        </w:rPr>
        <w:t>签订合同，采购人可以按照评审报告推荐的成交候选人名单排序，依法确定下一候选人为成交供应商，也可以重新开展政府采购活动。</w:t>
      </w:r>
    </w:p>
    <w:p w14:paraId="73278991">
      <w:pPr>
        <w:spacing w:line="400" w:lineRule="exact"/>
        <w:ind w:firstLine="424" w:firstLineChars="202"/>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7.2签订合同后，如成交供应商不按双方签订的合同规定履约，则没收其全部履约保证金，履约保证金不足以赔偿损失的，按实际损失赔偿。</w:t>
      </w:r>
    </w:p>
    <w:p w14:paraId="1C9B2E74">
      <w:pPr>
        <w:spacing w:line="400" w:lineRule="exact"/>
        <w:ind w:firstLine="424" w:firstLineChars="202"/>
        <w:rPr>
          <w:rFonts w:ascii="宋体" w:hAnsi="宋体" w:cs="宋体"/>
          <w:color w:val="auto"/>
          <w:szCs w:val="21"/>
          <w:highlight w:val="none"/>
        </w:rPr>
      </w:pPr>
      <w:r>
        <w:rPr>
          <w:rFonts w:ascii="宋体" w:hAnsi="宋体" w:cs="宋体"/>
          <w:color w:val="auto"/>
          <w:szCs w:val="21"/>
          <w:highlight w:val="none"/>
        </w:rPr>
        <w:t>2</w:t>
      </w:r>
      <w:r>
        <w:rPr>
          <w:rFonts w:hint="eastAsia" w:ascii="宋体" w:hAnsi="宋体" w:cs="宋体"/>
          <w:color w:val="auto"/>
          <w:szCs w:val="21"/>
          <w:highlight w:val="none"/>
        </w:rPr>
        <w:t>7.</w:t>
      </w:r>
      <w:r>
        <w:rPr>
          <w:rFonts w:ascii="宋体" w:hAnsi="宋体" w:cs="宋体"/>
          <w:color w:val="auto"/>
          <w:szCs w:val="21"/>
          <w:highlight w:val="none"/>
        </w:rPr>
        <w:t>3</w:t>
      </w:r>
      <w:r>
        <w:rPr>
          <w:rFonts w:hint="eastAsia" w:ascii="宋体" w:hAnsi="宋体" w:cs="宋体"/>
          <w:color w:val="auto"/>
          <w:szCs w:val="21"/>
          <w:highlight w:val="none"/>
        </w:rPr>
        <w:t>在履约保证金退还日期前，若成交供应商的开户名称、开户银行、账号有变动的，请以书面形式通知履约保证金收取单位，否则由此产生的后果由成交供应商自行承担。</w:t>
      </w:r>
    </w:p>
    <w:p w14:paraId="168E2EAC">
      <w:pPr>
        <w:spacing w:line="400" w:lineRule="exact"/>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2</w:t>
      </w:r>
      <w:r>
        <w:rPr>
          <w:rFonts w:hint="eastAsia" w:ascii="黑体" w:hAnsi="黑体" w:eastAsia="黑体" w:cs="宋体"/>
          <w:b/>
          <w:bCs/>
          <w:color w:val="auto"/>
          <w:sz w:val="24"/>
          <w:highlight w:val="none"/>
        </w:rPr>
        <w:t>8.签订合同</w:t>
      </w:r>
    </w:p>
    <w:p w14:paraId="3415A615">
      <w:pPr>
        <w:pStyle w:val="61"/>
        <w:snapToGrid w:val="0"/>
        <w:spacing w:before="0" w:line="400" w:lineRule="exact"/>
        <w:ind w:firstLine="420"/>
        <w:rPr>
          <w:rFonts w:ascii="宋体" w:hAnsi="宋体" w:cs="宋体"/>
          <w:color w:val="auto"/>
          <w:sz w:val="21"/>
          <w:szCs w:val="21"/>
          <w:highlight w:val="none"/>
          <w:lang w:val="zh-CN"/>
        </w:rPr>
      </w:pPr>
      <w:r>
        <w:rPr>
          <w:rFonts w:hint="eastAsia" w:ascii="宋体" w:hAnsi="宋体" w:cs="宋体"/>
          <w:color w:val="auto"/>
          <w:sz w:val="21"/>
          <w:szCs w:val="21"/>
          <w:highlight w:val="none"/>
        </w:rPr>
        <w:t>28.1采购人与成交供应商应当在成交通知书规定的时间内，按照磋商文件确定的合同文本以及采购标的、服务技术、采购金额、采购数量、技术和服务要求等事项签订政府采购合同。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cs="宋体"/>
          <w:color w:val="auto"/>
          <w:sz w:val="21"/>
          <w:szCs w:val="21"/>
          <w:highlight w:val="none"/>
          <w:lang w:val="zh-CN"/>
        </w:rPr>
        <w:t>如成交供应商为联合体的，由联合体成员各方法定代表人或其授权代表与采购人代表签订合同。</w:t>
      </w:r>
    </w:p>
    <w:p w14:paraId="64C2D24A">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28.2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4E6E9C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28.3成交供应商拒绝签订政府采购合同的，采购人可以按照评审报告推荐的成交候选人名单排序，依法确定下一候选人为成交供应商，也可以重新开展采购活动。拒绝签订政府采购合同的成交供应商不得参加对该项目重新开展的采购活动。</w:t>
      </w:r>
    </w:p>
    <w:p w14:paraId="0362B001">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28.4如签订合同并生效后，供应商无故拒绝或延期，除按照合同条款处理外，列入不良行为记录，并给予通报。</w:t>
      </w:r>
    </w:p>
    <w:p w14:paraId="076AAD23">
      <w:pPr>
        <w:spacing w:line="400" w:lineRule="exact"/>
        <w:ind w:firstLine="420" w:firstLineChars="200"/>
        <w:rPr>
          <w:rFonts w:cs="仿宋_GB2312"/>
          <w:color w:val="auto"/>
          <w:szCs w:val="21"/>
          <w:highlight w:val="none"/>
        </w:rPr>
      </w:pPr>
      <w:r>
        <w:rPr>
          <w:rFonts w:hint="eastAsia" w:ascii="宋体" w:hAnsi="宋体" w:cs="宋体"/>
          <w:color w:val="auto"/>
          <w:szCs w:val="21"/>
          <w:highlight w:val="none"/>
        </w:rPr>
        <w:t>28.5</w:t>
      </w:r>
      <w:r>
        <w:rPr>
          <w:rFonts w:hint="eastAsia" w:hAnsi="宋体" w:cs="宋体"/>
          <w:color w:val="auto"/>
          <w:highlight w:val="none"/>
        </w:rPr>
        <w:sym w:font="Wingdings 2" w:char="00A3"/>
      </w:r>
      <w:r>
        <w:rPr>
          <w:rFonts w:hint="eastAsia"/>
          <w:color w:val="auto"/>
          <w:szCs w:val="21"/>
          <w:highlight w:val="none"/>
        </w:rPr>
        <w:t>适用于签订电子合同的情形：</w:t>
      </w:r>
      <w:r>
        <w:rPr>
          <w:rFonts w:cs="仿宋_GB2312"/>
          <w:color w:val="auto"/>
          <w:szCs w:val="21"/>
          <w:highlight w:val="none"/>
        </w:rPr>
        <w:t>采购合同由采购人与</w:t>
      </w:r>
      <w:r>
        <w:rPr>
          <w:rFonts w:hint="eastAsia" w:cs="仿宋_GB2312"/>
          <w:color w:val="auto"/>
          <w:szCs w:val="21"/>
          <w:highlight w:val="none"/>
        </w:rPr>
        <w:t>成交</w:t>
      </w:r>
      <w:r>
        <w:rPr>
          <w:rFonts w:cs="仿宋_GB2312"/>
          <w:color w:val="auto"/>
          <w:szCs w:val="21"/>
          <w:highlight w:val="none"/>
        </w:rPr>
        <w:t>供应商根据</w:t>
      </w:r>
      <w:r>
        <w:rPr>
          <w:rFonts w:hint="eastAsia"/>
          <w:color w:val="auto"/>
          <w:szCs w:val="21"/>
          <w:highlight w:val="none"/>
        </w:rPr>
        <w:t>磋商文件</w:t>
      </w:r>
      <w:r>
        <w:rPr>
          <w:rFonts w:hint="eastAsia" w:cs="仿宋_GB2312"/>
          <w:color w:val="auto"/>
          <w:szCs w:val="21"/>
          <w:highlight w:val="none"/>
        </w:rPr>
        <w:t>、响应文件等内容通过政府采购电子交易平台在线签订，自动备案，在线签订须携带的材料见“</w:t>
      </w:r>
      <w:r>
        <w:rPr>
          <w:rFonts w:hint="eastAsia" w:ascii="Calibri" w:hAnsi="Calibri"/>
          <w:color w:val="auto"/>
          <w:highlight w:val="none"/>
        </w:rPr>
        <w:t xml:space="preserve"> </w:t>
      </w:r>
      <w:r>
        <w:rPr>
          <w:rFonts w:hint="eastAsia" w:cs="仿宋_GB2312"/>
          <w:color w:val="auto"/>
          <w:szCs w:val="21"/>
          <w:highlight w:val="none"/>
        </w:rPr>
        <w:t>供应商须</w:t>
      </w:r>
      <w:r>
        <w:rPr>
          <w:rFonts w:hint="eastAsia"/>
          <w:color w:val="auto"/>
          <w:szCs w:val="21"/>
          <w:highlight w:val="none"/>
        </w:rPr>
        <w:t>知前附表</w:t>
      </w:r>
      <w:r>
        <w:rPr>
          <w:rFonts w:hint="eastAsia" w:cs="仿宋_GB2312"/>
          <w:color w:val="auto"/>
          <w:szCs w:val="21"/>
          <w:highlight w:val="none"/>
        </w:rPr>
        <w:t>”。</w:t>
      </w:r>
    </w:p>
    <w:p w14:paraId="3E3A379C">
      <w:pPr>
        <w:spacing w:line="400" w:lineRule="exact"/>
        <w:ind w:firstLine="420" w:firstLineChars="200"/>
        <w:rPr>
          <w:color w:val="auto"/>
          <w:szCs w:val="21"/>
          <w:highlight w:val="none"/>
        </w:rPr>
      </w:pPr>
      <w:r>
        <w:rPr>
          <w:rFonts w:hint="eastAsia" w:hAnsi="宋体" w:cs="宋体"/>
          <w:color w:val="auto"/>
          <w:highlight w:val="none"/>
        </w:rPr>
        <w:sym w:font="Wingdings 2" w:char="0052"/>
      </w:r>
      <w:r>
        <w:rPr>
          <w:rFonts w:hint="eastAsia"/>
          <w:color w:val="auto"/>
          <w:szCs w:val="21"/>
          <w:highlight w:val="none"/>
        </w:rPr>
        <w:t>适用于签订纸质合同的情形：</w:t>
      </w:r>
      <w:r>
        <w:rPr>
          <w:rFonts w:cs="仿宋_GB2312"/>
          <w:color w:val="auto"/>
          <w:szCs w:val="21"/>
          <w:highlight w:val="none"/>
        </w:rPr>
        <w:t>采购合同由采购人与</w:t>
      </w:r>
      <w:r>
        <w:rPr>
          <w:rFonts w:hint="eastAsia" w:cs="仿宋_GB2312"/>
          <w:color w:val="auto"/>
          <w:szCs w:val="21"/>
          <w:highlight w:val="none"/>
        </w:rPr>
        <w:t>成交</w:t>
      </w:r>
      <w:r>
        <w:rPr>
          <w:rFonts w:cs="仿宋_GB2312"/>
          <w:color w:val="auto"/>
          <w:szCs w:val="21"/>
          <w:highlight w:val="none"/>
        </w:rPr>
        <w:t>供应商根据</w:t>
      </w:r>
      <w:r>
        <w:rPr>
          <w:rFonts w:hint="eastAsia"/>
          <w:color w:val="auto"/>
          <w:szCs w:val="21"/>
          <w:highlight w:val="none"/>
        </w:rPr>
        <w:t>磋商文件</w:t>
      </w:r>
      <w:r>
        <w:rPr>
          <w:rFonts w:hint="eastAsia" w:cs="仿宋_GB2312"/>
          <w:color w:val="auto"/>
          <w:szCs w:val="21"/>
          <w:highlight w:val="none"/>
        </w:rPr>
        <w:t>、响应文件等内容签订，成交供应商应当在签订合同时向采购人出示相关证明材料，具体内容详见 “供应商须知前附表”，经采购人核验合格后方可签订合同。</w:t>
      </w:r>
    </w:p>
    <w:p w14:paraId="20FFF16B">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29.政府采购合同公告</w:t>
      </w:r>
    </w:p>
    <w:p w14:paraId="62017F5D">
      <w:pPr>
        <w:spacing w:line="400" w:lineRule="exact"/>
        <w:ind w:firstLine="420" w:firstLineChars="200"/>
        <w:rPr>
          <w:rFonts w:ascii="Calibri"/>
          <w:color w:val="auto"/>
          <w:highlight w:val="none"/>
        </w:rPr>
      </w:pPr>
      <w:r>
        <w:rPr>
          <w:rFonts w:hint="eastAsia" w:ascii="宋体" w:hAnsi="宋体" w:cs="宋体"/>
          <w:color w:val="auto"/>
          <w:szCs w:val="21"/>
          <w:highlight w:val="none"/>
        </w:rPr>
        <w:t>采购人应当自政府采购合同签订之日起2个工作日内，将政府采购合同在省级以上人民政府财政部门指定的媒体上公告，但政府采购合同中涉及国家秘密、商业秘密的内容除外</w:t>
      </w:r>
      <w:r>
        <w:rPr>
          <w:rFonts w:ascii="Calibri"/>
          <w:color w:val="auto"/>
          <w:highlight w:val="none"/>
        </w:rPr>
        <w:t>。</w:t>
      </w:r>
    </w:p>
    <w:p w14:paraId="15D93761">
      <w:pPr>
        <w:spacing w:line="400" w:lineRule="exact"/>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0. 询问、质疑和投诉</w:t>
      </w:r>
    </w:p>
    <w:p w14:paraId="7D281DB2">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30.1供应商对政府采购活动事项有疑问的，可以向采购人或者采购代理机构提出询问，采购人或者采购代理机构应当在3个工作日内对供应商依法提出的询问作出答复。</w:t>
      </w:r>
    </w:p>
    <w:p w14:paraId="52511CB8">
      <w:pPr>
        <w:spacing w:line="400" w:lineRule="exact"/>
        <w:ind w:firstLine="420" w:firstLineChars="200"/>
        <w:rPr>
          <w:rFonts w:ascii="宋体" w:hAnsi="宋体" w:cs="宋体"/>
          <w:b/>
          <w:color w:val="auto"/>
          <w:szCs w:val="21"/>
          <w:highlight w:val="none"/>
        </w:rPr>
      </w:pPr>
      <w:r>
        <w:rPr>
          <w:rFonts w:hint="eastAsia" w:ascii="宋体" w:hAnsi="宋体" w:cs="宋体"/>
          <w:color w:val="auto"/>
          <w:highlight w:val="none"/>
        </w:rPr>
        <w:t>30.2供应商认为磋商文件、采购过程或者成交结果使自己的合法权益受到损害的，应当在知道或者应知其权益受到损害之日起7个工作日内，以书面形式向采购人或者采购代理机构提出质疑，</w:t>
      </w:r>
      <w:r>
        <w:rPr>
          <w:rFonts w:hint="eastAsia" w:ascii="宋体" w:hAnsi="宋体" w:cs="宋体"/>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cs="宋体"/>
          <w:b/>
          <w:color w:val="auto"/>
          <w:szCs w:val="21"/>
          <w:highlight w:val="none"/>
        </w:rPr>
        <w:t xml:space="preserve">具体质疑起算时间及处理方式如下： </w:t>
      </w:r>
    </w:p>
    <w:p w14:paraId="76AFD9F4">
      <w:pPr>
        <w:spacing w:line="400" w:lineRule="exact"/>
        <w:ind w:firstLine="420" w:firstLineChars="200"/>
        <w:rPr>
          <w:rFonts w:ascii="宋体" w:hAnsi="宋体" w:cs="宋体"/>
          <w:bCs/>
          <w:color w:val="auto"/>
          <w:highlight w:val="none"/>
        </w:rPr>
      </w:pPr>
      <w:r>
        <w:rPr>
          <w:rFonts w:hint="eastAsia" w:ascii="宋体" w:hAnsi="宋体" w:cs="宋体"/>
          <w:bCs/>
          <w:color w:val="auto"/>
          <w:highlight w:val="none"/>
        </w:rPr>
        <w:t>（1）潜在供应商依法获取采购文件后，认为采购文件使自己的权益受到损害的，应当在竞争性磋商文件公告期限届满之日起7个工作日内提出质疑。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18FDA466">
      <w:pPr>
        <w:spacing w:line="400" w:lineRule="exact"/>
        <w:ind w:firstLine="420" w:firstLineChars="200"/>
        <w:rPr>
          <w:rFonts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者采购代理机构提出，由采购人或者采购代理机构受理并负责答复；对采购过程中采购执行程序的质疑由采购代理机构受理并负责答复。</w:t>
      </w:r>
    </w:p>
    <w:p w14:paraId="6CE6A477">
      <w:pPr>
        <w:spacing w:line="400" w:lineRule="exact"/>
        <w:ind w:firstLine="420" w:firstLineChars="200"/>
        <w:rPr>
          <w:rFonts w:ascii="宋体" w:hAnsi="宋体" w:cs="宋体"/>
          <w:bCs/>
          <w:color w:val="auto"/>
          <w:highlight w:val="none"/>
        </w:rPr>
      </w:pPr>
      <w:r>
        <w:rPr>
          <w:rFonts w:hint="eastAsia" w:ascii="宋体" w:hAnsi="宋体" w:cs="宋体"/>
          <w:bCs/>
          <w:color w:val="auto"/>
          <w:highlight w:val="none"/>
        </w:rPr>
        <w:t>（3）供应商认为成交结果使自己的权益受到损害的，应当在成交结果公告期限届满之日起7个工作日内提出质疑，由采购人受理并负责答复。</w:t>
      </w:r>
    </w:p>
    <w:p w14:paraId="30E445F1">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30.3供应商提出的询问或者质疑超出采购人对采购代理机构委托授权范围的，采购代理机构应当告知供应商向采购人提出。政府采购评审专家应当配合采购人或者采购代理机构答复供应商的询问和质疑。</w:t>
      </w:r>
    </w:p>
    <w:p w14:paraId="357CCDBE">
      <w:pPr>
        <w:spacing w:line="400" w:lineRule="exact"/>
        <w:ind w:firstLine="422" w:firstLineChars="200"/>
        <w:rPr>
          <w:rFonts w:ascii="宋体" w:hAnsi="宋体" w:cs="宋体"/>
          <w:color w:val="auto"/>
          <w:highlight w:val="none"/>
        </w:rPr>
      </w:pPr>
      <w:r>
        <w:rPr>
          <w:rFonts w:hint="eastAsia" w:ascii="宋体" w:hAnsi="宋体" w:cs="宋体"/>
          <w:b/>
          <w:bCs/>
          <w:color w:val="auto"/>
          <w:highlight w:val="none"/>
        </w:rPr>
        <w:t>30.4 供应商提出质疑应当提交质疑函和必要的证明材料，针对同一采购程序环节的质疑必须在法定质疑期内一次性提出。质疑函应当包括下列内容（质疑函格式后附）：</w:t>
      </w:r>
    </w:p>
    <w:p w14:paraId="43309B9D">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1ADC0322">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69918FDF">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FD4B13C">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（4）事实依据；</w:t>
      </w:r>
    </w:p>
    <w:p w14:paraId="4F40CF5B">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6C776802">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57FBAC48">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13A7C94A">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30.5采购人、采购代理机构认为供应商质疑不成立，或者成立但未对成交结果构成影响的，继续开展采购活动；认为供应商质疑成立且影响或者可能影响成交结果的，按照下列情况处理：</w:t>
      </w:r>
    </w:p>
    <w:p w14:paraId="5C60469B">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07BB684">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7F5DEC1">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0DA180AD">
      <w:pPr>
        <w:spacing w:line="400" w:lineRule="exact"/>
        <w:ind w:firstLine="422" w:firstLineChars="200"/>
        <w:rPr>
          <w:rFonts w:ascii="宋体" w:hAnsi="宋体" w:cs="宋体"/>
          <w:color w:val="auto"/>
          <w:highlight w:val="none"/>
        </w:rPr>
      </w:pPr>
      <w:r>
        <w:rPr>
          <w:rFonts w:hint="eastAsia" w:ascii="宋体" w:hAnsi="宋体" w:cs="宋体"/>
          <w:b/>
          <w:bCs/>
          <w:color w:val="auto"/>
          <w:highlight w:val="none"/>
        </w:rPr>
        <w:t>30.6投诉的权利。质疑供应商对采购人或采购代理机构的答复不满意，或者采购人或采购代理机构未在规定时间内作出答复的，可以在答复期满后15个工作日内向《政府采购质疑和投诉办法》（财政部令第94号）第六条规定的财政部门提起投诉（投诉书格式后附），受理投诉方式见“供应商须知前附表”</w:t>
      </w:r>
      <w:r>
        <w:rPr>
          <w:rFonts w:hint="eastAsia" w:ascii="宋体" w:hAnsi="宋体" w:cs="宋体"/>
          <w:color w:val="auto"/>
          <w:highlight w:val="none"/>
        </w:rPr>
        <w:t>。</w:t>
      </w:r>
      <w:bookmarkStart w:id="100" w:name="_Toc80205930"/>
    </w:p>
    <w:p w14:paraId="14BE7105">
      <w:pPr>
        <w:pStyle w:val="5"/>
        <w:spacing w:before="0" w:after="0" w:line="400" w:lineRule="exact"/>
        <w:ind w:firstLine="315" w:firstLineChars="98"/>
        <w:rPr>
          <w:b w:val="0"/>
          <w:color w:val="auto"/>
          <w:highlight w:val="none"/>
        </w:rPr>
      </w:pPr>
      <w:bookmarkStart w:id="101" w:name="_Toc26989"/>
      <w:bookmarkStart w:id="102" w:name="_Toc80886935"/>
      <w:bookmarkStart w:id="103" w:name="_Toc9275"/>
      <w:r>
        <w:rPr>
          <w:rFonts w:hint="eastAsia"/>
          <w:color w:val="auto"/>
          <w:highlight w:val="none"/>
        </w:rPr>
        <w:t>六</w:t>
      </w:r>
      <w:r>
        <w:rPr>
          <w:rFonts w:hint="eastAsia"/>
          <w:b w:val="0"/>
          <w:color w:val="auto"/>
          <w:highlight w:val="none"/>
        </w:rPr>
        <w:t>、验收</w:t>
      </w:r>
      <w:bookmarkEnd w:id="100"/>
      <w:bookmarkEnd w:id="101"/>
      <w:bookmarkEnd w:id="102"/>
      <w:bookmarkEnd w:id="103"/>
    </w:p>
    <w:p w14:paraId="6C5E1A19">
      <w:pPr>
        <w:tabs>
          <w:tab w:val="left" w:pos="0"/>
        </w:tabs>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31.验收</w:t>
      </w:r>
    </w:p>
    <w:p w14:paraId="6A60215F">
      <w:pPr>
        <w:tabs>
          <w:tab w:val="left" w:pos="0"/>
        </w:tabs>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31.1采购人会同实际使用人组织对供应商履约的验收。大型或者复杂的政府采购项目，应当邀请国家认可的质量检测机构参加验收工作。验收方成员应当在验收书上签字，并承担相应的法律责任。如果发现与合同要求不符，供应商须承担由此发生的一切损失和费用，并接受相应的处理。</w:t>
      </w:r>
    </w:p>
    <w:p w14:paraId="34048007">
      <w:pPr>
        <w:tabs>
          <w:tab w:val="left" w:pos="0"/>
        </w:tabs>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31.2采购人可以邀请参加本项目的其他供应商或者第三方机构参与验收。参与验收的供应商或者第三方机构的意见作为验收书的参考资料一并存档。</w:t>
      </w:r>
    </w:p>
    <w:p w14:paraId="1CAA07CF">
      <w:pPr>
        <w:tabs>
          <w:tab w:val="left" w:pos="0"/>
        </w:tabs>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如有）返还条件挂钩。履约验收的各项资料应当存档备查。</w:t>
      </w:r>
    </w:p>
    <w:p w14:paraId="32FB1354">
      <w:pPr>
        <w:tabs>
          <w:tab w:val="left" w:pos="0"/>
        </w:tabs>
        <w:spacing w:line="40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31.4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7DDA04D">
      <w:pPr>
        <w:pStyle w:val="5"/>
        <w:spacing w:before="0" w:after="0" w:line="400" w:lineRule="exact"/>
        <w:ind w:firstLine="320" w:firstLineChars="100"/>
        <w:rPr>
          <w:b w:val="0"/>
          <w:bCs w:val="0"/>
          <w:color w:val="auto"/>
          <w:highlight w:val="none"/>
        </w:rPr>
      </w:pPr>
      <w:bookmarkStart w:id="104" w:name="_Toc10913"/>
      <w:bookmarkStart w:id="105" w:name="_Toc1170"/>
      <w:bookmarkStart w:id="106" w:name="_Toc80886936"/>
      <w:r>
        <w:rPr>
          <w:rFonts w:hint="eastAsia"/>
          <w:b w:val="0"/>
          <w:bCs w:val="0"/>
          <w:color w:val="auto"/>
          <w:highlight w:val="none"/>
        </w:rPr>
        <w:t>七、其他事项</w:t>
      </w:r>
      <w:bookmarkEnd w:id="104"/>
      <w:bookmarkEnd w:id="105"/>
      <w:bookmarkEnd w:id="106"/>
    </w:p>
    <w:p w14:paraId="781647B5">
      <w:pPr>
        <w:spacing w:line="400" w:lineRule="exact"/>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3</w:t>
      </w:r>
      <w:r>
        <w:rPr>
          <w:rFonts w:hint="eastAsia" w:ascii="黑体" w:hAnsi="黑体" w:eastAsia="黑体" w:cs="宋体"/>
          <w:b/>
          <w:bCs/>
          <w:color w:val="auto"/>
          <w:sz w:val="24"/>
          <w:highlight w:val="none"/>
        </w:rPr>
        <w:t>2.采购代理服务费</w:t>
      </w:r>
    </w:p>
    <w:p w14:paraId="6B6A9F7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32.1 采购代理服务费收费标准及缴费账户详见“供应商须知前附表”，供应商为联合体的，可以由联合体中的一方或者多方共同缴纳采购代理服务费。</w:t>
      </w:r>
    </w:p>
    <w:p w14:paraId="15ECC13D">
      <w:pPr>
        <w:pStyle w:val="14"/>
        <w:spacing w:after="0"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32.2采购代理服务费收费计算标准：</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26B74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tcBorders>
              <w:tl2br w:val="single" w:color="auto" w:sz="4" w:space="0"/>
            </w:tcBorders>
            <w:noWrap w:val="0"/>
            <w:vAlign w:val="top"/>
          </w:tcPr>
          <w:p w14:paraId="1E5BE52A">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费率</w:t>
            </w:r>
          </w:p>
          <w:p w14:paraId="59199998">
            <w:pPr>
              <w:spacing w:line="360" w:lineRule="auto"/>
              <w:rPr>
                <w:rFonts w:ascii="宋体" w:hAnsi="宋体" w:cs="宋体"/>
                <w:color w:val="auto"/>
                <w:szCs w:val="21"/>
                <w:highlight w:val="none"/>
              </w:rPr>
            </w:pPr>
            <w:r>
              <w:rPr>
                <w:rFonts w:hint="eastAsia" w:ascii="宋体" w:hAnsi="宋体" w:cs="宋体"/>
                <w:color w:val="auto"/>
                <w:szCs w:val="21"/>
                <w:highlight w:val="none"/>
              </w:rPr>
              <w:t>金额</w:t>
            </w:r>
          </w:p>
        </w:tc>
        <w:tc>
          <w:tcPr>
            <w:tcW w:w="1659" w:type="dxa"/>
            <w:noWrap w:val="0"/>
            <w:vAlign w:val="center"/>
          </w:tcPr>
          <w:p w14:paraId="5B366565">
            <w:pPr>
              <w:spacing w:line="360" w:lineRule="auto"/>
              <w:ind w:firstLine="105" w:firstLineChars="50"/>
              <w:jc w:val="center"/>
              <w:rPr>
                <w:rFonts w:ascii="宋体" w:hAnsi="宋体" w:cs="宋体"/>
                <w:color w:val="auto"/>
                <w:szCs w:val="21"/>
                <w:highlight w:val="none"/>
              </w:rPr>
            </w:pPr>
            <w:r>
              <w:rPr>
                <w:rFonts w:hint="eastAsia" w:ascii="宋体" w:hAnsi="宋体" w:cs="宋体"/>
                <w:color w:val="auto"/>
                <w:szCs w:val="21"/>
                <w:highlight w:val="none"/>
              </w:rPr>
              <w:t>货物类</w:t>
            </w:r>
          </w:p>
        </w:tc>
        <w:tc>
          <w:tcPr>
            <w:tcW w:w="1532" w:type="dxa"/>
            <w:noWrap w:val="0"/>
            <w:vAlign w:val="center"/>
          </w:tcPr>
          <w:p w14:paraId="70515D5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服务类</w:t>
            </w:r>
          </w:p>
        </w:tc>
        <w:tc>
          <w:tcPr>
            <w:tcW w:w="1546" w:type="dxa"/>
            <w:noWrap w:val="0"/>
            <w:vAlign w:val="center"/>
          </w:tcPr>
          <w:p w14:paraId="03ED1FA2">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工程类</w:t>
            </w:r>
          </w:p>
        </w:tc>
      </w:tr>
      <w:tr w14:paraId="64C19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21E192E0">
            <w:pPr>
              <w:spacing w:line="360" w:lineRule="auto"/>
              <w:rPr>
                <w:rFonts w:ascii="宋体" w:hAnsi="宋体" w:cs="宋体"/>
                <w:color w:val="auto"/>
                <w:szCs w:val="21"/>
                <w:highlight w:val="none"/>
              </w:rPr>
            </w:pPr>
            <w:r>
              <w:rPr>
                <w:rFonts w:hint="eastAsia" w:ascii="宋体" w:hAnsi="宋体" w:cs="宋体"/>
                <w:color w:val="auto"/>
                <w:szCs w:val="21"/>
                <w:highlight w:val="none"/>
              </w:rPr>
              <w:t>100万元以下</w:t>
            </w:r>
          </w:p>
        </w:tc>
        <w:tc>
          <w:tcPr>
            <w:tcW w:w="1659" w:type="dxa"/>
            <w:noWrap w:val="0"/>
            <w:vAlign w:val="top"/>
          </w:tcPr>
          <w:p w14:paraId="52E9EE88">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1.5%                </w:t>
            </w:r>
          </w:p>
        </w:tc>
        <w:tc>
          <w:tcPr>
            <w:tcW w:w="1532" w:type="dxa"/>
            <w:noWrap w:val="0"/>
            <w:vAlign w:val="top"/>
          </w:tcPr>
          <w:p w14:paraId="73A5CD02">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1.5%</w:t>
            </w:r>
          </w:p>
        </w:tc>
        <w:tc>
          <w:tcPr>
            <w:tcW w:w="1546" w:type="dxa"/>
            <w:noWrap w:val="0"/>
            <w:vAlign w:val="top"/>
          </w:tcPr>
          <w:p w14:paraId="59E01AD2">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1.0% </w:t>
            </w:r>
          </w:p>
        </w:tc>
      </w:tr>
      <w:tr w14:paraId="4143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67110093">
            <w:pPr>
              <w:spacing w:line="360" w:lineRule="auto"/>
              <w:rPr>
                <w:rFonts w:ascii="宋体" w:hAnsi="宋体" w:cs="宋体"/>
                <w:color w:val="auto"/>
                <w:szCs w:val="21"/>
                <w:highlight w:val="none"/>
              </w:rPr>
            </w:pPr>
            <w:r>
              <w:rPr>
                <w:rFonts w:hint="eastAsia" w:ascii="宋体" w:hAnsi="宋体" w:cs="宋体"/>
                <w:color w:val="auto"/>
                <w:szCs w:val="21"/>
                <w:highlight w:val="none"/>
              </w:rPr>
              <w:t>100万～500万元</w:t>
            </w:r>
          </w:p>
        </w:tc>
        <w:tc>
          <w:tcPr>
            <w:tcW w:w="1659" w:type="dxa"/>
            <w:noWrap w:val="0"/>
            <w:vAlign w:val="top"/>
          </w:tcPr>
          <w:p w14:paraId="09DF7956">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1.1%                 </w:t>
            </w:r>
          </w:p>
        </w:tc>
        <w:tc>
          <w:tcPr>
            <w:tcW w:w="1532" w:type="dxa"/>
            <w:noWrap w:val="0"/>
            <w:vAlign w:val="top"/>
          </w:tcPr>
          <w:p w14:paraId="6E690591">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0.8%</w:t>
            </w:r>
          </w:p>
        </w:tc>
        <w:tc>
          <w:tcPr>
            <w:tcW w:w="1546" w:type="dxa"/>
            <w:noWrap w:val="0"/>
            <w:vAlign w:val="top"/>
          </w:tcPr>
          <w:p w14:paraId="3F064B17">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0.7% </w:t>
            </w:r>
          </w:p>
        </w:tc>
      </w:tr>
      <w:tr w14:paraId="2BFC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37128816">
            <w:pPr>
              <w:spacing w:line="360" w:lineRule="auto"/>
              <w:rPr>
                <w:rFonts w:ascii="宋体" w:hAnsi="宋体" w:cs="宋体"/>
                <w:color w:val="auto"/>
                <w:szCs w:val="21"/>
                <w:highlight w:val="none"/>
              </w:rPr>
            </w:pPr>
            <w:r>
              <w:rPr>
                <w:rFonts w:hint="eastAsia" w:ascii="宋体" w:hAnsi="宋体" w:cs="宋体"/>
                <w:color w:val="auto"/>
                <w:szCs w:val="21"/>
                <w:highlight w:val="none"/>
              </w:rPr>
              <w:t>500万～1000万元</w:t>
            </w:r>
          </w:p>
        </w:tc>
        <w:tc>
          <w:tcPr>
            <w:tcW w:w="1659" w:type="dxa"/>
            <w:noWrap w:val="0"/>
            <w:vAlign w:val="top"/>
          </w:tcPr>
          <w:p w14:paraId="4C91A4EE">
            <w:pPr>
              <w:spacing w:line="360" w:lineRule="auto"/>
              <w:rPr>
                <w:rFonts w:ascii="宋体" w:hAnsi="宋体" w:cs="宋体"/>
                <w:color w:val="auto"/>
                <w:szCs w:val="21"/>
                <w:highlight w:val="none"/>
              </w:rPr>
            </w:pPr>
            <w:r>
              <w:rPr>
                <w:rFonts w:hint="eastAsia" w:ascii="宋体" w:hAnsi="宋体" w:cs="宋体"/>
                <w:color w:val="auto"/>
                <w:kern w:val="0"/>
                <w:szCs w:val="21"/>
                <w:highlight w:val="none"/>
              </w:rPr>
              <w:t xml:space="preserve">  0.8%                </w:t>
            </w:r>
          </w:p>
        </w:tc>
        <w:tc>
          <w:tcPr>
            <w:tcW w:w="1532" w:type="dxa"/>
            <w:noWrap w:val="0"/>
            <w:vAlign w:val="top"/>
          </w:tcPr>
          <w:p w14:paraId="6E501CFE">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0.45%</w:t>
            </w:r>
          </w:p>
        </w:tc>
        <w:tc>
          <w:tcPr>
            <w:tcW w:w="1546" w:type="dxa"/>
            <w:noWrap w:val="0"/>
            <w:vAlign w:val="top"/>
          </w:tcPr>
          <w:p w14:paraId="70849AA5">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0.55%</w:t>
            </w:r>
          </w:p>
        </w:tc>
      </w:tr>
      <w:tr w14:paraId="34DC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562A3922">
            <w:pPr>
              <w:spacing w:line="360" w:lineRule="auto"/>
              <w:rPr>
                <w:rFonts w:ascii="宋体" w:hAnsi="宋体" w:cs="宋体"/>
                <w:color w:val="auto"/>
                <w:szCs w:val="21"/>
                <w:highlight w:val="none"/>
              </w:rPr>
            </w:pPr>
            <w:r>
              <w:rPr>
                <w:rFonts w:hint="eastAsia" w:ascii="宋体" w:hAnsi="宋体" w:cs="宋体"/>
                <w:color w:val="auto"/>
                <w:szCs w:val="21"/>
                <w:highlight w:val="none"/>
              </w:rPr>
              <w:t>1000万～5000万元</w:t>
            </w:r>
          </w:p>
        </w:tc>
        <w:tc>
          <w:tcPr>
            <w:tcW w:w="1659" w:type="dxa"/>
            <w:noWrap w:val="0"/>
            <w:vAlign w:val="top"/>
          </w:tcPr>
          <w:p w14:paraId="19D01EB1">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0.5%                </w:t>
            </w:r>
          </w:p>
        </w:tc>
        <w:tc>
          <w:tcPr>
            <w:tcW w:w="1532" w:type="dxa"/>
            <w:noWrap w:val="0"/>
            <w:vAlign w:val="top"/>
          </w:tcPr>
          <w:p w14:paraId="02F9BAAA">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0.25%</w:t>
            </w:r>
          </w:p>
        </w:tc>
        <w:tc>
          <w:tcPr>
            <w:tcW w:w="1546" w:type="dxa"/>
            <w:noWrap w:val="0"/>
            <w:vAlign w:val="top"/>
          </w:tcPr>
          <w:p w14:paraId="2D8FD972">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0.35% </w:t>
            </w:r>
          </w:p>
        </w:tc>
      </w:tr>
      <w:tr w14:paraId="093B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63B27D58">
            <w:pPr>
              <w:spacing w:line="360" w:lineRule="auto"/>
              <w:rPr>
                <w:rFonts w:ascii="宋体" w:hAnsi="宋体" w:cs="宋体"/>
                <w:color w:val="auto"/>
                <w:szCs w:val="21"/>
                <w:highlight w:val="none"/>
              </w:rPr>
            </w:pPr>
            <w:r>
              <w:rPr>
                <w:rFonts w:hint="eastAsia" w:ascii="宋体" w:hAnsi="宋体" w:cs="宋体"/>
                <w:color w:val="auto"/>
                <w:szCs w:val="21"/>
                <w:highlight w:val="none"/>
              </w:rPr>
              <w:t>5000万元～1亿元</w:t>
            </w:r>
          </w:p>
        </w:tc>
        <w:tc>
          <w:tcPr>
            <w:tcW w:w="1659" w:type="dxa"/>
            <w:noWrap w:val="0"/>
            <w:vAlign w:val="top"/>
          </w:tcPr>
          <w:p w14:paraId="52D4EE1A">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 xml:space="preserve">0.25%                 </w:t>
            </w:r>
          </w:p>
        </w:tc>
        <w:tc>
          <w:tcPr>
            <w:tcW w:w="1532" w:type="dxa"/>
            <w:noWrap w:val="0"/>
            <w:vAlign w:val="top"/>
          </w:tcPr>
          <w:p w14:paraId="13C86194">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0.1%</w:t>
            </w:r>
          </w:p>
        </w:tc>
        <w:tc>
          <w:tcPr>
            <w:tcW w:w="1546" w:type="dxa"/>
            <w:noWrap w:val="0"/>
            <w:vAlign w:val="top"/>
          </w:tcPr>
          <w:p w14:paraId="76B55511">
            <w:pPr>
              <w:spacing w:line="360" w:lineRule="auto"/>
              <w:ind w:firstLine="210" w:firstLineChars="100"/>
              <w:rPr>
                <w:rFonts w:ascii="宋体" w:hAnsi="宋体" w:cs="宋体"/>
                <w:color w:val="auto"/>
                <w:szCs w:val="21"/>
                <w:highlight w:val="none"/>
              </w:rPr>
            </w:pPr>
            <w:r>
              <w:rPr>
                <w:rFonts w:hint="eastAsia" w:ascii="宋体" w:hAnsi="宋体" w:cs="宋体"/>
                <w:color w:val="auto"/>
                <w:kern w:val="0"/>
                <w:szCs w:val="21"/>
                <w:highlight w:val="none"/>
              </w:rPr>
              <w:t>0.2%</w:t>
            </w:r>
          </w:p>
        </w:tc>
      </w:tr>
      <w:tr w14:paraId="365D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63AD0C80">
            <w:pPr>
              <w:spacing w:line="360" w:lineRule="auto"/>
              <w:rPr>
                <w:rFonts w:ascii="宋体" w:hAnsi="宋体" w:cs="宋体"/>
                <w:color w:val="auto"/>
                <w:szCs w:val="21"/>
                <w:highlight w:val="none"/>
              </w:rPr>
            </w:pPr>
            <w:r>
              <w:rPr>
                <w:rFonts w:hint="eastAsia" w:ascii="宋体" w:hAnsi="宋体" w:cs="宋体"/>
                <w:color w:val="auto"/>
                <w:szCs w:val="21"/>
                <w:highlight w:val="none"/>
              </w:rPr>
              <w:t>1亿～5亿元</w:t>
            </w:r>
          </w:p>
        </w:tc>
        <w:tc>
          <w:tcPr>
            <w:tcW w:w="1659" w:type="dxa"/>
            <w:noWrap w:val="0"/>
            <w:vAlign w:val="top"/>
          </w:tcPr>
          <w:p w14:paraId="7D11E687">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0.05%</w:t>
            </w:r>
          </w:p>
        </w:tc>
        <w:tc>
          <w:tcPr>
            <w:tcW w:w="1532" w:type="dxa"/>
            <w:noWrap w:val="0"/>
            <w:vAlign w:val="top"/>
          </w:tcPr>
          <w:p w14:paraId="30166115">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c>
          <w:tcPr>
            <w:tcW w:w="1546" w:type="dxa"/>
            <w:noWrap w:val="0"/>
            <w:vAlign w:val="top"/>
          </w:tcPr>
          <w:p w14:paraId="6E3AD07A">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0.05%</w:t>
            </w:r>
          </w:p>
        </w:tc>
      </w:tr>
      <w:tr w14:paraId="6033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4440BBBC">
            <w:pPr>
              <w:spacing w:line="360" w:lineRule="auto"/>
              <w:rPr>
                <w:rFonts w:ascii="宋体" w:hAnsi="宋体" w:cs="宋体"/>
                <w:color w:val="auto"/>
                <w:szCs w:val="21"/>
                <w:highlight w:val="none"/>
              </w:rPr>
            </w:pPr>
            <w:r>
              <w:rPr>
                <w:rFonts w:hint="eastAsia" w:ascii="宋体" w:hAnsi="宋体" w:cs="宋体"/>
                <w:color w:val="auto"/>
                <w:szCs w:val="21"/>
                <w:highlight w:val="none"/>
              </w:rPr>
              <w:t>5亿～10亿元</w:t>
            </w:r>
          </w:p>
        </w:tc>
        <w:tc>
          <w:tcPr>
            <w:tcW w:w="1659" w:type="dxa"/>
            <w:noWrap w:val="0"/>
            <w:vAlign w:val="top"/>
          </w:tcPr>
          <w:p w14:paraId="399676E3">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c>
          <w:tcPr>
            <w:tcW w:w="1532" w:type="dxa"/>
            <w:noWrap w:val="0"/>
            <w:vAlign w:val="top"/>
          </w:tcPr>
          <w:p w14:paraId="3537D4C6">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0.035%</w:t>
            </w:r>
          </w:p>
        </w:tc>
        <w:tc>
          <w:tcPr>
            <w:tcW w:w="1546" w:type="dxa"/>
            <w:noWrap w:val="0"/>
            <w:vAlign w:val="top"/>
          </w:tcPr>
          <w:p w14:paraId="03BB65EA">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0.035%</w:t>
            </w:r>
          </w:p>
        </w:tc>
      </w:tr>
      <w:tr w14:paraId="6AE4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1AD0E844">
            <w:pPr>
              <w:spacing w:line="360" w:lineRule="auto"/>
              <w:rPr>
                <w:rFonts w:ascii="宋体" w:hAnsi="宋体" w:cs="宋体"/>
                <w:color w:val="auto"/>
                <w:szCs w:val="21"/>
                <w:highlight w:val="none"/>
              </w:rPr>
            </w:pPr>
            <w:r>
              <w:rPr>
                <w:rFonts w:hint="eastAsia" w:ascii="宋体" w:hAnsi="宋体" w:cs="宋体"/>
                <w:color w:val="auto"/>
                <w:szCs w:val="21"/>
                <w:highlight w:val="none"/>
              </w:rPr>
              <w:t>10亿～50亿元</w:t>
            </w:r>
          </w:p>
        </w:tc>
        <w:tc>
          <w:tcPr>
            <w:tcW w:w="1659" w:type="dxa"/>
            <w:noWrap w:val="0"/>
            <w:vAlign w:val="top"/>
          </w:tcPr>
          <w:p w14:paraId="66C35F5E">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c>
          <w:tcPr>
            <w:tcW w:w="1532" w:type="dxa"/>
            <w:noWrap w:val="0"/>
            <w:vAlign w:val="top"/>
          </w:tcPr>
          <w:p w14:paraId="1463BF0E">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0.008%</w:t>
            </w:r>
          </w:p>
        </w:tc>
        <w:tc>
          <w:tcPr>
            <w:tcW w:w="1546" w:type="dxa"/>
            <w:noWrap w:val="0"/>
            <w:vAlign w:val="top"/>
          </w:tcPr>
          <w:p w14:paraId="35250DB2">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0.008%</w:t>
            </w:r>
          </w:p>
        </w:tc>
      </w:tr>
      <w:tr w14:paraId="68074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61A0524C">
            <w:pPr>
              <w:spacing w:line="360" w:lineRule="auto"/>
              <w:rPr>
                <w:rFonts w:ascii="宋体" w:hAnsi="宋体" w:cs="宋体"/>
                <w:color w:val="auto"/>
                <w:szCs w:val="21"/>
                <w:highlight w:val="none"/>
              </w:rPr>
            </w:pPr>
            <w:r>
              <w:rPr>
                <w:rFonts w:hint="eastAsia" w:ascii="宋体" w:hAnsi="宋体" w:cs="宋体"/>
                <w:color w:val="auto"/>
                <w:szCs w:val="21"/>
                <w:highlight w:val="none"/>
              </w:rPr>
              <w:t>50亿～100亿元</w:t>
            </w:r>
          </w:p>
        </w:tc>
        <w:tc>
          <w:tcPr>
            <w:tcW w:w="1659" w:type="dxa"/>
            <w:noWrap w:val="0"/>
            <w:vAlign w:val="top"/>
          </w:tcPr>
          <w:p w14:paraId="19D2BE2D">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0.006%</w:t>
            </w:r>
          </w:p>
        </w:tc>
        <w:tc>
          <w:tcPr>
            <w:tcW w:w="1532" w:type="dxa"/>
            <w:noWrap w:val="0"/>
            <w:vAlign w:val="top"/>
          </w:tcPr>
          <w:p w14:paraId="3E98FDFC">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0.006%</w:t>
            </w:r>
          </w:p>
        </w:tc>
        <w:tc>
          <w:tcPr>
            <w:tcW w:w="1546" w:type="dxa"/>
            <w:noWrap w:val="0"/>
            <w:vAlign w:val="top"/>
          </w:tcPr>
          <w:p w14:paraId="00BC2E7C">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0.006%</w:t>
            </w:r>
          </w:p>
        </w:tc>
      </w:tr>
      <w:tr w14:paraId="58C99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2" w:type="dxa"/>
            <w:noWrap w:val="0"/>
            <w:vAlign w:val="top"/>
          </w:tcPr>
          <w:p w14:paraId="2E3B9DE7">
            <w:pPr>
              <w:spacing w:line="360" w:lineRule="auto"/>
              <w:rPr>
                <w:rFonts w:ascii="宋体" w:hAnsi="宋体" w:cs="宋体"/>
                <w:color w:val="auto"/>
                <w:szCs w:val="21"/>
                <w:highlight w:val="none"/>
              </w:rPr>
            </w:pPr>
            <w:r>
              <w:rPr>
                <w:rFonts w:hint="eastAsia" w:ascii="宋体" w:hAnsi="宋体" w:cs="宋体"/>
                <w:color w:val="auto"/>
                <w:szCs w:val="21"/>
                <w:highlight w:val="none"/>
              </w:rPr>
              <w:t>100亿元以上</w:t>
            </w:r>
          </w:p>
        </w:tc>
        <w:tc>
          <w:tcPr>
            <w:tcW w:w="1659" w:type="dxa"/>
            <w:noWrap w:val="0"/>
            <w:vAlign w:val="top"/>
          </w:tcPr>
          <w:p w14:paraId="742AF5C4">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 0.004%</w:t>
            </w:r>
          </w:p>
        </w:tc>
        <w:tc>
          <w:tcPr>
            <w:tcW w:w="1532" w:type="dxa"/>
            <w:noWrap w:val="0"/>
            <w:vAlign w:val="top"/>
          </w:tcPr>
          <w:p w14:paraId="389B0579">
            <w:pPr>
              <w:spacing w:line="360" w:lineRule="auto"/>
              <w:ind w:firstLine="210" w:firstLineChars="100"/>
              <w:rPr>
                <w:rFonts w:ascii="宋体" w:hAnsi="宋体" w:cs="宋体"/>
                <w:color w:val="auto"/>
                <w:szCs w:val="21"/>
                <w:highlight w:val="none"/>
              </w:rPr>
            </w:pPr>
            <w:r>
              <w:rPr>
                <w:rFonts w:hint="eastAsia" w:ascii="宋体" w:hAnsi="宋体" w:cs="宋体"/>
                <w:color w:val="auto"/>
                <w:szCs w:val="21"/>
                <w:highlight w:val="none"/>
              </w:rPr>
              <w:t>0.004%</w:t>
            </w:r>
          </w:p>
        </w:tc>
        <w:tc>
          <w:tcPr>
            <w:tcW w:w="1546" w:type="dxa"/>
            <w:noWrap w:val="0"/>
            <w:vAlign w:val="top"/>
          </w:tcPr>
          <w:p w14:paraId="439DC4F8">
            <w:pPr>
              <w:spacing w:line="360" w:lineRule="auto"/>
              <w:ind w:firstLine="105" w:firstLineChars="50"/>
              <w:rPr>
                <w:rFonts w:ascii="宋体" w:hAnsi="宋体" w:cs="宋体"/>
                <w:color w:val="auto"/>
                <w:szCs w:val="21"/>
                <w:highlight w:val="none"/>
              </w:rPr>
            </w:pPr>
            <w:r>
              <w:rPr>
                <w:rFonts w:hint="eastAsia" w:ascii="宋体" w:hAnsi="宋体" w:cs="宋体"/>
                <w:color w:val="auto"/>
                <w:szCs w:val="21"/>
                <w:highlight w:val="none"/>
              </w:rPr>
              <w:t>0.004%</w:t>
            </w:r>
          </w:p>
        </w:tc>
      </w:tr>
    </w:tbl>
    <w:p w14:paraId="021CC700">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注：</w:t>
      </w:r>
    </w:p>
    <w:p w14:paraId="4E686AE2">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（1）按本表费率计算的收费为采购代理的收费基准价格；</w:t>
      </w:r>
    </w:p>
    <w:p w14:paraId="4844A699">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（2）采购代理收费按差额定率累进法计算。</w:t>
      </w:r>
    </w:p>
    <w:p w14:paraId="7EBAFC82">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例如：某采购代理业务成交金额或者暂定价为150万元，计算采购代理收费额如下：</w:t>
      </w:r>
    </w:p>
    <w:p w14:paraId="02214B72">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100 万元 ×l.5 ％=1.5 万元</w:t>
      </w:r>
    </w:p>
    <w:p w14:paraId="0B924F96">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 150 － 100 ）万元 ×1.1％=0.55万元</w:t>
      </w:r>
    </w:p>
    <w:p w14:paraId="7A596118">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合计收费＝ 1.5 ＋ 0.55＝ 2.05 万元</w:t>
      </w:r>
    </w:p>
    <w:p w14:paraId="63406757">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33</w:t>
      </w:r>
      <w:r>
        <w:rPr>
          <w:rFonts w:ascii="黑体" w:hAnsi="黑体" w:eastAsia="黑体" w:cs="宋体"/>
          <w:b/>
          <w:bCs/>
          <w:color w:val="auto"/>
          <w:sz w:val="24"/>
          <w:highlight w:val="none"/>
        </w:rPr>
        <w:t>.需要补充的其他内容</w:t>
      </w:r>
    </w:p>
    <w:p w14:paraId="4764A154">
      <w:pPr>
        <w:spacing w:line="400" w:lineRule="exact"/>
        <w:ind w:firstLine="420" w:firstLineChars="200"/>
        <w:textAlignment w:val="center"/>
        <w:rPr>
          <w:rFonts w:ascii="宋体" w:hAnsi="宋体" w:cs="宋体"/>
          <w:color w:val="auto"/>
          <w:szCs w:val="21"/>
          <w:highlight w:val="none"/>
        </w:rPr>
      </w:pPr>
      <w:r>
        <w:rPr>
          <w:rFonts w:hint="eastAsia" w:ascii="宋体" w:hAnsi="宋体" w:cs="宋体"/>
          <w:color w:val="auto"/>
          <w:szCs w:val="21"/>
          <w:highlight w:val="none"/>
        </w:rPr>
        <w:t>33.1本磋商文件解释规则详见“供应商须知前附表”。</w:t>
      </w:r>
    </w:p>
    <w:p w14:paraId="40BA01E9">
      <w:pPr>
        <w:spacing w:line="400" w:lineRule="exact"/>
        <w:ind w:firstLine="420" w:firstLineChars="200"/>
        <w:textAlignment w:val="center"/>
        <w:rPr>
          <w:rFonts w:ascii="宋体" w:hAnsi="宋体" w:cs="宋体"/>
          <w:color w:val="auto"/>
          <w:szCs w:val="21"/>
          <w:highlight w:val="none"/>
        </w:rPr>
      </w:pPr>
      <w:r>
        <w:rPr>
          <w:rFonts w:hint="eastAsia" w:ascii="宋体" w:hAnsi="宋体" w:cs="宋体"/>
          <w:color w:val="auto"/>
          <w:szCs w:val="21"/>
          <w:highlight w:val="none"/>
        </w:rPr>
        <w:t>33.2 其他事项详见“供应商须知前附表”。</w:t>
      </w:r>
    </w:p>
    <w:p w14:paraId="0A169061">
      <w:pPr>
        <w:spacing w:line="400" w:lineRule="exact"/>
        <w:ind w:firstLine="420" w:firstLineChars="200"/>
        <w:textAlignment w:val="center"/>
        <w:rPr>
          <w:rFonts w:ascii="宋体" w:hAnsi="宋体" w:cs="宋体"/>
          <w:color w:val="auto"/>
          <w:szCs w:val="21"/>
          <w:highlight w:val="none"/>
        </w:rPr>
      </w:pPr>
      <w:r>
        <w:rPr>
          <w:rFonts w:hint="eastAsia" w:ascii="宋体" w:hAnsi="宋体" w:cs="宋体"/>
          <w:color w:val="auto"/>
          <w:szCs w:val="21"/>
          <w:highlight w:val="none"/>
        </w:rPr>
        <w:t>33.3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cs="宋体"/>
          <w:color w:val="auto"/>
          <w:kern w:val="0"/>
          <w:szCs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ascii="宋体" w:hAnsi="宋体" w:cs="宋体"/>
          <w:color w:val="auto"/>
          <w:szCs w:val="21"/>
          <w:highlight w:val="none"/>
        </w:rPr>
        <w:t>，享受本文件规定的中小企业扶持政策。</w:t>
      </w:r>
    </w:p>
    <w:p w14:paraId="78B1F7CB">
      <w:pPr>
        <w:spacing w:line="400" w:lineRule="exact"/>
        <w:ind w:firstLine="420" w:firstLineChars="200"/>
        <w:textAlignment w:val="center"/>
        <w:rPr>
          <w:rFonts w:ascii="宋体" w:hAnsi="宋体" w:cs="宋体"/>
          <w:color w:val="auto"/>
          <w:szCs w:val="21"/>
          <w:highlight w:val="none"/>
        </w:rPr>
      </w:pPr>
      <w:r>
        <w:rPr>
          <w:rFonts w:hint="eastAsia" w:ascii="宋体" w:hAnsi="宋体" w:cs="宋体"/>
          <w:color w:val="auto"/>
          <w:szCs w:val="21"/>
          <w:highlight w:val="none"/>
        </w:rPr>
        <w:t>以联合体形式参加政府采购活动，联合体各方均为中小企业的，联合体视同中小企业。其中，联合体各方均为小微企业的，联合体视同小微企业。</w:t>
      </w:r>
    </w:p>
    <w:p w14:paraId="7428D5F0">
      <w:pPr>
        <w:spacing w:line="400" w:lineRule="exact"/>
        <w:ind w:firstLine="420" w:firstLineChars="200"/>
        <w:textAlignment w:val="center"/>
        <w:rPr>
          <w:rFonts w:ascii="宋体" w:hAnsi="宋体" w:cs="宋体"/>
          <w:color w:val="auto"/>
          <w:szCs w:val="21"/>
          <w:highlight w:val="none"/>
        </w:rPr>
      </w:pPr>
      <w:r>
        <w:rPr>
          <w:rFonts w:hint="eastAsia" w:ascii="宋体" w:hAnsi="宋体" w:cs="宋体"/>
          <w:color w:val="auto"/>
          <w:szCs w:val="21"/>
          <w:highlight w:val="none"/>
        </w:rPr>
        <w:t>依据本文件规定享受扶持政策获得政府采购合同的，小微企业不得将合同分包给大中型企业，中型企业不得将合同分包给大型企业。</w:t>
      </w:r>
    </w:p>
    <w:p w14:paraId="4FF8E213">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34. 广西线上“政采贷”政策告知函</w:t>
      </w:r>
    </w:p>
    <w:p w14:paraId="4FC41777">
      <w:pPr>
        <w:spacing w:line="580" w:lineRule="exact"/>
        <w:jc w:val="center"/>
        <w:rPr>
          <w:rFonts w:ascii="宋体" w:hAnsi="宋体" w:cs="宋体"/>
          <w:color w:val="auto"/>
          <w:sz w:val="32"/>
          <w:szCs w:val="32"/>
          <w:highlight w:val="none"/>
        </w:rPr>
      </w:pPr>
    </w:p>
    <w:p w14:paraId="46AB1F6D">
      <w:pPr>
        <w:spacing w:line="58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广西线上“政采贷”政策告知函</w:t>
      </w:r>
    </w:p>
    <w:p w14:paraId="592089AC">
      <w:pPr>
        <w:spacing w:line="580" w:lineRule="exact"/>
        <w:ind w:firstLine="420" w:firstLineChars="200"/>
        <w:rPr>
          <w:rFonts w:ascii="宋体" w:hAnsi="宋体" w:cs="宋体"/>
          <w:color w:val="auto"/>
          <w:szCs w:val="32"/>
          <w:highlight w:val="none"/>
        </w:rPr>
      </w:pPr>
    </w:p>
    <w:p w14:paraId="726DED27">
      <w:pPr>
        <w:spacing w:line="580" w:lineRule="exact"/>
        <w:rPr>
          <w:rFonts w:ascii="宋体" w:hAnsi="宋体" w:cs="宋体"/>
          <w:color w:val="auto"/>
          <w:szCs w:val="21"/>
          <w:highlight w:val="none"/>
        </w:rPr>
      </w:pPr>
      <w:r>
        <w:rPr>
          <w:rFonts w:hint="eastAsia" w:ascii="宋体" w:hAnsi="宋体" w:cs="宋体"/>
          <w:color w:val="auto"/>
          <w:szCs w:val="21"/>
          <w:highlight w:val="none"/>
        </w:rPr>
        <w:t>各供应商：</w:t>
      </w:r>
    </w:p>
    <w:p w14:paraId="19B4AC22">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欢迎贵公司参与广西政府采购活动！</w:t>
      </w:r>
    </w:p>
    <w:p w14:paraId="0B6CE180">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5C4CBC9E">
      <w:pPr>
        <w:spacing w:line="5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相关金融产品和银行业金融机构联系方式，可在中征应收账款融资服务平台查询（网址：</w:t>
      </w:r>
      <w:r>
        <w:rPr>
          <w:color w:val="auto"/>
          <w:highlight w:val="none"/>
        </w:rPr>
        <w:fldChar w:fldCharType="begin"/>
      </w:r>
      <w:r>
        <w:rPr>
          <w:color w:val="auto"/>
          <w:highlight w:val="none"/>
        </w:rPr>
        <w:instrText xml:space="preserve"> HYPERLINK "https://www.crcrfsp.com/" </w:instrText>
      </w:r>
      <w:r>
        <w:rPr>
          <w:color w:val="auto"/>
          <w:highlight w:val="none"/>
        </w:rPr>
        <w:fldChar w:fldCharType="separate"/>
      </w:r>
      <w:r>
        <w:rPr>
          <w:rStyle w:val="36"/>
          <w:rFonts w:hint="eastAsia" w:ascii="宋体" w:hAnsi="宋体" w:cs="宋体"/>
          <w:color w:val="auto"/>
          <w:szCs w:val="21"/>
          <w:highlight w:val="none"/>
        </w:rPr>
        <w:t>https://www.crcrfsp.com/</w:t>
      </w:r>
      <w:r>
        <w:rPr>
          <w:rStyle w:val="36"/>
          <w:rFonts w:hint="eastAsia" w:ascii="宋体" w:hAnsi="宋体" w:cs="宋体"/>
          <w:color w:val="auto"/>
          <w:szCs w:val="21"/>
          <w:highlight w:val="none"/>
        </w:rPr>
        <w:fldChar w:fldCharType="end"/>
      </w:r>
      <w:r>
        <w:rPr>
          <w:rFonts w:hint="eastAsia" w:ascii="宋体" w:hAnsi="宋体" w:cs="宋体"/>
          <w:color w:val="auto"/>
          <w:szCs w:val="21"/>
          <w:highlight w:val="none"/>
        </w:rPr>
        <w:t>，客服电话：400-009-0001）。</w:t>
      </w:r>
    </w:p>
    <w:p w14:paraId="3F832A3A">
      <w:pPr>
        <w:pStyle w:val="2"/>
        <w:rPr>
          <w:rFonts w:hAnsi="Courier New"/>
          <w:color w:val="auto"/>
          <w:sz w:val="20"/>
          <w:szCs w:val="21"/>
          <w:highlight w:val="none"/>
        </w:rPr>
      </w:pPr>
      <w:r>
        <w:rPr>
          <w:rFonts w:hint="eastAsia" w:ascii="宋体" w:hAnsi="宋体" w:cs="宋体"/>
          <w:color w:val="auto"/>
          <w:szCs w:val="21"/>
          <w:highlight w:val="none"/>
        </w:rPr>
        <w:br w:type="page"/>
      </w:r>
    </w:p>
    <w:p w14:paraId="3A1156E0">
      <w:pPr>
        <w:pStyle w:val="3"/>
        <w:jc w:val="center"/>
        <w:rPr>
          <w:rFonts w:ascii="Calibri" w:hAnsi="Calibri"/>
          <w:color w:val="auto"/>
          <w:highlight w:val="none"/>
        </w:rPr>
      </w:pPr>
      <w:bookmarkStart w:id="107" w:name="_Toc3976"/>
      <w:bookmarkStart w:id="108" w:name="_Toc80886937"/>
      <w:bookmarkStart w:id="109" w:name="_Toc8412"/>
      <w:bookmarkStart w:id="110" w:name="_Toc8593"/>
      <w:bookmarkStart w:id="111" w:name="_Toc28979"/>
      <w:bookmarkStart w:id="112" w:name="_Toc1088"/>
      <w:bookmarkStart w:id="113" w:name="_Toc3879"/>
      <w:bookmarkStart w:id="114" w:name="_Toc17511"/>
      <w:r>
        <w:rPr>
          <w:rFonts w:hint="eastAsia" w:ascii="Calibri" w:hAnsi="Calibri"/>
          <w:color w:val="auto"/>
          <w:highlight w:val="none"/>
        </w:rPr>
        <w:t>第四章  评审程序、评审方法和评审标准</w:t>
      </w:r>
      <w:bookmarkEnd w:id="107"/>
      <w:bookmarkEnd w:id="108"/>
      <w:bookmarkEnd w:id="109"/>
      <w:bookmarkEnd w:id="110"/>
      <w:bookmarkEnd w:id="111"/>
      <w:bookmarkEnd w:id="112"/>
      <w:bookmarkEnd w:id="113"/>
      <w:bookmarkEnd w:id="114"/>
    </w:p>
    <w:p w14:paraId="66BA660E">
      <w:pPr>
        <w:pStyle w:val="4"/>
        <w:jc w:val="center"/>
        <w:rPr>
          <w:rFonts w:ascii="宋体" w:hAnsi="宋体"/>
          <w:b w:val="0"/>
          <w:color w:val="auto"/>
          <w:highlight w:val="none"/>
        </w:rPr>
      </w:pPr>
      <w:bookmarkStart w:id="115" w:name="_Toc80886938"/>
      <w:bookmarkStart w:id="116" w:name="_Toc11607"/>
      <w:bookmarkStart w:id="117" w:name="_Toc17424"/>
      <w:r>
        <w:rPr>
          <w:rFonts w:hint="eastAsia" w:ascii="宋体" w:hAnsi="宋体"/>
          <w:b w:val="0"/>
          <w:color w:val="auto"/>
          <w:highlight w:val="none"/>
        </w:rPr>
        <w:t>第一节 评审程序和评审方法</w:t>
      </w:r>
      <w:bookmarkEnd w:id="115"/>
      <w:bookmarkEnd w:id="116"/>
      <w:bookmarkEnd w:id="117"/>
    </w:p>
    <w:p w14:paraId="76745D1A">
      <w:pPr>
        <w:spacing w:line="400" w:lineRule="exact"/>
        <w:ind w:firstLine="482" w:firstLineChars="200"/>
        <w:rPr>
          <w:rFonts w:ascii="黑体" w:hAnsi="黑体" w:eastAsia="黑体" w:cs="宋体"/>
          <w:b/>
          <w:bCs/>
          <w:color w:val="auto"/>
          <w:sz w:val="24"/>
          <w:highlight w:val="none"/>
        </w:rPr>
      </w:pPr>
      <w:r>
        <w:rPr>
          <w:rFonts w:ascii="黑体" w:hAnsi="黑体" w:eastAsia="黑体" w:cs="宋体"/>
          <w:b/>
          <w:bCs/>
          <w:color w:val="auto"/>
          <w:sz w:val="24"/>
          <w:highlight w:val="none"/>
        </w:rPr>
        <w:t>1</w:t>
      </w:r>
      <w:r>
        <w:rPr>
          <w:rFonts w:hint="eastAsia" w:ascii="黑体" w:hAnsi="黑体" w:eastAsia="黑体" w:cs="宋体"/>
          <w:b/>
          <w:bCs/>
          <w:color w:val="auto"/>
          <w:sz w:val="24"/>
          <w:highlight w:val="none"/>
        </w:rPr>
        <w:t>.确认磋商文件</w:t>
      </w:r>
    </w:p>
    <w:p w14:paraId="2181A65C">
      <w:pPr>
        <w:spacing w:line="400" w:lineRule="exact"/>
        <w:ind w:firstLine="420" w:firstLineChars="200"/>
        <w:rPr>
          <w:rFonts w:cs="宋体"/>
          <w:color w:val="auto"/>
          <w:szCs w:val="21"/>
          <w:highlight w:val="none"/>
        </w:rPr>
      </w:pPr>
      <w:r>
        <w:rPr>
          <w:rFonts w:hint="eastAsia" w:cs="宋体"/>
          <w:color w:val="auto"/>
          <w:szCs w:val="21"/>
          <w:highlight w:val="none"/>
        </w:rPr>
        <w:t>由磋商小组确认磋商文件。</w:t>
      </w:r>
    </w:p>
    <w:p w14:paraId="792B8696">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2.资格审查</w:t>
      </w:r>
    </w:p>
    <w:p w14:paraId="686B395D">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2.1响应文件开启后，磋商小组依法对供应商的资格证明文件进行审查。</w:t>
      </w:r>
    </w:p>
    <w:p w14:paraId="2F975330">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5226C278">
      <w:pPr>
        <w:snapToGrid w:val="0"/>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37"/>
          <w:rFonts w:hint="eastAsia" w:ascii="宋体" w:hAnsi="宋体" w:cs="宋体"/>
          <w:color w:val="auto"/>
          <w:highlight w:val="none"/>
        </w:rPr>
        <w:t>www.creditchina.gov.cn</w:t>
      </w:r>
      <w:r>
        <w:rPr>
          <w:rStyle w:val="37"/>
          <w:rFonts w:hint="eastAsia" w:ascii="宋体" w:hAnsi="宋体" w:cs="宋体"/>
          <w:color w:val="auto"/>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37"/>
          <w:rFonts w:hint="eastAsia" w:ascii="宋体" w:hAnsi="宋体" w:cs="宋体"/>
          <w:color w:val="auto"/>
          <w:highlight w:val="none"/>
        </w:rPr>
        <w:t>www.ccgp.gov.cn</w:t>
      </w:r>
      <w:r>
        <w:rPr>
          <w:rStyle w:val="37"/>
          <w:rFonts w:hint="eastAsia" w:ascii="宋体" w:hAnsi="宋体" w:cs="宋体"/>
          <w:color w:val="auto"/>
          <w:highlight w:val="none"/>
        </w:rPr>
        <w:fldChar w:fldCharType="end"/>
      </w:r>
      <w:r>
        <w:rPr>
          <w:rFonts w:hint="eastAsia" w:ascii="宋体" w:hAnsi="宋体" w:cs="宋体"/>
          <w:color w:val="auto"/>
          <w:szCs w:val="21"/>
          <w:highlight w:val="none"/>
        </w:rPr>
        <w:t>)链接入口。</w:t>
      </w:r>
    </w:p>
    <w:p w14:paraId="6FFB8EBF">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65CDD2AE">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3333A11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A2774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4461DA75">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2.3供应商有下列情形之一的，资格审查不通过，其响应文件按无效响应处理：</w:t>
      </w:r>
    </w:p>
    <w:p w14:paraId="4862994C">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1A87C79E">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（2）未按磋商文件规定的方式获取本磋商文件的供应商；</w:t>
      </w:r>
    </w:p>
    <w:p w14:paraId="6E148F34">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（3）响应文件的资格证明文件缺少任一项“供应商须知前附表”资格证明文件规定的“必须提供”的文件资料的；</w:t>
      </w:r>
    </w:p>
    <w:p w14:paraId="22BFB9E7">
      <w:pPr>
        <w:snapToGrid w:val="0"/>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（4）响应文件中的资格证明文件出现任一项不符合“供应商须知前附表”资格证明文件规定的“必须提供”的文件资料要求或者无效的；</w:t>
      </w:r>
    </w:p>
    <w:p w14:paraId="413BC42A">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（5）同一合同项下的不同供应商，单位负责人为同一人或者存在直接控股、管理关系的；为本项目提供过整体设计、规范编制或者项目管理、监理、检测等服务的供应商，再参加该采购项目的其他采购活动的。</w:t>
      </w:r>
    </w:p>
    <w:p w14:paraId="3C2A086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2.4通过资格审查的合格供应商不足3家的，不得进入符合性审查环节，采购人或者采购代理机构应当重新开展采购活动。</w:t>
      </w:r>
    </w:p>
    <w:p w14:paraId="46AD1108">
      <w:pPr>
        <w:spacing w:line="400" w:lineRule="exact"/>
        <w:ind w:firstLine="482" w:firstLineChars="200"/>
        <w:rPr>
          <w:rFonts w:ascii="黑体" w:hAnsi="黑体" w:eastAsia="黑体" w:cs="宋体"/>
          <w:b/>
          <w:bCs/>
          <w:color w:val="auto"/>
          <w:sz w:val="24"/>
          <w:highlight w:val="none"/>
        </w:rPr>
      </w:pPr>
      <w:r>
        <w:rPr>
          <w:rFonts w:hint="eastAsia" w:ascii="黑体" w:hAnsi="黑体" w:eastAsia="黑体" w:cs="宋体"/>
          <w:b/>
          <w:bCs/>
          <w:color w:val="auto"/>
          <w:sz w:val="24"/>
          <w:highlight w:val="none"/>
        </w:rPr>
        <w:t>3.符合性审查</w:t>
      </w:r>
    </w:p>
    <w:p w14:paraId="0C0B158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4E29F8DA">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7E0FD49">
      <w:pPr>
        <w:spacing w:line="400" w:lineRule="exact"/>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供应商公章</w:t>
      </w:r>
      <w:r>
        <w:rPr>
          <w:rFonts w:hint="eastAsia" w:ascii="宋体" w:hAnsi="宋体" w:cs="宋体"/>
          <w:color w:val="auto"/>
          <w:spacing w:val="-6"/>
          <w:szCs w:val="21"/>
          <w:highlight w:val="none"/>
        </w:rPr>
        <w:t>。供应商为自然人的，必须由本人签字并附身份证明。</w:t>
      </w:r>
    </w:p>
    <w:p w14:paraId="30B14B22">
      <w:pPr>
        <w:spacing w:line="400" w:lineRule="exact"/>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20683B1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（1）响应文件中响应报价表内容与响应文件中相应内容不一致的，以响应报价表为准；</w:t>
      </w:r>
    </w:p>
    <w:p w14:paraId="193BD30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22E75A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（3）单价金额小数点或者百分比有明显错位的，以响应报价表的总价为准，并修改单价；</w:t>
      </w:r>
    </w:p>
    <w:p w14:paraId="299FA61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5CC1CE6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4E24B9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3.5商务技术、报价评审</w:t>
      </w:r>
    </w:p>
    <w:p w14:paraId="43EF4F55">
      <w:pPr>
        <w:spacing w:line="40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在评审时，如发现下列情形之一的，将被视为响应文件无效处理：</w:t>
      </w:r>
    </w:p>
    <w:p w14:paraId="4C9A153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（1）商务技术评审</w:t>
      </w:r>
    </w:p>
    <w:p w14:paraId="1500F55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36ED54F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7455627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21B24E5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34F6C62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793FA5E1">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4A546CC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5BDC419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7962509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2F27708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6864596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50119451">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12）竞标技术方案不明确，磋商文件未允许但响应文件中存在一个或者一个以上备选（替代）竞标方案；</w:t>
      </w:r>
    </w:p>
    <w:p w14:paraId="09CEBD5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300DA1CB">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14）未响应磋商文件实质性要求；</w:t>
      </w:r>
    </w:p>
    <w:p w14:paraId="2D02AA84">
      <w:pPr>
        <w:pStyle w:val="14"/>
        <w:spacing w:after="0" w:line="400" w:lineRule="exact"/>
        <w:ind w:firstLine="420" w:firstLineChars="200"/>
        <w:rPr>
          <w:rFonts w:ascii="宋体" w:hAnsi="宋体" w:cs="宋体"/>
          <w:color w:val="auto"/>
          <w:highlight w:val="none"/>
        </w:rPr>
      </w:pPr>
      <w:r>
        <w:rPr>
          <w:rFonts w:hint="eastAsia" w:ascii="宋体" w:hAnsi="宋体" w:cs="宋体"/>
          <w:color w:val="auto"/>
          <w:szCs w:val="21"/>
          <w:highlight w:val="none"/>
        </w:rPr>
        <w:t>15）提交的磋商保证金无效的或者未按照磋商文件的规定提交磋商保证金；</w:t>
      </w:r>
    </w:p>
    <w:p w14:paraId="6591C0B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16）法律、法规和磋商文件规定的其他无效情形。</w:t>
      </w:r>
    </w:p>
    <w:p w14:paraId="4A17AB75">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（2）报价评审</w:t>
      </w:r>
    </w:p>
    <w:p w14:paraId="2894FD5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08072D0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2）未按照磋商文件标明的形式报价；</w:t>
      </w:r>
    </w:p>
    <w:p w14:paraId="3282845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供应商未就所竞标项目/分标进行报价或者存在漏项报价；供应商未就所竞标项目/分标的单项内容作唯一报价；供应商未就所竞标项目/分标的全部内容作唯一报价；供应商响应文件中存在有选择、有条件报价的（磋商文件允许有备选方案或者其他约定的除外）；</w:t>
      </w:r>
    </w:p>
    <w:p w14:paraId="037C5AC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4）响应报价（包含首次报价、最后报价）超过所竞标项目/分标规定的有效报价范围；响应报价（包含首次报价、最后报价）超过磋商文件分项有效报价范围；</w:t>
      </w:r>
    </w:p>
    <w:p w14:paraId="713EAA8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项目/分标规定的有效报价范围；或者经供应商确认修正后响应报价（包含首次报价、最后报价）超过磋商文件分项有效报价范围。</w:t>
      </w:r>
    </w:p>
    <w:p w14:paraId="74ED1802">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6）响应文件响应的标的数量及单位与竞争性磋商文件要求实质性不一致的。</w:t>
      </w:r>
    </w:p>
    <w:p w14:paraId="518B814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A3CB8A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7BA1BD62">
      <w:pPr>
        <w:spacing w:line="40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4.磋商程序</w:t>
      </w:r>
    </w:p>
    <w:p w14:paraId="4F36CFA4">
      <w:pPr>
        <w:spacing w:line="40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w:t>
      </w:r>
      <w:r>
        <w:rPr>
          <w:rFonts w:hint="eastAsia" w:ascii="宋体" w:hAnsi="宋体" w:cs="宋体"/>
          <w:color w:val="auto"/>
          <w:szCs w:val="21"/>
          <w:highlight w:val="none"/>
        </w:rPr>
        <w:t xml:space="preserve"> </w:t>
      </w:r>
      <w:r>
        <w:rPr>
          <w:rFonts w:hint="eastAsia" w:ascii="宋体" w:hAnsi="宋体" w:cs="宋体"/>
          <w:color w:val="auto"/>
          <w:kern w:val="0"/>
          <w:szCs w:val="21"/>
          <w:highlight w:val="none"/>
        </w:rPr>
        <w:t>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41382A8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4A7942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6C2400E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供应商公章。供应商为自然人的，必须由本人签字并附身份证明。参加磋商的供应商未在规定时间内重新提交响应文件的，视同退出磋商。</w:t>
      </w:r>
    </w:p>
    <w:p w14:paraId="1E0AC55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789F7E73">
      <w:pPr>
        <w:widowControl/>
        <w:tabs>
          <w:tab w:val="left" w:pos="540"/>
        </w:tabs>
        <w:spacing w:line="400" w:lineRule="exact"/>
        <w:ind w:firstLine="420" w:firstLineChars="200"/>
        <w:jc w:val="left"/>
        <w:rPr>
          <w:rFonts w:ascii="宋体" w:hAnsi="宋体" w:cs="宋体"/>
          <w:b/>
          <w:color w:val="auto"/>
          <w:highlight w:val="none"/>
        </w:rPr>
      </w:pPr>
      <w:r>
        <w:rPr>
          <w:rFonts w:hint="eastAsia" w:ascii="宋体" w:hAnsi="宋体" w:cs="宋体"/>
          <w:color w:val="auto"/>
          <w:szCs w:val="21"/>
          <w:highlight w:val="none"/>
        </w:rPr>
        <w:t>4.6磋商小组应对磋商过程和重要磋商内容进行记录，作为评审报告一部分，磋商小组在记录上签字确认。</w:t>
      </w:r>
      <w:r>
        <w:rPr>
          <w:rFonts w:hint="eastAsia" w:ascii="宋体" w:hAnsi="宋体" w:cs="宋体"/>
          <w:b/>
          <w:color w:val="auto"/>
          <w:highlight w:val="none"/>
        </w:rPr>
        <w:t>主要内容包括：</w:t>
      </w:r>
    </w:p>
    <w:p w14:paraId="75E5ED97">
      <w:pPr>
        <w:pStyle w:val="61"/>
        <w:spacing w:before="0" w:line="400" w:lineRule="exact"/>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4A47DA6D">
      <w:pPr>
        <w:pStyle w:val="61"/>
        <w:spacing w:before="0" w:line="400" w:lineRule="exact"/>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6FDC69C6">
      <w:pPr>
        <w:pStyle w:val="61"/>
        <w:spacing w:before="0" w:line="400" w:lineRule="exact"/>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03692E75">
      <w:pPr>
        <w:widowControl/>
        <w:tabs>
          <w:tab w:val="left" w:pos="540"/>
        </w:tabs>
        <w:spacing w:line="40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6DBC5FDC">
      <w:pPr>
        <w:tabs>
          <w:tab w:val="left" w:pos="2835"/>
        </w:tabs>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43B6EC8E">
      <w:pPr>
        <w:spacing w:line="400" w:lineRule="exact"/>
        <w:ind w:firstLine="200"/>
        <w:rPr>
          <w:rFonts w:ascii="宋体" w:hAnsi="宋体" w:cs="宋体"/>
          <w:color w:val="auto"/>
          <w:szCs w:val="21"/>
          <w:highlight w:val="none"/>
        </w:rPr>
      </w:pPr>
      <w:r>
        <w:rPr>
          <w:rFonts w:hint="eastAsia" w:ascii="宋体" w:hAnsi="宋体" w:cs="宋体"/>
          <w:b/>
          <w:bCs/>
          <w:color w:val="auto"/>
          <w:sz w:val="24"/>
          <w:highlight w:val="none"/>
        </w:rPr>
        <w:t>5. 最后报价</w:t>
      </w:r>
    </w:p>
    <w:p w14:paraId="3E2805B3">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2723C20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4D81E987">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459E16C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3645F52A">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5.5供应商未在规定时间内提交最后报价的，视同退出磋商，其响应文件按无效处理。</w:t>
      </w:r>
    </w:p>
    <w:p w14:paraId="2256B96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5.6磋商小组收齐本项目/某一分标最后报价后统一开启，磋商小组对最后报价进行有效性、完整性和响应程度的审查。</w:t>
      </w:r>
    </w:p>
    <w:p w14:paraId="78A2D1C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51EEE66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5.8修正后的最后报价出现下列情形的，按无效响应处理：</w:t>
      </w:r>
    </w:p>
    <w:p w14:paraId="64C673B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1C6E1C9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（2）经供应商确认修正后的响应报价（包含首次报价、最后报价）超过所竞标项目/分标规定的采购预算金额或者最高限价的（如本项目公布了最高限价）；</w:t>
      </w:r>
    </w:p>
    <w:p w14:paraId="740B87C1">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07635AF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2B0B78AE">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s="宋体"/>
          <w:color w:val="auto"/>
          <w:sz w:val="22"/>
          <w:szCs w:val="22"/>
          <w:highlight w:val="none"/>
        </w:rPr>
        <w:t>，磋商小组应当告知有关供应商</w:t>
      </w:r>
      <w:r>
        <w:rPr>
          <w:rFonts w:hint="eastAsia" w:ascii="宋体" w:hAnsi="宋体" w:cs="宋体"/>
          <w:color w:val="auto"/>
          <w:szCs w:val="21"/>
          <w:highlight w:val="none"/>
        </w:rPr>
        <w:t>。</w:t>
      </w:r>
    </w:p>
    <w:p w14:paraId="7B06856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635E0DD0">
      <w:pPr>
        <w:pStyle w:val="2"/>
        <w:spacing w:line="400" w:lineRule="exact"/>
        <w:ind w:firstLine="422" w:firstLineChars="200"/>
        <w:rPr>
          <w:color w:val="auto"/>
          <w:highlight w:val="none"/>
        </w:rPr>
      </w:pPr>
      <w:r>
        <w:rPr>
          <w:rFonts w:hint="eastAsia" w:ascii="宋体" w:hAnsi="宋体" w:cs="宋体"/>
          <w:b/>
          <w:bCs/>
          <w:color w:val="auto"/>
          <w:sz w:val="21"/>
          <w:szCs w:val="21"/>
          <w:highlight w:val="none"/>
        </w:rPr>
        <w:t>注：</w:t>
      </w:r>
      <w:r>
        <w:rPr>
          <w:rFonts w:hint="eastAsia"/>
          <w:b/>
          <w:bCs/>
          <w:color w:val="auto"/>
          <w:sz w:val="21"/>
          <w:szCs w:val="21"/>
          <w:highlight w:val="none"/>
        </w:rPr>
        <w:t>如磋商小组要求提供最后报价附件的，需按规定的时间提供。最后报价有时间限制，供应商可参照竞争性磋商文件“第五章 响应文件格式”的响应报价表提前准备，以免耽误最后报价</w:t>
      </w:r>
      <w:r>
        <w:rPr>
          <w:rFonts w:hint="eastAsia" w:ascii="宋体" w:hAnsi="宋体" w:cs="宋体"/>
          <w:b/>
          <w:bCs/>
          <w:color w:val="auto"/>
          <w:sz w:val="21"/>
          <w:szCs w:val="21"/>
          <w:highlight w:val="none"/>
          <w:lang w:val="zh-CN"/>
        </w:rPr>
        <w:t>。</w:t>
      </w:r>
    </w:p>
    <w:p w14:paraId="3A715CF6">
      <w:pPr>
        <w:spacing w:line="400" w:lineRule="exact"/>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6</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比较与评价</w:t>
      </w:r>
    </w:p>
    <w:p w14:paraId="3729F32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6.1评审方法：综合评分法。</w:t>
      </w:r>
    </w:p>
    <w:p w14:paraId="775A09B8">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20B7BBE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1F175A22">
      <w:pPr>
        <w:pStyle w:val="14"/>
        <w:spacing w:after="0" w:line="400" w:lineRule="exact"/>
        <w:ind w:firstLine="420" w:firstLineChars="200"/>
        <w:rPr>
          <w:rFonts w:ascii="宋体" w:hAnsi="宋体" w:cs="宋体"/>
          <w:color w:val="auto"/>
          <w:highlight w:val="none"/>
        </w:rPr>
      </w:pPr>
      <w:r>
        <w:rPr>
          <w:rFonts w:hint="eastAsia" w:ascii="宋体" w:hAnsi="宋体" w:cs="宋体"/>
          <w:color w:val="auto"/>
          <w:highlight w:val="none"/>
        </w:rPr>
        <w:t>（1）磋商小组成员要根据政府采购法律法规和采购文件所载明的评审方法、标准进行评审。对供应商的价格分等客观评分项的评分应当一致，对其他需要借助专业知识评判的主观评分项，应当严格按照评分细则公正评分。</w:t>
      </w:r>
    </w:p>
    <w:p w14:paraId="5078C36A">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22879E7D">
      <w:pPr>
        <w:spacing w:line="400" w:lineRule="exact"/>
        <w:ind w:firstLine="420" w:firstLineChars="200"/>
        <w:rPr>
          <w:rFonts w:ascii="宋体" w:hAnsi="宋体" w:cs="宋体"/>
          <w:color w:val="auto"/>
          <w:highlight w:val="none"/>
        </w:rPr>
      </w:pPr>
      <w:r>
        <w:rPr>
          <w:rFonts w:hint="eastAsia" w:ascii="宋体" w:hAnsi="宋体" w:cs="宋体"/>
          <w:color w:val="auto"/>
          <w:szCs w:val="21"/>
          <w:highlight w:val="none"/>
        </w:rPr>
        <w:t>（3）各供应商的得分为磋商小组所有成员的有效评分的算术平均数。</w:t>
      </w:r>
    </w:p>
    <w:p w14:paraId="2010FEBF">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6.4评审</w:t>
      </w:r>
      <w:r>
        <w:rPr>
          <w:rFonts w:hint="eastAsia" w:ascii="宋体" w:hAnsi="宋体" w:cs="宋体"/>
          <w:color w:val="auto"/>
          <w:highlight w:val="none"/>
        </w:rPr>
        <w:t>报价</w:t>
      </w:r>
      <w:r>
        <w:rPr>
          <w:rFonts w:hint="eastAsia" w:ascii="宋体" w:hAnsi="宋体" w:cs="宋体"/>
          <w:color w:val="auto"/>
          <w:szCs w:val="21"/>
          <w:highlight w:val="none"/>
        </w:rPr>
        <w:t>为供应商的最后报价进行政策性扣除后的价格，评审</w:t>
      </w:r>
      <w:r>
        <w:rPr>
          <w:rFonts w:hint="eastAsia" w:ascii="宋体" w:hAnsi="宋体" w:cs="宋体"/>
          <w:color w:val="auto"/>
          <w:highlight w:val="none"/>
        </w:rPr>
        <w:t>报价</w:t>
      </w:r>
      <w:r>
        <w:rPr>
          <w:rFonts w:hint="eastAsia" w:ascii="宋体" w:hAnsi="宋体" w:cs="宋体"/>
          <w:color w:val="auto"/>
          <w:szCs w:val="21"/>
          <w:highlight w:val="none"/>
        </w:rPr>
        <w:t>只是作为评审时使用。最终成交供应商的成交金额等于最后报价（如有修正，以确认修正后的最后报价为准）。</w:t>
      </w:r>
    </w:p>
    <w:p w14:paraId="62DB5FFF">
      <w:pPr>
        <w:spacing w:line="400" w:lineRule="exact"/>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s="宋体"/>
          <w:color w:val="auto"/>
          <w:kern w:val="0"/>
          <w:szCs w:val="21"/>
          <w:highlight w:val="none"/>
        </w:rPr>
        <w:t>审报告。符合本章第5.3条情形的，可以推荐2家成交候选供应商。评审得分相同的，</w:t>
      </w:r>
      <w:r>
        <w:rPr>
          <w:rFonts w:hint="eastAsia" w:ascii="宋体" w:hAnsi="宋体" w:cs="宋体"/>
          <w:bCs/>
          <w:color w:val="auto"/>
          <w:szCs w:val="21"/>
          <w:highlight w:val="none"/>
        </w:rPr>
        <w:t>按照最后报价（不计算价格折扣）由低到高的顺序推荐。评审得分且最后报价（不计算价格折扣）相同的，按照技术指标优劣顺序推荐</w:t>
      </w:r>
      <w:r>
        <w:rPr>
          <w:rFonts w:hint="eastAsia"/>
          <w:color w:val="auto"/>
          <w:highlight w:val="none"/>
        </w:rPr>
        <w:t>（按技术分得分由高到低排序）</w:t>
      </w:r>
      <w:r>
        <w:rPr>
          <w:rFonts w:hint="eastAsia" w:ascii="宋体" w:hAnsi="宋体" w:cs="宋体"/>
          <w:bCs/>
          <w:color w:val="auto"/>
          <w:szCs w:val="21"/>
          <w:highlight w:val="none"/>
        </w:rPr>
        <w:t>。评审得分、最后报价（不计算价格折扣）、技术分得分均相同的，由磋商小组随机抽取推荐</w:t>
      </w:r>
      <w:r>
        <w:rPr>
          <w:rFonts w:hint="eastAsia" w:ascii="宋体" w:hAnsi="宋体" w:cs="宋体"/>
          <w:color w:val="auto"/>
          <w:kern w:val="0"/>
          <w:szCs w:val="21"/>
          <w:highlight w:val="none"/>
        </w:rPr>
        <w:t>。</w:t>
      </w:r>
    </w:p>
    <w:p w14:paraId="35B30B25">
      <w:pPr>
        <w:spacing w:line="40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FF40FCF">
      <w:pPr>
        <w:spacing w:line="400" w:lineRule="exact"/>
        <w:ind w:firstLine="200"/>
        <w:rPr>
          <w:rFonts w:ascii="黑体" w:hAnsi="黑体" w:eastAsia="黑体" w:cs="宋体"/>
          <w:b/>
          <w:bCs/>
          <w:color w:val="auto"/>
          <w:sz w:val="24"/>
          <w:highlight w:val="none"/>
        </w:rPr>
      </w:pPr>
    </w:p>
    <w:p w14:paraId="167A23B8">
      <w:pPr>
        <w:spacing w:line="400" w:lineRule="exact"/>
        <w:ind w:firstLine="200"/>
        <w:rPr>
          <w:rFonts w:ascii="黑体" w:hAnsi="黑体" w:eastAsia="黑体" w:cs="宋体"/>
          <w:b/>
          <w:bCs/>
          <w:color w:val="auto"/>
          <w:sz w:val="24"/>
          <w:highlight w:val="none"/>
        </w:rPr>
      </w:pPr>
      <w:r>
        <w:rPr>
          <w:rFonts w:hint="eastAsia" w:ascii="黑体" w:hAnsi="黑体" w:eastAsia="黑体" w:cs="宋体"/>
          <w:b/>
          <w:bCs/>
          <w:color w:val="auto"/>
          <w:sz w:val="24"/>
          <w:highlight w:val="none"/>
        </w:rPr>
        <w:t>7</w:t>
      </w:r>
      <w:r>
        <w:rPr>
          <w:rFonts w:ascii="黑体" w:hAnsi="黑体" w:eastAsia="黑体" w:cs="宋体"/>
          <w:b/>
          <w:bCs/>
          <w:color w:val="auto"/>
          <w:sz w:val="24"/>
          <w:highlight w:val="none"/>
        </w:rPr>
        <w:t>.</w:t>
      </w:r>
      <w:r>
        <w:rPr>
          <w:rFonts w:hint="eastAsia" w:ascii="黑体" w:hAnsi="黑体" w:eastAsia="黑体" w:cs="宋体"/>
          <w:b/>
          <w:bCs/>
          <w:color w:val="auto"/>
          <w:sz w:val="24"/>
          <w:highlight w:val="none"/>
        </w:rPr>
        <w:t>评审标准</w:t>
      </w:r>
    </w:p>
    <w:p w14:paraId="12002E87">
      <w:pPr>
        <w:spacing w:line="400" w:lineRule="exact"/>
        <w:ind w:firstLine="420" w:firstLineChars="200"/>
        <w:rPr>
          <w:rFonts w:ascii="宋体" w:hAnsi="宋体" w:cs="宋体"/>
          <w:bCs/>
          <w:color w:val="auto"/>
          <w:szCs w:val="21"/>
          <w:highlight w:val="none"/>
        </w:rPr>
      </w:pPr>
      <w:r>
        <w:rPr>
          <w:rFonts w:hint="eastAsia" w:ascii="宋体" w:hAnsi="宋体" w:cs="宋体"/>
          <w:bCs/>
          <w:color w:val="auto"/>
          <w:highlight w:val="none"/>
        </w:rPr>
        <w:t>7.</w:t>
      </w:r>
      <w:r>
        <w:rPr>
          <w:rFonts w:hint="eastAsia" w:ascii="宋体" w:hAnsi="宋体" w:cs="宋体"/>
          <w:bCs/>
          <w:color w:val="auto"/>
          <w:szCs w:val="21"/>
          <w:highlight w:val="none"/>
        </w:rPr>
        <w:t>1评审依据：磋商小组将以响应文件为评审依据，对供应商的报价、技术、商务等方面内容按百分制打分。（计分方法按四舍五入取至百分位）</w:t>
      </w:r>
    </w:p>
    <w:p w14:paraId="53AD824F">
      <w:pPr>
        <w:pStyle w:val="21"/>
        <w:spacing w:line="360" w:lineRule="auto"/>
        <w:jc w:val="center"/>
        <w:outlineLvl w:val="0"/>
        <w:rPr>
          <w:rFonts w:hAnsi="宋体" w:cs="宋体"/>
          <w:b/>
          <w:bCs/>
          <w:color w:val="auto"/>
          <w:sz w:val="21"/>
          <w:highlight w:val="none"/>
        </w:rPr>
      </w:pPr>
      <w:bookmarkStart w:id="118" w:name="_Toc19584"/>
      <w:bookmarkStart w:id="119" w:name="_Toc80205935"/>
      <w:r>
        <w:rPr>
          <w:rFonts w:hint="eastAsia" w:hAnsi="宋体" w:cs="宋体"/>
          <w:b/>
          <w:bCs/>
          <w:color w:val="auto"/>
          <w:sz w:val="21"/>
          <w:highlight w:val="none"/>
        </w:rPr>
        <w:t>以下评审标准适用于1分标</w:t>
      </w:r>
      <w:bookmarkEnd w:id="118"/>
      <w:r>
        <w:rPr>
          <w:rFonts w:hint="eastAsia" w:hAnsi="宋体" w:cs="宋体"/>
          <w:b/>
          <w:bCs/>
          <w:color w:val="auto"/>
          <w:sz w:val="21"/>
          <w:highlight w:val="none"/>
        </w:rPr>
        <w:t>、2分标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40"/>
        <w:gridCol w:w="6461"/>
        <w:gridCol w:w="851"/>
      </w:tblGrid>
      <w:tr w14:paraId="0A0E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38" w:type="dxa"/>
            <w:noWrap w:val="0"/>
            <w:vAlign w:val="center"/>
          </w:tcPr>
          <w:p w14:paraId="725606DC">
            <w:pPr>
              <w:keepNext w:val="0"/>
              <w:keepLines w:val="0"/>
              <w:pageBreakBefore w:val="0"/>
              <w:widowControl/>
              <w:kinsoku/>
              <w:wordWrap/>
              <w:overflowPunct/>
              <w:topLinePunct w:val="0"/>
              <w:autoSpaceDE/>
              <w:autoSpaceDN/>
              <w:bidi w:val="0"/>
              <w:spacing w:line="40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1140" w:type="dxa"/>
            <w:noWrap w:val="0"/>
            <w:vAlign w:val="center"/>
          </w:tcPr>
          <w:p w14:paraId="3F7D8510">
            <w:pPr>
              <w:keepNext w:val="0"/>
              <w:keepLines w:val="0"/>
              <w:pageBreakBefore w:val="0"/>
              <w:widowControl/>
              <w:kinsoku/>
              <w:wordWrap/>
              <w:overflowPunct/>
              <w:topLinePunct w:val="0"/>
              <w:autoSpaceDE/>
              <w:autoSpaceDN/>
              <w:bidi w:val="0"/>
              <w:spacing w:line="40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461" w:type="dxa"/>
            <w:noWrap w:val="0"/>
            <w:vAlign w:val="center"/>
          </w:tcPr>
          <w:p w14:paraId="2AADA06C">
            <w:pPr>
              <w:keepNext w:val="0"/>
              <w:keepLines w:val="0"/>
              <w:pageBreakBefore w:val="0"/>
              <w:widowControl/>
              <w:kinsoku/>
              <w:wordWrap/>
              <w:overflowPunct/>
              <w:topLinePunct w:val="0"/>
              <w:autoSpaceDE/>
              <w:autoSpaceDN/>
              <w:bidi w:val="0"/>
              <w:spacing w:line="40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评审因素具体内容</w:t>
            </w:r>
          </w:p>
        </w:tc>
        <w:tc>
          <w:tcPr>
            <w:tcW w:w="851" w:type="dxa"/>
            <w:noWrap w:val="0"/>
            <w:vAlign w:val="center"/>
          </w:tcPr>
          <w:p w14:paraId="6897C855">
            <w:pPr>
              <w:keepNext w:val="0"/>
              <w:keepLines w:val="0"/>
              <w:pageBreakBefore w:val="0"/>
              <w:widowControl/>
              <w:kinsoku/>
              <w:wordWrap/>
              <w:overflowPunct/>
              <w:topLinePunct w:val="0"/>
              <w:autoSpaceDE/>
              <w:autoSpaceDN/>
              <w:bidi w:val="0"/>
              <w:spacing w:line="400" w:lineRule="exact"/>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分值</w:t>
            </w:r>
          </w:p>
        </w:tc>
      </w:tr>
      <w:tr w14:paraId="609A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38" w:type="dxa"/>
            <w:noWrap w:val="0"/>
            <w:vAlign w:val="center"/>
          </w:tcPr>
          <w:p w14:paraId="47ADB84D">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1140" w:type="dxa"/>
            <w:noWrap w:val="0"/>
            <w:vAlign w:val="center"/>
          </w:tcPr>
          <w:p w14:paraId="0FA69C78">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价格分</w:t>
            </w:r>
          </w:p>
        </w:tc>
        <w:tc>
          <w:tcPr>
            <w:tcW w:w="6461" w:type="dxa"/>
            <w:noWrap w:val="0"/>
            <w:vAlign w:val="top"/>
          </w:tcPr>
          <w:p w14:paraId="098E44E2">
            <w:pPr>
              <w:keepNext w:val="0"/>
              <w:keepLines w:val="0"/>
              <w:pageBreakBefore w:val="0"/>
              <w:kinsoku/>
              <w:wordWrap/>
              <w:overflowPunct/>
              <w:topLinePunct w:val="0"/>
              <w:autoSpaceDE/>
              <w:autoSpaceDN/>
              <w:bidi w:val="0"/>
              <w:spacing w:line="400" w:lineRule="exact"/>
              <w:ind w:firstLine="210" w:firstLineChars="100"/>
              <w:rPr>
                <w:rFonts w:ascii="宋体" w:hAnsi="宋体" w:cs="Courier New"/>
                <w:bCs/>
                <w:color w:val="auto"/>
                <w:szCs w:val="21"/>
                <w:highlight w:val="none"/>
              </w:rPr>
            </w:pPr>
            <w:r>
              <w:rPr>
                <w:rFonts w:hint="eastAsia" w:ascii="宋体" w:hAnsi="宋体" w:cs="Courier New"/>
                <w:bCs/>
                <w:color w:val="auto"/>
                <w:szCs w:val="21"/>
                <w:highlight w:val="none"/>
              </w:rPr>
              <w:t>（1）</w:t>
            </w:r>
            <w:r>
              <w:rPr>
                <w:rFonts w:hint="eastAsia" w:ascii="宋体" w:hAnsi="宋体"/>
                <w:color w:val="auto"/>
                <w:szCs w:val="21"/>
                <w:highlight w:val="none"/>
              </w:rPr>
              <w:t>评审价为供应商的跟踪审计费用最后报价、结算审核费价格优惠率最后报价进行政策性扣除后的价格，评审价只是作为评审时使用。最终成交供应商的跟踪审计费成交价、结算审核费成交价格优惠率等于最后报</w:t>
            </w:r>
            <w:r>
              <w:rPr>
                <w:rFonts w:hint="eastAsia" w:ascii="宋体" w:hAnsi="宋体" w:cs="Courier New"/>
                <w:bCs/>
                <w:color w:val="auto"/>
                <w:szCs w:val="21"/>
                <w:highlight w:val="none"/>
              </w:rPr>
              <w:t>价（如有修正，以确认修正后的最后报价为准）。</w:t>
            </w:r>
          </w:p>
          <w:p w14:paraId="40A784F0">
            <w:pPr>
              <w:keepNext w:val="0"/>
              <w:keepLines w:val="0"/>
              <w:pageBreakBefore w:val="0"/>
              <w:kinsoku/>
              <w:wordWrap/>
              <w:overflowPunct/>
              <w:topLinePunct w:val="0"/>
              <w:autoSpaceDE/>
              <w:autoSpaceDN/>
              <w:bidi w:val="0"/>
              <w:spacing w:line="400" w:lineRule="exact"/>
              <w:ind w:firstLine="210" w:firstLineChars="100"/>
              <w:rPr>
                <w:rFonts w:hint="eastAsia" w:ascii="宋体" w:hAnsi="宋体" w:eastAsia="宋体" w:cs="Courier New"/>
                <w:bCs/>
                <w:color w:val="auto"/>
                <w:szCs w:val="21"/>
                <w:highlight w:val="none"/>
                <w:lang w:eastAsia="zh-CN"/>
              </w:rPr>
            </w:pPr>
            <w:r>
              <w:rPr>
                <w:rFonts w:hint="eastAsia" w:ascii="宋体" w:hAnsi="宋体" w:cs="Courier New"/>
                <w:bCs/>
                <w:color w:val="auto"/>
                <w:szCs w:val="21"/>
                <w:highlight w:val="none"/>
              </w:rPr>
              <w:t>（2）政府采购政策性扣除计算方法</w:t>
            </w:r>
            <w:r>
              <w:rPr>
                <w:rFonts w:hint="eastAsia" w:ascii="宋体" w:hAnsi="宋体" w:cs="Courier New"/>
                <w:bCs/>
                <w:color w:val="auto"/>
                <w:szCs w:val="21"/>
                <w:highlight w:val="none"/>
                <w:lang w:eastAsia="zh-CN"/>
              </w:rPr>
              <w:t>：</w:t>
            </w:r>
          </w:p>
          <w:p w14:paraId="54F2E08D">
            <w:pPr>
              <w:keepNext w:val="0"/>
              <w:keepLines w:val="0"/>
              <w:pageBreakBefore w:val="0"/>
              <w:kinsoku/>
              <w:wordWrap/>
              <w:overflowPunct/>
              <w:topLinePunct w:val="0"/>
              <w:autoSpaceDE/>
              <w:autoSpaceDN/>
              <w:bidi w:val="0"/>
              <w:spacing w:line="400" w:lineRule="exact"/>
              <w:ind w:firstLine="420" w:firstLineChars="200"/>
              <w:rPr>
                <w:rFonts w:ascii="宋体" w:hAnsi="宋体" w:cs="Courier New"/>
                <w:bCs/>
                <w:color w:val="auto"/>
                <w:szCs w:val="21"/>
                <w:highlight w:val="none"/>
              </w:rPr>
            </w:pPr>
            <w:r>
              <w:rPr>
                <w:rFonts w:hint="eastAsia" w:ascii="宋体" w:hAnsi="宋体" w:cs="Courier New"/>
                <w:bCs/>
                <w:color w:val="auto"/>
                <w:szCs w:val="21"/>
                <w:highlight w:val="none"/>
              </w:rPr>
              <w:t>根据《政府采购促进中小企业发展管理办法》（财库〔2020〕46号）及《广西壮族自治区财政厅关于持续优化政府采购营商环境推动高质量发展的通知》（桂财采〔2024〕55号）的规定，供应商在其响应文件中提供《中小企业声明函》，且服务全部由小微企业承接，对供应商的竞标报价给予10%（范围为10%-20%）的扣除，扣除后的价格为评审价，即评审价=竞标报价×（1-10%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4%（范围为4%-6%）的扣除，用扣除后的价格参加评审，扣除后的价格为评审价，即评审价=竞标报价×（1-4%）。除上述情况外，评审价=竞标报价。</w:t>
            </w:r>
          </w:p>
          <w:p w14:paraId="4FD18A67">
            <w:pPr>
              <w:keepNext w:val="0"/>
              <w:keepLines w:val="0"/>
              <w:pageBreakBefore w:val="0"/>
              <w:kinsoku/>
              <w:wordWrap/>
              <w:overflowPunct/>
              <w:topLinePunct w:val="0"/>
              <w:autoSpaceDE/>
              <w:autoSpaceDN/>
              <w:bidi w:val="0"/>
              <w:spacing w:line="400" w:lineRule="exact"/>
              <w:ind w:firstLine="210" w:firstLineChars="1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3</w:t>
            </w:r>
            <w:r>
              <w:rPr>
                <w:rFonts w:hint="eastAsia" w:ascii="宋体" w:hAnsi="宋体"/>
                <w:color w:val="auto"/>
                <w:szCs w:val="21"/>
                <w:highlight w:val="none"/>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w:t>
            </w:r>
            <w:r>
              <w:rPr>
                <w:rFonts w:hint="eastAsia" w:ascii="宋体" w:hAnsi="宋体"/>
                <w:bCs/>
                <w:color w:val="auto"/>
                <w:szCs w:val="21"/>
                <w:highlight w:val="none"/>
              </w:rPr>
              <w:t>监狱企业属于小型、微型企业的，</w:t>
            </w:r>
            <w:r>
              <w:rPr>
                <w:rFonts w:hint="eastAsia" w:ascii="宋体" w:hAnsi="宋体"/>
                <w:color w:val="auto"/>
                <w:szCs w:val="21"/>
                <w:highlight w:val="none"/>
              </w:rPr>
              <w:t>不重复享受政策。</w:t>
            </w:r>
          </w:p>
          <w:p w14:paraId="308EBB22">
            <w:pPr>
              <w:keepNext w:val="0"/>
              <w:keepLines w:val="0"/>
              <w:pageBreakBefore w:val="0"/>
              <w:kinsoku/>
              <w:wordWrap/>
              <w:overflowPunct/>
              <w:topLinePunct w:val="0"/>
              <w:autoSpaceDE/>
              <w:autoSpaceDN/>
              <w:bidi w:val="0"/>
              <w:spacing w:line="400" w:lineRule="exact"/>
              <w:ind w:firstLine="210" w:firstLineChars="100"/>
              <w:rPr>
                <w:rFonts w:ascii="宋体" w:hAnsi="宋体"/>
                <w:color w:val="auto"/>
                <w:szCs w:val="21"/>
                <w:highlight w:val="none"/>
              </w:rPr>
            </w:pPr>
            <w:r>
              <w:rPr>
                <w:rFonts w:hint="eastAsia" w:ascii="宋体" w:hAnsi="宋体"/>
                <w:color w:val="auto"/>
                <w:szCs w:val="21"/>
                <w:highlight w:val="none"/>
              </w:rPr>
              <w:t>（</w:t>
            </w:r>
            <w:r>
              <w:rPr>
                <w:rFonts w:ascii="宋体" w:hAnsi="宋体"/>
                <w:color w:val="auto"/>
                <w:szCs w:val="21"/>
                <w:highlight w:val="none"/>
              </w:rPr>
              <w:t>4</w:t>
            </w:r>
            <w:r>
              <w:rPr>
                <w:rFonts w:hint="eastAsia" w:ascii="宋体" w:hAnsi="宋体"/>
                <w:color w:val="auto"/>
                <w:szCs w:val="21"/>
                <w:highlight w:val="none"/>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3534CB47">
            <w:pPr>
              <w:keepNext w:val="0"/>
              <w:keepLines w:val="0"/>
              <w:pageBreakBefore w:val="0"/>
              <w:kinsoku/>
              <w:wordWrap/>
              <w:overflowPunct/>
              <w:topLinePunct w:val="0"/>
              <w:autoSpaceDE/>
              <w:autoSpaceDN/>
              <w:bidi w:val="0"/>
              <w:spacing w:line="400" w:lineRule="exact"/>
              <w:ind w:firstLine="210" w:firstLineChars="100"/>
              <w:rPr>
                <w:rFonts w:ascii="宋体" w:hAnsi="宋体"/>
                <w:color w:val="auto"/>
                <w:szCs w:val="21"/>
                <w:highlight w:val="none"/>
              </w:rPr>
            </w:pPr>
            <w:r>
              <w:rPr>
                <w:rFonts w:hint="eastAsia" w:ascii="宋体" w:hAnsi="宋体"/>
                <w:color w:val="auto"/>
                <w:szCs w:val="21"/>
                <w:highlight w:val="none"/>
              </w:rPr>
              <w:t>（5）跟踪审计服务以进入比较与评价环节的供应商跟踪审计费最低报价的评审价为基准价，基准价得分为10分；结算审核服务以进入比较与评价环节的（1-最高价格优惠率）为基准价，基准价得分为10分；价格分合计20分。</w:t>
            </w:r>
          </w:p>
          <w:p w14:paraId="5BFF7C0D">
            <w:pPr>
              <w:keepNext w:val="0"/>
              <w:keepLines w:val="0"/>
              <w:pageBreakBefore w:val="0"/>
              <w:kinsoku/>
              <w:wordWrap/>
              <w:overflowPunct/>
              <w:topLinePunct w:val="0"/>
              <w:autoSpaceDE/>
              <w:autoSpaceDN/>
              <w:bidi w:val="0"/>
              <w:spacing w:line="400" w:lineRule="exact"/>
              <w:ind w:firstLine="210" w:firstLineChars="100"/>
              <w:rPr>
                <w:rFonts w:ascii="宋体" w:hAnsi="宋体"/>
                <w:color w:val="auto"/>
                <w:szCs w:val="21"/>
                <w:highlight w:val="none"/>
              </w:rPr>
            </w:pPr>
            <w:r>
              <w:rPr>
                <w:rFonts w:hint="eastAsia" w:ascii="宋体" w:hAnsi="宋体"/>
                <w:color w:val="auto"/>
                <w:szCs w:val="21"/>
                <w:highlight w:val="none"/>
              </w:rPr>
              <w:t>（6）价格分计算公式：</w:t>
            </w:r>
          </w:p>
          <w:p w14:paraId="774DA343">
            <w:pPr>
              <w:keepNext w:val="0"/>
              <w:keepLines w:val="0"/>
              <w:pageBreakBefore w:val="0"/>
              <w:kinsoku/>
              <w:wordWrap/>
              <w:overflowPunct/>
              <w:topLinePunct w:val="0"/>
              <w:autoSpaceDE/>
              <w:autoSpaceDN/>
              <w:bidi w:val="0"/>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①跟踪审计服务报价得分=（供应商最低报价／某供应商最后报价）×10分；</w:t>
            </w:r>
          </w:p>
          <w:p w14:paraId="597DA326">
            <w:pPr>
              <w:keepNext w:val="0"/>
              <w:keepLines w:val="0"/>
              <w:pageBreakBefore w:val="0"/>
              <w:kinsoku/>
              <w:wordWrap/>
              <w:overflowPunct/>
              <w:topLinePunct w:val="0"/>
              <w:autoSpaceDE/>
              <w:autoSpaceDN/>
              <w:bidi w:val="0"/>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②结算审核服务报价得分=（1-供应商最高价格优惠率）／（1-某供应商价格优惠率）×10分。</w:t>
            </w:r>
          </w:p>
          <w:p w14:paraId="0517F4F4">
            <w:pPr>
              <w:keepNext w:val="0"/>
              <w:keepLines w:val="0"/>
              <w:pageBreakBefore w:val="0"/>
              <w:kinsoku/>
              <w:wordWrap/>
              <w:overflowPunct/>
              <w:topLinePunct w:val="0"/>
              <w:autoSpaceDE/>
              <w:autoSpaceDN/>
              <w:bidi w:val="0"/>
              <w:spacing w:line="400" w:lineRule="exact"/>
              <w:ind w:firstLine="210" w:firstLineChars="100"/>
              <w:rPr>
                <w:rFonts w:hAnsi="宋体" w:cs="Courier New"/>
                <w:bCs/>
                <w:color w:val="auto"/>
                <w:highlight w:val="none"/>
              </w:rPr>
            </w:pPr>
            <w:r>
              <w:rPr>
                <w:rFonts w:hint="eastAsia" w:ascii="宋体" w:hAnsi="宋体"/>
                <w:color w:val="auto"/>
                <w:szCs w:val="21"/>
                <w:highlight w:val="none"/>
              </w:rPr>
              <w:t>（7）价格分合计=跟踪审计服务报价得分+结算审核服务报价得分。</w:t>
            </w:r>
          </w:p>
        </w:tc>
        <w:tc>
          <w:tcPr>
            <w:tcW w:w="851" w:type="dxa"/>
            <w:noWrap w:val="0"/>
            <w:vAlign w:val="center"/>
          </w:tcPr>
          <w:p w14:paraId="76BAA33D">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20分</w:t>
            </w:r>
          </w:p>
        </w:tc>
      </w:tr>
      <w:tr w14:paraId="7802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38" w:type="dxa"/>
            <w:noWrap w:val="0"/>
            <w:vAlign w:val="center"/>
          </w:tcPr>
          <w:p w14:paraId="1EB36E97">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bCs/>
                <w:color w:val="auto"/>
                <w:kern w:val="0"/>
                <w:szCs w:val="21"/>
                <w:highlight w:val="none"/>
              </w:rPr>
              <w:t>2</w:t>
            </w:r>
          </w:p>
        </w:tc>
        <w:tc>
          <w:tcPr>
            <w:tcW w:w="1140" w:type="dxa"/>
            <w:noWrap w:val="0"/>
            <w:vAlign w:val="center"/>
          </w:tcPr>
          <w:p w14:paraId="58AF07EE">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bCs/>
                <w:color w:val="auto"/>
                <w:kern w:val="0"/>
                <w:szCs w:val="21"/>
                <w:highlight w:val="none"/>
              </w:rPr>
              <w:t>技术分</w:t>
            </w:r>
          </w:p>
        </w:tc>
        <w:tc>
          <w:tcPr>
            <w:tcW w:w="7312" w:type="dxa"/>
            <w:gridSpan w:val="2"/>
            <w:noWrap w:val="0"/>
            <w:vAlign w:val="top"/>
          </w:tcPr>
          <w:p w14:paraId="23AD2173">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评审因素</w:t>
            </w:r>
          </w:p>
        </w:tc>
      </w:tr>
      <w:tr w14:paraId="32A3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38" w:type="dxa"/>
            <w:noWrap w:val="0"/>
            <w:vAlign w:val="center"/>
          </w:tcPr>
          <w:p w14:paraId="15324140">
            <w:pPr>
              <w:keepNext w:val="0"/>
              <w:keepLines w:val="0"/>
              <w:pageBreakBefore w:val="0"/>
              <w:kinsoku/>
              <w:wordWrap/>
              <w:overflowPunct/>
              <w:topLinePunct w:val="0"/>
              <w:autoSpaceDE/>
              <w:autoSpaceDN/>
              <w:bidi w:val="0"/>
              <w:adjustRightInd w:val="0"/>
              <w:spacing w:line="400" w:lineRule="exact"/>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w:t>
            </w:r>
            <w:r>
              <w:rPr>
                <w:rFonts w:ascii="宋体" w:hAnsi="宋体"/>
                <w:bCs/>
                <w:color w:val="auto"/>
                <w:kern w:val="0"/>
                <w:szCs w:val="21"/>
                <w:highlight w:val="none"/>
              </w:rPr>
              <w:t>.1</w:t>
            </w:r>
          </w:p>
        </w:tc>
        <w:tc>
          <w:tcPr>
            <w:tcW w:w="1140" w:type="dxa"/>
            <w:noWrap w:val="0"/>
            <w:vAlign w:val="center"/>
          </w:tcPr>
          <w:p w14:paraId="510DCA08">
            <w:pPr>
              <w:keepNext w:val="0"/>
              <w:keepLines w:val="0"/>
              <w:pageBreakBefore w:val="0"/>
              <w:kinsoku/>
              <w:wordWrap/>
              <w:overflowPunct/>
              <w:topLinePunct w:val="0"/>
              <w:autoSpaceDE/>
              <w:autoSpaceDN/>
              <w:bidi w:val="0"/>
              <w:adjustRightInd w:val="0"/>
              <w:spacing w:line="400" w:lineRule="exact"/>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服务方案</w:t>
            </w:r>
          </w:p>
        </w:tc>
        <w:tc>
          <w:tcPr>
            <w:tcW w:w="6461" w:type="dxa"/>
            <w:noWrap w:val="0"/>
            <w:vAlign w:val="center"/>
          </w:tcPr>
          <w:p w14:paraId="45A6CC5B">
            <w:pPr>
              <w:keepNext w:val="0"/>
              <w:keepLines w:val="0"/>
              <w:pageBreakBefore w:val="0"/>
              <w:kinsoku/>
              <w:wordWrap/>
              <w:overflowPunct/>
              <w:topLinePunct w:val="0"/>
              <w:autoSpaceDE/>
              <w:autoSpaceDN/>
              <w:bidi w:val="0"/>
              <w:snapToGrid w:val="0"/>
              <w:spacing w:line="400" w:lineRule="exact"/>
              <w:ind w:firstLine="0" w:firstLineChars="0"/>
              <w:rPr>
                <w:rFonts w:ascii="宋体" w:hAnsi="宋体" w:cs="宋体"/>
                <w:bCs/>
                <w:color w:val="auto"/>
                <w:highlight w:val="none"/>
              </w:rPr>
            </w:pPr>
            <w:r>
              <w:rPr>
                <w:rFonts w:hint="eastAsia" w:ascii="宋体" w:hAnsi="宋体"/>
                <w:bCs/>
                <w:color w:val="auto"/>
                <w:highlight w:val="none"/>
              </w:rPr>
              <w:t>评委根据供应商提供的方案优劣情况</w:t>
            </w:r>
            <w:r>
              <w:rPr>
                <w:rFonts w:hint="eastAsia" w:ascii="宋体" w:hAnsi="宋体" w:cs="宋体"/>
                <w:bCs/>
                <w:color w:val="auto"/>
                <w:highlight w:val="none"/>
              </w:rPr>
              <w:t>进行综合评定并在相应档次内独立打分。</w:t>
            </w:r>
          </w:p>
          <w:p w14:paraId="1F848EBD">
            <w:pPr>
              <w:keepNext w:val="0"/>
              <w:keepLines w:val="0"/>
              <w:pageBreakBefore w:val="0"/>
              <w:kinsoku/>
              <w:wordWrap/>
              <w:overflowPunct/>
              <w:topLinePunct w:val="0"/>
              <w:autoSpaceDE/>
              <w:autoSpaceDN/>
              <w:bidi w:val="0"/>
              <w:snapToGrid w:val="0"/>
              <w:spacing w:line="400" w:lineRule="exact"/>
              <w:rPr>
                <w:rFonts w:ascii="宋体" w:hAnsi="宋体" w:cs="宋体"/>
                <w:bCs/>
                <w:color w:val="auto"/>
                <w:highlight w:val="none"/>
              </w:rPr>
            </w:pPr>
            <w:r>
              <w:rPr>
                <w:rFonts w:hint="eastAsia" w:ascii="宋体" w:hAnsi="宋体" w:cs="宋体"/>
                <w:bCs/>
                <w:color w:val="auto"/>
                <w:highlight w:val="none"/>
              </w:rPr>
              <w:t>一档（1</w:t>
            </w:r>
            <w:r>
              <w:rPr>
                <w:rFonts w:ascii="宋体" w:hAnsi="宋体" w:cs="宋体"/>
                <w:bCs/>
                <w:color w:val="auto"/>
                <w:highlight w:val="none"/>
              </w:rPr>
              <w:t>5</w:t>
            </w:r>
            <w:r>
              <w:rPr>
                <w:rFonts w:hint="eastAsia" w:ascii="宋体" w:hAnsi="宋体" w:cs="宋体"/>
                <w:bCs/>
                <w:color w:val="auto"/>
                <w:highlight w:val="none"/>
              </w:rPr>
              <w:t>分）：服务方案具有常规的工作思路、审计目标、审计服务内容，拟投入人员安排仅满足基本要求，服务方案中体现整体项目计划。</w:t>
            </w:r>
          </w:p>
          <w:p w14:paraId="4CB8DE2E">
            <w:pPr>
              <w:keepNext w:val="0"/>
              <w:keepLines w:val="0"/>
              <w:pageBreakBefore w:val="0"/>
              <w:kinsoku/>
              <w:wordWrap/>
              <w:overflowPunct/>
              <w:topLinePunct w:val="0"/>
              <w:autoSpaceDE/>
              <w:autoSpaceDN/>
              <w:bidi w:val="0"/>
              <w:snapToGrid w:val="0"/>
              <w:spacing w:line="400" w:lineRule="exact"/>
              <w:rPr>
                <w:rFonts w:ascii="宋体" w:hAnsi="宋体" w:cs="宋体"/>
                <w:bCs/>
                <w:color w:val="auto"/>
                <w:highlight w:val="none"/>
              </w:rPr>
            </w:pPr>
            <w:r>
              <w:rPr>
                <w:rFonts w:hint="eastAsia" w:ascii="宋体" w:hAnsi="宋体" w:cs="宋体"/>
                <w:bCs/>
                <w:color w:val="auto"/>
                <w:highlight w:val="none"/>
              </w:rPr>
              <w:t>二档（</w:t>
            </w:r>
            <w:r>
              <w:rPr>
                <w:rFonts w:ascii="宋体" w:hAnsi="宋体" w:cs="宋体"/>
                <w:bCs/>
                <w:color w:val="auto"/>
                <w:highlight w:val="none"/>
              </w:rPr>
              <w:t>20</w:t>
            </w:r>
            <w:r>
              <w:rPr>
                <w:rFonts w:hint="eastAsia" w:ascii="宋体" w:hAnsi="宋体" w:cs="宋体"/>
                <w:bCs/>
                <w:color w:val="auto"/>
                <w:highlight w:val="none"/>
              </w:rPr>
              <w:t>分）：具有针对本项目阶段性推进的工作思路，审计目标、审计服务内容明确，拟投入人员整体架构清晰，可以保障每一阶段的工作推进，方案中包含项目工作流程、管理措施、项目质量保证体系、质量目标明确。</w:t>
            </w:r>
          </w:p>
          <w:p w14:paraId="30FB8E56">
            <w:pPr>
              <w:keepNext w:val="0"/>
              <w:keepLines w:val="0"/>
              <w:pageBreakBefore w:val="0"/>
              <w:kinsoku/>
              <w:wordWrap/>
              <w:overflowPunct/>
              <w:topLinePunct w:val="0"/>
              <w:autoSpaceDE/>
              <w:autoSpaceDN/>
              <w:bidi w:val="0"/>
              <w:snapToGrid w:val="0"/>
              <w:spacing w:line="400" w:lineRule="exact"/>
              <w:rPr>
                <w:rFonts w:ascii="宋体" w:hAnsi="宋体" w:cs="宋体"/>
                <w:bCs/>
                <w:color w:val="auto"/>
                <w:highlight w:val="none"/>
              </w:rPr>
            </w:pPr>
            <w:r>
              <w:rPr>
                <w:rFonts w:hint="eastAsia" w:ascii="宋体" w:hAnsi="宋体" w:cs="宋体"/>
                <w:bCs/>
                <w:color w:val="auto"/>
                <w:highlight w:val="none"/>
              </w:rPr>
              <w:t>三档（2</w:t>
            </w:r>
            <w:r>
              <w:rPr>
                <w:rFonts w:ascii="宋体" w:hAnsi="宋体" w:cs="宋体"/>
                <w:bCs/>
                <w:color w:val="auto"/>
                <w:highlight w:val="none"/>
              </w:rPr>
              <w:t>5</w:t>
            </w:r>
            <w:r>
              <w:rPr>
                <w:rFonts w:hint="eastAsia" w:ascii="宋体" w:hAnsi="宋体" w:cs="宋体"/>
                <w:bCs/>
                <w:color w:val="auto"/>
                <w:highlight w:val="none"/>
              </w:rPr>
              <w:t>分）：具有对本项目针对性重点难点分析及解决问题的工作思路，拟投入人员工作内容明确，人员分工、岗位职责明确，人员配备及调动措施符合阶段性推进的工作计划安排，方案表达条理清晰，方案中包含项目工作流程及管理措施、项目质量保证体系、沟通协调机制等内容，管理目标明确并具有相应管理保障措施。</w:t>
            </w:r>
          </w:p>
          <w:p w14:paraId="37401584">
            <w:pPr>
              <w:pStyle w:val="2"/>
              <w:keepNext w:val="0"/>
              <w:keepLines w:val="0"/>
              <w:pageBreakBefore w:val="0"/>
              <w:kinsoku/>
              <w:wordWrap/>
              <w:overflowPunct/>
              <w:topLinePunct w:val="0"/>
              <w:autoSpaceDE/>
              <w:autoSpaceDN/>
              <w:bidi w:val="0"/>
              <w:spacing w:line="400" w:lineRule="exact"/>
              <w:rPr>
                <w:color w:val="auto"/>
                <w:highlight w:val="none"/>
              </w:rPr>
            </w:pPr>
            <w:r>
              <w:rPr>
                <w:rFonts w:hint="eastAsia" w:ascii="宋体" w:hAnsi="宋体" w:cs="宋体"/>
                <w:bCs/>
                <w:color w:val="auto"/>
                <w:kern w:val="2"/>
                <w:sz w:val="21"/>
                <w:highlight w:val="none"/>
              </w:rPr>
              <w:t>注：未提供方案或方案达不到一档要求的得0分。</w:t>
            </w:r>
          </w:p>
        </w:tc>
        <w:tc>
          <w:tcPr>
            <w:tcW w:w="851" w:type="dxa"/>
            <w:noWrap w:val="0"/>
            <w:vAlign w:val="center"/>
          </w:tcPr>
          <w:p w14:paraId="35C2C15A">
            <w:pPr>
              <w:keepNext w:val="0"/>
              <w:keepLines w:val="0"/>
              <w:pageBreakBefore w:val="0"/>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2</w:t>
            </w:r>
            <w:r>
              <w:rPr>
                <w:rFonts w:ascii="宋体" w:hAnsi="宋体" w:cs="Tahoma"/>
                <w:color w:val="auto"/>
                <w:kern w:val="0"/>
                <w:szCs w:val="21"/>
                <w:highlight w:val="none"/>
              </w:rPr>
              <w:t>5</w:t>
            </w:r>
            <w:r>
              <w:rPr>
                <w:rFonts w:hint="eastAsia" w:ascii="宋体" w:hAnsi="宋体" w:cs="Tahoma"/>
                <w:color w:val="auto"/>
                <w:kern w:val="0"/>
                <w:szCs w:val="21"/>
                <w:highlight w:val="none"/>
              </w:rPr>
              <w:t>分</w:t>
            </w:r>
          </w:p>
        </w:tc>
      </w:tr>
      <w:tr w14:paraId="6DFA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638" w:type="dxa"/>
            <w:noWrap w:val="0"/>
            <w:vAlign w:val="center"/>
          </w:tcPr>
          <w:p w14:paraId="6AF5C792">
            <w:pPr>
              <w:keepNext w:val="0"/>
              <w:keepLines w:val="0"/>
              <w:pageBreakBefore w:val="0"/>
              <w:kinsoku/>
              <w:wordWrap/>
              <w:overflowPunct/>
              <w:topLinePunct w:val="0"/>
              <w:autoSpaceDE/>
              <w:autoSpaceDN/>
              <w:bidi w:val="0"/>
              <w:adjustRightInd w:val="0"/>
              <w:spacing w:line="400" w:lineRule="exact"/>
              <w:ind w:left="-105" w:leftChars="-50"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2.2</w:t>
            </w:r>
          </w:p>
        </w:tc>
        <w:tc>
          <w:tcPr>
            <w:tcW w:w="1140" w:type="dxa"/>
            <w:noWrap w:val="0"/>
            <w:vAlign w:val="center"/>
          </w:tcPr>
          <w:p w14:paraId="3C0AB688">
            <w:pPr>
              <w:keepNext w:val="0"/>
              <w:keepLines w:val="0"/>
              <w:pageBreakBefore w:val="0"/>
              <w:kinsoku/>
              <w:wordWrap/>
              <w:overflowPunct/>
              <w:topLinePunct w:val="0"/>
              <w:autoSpaceDE/>
              <w:autoSpaceDN/>
              <w:bidi w:val="0"/>
              <w:adjustRightInd w:val="0"/>
              <w:spacing w:line="400" w:lineRule="exact"/>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审核控制措施</w:t>
            </w:r>
          </w:p>
        </w:tc>
        <w:tc>
          <w:tcPr>
            <w:tcW w:w="6461" w:type="dxa"/>
            <w:noWrap w:val="0"/>
            <w:vAlign w:val="center"/>
          </w:tcPr>
          <w:p w14:paraId="35D4B126">
            <w:pPr>
              <w:keepNext w:val="0"/>
              <w:keepLines w:val="0"/>
              <w:pageBreakBefore w:val="0"/>
              <w:kinsoku/>
              <w:wordWrap/>
              <w:overflowPunct/>
              <w:topLinePunct w:val="0"/>
              <w:autoSpaceDE/>
              <w:autoSpaceDN/>
              <w:bidi w:val="0"/>
              <w:spacing w:line="400" w:lineRule="exact"/>
              <w:ind w:firstLine="0" w:firstLineChars="0"/>
              <w:rPr>
                <w:rFonts w:ascii="宋体" w:hAnsi="宋体" w:cs="宋体"/>
                <w:bCs/>
                <w:color w:val="auto"/>
                <w:highlight w:val="none"/>
              </w:rPr>
            </w:pPr>
            <w:r>
              <w:rPr>
                <w:rFonts w:hint="eastAsia" w:ascii="宋体" w:hAnsi="宋体"/>
                <w:bCs/>
                <w:color w:val="auto"/>
                <w:highlight w:val="none"/>
              </w:rPr>
              <w:t>评委根据供应商提供的措施优劣情况</w:t>
            </w:r>
            <w:r>
              <w:rPr>
                <w:rFonts w:hint="eastAsia" w:ascii="宋体" w:hAnsi="宋体" w:cs="宋体"/>
                <w:bCs/>
                <w:color w:val="auto"/>
                <w:highlight w:val="none"/>
              </w:rPr>
              <w:t>进行综合评定并在相应档次内独立打分。</w:t>
            </w:r>
          </w:p>
          <w:p w14:paraId="183C60CC">
            <w:pPr>
              <w:keepNext w:val="0"/>
              <w:keepLines w:val="0"/>
              <w:pageBreakBefore w:val="0"/>
              <w:kinsoku/>
              <w:wordWrap/>
              <w:overflowPunct/>
              <w:topLinePunct w:val="0"/>
              <w:autoSpaceDE/>
              <w:autoSpaceDN/>
              <w:bidi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一档（</w:t>
            </w:r>
            <w:r>
              <w:rPr>
                <w:rFonts w:ascii="宋体" w:hAnsi="宋体" w:cs="宋体"/>
                <w:bCs/>
                <w:color w:val="auto"/>
                <w:szCs w:val="21"/>
                <w:highlight w:val="none"/>
              </w:rPr>
              <w:t>10</w:t>
            </w:r>
            <w:r>
              <w:rPr>
                <w:rFonts w:hint="eastAsia" w:ascii="宋体" w:hAnsi="宋体" w:cs="宋体"/>
                <w:bCs/>
                <w:color w:val="auto"/>
                <w:szCs w:val="21"/>
                <w:highlight w:val="none"/>
              </w:rPr>
              <w:t>分）：对实施阶段可能导致费用大幅增加的关键分部分项工程、其他工程、成本增长点缺少预见性，费用控制措施简单，仅能保障项目服务的基本要求。</w:t>
            </w:r>
          </w:p>
          <w:p w14:paraId="4E51857F">
            <w:pPr>
              <w:keepNext w:val="0"/>
              <w:keepLines w:val="0"/>
              <w:pageBreakBefore w:val="0"/>
              <w:kinsoku/>
              <w:wordWrap/>
              <w:overflowPunct/>
              <w:topLinePunct w:val="0"/>
              <w:autoSpaceDE/>
              <w:autoSpaceDN/>
              <w:bidi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二档（15分）：对实施阶段可能导致费用大幅增加的关键分部分项工程、其他工程、成本增长点有预见性分析，能提出针对性费用控制措施，能够列明项目实施过程中需要进行沟通协调的各方主体，建立沟通工作制度。</w:t>
            </w:r>
          </w:p>
          <w:p w14:paraId="34CE7153">
            <w:pPr>
              <w:keepNext w:val="0"/>
              <w:keepLines w:val="0"/>
              <w:pageBreakBefore w:val="0"/>
              <w:kinsoku/>
              <w:wordWrap/>
              <w:overflowPunct/>
              <w:topLinePunct w:val="0"/>
              <w:autoSpaceDE/>
              <w:autoSpaceDN/>
              <w:bidi w:val="0"/>
              <w:snapToGrid w:val="0"/>
              <w:spacing w:line="400" w:lineRule="exact"/>
              <w:rPr>
                <w:rFonts w:ascii="宋体" w:hAnsi="宋体" w:cs="宋体"/>
                <w:bCs/>
                <w:color w:val="auto"/>
                <w:szCs w:val="21"/>
                <w:highlight w:val="none"/>
              </w:rPr>
            </w:pPr>
            <w:r>
              <w:rPr>
                <w:rFonts w:hint="eastAsia" w:ascii="宋体" w:hAnsi="宋体" w:cs="宋体"/>
                <w:bCs/>
                <w:color w:val="auto"/>
                <w:szCs w:val="21"/>
                <w:highlight w:val="none"/>
              </w:rPr>
              <w:t>三档（</w:t>
            </w:r>
            <w:r>
              <w:rPr>
                <w:rFonts w:ascii="宋体" w:hAnsi="宋体" w:cs="宋体"/>
                <w:bCs/>
                <w:color w:val="auto"/>
                <w:szCs w:val="21"/>
                <w:highlight w:val="none"/>
              </w:rPr>
              <w:t>20</w:t>
            </w:r>
            <w:r>
              <w:rPr>
                <w:rFonts w:hint="eastAsia" w:ascii="宋体" w:hAnsi="宋体" w:cs="宋体"/>
                <w:bCs/>
                <w:color w:val="auto"/>
                <w:szCs w:val="21"/>
                <w:highlight w:val="none"/>
              </w:rPr>
              <w:t>分）：对实施阶段可能导致费用大幅增加的关键分部分项工程、其他工程、成本增长点等内容有预见性分析，能够详细列明项目实施过程、不同实施阶段中需要进行沟通协调的各方主体，且能够列表说明与各方主体需要沟通的各类事项，建立对内对外沟通协调机制，有具体的</w:t>
            </w:r>
            <w:r>
              <w:rPr>
                <w:rFonts w:hint="eastAsia" w:ascii="宋体" w:hAnsi="宋体" w:cs="宋体"/>
                <w:bCs/>
                <w:color w:val="auto"/>
                <w:kern w:val="0"/>
                <w:szCs w:val="21"/>
                <w:highlight w:val="none"/>
              </w:rPr>
              <w:t>内部管理工作制度，</w:t>
            </w:r>
            <w:r>
              <w:rPr>
                <w:rFonts w:hint="eastAsia" w:hAnsi="宋体" w:cs="Courier New"/>
                <w:bCs/>
                <w:color w:val="auto"/>
                <w:highlight w:val="none"/>
              </w:rPr>
              <w:t>多级审核制度保障服务成果质量</w:t>
            </w:r>
            <w:r>
              <w:rPr>
                <w:rFonts w:hint="eastAsia" w:ascii="宋体" w:hAnsi="宋体" w:cs="宋体"/>
                <w:bCs/>
                <w:color w:val="auto"/>
                <w:szCs w:val="21"/>
                <w:highlight w:val="none"/>
              </w:rPr>
              <w:t>。</w:t>
            </w:r>
          </w:p>
          <w:p w14:paraId="1BB260CA">
            <w:pPr>
              <w:pStyle w:val="2"/>
              <w:keepNext w:val="0"/>
              <w:keepLines w:val="0"/>
              <w:pageBreakBefore w:val="0"/>
              <w:kinsoku/>
              <w:wordWrap/>
              <w:overflowPunct/>
              <w:topLinePunct w:val="0"/>
              <w:autoSpaceDE/>
              <w:autoSpaceDN/>
              <w:bidi w:val="0"/>
              <w:spacing w:line="400" w:lineRule="exact"/>
              <w:rPr>
                <w:color w:val="auto"/>
                <w:highlight w:val="none"/>
              </w:rPr>
            </w:pPr>
            <w:r>
              <w:rPr>
                <w:rFonts w:hint="eastAsia" w:ascii="宋体" w:hAnsi="宋体" w:cs="宋体"/>
                <w:bCs/>
                <w:color w:val="auto"/>
                <w:kern w:val="2"/>
                <w:sz w:val="21"/>
                <w:highlight w:val="none"/>
              </w:rPr>
              <w:t>注：未提供方案或方案达不到一档要求的得0分。</w:t>
            </w:r>
          </w:p>
        </w:tc>
        <w:tc>
          <w:tcPr>
            <w:tcW w:w="851" w:type="dxa"/>
            <w:noWrap w:val="0"/>
            <w:vAlign w:val="center"/>
          </w:tcPr>
          <w:p w14:paraId="06EC0684">
            <w:pPr>
              <w:keepNext w:val="0"/>
              <w:keepLines w:val="0"/>
              <w:pageBreakBefore w:val="0"/>
              <w:kinsoku/>
              <w:wordWrap/>
              <w:overflowPunct/>
              <w:topLinePunct w:val="0"/>
              <w:autoSpaceDE/>
              <w:autoSpaceDN/>
              <w:bidi w:val="0"/>
              <w:spacing w:line="400" w:lineRule="exact"/>
              <w:jc w:val="center"/>
              <w:rPr>
                <w:rFonts w:ascii="宋体" w:hAnsi="宋体" w:cs="Tahoma"/>
                <w:color w:val="auto"/>
                <w:kern w:val="0"/>
                <w:szCs w:val="21"/>
                <w:highlight w:val="none"/>
              </w:rPr>
            </w:pPr>
            <w:r>
              <w:rPr>
                <w:rFonts w:ascii="宋体" w:hAnsi="宋体" w:cs="Tahoma"/>
                <w:color w:val="auto"/>
                <w:kern w:val="0"/>
                <w:szCs w:val="21"/>
                <w:highlight w:val="none"/>
              </w:rPr>
              <w:t>20</w:t>
            </w:r>
          </w:p>
        </w:tc>
      </w:tr>
      <w:tr w14:paraId="085D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38" w:type="dxa"/>
            <w:noWrap w:val="0"/>
            <w:vAlign w:val="center"/>
          </w:tcPr>
          <w:p w14:paraId="1DB1465E">
            <w:pPr>
              <w:keepNext w:val="0"/>
              <w:keepLines w:val="0"/>
              <w:pageBreakBefore w:val="0"/>
              <w:kinsoku/>
              <w:wordWrap/>
              <w:overflowPunct/>
              <w:topLinePunct w:val="0"/>
              <w:autoSpaceDE/>
              <w:autoSpaceDN/>
              <w:bidi w:val="0"/>
              <w:adjustRightInd w:val="0"/>
              <w:spacing w:line="400" w:lineRule="exact"/>
              <w:ind w:left="-105" w:leftChars="-50" w:right="-105" w:rightChars="-50"/>
              <w:jc w:val="center"/>
              <w:textAlignment w:val="baseline"/>
              <w:rPr>
                <w:rFonts w:ascii="宋体" w:hAnsi="宋体"/>
                <w:bCs/>
                <w:color w:val="auto"/>
                <w:kern w:val="0"/>
                <w:szCs w:val="21"/>
                <w:highlight w:val="none"/>
              </w:rPr>
            </w:pPr>
            <w:r>
              <w:rPr>
                <w:rFonts w:ascii="宋体" w:hAnsi="宋体"/>
                <w:bCs/>
                <w:color w:val="auto"/>
                <w:kern w:val="0"/>
                <w:szCs w:val="21"/>
                <w:highlight w:val="none"/>
              </w:rPr>
              <w:t>2.</w:t>
            </w:r>
            <w:r>
              <w:rPr>
                <w:rFonts w:hint="eastAsia" w:ascii="宋体" w:hAnsi="宋体"/>
                <w:bCs/>
                <w:color w:val="auto"/>
                <w:kern w:val="0"/>
                <w:szCs w:val="21"/>
                <w:highlight w:val="none"/>
              </w:rPr>
              <w:t>3</w:t>
            </w:r>
          </w:p>
        </w:tc>
        <w:tc>
          <w:tcPr>
            <w:tcW w:w="1140" w:type="dxa"/>
            <w:noWrap w:val="0"/>
            <w:vAlign w:val="center"/>
          </w:tcPr>
          <w:p w14:paraId="0CC70E9E">
            <w:pPr>
              <w:keepNext w:val="0"/>
              <w:keepLines w:val="0"/>
              <w:pageBreakBefore w:val="0"/>
              <w:kinsoku/>
              <w:wordWrap/>
              <w:overflowPunct/>
              <w:topLinePunct w:val="0"/>
              <w:autoSpaceDE/>
              <w:autoSpaceDN/>
              <w:bidi w:val="0"/>
              <w:adjustRightInd w:val="0"/>
              <w:spacing w:line="400" w:lineRule="exact"/>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风险防范和控制方案</w:t>
            </w:r>
          </w:p>
        </w:tc>
        <w:tc>
          <w:tcPr>
            <w:tcW w:w="6461" w:type="dxa"/>
            <w:noWrap w:val="0"/>
            <w:vAlign w:val="center"/>
          </w:tcPr>
          <w:p w14:paraId="72BC1D6B">
            <w:pPr>
              <w:pStyle w:val="21"/>
              <w:keepNext w:val="0"/>
              <w:keepLines w:val="0"/>
              <w:pageBreakBefore w:val="0"/>
              <w:kinsoku/>
              <w:wordWrap/>
              <w:overflowPunct/>
              <w:topLinePunct w:val="0"/>
              <w:autoSpaceDE/>
              <w:autoSpaceDN/>
              <w:bidi w:val="0"/>
              <w:spacing w:line="400" w:lineRule="exact"/>
              <w:ind w:firstLine="0" w:firstLineChars="0"/>
              <w:rPr>
                <w:rFonts w:hint="eastAsia" w:hAnsi="宋体" w:cs="Courier New"/>
                <w:bCs/>
                <w:color w:val="auto"/>
                <w:kern w:val="2"/>
                <w:sz w:val="21"/>
                <w:highlight w:val="none"/>
              </w:rPr>
            </w:pPr>
            <w:r>
              <w:rPr>
                <w:rFonts w:hint="eastAsia" w:hAnsi="宋体" w:cs="Courier New"/>
                <w:bCs/>
                <w:color w:val="auto"/>
                <w:kern w:val="2"/>
                <w:sz w:val="21"/>
                <w:highlight w:val="none"/>
              </w:rPr>
              <w:t>评委根据供应商提供的方案优劣情况进行综合评定并在相应档次内独立打分。</w:t>
            </w:r>
          </w:p>
          <w:p w14:paraId="316E4327">
            <w:pPr>
              <w:pStyle w:val="21"/>
              <w:keepNext w:val="0"/>
              <w:keepLines w:val="0"/>
              <w:pageBreakBefore w:val="0"/>
              <w:kinsoku/>
              <w:wordWrap/>
              <w:overflowPunct/>
              <w:topLinePunct w:val="0"/>
              <w:autoSpaceDE/>
              <w:autoSpaceDN/>
              <w:bidi w:val="0"/>
              <w:spacing w:line="400" w:lineRule="exact"/>
              <w:rPr>
                <w:rFonts w:hAnsi="宋体" w:cs="Courier New"/>
                <w:bCs/>
                <w:color w:val="auto"/>
                <w:kern w:val="2"/>
                <w:sz w:val="21"/>
                <w:highlight w:val="none"/>
              </w:rPr>
            </w:pPr>
            <w:r>
              <w:rPr>
                <w:rFonts w:hint="eastAsia" w:hAnsi="宋体" w:cs="Courier New"/>
                <w:bCs/>
                <w:color w:val="auto"/>
                <w:kern w:val="2"/>
                <w:sz w:val="21"/>
                <w:highlight w:val="none"/>
              </w:rPr>
              <w:t>一档（5分）：方案包含项目风险防范和控制保障措施，仅满足本项目的基本需要。</w:t>
            </w:r>
          </w:p>
          <w:p w14:paraId="1B9D3688">
            <w:pPr>
              <w:pStyle w:val="21"/>
              <w:keepNext w:val="0"/>
              <w:keepLines w:val="0"/>
              <w:pageBreakBefore w:val="0"/>
              <w:kinsoku/>
              <w:wordWrap/>
              <w:overflowPunct/>
              <w:topLinePunct w:val="0"/>
              <w:autoSpaceDE/>
              <w:autoSpaceDN/>
              <w:bidi w:val="0"/>
              <w:spacing w:line="400" w:lineRule="exact"/>
              <w:rPr>
                <w:rFonts w:hAnsi="宋体" w:cs="Courier New"/>
                <w:bCs/>
                <w:color w:val="auto"/>
                <w:kern w:val="2"/>
                <w:sz w:val="21"/>
                <w:highlight w:val="none"/>
              </w:rPr>
            </w:pPr>
            <w:r>
              <w:rPr>
                <w:rFonts w:hint="eastAsia" w:hAnsi="宋体" w:cs="Courier New"/>
                <w:bCs/>
                <w:color w:val="auto"/>
                <w:kern w:val="2"/>
                <w:sz w:val="21"/>
                <w:highlight w:val="none"/>
              </w:rPr>
              <w:t>二档（10分）：方案包含有项目风险防范和控制保障措施、保密承诺及廉洁承诺等，针对本项目可能出现影响进度的问题有具体分析，满足本项目的审计工作需要。</w:t>
            </w:r>
          </w:p>
          <w:p w14:paraId="318FF1B1">
            <w:pPr>
              <w:pStyle w:val="21"/>
              <w:keepNext w:val="0"/>
              <w:keepLines w:val="0"/>
              <w:pageBreakBefore w:val="0"/>
              <w:kinsoku/>
              <w:wordWrap/>
              <w:overflowPunct/>
              <w:topLinePunct w:val="0"/>
              <w:autoSpaceDE/>
              <w:autoSpaceDN/>
              <w:bidi w:val="0"/>
              <w:spacing w:line="400" w:lineRule="exact"/>
              <w:rPr>
                <w:rFonts w:hAnsi="宋体" w:cs="Courier New"/>
                <w:bCs/>
                <w:color w:val="auto"/>
                <w:kern w:val="2"/>
                <w:sz w:val="21"/>
                <w:highlight w:val="none"/>
              </w:rPr>
            </w:pPr>
            <w:r>
              <w:rPr>
                <w:rFonts w:hint="eastAsia" w:hAnsi="宋体" w:cs="Courier New"/>
                <w:bCs/>
                <w:color w:val="auto"/>
                <w:kern w:val="2"/>
                <w:sz w:val="21"/>
                <w:highlight w:val="none"/>
              </w:rPr>
              <w:t>三档（15分）：方案包含有项目风险防范和控制保障措施、保密承诺、廉洁承诺、时限承诺、误差率承诺等，具有可行性，针对本项目可能出现影响项目进度的问题有具体分析且阐述对应的应急保障措施以及实现方式，并匹配措施实施的联系人、技术人员名单等资料详细，能保证按时按质按量完成本项目所有服务工作。</w:t>
            </w:r>
          </w:p>
          <w:p w14:paraId="68D4562D">
            <w:pPr>
              <w:pStyle w:val="21"/>
              <w:keepNext w:val="0"/>
              <w:keepLines w:val="0"/>
              <w:pageBreakBefore w:val="0"/>
              <w:kinsoku/>
              <w:wordWrap/>
              <w:overflowPunct/>
              <w:topLinePunct w:val="0"/>
              <w:autoSpaceDE/>
              <w:autoSpaceDN/>
              <w:bidi w:val="0"/>
              <w:spacing w:line="400" w:lineRule="exact"/>
              <w:rPr>
                <w:rFonts w:hAnsi="宋体" w:cs="Courier New"/>
                <w:bCs/>
                <w:color w:val="auto"/>
                <w:kern w:val="2"/>
                <w:sz w:val="21"/>
                <w:highlight w:val="none"/>
              </w:rPr>
            </w:pPr>
            <w:r>
              <w:rPr>
                <w:rFonts w:hint="eastAsia" w:hAnsi="宋体" w:cs="Courier New"/>
                <w:bCs/>
                <w:color w:val="auto"/>
                <w:kern w:val="2"/>
                <w:sz w:val="21"/>
                <w:highlight w:val="none"/>
              </w:rPr>
              <w:t>注：未提供方案或方案达不到一档要求的得0分。</w:t>
            </w:r>
          </w:p>
        </w:tc>
        <w:tc>
          <w:tcPr>
            <w:tcW w:w="851" w:type="dxa"/>
            <w:noWrap w:val="0"/>
            <w:vAlign w:val="center"/>
          </w:tcPr>
          <w:p w14:paraId="52F9BCCD">
            <w:pPr>
              <w:keepNext w:val="0"/>
              <w:keepLines w:val="0"/>
              <w:pageBreakBefore w:val="0"/>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15分</w:t>
            </w:r>
          </w:p>
        </w:tc>
      </w:tr>
      <w:tr w14:paraId="16B1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4" w:hRule="atLeast"/>
          <w:jc w:val="center"/>
        </w:trPr>
        <w:tc>
          <w:tcPr>
            <w:tcW w:w="638" w:type="dxa"/>
            <w:noWrap w:val="0"/>
            <w:vAlign w:val="center"/>
          </w:tcPr>
          <w:p w14:paraId="6B91EE9A">
            <w:pPr>
              <w:keepNext w:val="0"/>
              <w:keepLines w:val="0"/>
              <w:pageBreakBefore w:val="0"/>
              <w:kinsoku/>
              <w:wordWrap/>
              <w:overflowPunct/>
              <w:topLinePunct w:val="0"/>
              <w:autoSpaceDE/>
              <w:autoSpaceDN/>
              <w:bidi w:val="0"/>
              <w:adjustRightInd w:val="0"/>
              <w:spacing w:line="400" w:lineRule="exact"/>
              <w:ind w:left="-105" w:leftChars="-50" w:right="-105" w:rightChars="-50"/>
              <w:jc w:val="center"/>
              <w:textAlignment w:val="baseline"/>
              <w:rPr>
                <w:rFonts w:ascii="宋体" w:hAnsi="宋体"/>
                <w:bCs/>
                <w:color w:val="auto"/>
                <w:kern w:val="0"/>
                <w:szCs w:val="21"/>
                <w:highlight w:val="none"/>
              </w:rPr>
            </w:pPr>
            <w:r>
              <w:rPr>
                <w:rFonts w:ascii="宋体" w:hAnsi="宋体"/>
                <w:bCs/>
                <w:color w:val="auto"/>
                <w:kern w:val="0"/>
                <w:szCs w:val="21"/>
                <w:highlight w:val="none"/>
              </w:rPr>
              <w:t>2.4</w:t>
            </w:r>
          </w:p>
        </w:tc>
        <w:tc>
          <w:tcPr>
            <w:tcW w:w="1140" w:type="dxa"/>
            <w:noWrap w:val="0"/>
            <w:vAlign w:val="center"/>
          </w:tcPr>
          <w:p w14:paraId="5ECF827C">
            <w:pPr>
              <w:keepNext w:val="0"/>
              <w:keepLines w:val="0"/>
              <w:pageBreakBefore w:val="0"/>
              <w:kinsoku/>
              <w:wordWrap/>
              <w:overflowPunct/>
              <w:topLinePunct w:val="0"/>
              <w:autoSpaceDE/>
              <w:autoSpaceDN/>
              <w:bidi w:val="0"/>
              <w:spacing w:line="400" w:lineRule="exact"/>
              <w:jc w:val="center"/>
              <w:rPr>
                <w:rFonts w:ascii="宋体" w:hAnsi="宋体"/>
                <w:bCs/>
                <w:color w:val="auto"/>
                <w:szCs w:val="21"/>
                <w:highlight w:val="none"/>
              </w:rPr>
            </w:pPr>
            <w:r>
              <w:rPr>
                <w:rFonts w:hint="eastAsia" w:ascii="宋体" w:hAnsi="宋体"/>
                <w:bCs/>
                <w:color w:val="auto"/>
                <w:szCs w:val="21"/>
                <w:highlight w:val="none"/>
              </w:rPr>
              <w:t>人员配备</w:t>
            </w:r>
          </w:p>
        </w:tc>
        <w:tc>
          <w:tcPr>
            <w:tcW w:w="6461" w:type="dxa"/>
            <w:noWrap w:val="0"/>
            <w:vAlign w:val="top"/>
          </w:tcPr>
          <w:p w14:paraId="53C18761">
            <w:pPr>
              <w:pStyle w:val="12"/>
              <w:spacing w:line="400" w:lineRule="exact"/>
              <w:ind w:firstLine="0" w:firstLineChars="0"/>
              <w:rPr>
                <w:rFonts w:ascii="宋体" w:hAnsi="宋体"/>
                <w:color w:val="auto"/>
                <w:highlight w:val="none"/>
              </w:rPr>
            </w:pPr>
            <w:r>
              <w:rPr>
                <w:rFonts w:hint="eastAsia" w:ascii="宋体" w:hAnsi="宋体"/>
                <w:color w:val="auto"/>
                <w:highlight w:val="none"/>
              </w:rPr>
              <w:t>供应商拟投入本项目的人员中（除项目负责人及专业负责人外）：</w:t>
            </w:r>
          </w:p>
          <w:p w14:paraId="3960F114">
            <w:pPr>
              <w:pStyle w:val="12"/>
              <w:spacing w:line="400" w:lineRule="exact"/>
              <w:ind w:firstLine="0" w:firstLineChars="0"/>
              <w:jc w:val="both"/>
              <w:rPr>
                <w:rFonts w:ascii="宋体" w:hAnsi="宋体"/>
                <w:color w:val="auto"/>
                <w:highlight w:val="none"/>
              </w:rPr>
            </w:pPr>
            <w:r>
              <w:rPr>
                <w:rFonts w:hint="eastAsia" w:ascii="宋体" w:hAnsi="宋体"/>
                <w:color w:val="auto"/>
                <w:highlight w:val="none"/>
              </w:rPr>
              <w:t>（1）取得全国一级注册造价师资格（土建或</w:t>
            </w:r>
            <w:r>
              <w:rPr>
                <w:rFonts w:ascii="宋体" w:hAnsi="宋体"/>
                <w:color w:val="auto"/>
                <w:highlight w:val="none"/>
              </w:rPr>
              <w:t>安装专业</w:t>
            </w:r>
            <w:r>
              <w:rPr>
                <w:rFonts w:hint="eastAsia" w:ascii="宋体" w:hAnsi="宋体"/>
                <w:color w:val="auto"/>
                <w:highlight w:val="none"/>
              </w:rPr>
              <w:t>），每有一人得2分，同时具有副高级（含）以上职称的加1分；同时具有中级职称的加0.5分。</w:t>
            </w:r>
          </w:p>
          <w:p w14:paraId="24A9427E">
            <w:pPr>
              <w:pStyle w:val="12"/>
              <w:spacing w:line="400" w:lineRule="exact"/>
              <w:ind w:firstLine="0" w:firstLineChars="0"/>
              <w:jc w:val="both"/>
              <w:rPr>
                <w:rFonts w:hint="eastAsia" w:ascii="宋体" w:hAnsi="宋体"/>
                <w:color w:val="auto"/>
                <w:highlight w:val="none"/>
              </w:rPr>
            </w:pPr>
            <w:r>
              <w:rPr>
                <w:rFonts w:hint="eastAsia" w:ascii="宋体" w:hAnsi="宋体"/>
                <w:color w:val="auto"/>
                <w:highlight w:val="none"/>
              </w:rPr>
              <w:t>（2）取得全国二级注册造价师资格（土建或安装</w:t>
            </w:r>
            <w:r>
              <w:rPr>
                <w:rFonts w:ascii="宋体" w:hAnsi="宋体"/>
                <w:color w:val="auto"/>
                <w:highlight w:val="none"/>
              </w:rPr>
              <w:t>专业</w:t>
            </w:r>
            <w:r>
              <w:rPr>
                <w:rFonts w:hint="eastAsia" w:ascii="宋体" w:hAnsi="宋体"/>
                <w:color w:val="auto"/>
                <w:highlight w:val="none"/>
              </w:rPr>
              <w:t>），每有一人得1分，同时具有副高级（含）以上职称的加1分；同时具有中级职称的加0.5分。</w:t>
            </w:r>
          </w:p>
          <w:p w14:paraId="63F42CA1">
            <w:pPr>
              <w:pStyle w:val="12"/>
              <w:spacing w:line="400" w:lineRule="exact"/>
              <w:ind w:firstLine="422" w:firstLineChars="200"/>
              <w:rPr>
                <w:rFonts w:ascii="宋体" w:hAnsi="宋体"/>
                <w:bCs/>
                <w:color w:val="auto"/>
                <w:szCs w:val="21"/>
                <w:highlight w:val="none"/>
              </w:rPr>
            </w:pPr>
            <w:r>
              <w:rPr>
                <w:rFonts w:hint="eastAsia" w:ascii="宋体" w:hAnsi="宋体" w:eastAsia="宋体" w:cs="Times New Roman"/>
                <w:b/>
                <w:bCs/>
                <w:color w:val="auto"/>
                <w:szCs w:val="21"/>
                <w:highlight w:val="none"/>
              </w:rPr>
              <w:t>注：以上二项合计最高10分。须同时提供拟投入人员相关资格证书、注册证书（聘用单位须为投标供应商）、职称证书以及供应商与拟投入人员签订的劳动合同扫描件（如为退休人员需提供退休返聘证明），须加盖供应商公章；拟投入人员资格证书、职称证书为同一人的，按其可满足的最高等级计分项只计一次分，不重复计分。</w:t>
            </w:r>
          </w:p>
        </w:tc>
        <w:tc>
          <w:tcPr>
            <w:tcW w:w="851" w:type="dxa"/>
            <w:noWrap w:val="0"/>
            <w:vAlign w:val="center"/>
          </w:tcPr>
          <w:p w14:paraId="612D0204">
            <w:pPr>
              <w:keepNext w:val="0"/>
              <w:keepLines w:val="0"/>
              <w:pageBreakBefore w:val="0"/>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10分</w:t>
            </w:r>
          </w:p>
        </w:tc>
      </w:tr>
      <w:tr w14:paraId="6B778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noWrap w:val="0"/>
            <w:vAlign w:val="center"/>
          </w:tcPr>
          <w:p w14:paraId="6F930235">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3</w:t>
            </w:r>
          </w:p>
        </w:tc>
        <w:tc>
          <w:tcPr>
            <w:tcW w:w="1140" w:type="dxa"/>
            <w:noWrap w:val="0"/>
            <w:vAlign w:val="center"/>
          </w:tcPr>
          <w:p w14:paraId="6A0FDD0F">
            <w:pPr>
              <w:keepNext w:val="0"/>
              <w:keepLines w:val="0"/>
              <w:pageBreakBefore w:val="0"/>
              <w:widowControl/>
              <w:kinsoku/>
              <w:wordWrap/>
              <w:overflowPunct/>
              <w:topLinePunct w:val="0"/>
              <w:autoSpaceDE/>
              <w:autoSpaceDN/>
              <w:bidi w:val="0"/>
              <w:spacing w:line="400" w:lineRule="exact"/>
              <w:jc w:val="center"/>
              <w:rPr>
                <w:rFonts w:ascii="宋体" w:hAnsi="宋体" w:cs="Courier New"/>
                <w:bCs/>
                <w:color w:val="auto"/>
                <w:szCs w:val="21"/>
                <w:highlight w:val="none"/>
              </w:rPr>
            </w:pPr>
            <w:r>
              <w:rPr>
                <w:rFonts w:hint="eastAsia" w:ascii="宋体" w:hAnsi="宋体" w:cs="Courier New"/>
                <w:bCs/>
                <w:color w:val="auto"/>
                <w:szCs w:val="21"/>
                <w:highlight w:val="none"/>
              </w:rPr>
              <w:t>商务分</w:t>
            </w:r>
          </w:p>
        </w:tc>
        <w:tc>
          <w:tcPr>
            <w:tcW w:w="7312" w:type="dxa"/>
            <w:gridSpan w:val="2"/>
            <w:noWrap w:val="0"/>
            <w:vAlign w:val="center"/>
          </w:tcPr>
          <w:p w14:paraId="189E9D6B">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评审因素</w:t>
            </w:r>
          </w:p>
        </w:tc>
      </w:tr>
      <w:tr w14:paraId="17B6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38" w:type="dxa"/>
            <w:noWrap w:val="0"/>
            <w:vAlign w:val="center"/>
          </w:tcPr>
          <w:p w14:paraId="3218CA15">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3.</w:t>
            </w:r>
            <w:r>
              <w:rPr>
                <w:rFonts w:ascii="宋体" w:hAnsi="宋体" w:cs="Tahoma"/>
                <w:color w:val="auto"/>
                <w:kern w:val="0"/>
                <w:szCs w:val="21"/>
                <w:highlight w:val="none"/>
              </w:rPr>
              <w:t>1</w:t>
            </w:r>
          </w:p>
        </w:tc>
        <w:tc>
          <w:tcPr>
            <w:tcW w:w="1140" w:type="dxa"/>
            <w:noWrap w:val="0"/>
            <w:vAlign w:val="center"/>
          </w:tcPr>
          <w:p w14:paraId="2093EBEA">
            <w:pPr>
              <w:keepNext w:val="0"/>
              <w:keepLines w:val="0"/>
              <w:pageBreakBefore w:val="0"/>
              <w:widowControl/>
              <w:kinsoku/>
              <w:wordWrap/>
              <w:overflowPunct/>
              <w:topLinePunct w:val="0"/>
              <w:autoSpaceDE/>
              <w:autoSpaceDN/>
              <w:bidi w:val="0"/>
              <w:spacing w:line="400" w:lineRule="exact"/>
              <w:jc w:val="center"/>
              <w:rPr>
                <w:rFonts w:ascii="宋体" w:hAnsi="宋体" w:cs="Courier New"/>
                <w:bCs/>
                <w:color w:val="auto"/>
                <w:szCs w:val="21"/>
                <w:highlight w:val="none"/>
              </w:rPr>
            </w:pPr>
            <w:r>
              <w:rPr>
                <w:rFonts w:hint="eastAsia" w:ascii="宋体" w:hAnsi="宋体" w:cs="Courier New"/>
                <w:bCs/>
                <w:color w:val="auto"/>
                <w:szCs w:val="21"/>
                <w:highlight w:val="none"/>
              </w:rPr>
              <w:t>项目业绩分</w:t>
            </w:r>
          </w:p>
        </w:tc>
        <w:tc>
          <w:tcPr>
            <w:tcW w:w="6461" w:type="dxa"/>
            <w:noWrap w:val="0"/>
            <w:vAlign w:val="top"/>
          </w:tcPr>
          <w:p w14:paraId="24F5CA5D">
            <w:pPr>
              <w:keepNext w:val="0"/>
              <w:keepLines w:val="0"/>
              <w:pageBreakBefore w:val="0"/>
              <w:widowControl w:val="0"/>
              <w:kinsoku/>
              <w:wordWrap/>
              <w:overflowPunct/>
              <w:topLinePunct w:val="0"/>
              <w:autoSpaceDE/>
              <w:autoSpaceDN/>
              <w:bidi w:val="0"/>
              <w:adjustRightInd/>
              <w:snapToGrid w:val="0"/>
              <w:spacing w:line="400" w:lineRule="exact"/>
              <w:ind w:firstLine="0" w:firstLineChars="0"/>
              <w:jc w:val="left"/>
              <w:textAlignment w:val="auto"/>
              <w:rPr>
                <w:rFonts w:ascii="宋体" w:hAnsi="宋体"/>
                <w:color w:val="auto"/>
                <w:szCs w:val="21"/>
                <w:highlight w:val="none"/>
              </w:rPr>
            </w:pPr>
            <w:r>
              <w:rPr>
                <w:rFonts w:hint="eastAsia" w:ascii="宋体" w:hAnsi="宋体"/>
                <w:color w:val="auto"/>
                <w:szCs w:val="21"/>
                <w:highlight w:val="none"/>
              </w:rPr>
              <w:t>供应商2022年1月至今，承接或</w:t>
            </w:r>
            <w:r>
              <w:rPr>
                <w:rFonts w:ascii="宋体" w:hAnsi="宋体"/>
                <w:color w:val="auto"/>
                <w:szCs w:val="21"/>
                <w:highlight w:val="none"/>
              </w:rPr>
              <w:t>完成</w:t>
            </w:r>
            <w:r>
              <w:rPr>
                <w:rFonts w:hint="eastAsia" w:ascii="宋体" w:hAnsi="宋体"/>
                <w:color w:val="auto"/>
                <w:szCs w:val="21"/>
                <w:highlight w:val="none"/>
              </w:rPr>
              <w:t>的并且</w:t>
            </w:r>
            <w:r>
              <w:rPr>
                <w:rFonts w:ascii="宋体" w:hAnsi="宋体"/>
                <w:color w:val="auto"/>
                <w:szCs w:val="21"/>
                <w:highlight w:val="none"/>
              </w:rPr>
              <w:t>是由</w:t>
            </w:r>
            <w:r>
              <w:rPr>
                <w:rFonts w:hint="eastAsia" w:ascii="宋体" w:hAnsi="宋体"/>
                <w:color w:val="auto"/>
                <w:szCs w:val="21"/>
                <w:highlight w:val="none"/>
              </w:rPr>
              <w:t>建设</w:t>
            </w:r>
            <w:r>
              <w:rPr>
                <w:rFonts w:ascii="宋体" w:hAnsi="宋体"/>
                <w:color w:val="auto"/>
                <w:szCs w:val="21"/>
                <w:highlight w:val="none"/>
              </w:rPr>
              <w:t>单位</w:t>
            </w:r>
            <w:r>
              <w:rPr>
                <w:rFonts w:hint="eastAsia" w:ascii="宋体" w:hAnsi="宋体"/>
                <w:color w:val="auto"/>
                <w:szCs w:val="21"/>
                <w:highlight w:val="none"/>
              </w:rPr>
              <w:t>（业主</w:t>
            </w:r>
            <w:r>
              <w:rPr>
                <w:rFonts w:ascii="宋体" w:hAnsi="宋体"/>
                <w:color w:val="auto"/>
                <w:szCs w:val="21"/>
                <w:highlight w:val="none"/>
              </w:rPr>
              <w:t>单位</w:t>
            </w:r>
            <w:r>
              <w:rPr>
                <w:rFonts w:hint="eastAsia" w:ascii="宋体" w:hAnsi="宋体"/>
                <w:color w:val="auto"/>
                <w:szCs w:val="21"/>
                <w:highlight w:val="none"/>
              </w:rPr>
              <w:t>）</w:t>
            </w:r>
            <w:r>
              <w:rPr>
                <w:rFonts w:ascii="宋体" w:hAnsi="宋体"/>
                <w:color w:val="auto"/>
                <w:szCs w:val="21"/>
                <w:highlight w:val="none"/>
              </w:rPr>
              <w:t>委托</w:t>
            </w:r>
            <w:r>
              <w:rPr>
                <w:rFonts w:hint="eastAsia" w:ascii="宋体" w:hAnsi="宋体"/>
                <w:color w:val="auto"/>
                <w:szCs w:val="21"/>
                <w:highlight w:val="none"/>
              </w:rPr>
              <w:t>的</w:t>
            </w:r>
            <w:r>
              <w:rPr>
                <w:rFonts w:hint="eastAsia" w:ascii="宋体" w:hAnsi="宋体" w:cs="宋体"/>
                <w:color w:val="auto"/>
                <w:szCs w:val="21"/>
                <w:highlight w:val="none"/>
              </w:rPr>
              <w:t>过程跟踪审计</w:t>
            </w:r>
            <w:r>
              <w:rPr>
                <w:rFonts w:ascii="宋体" w:hAnsi="宋体" w:cs="宋体"/>
                <w:color w:val="auto"/>
                <w:szCs w:val="21"/>
                <w:highlight w:val="none"/>
              </w:rPr>
              <w:t>、</w:t>
            </w:r>
            <w:r>
              <w:rPr>
                <w:rFonts w:hint="eastAsia" w:ascii="宋体" w:hAnsi="宋体" w:cs="宋体"/>
                <w:color w:val="auto"/>
                <w:szCs w:val="21"/>
                <w:highlight w:val="none"/>
              </w:rPr>
              <w:t>竣工结算审核工作，</w:t>
            </w:r>
            <w:r>
              <w:rPr>
                <w:rFonts w:ascii="宋体" w:hAnsi="宋体" w:cs="宋体"/>
                <w:color w:val="auto"/>
                <w:szCs w:val="21"/>
                <w:highlight w:val="none"/>
              </w:rPr>
              <w:t>每完成一项得</w:t>
            </w:r>
            <w:r>
              <w:rPr>
                <w:rFonts w:hint="eastAsia" w:ascii="宋体" w:hAnsi="宋体" w:cs="宋体"/>
                <w:color w:val="auto"/>
                <w:szCs w:val="21"/>
                <w:highlight w:val="none"/>
              </w:rPr>
              <w:t>1分。</w:t>
            </w:r>
          </w:p>
          <w:p w14:paraId="61B0D4A1">
            <w:pPr>
              <w:keepNext w:val="0"/>
              <w:keepLines w:val="0"/>
              <w:pageBreakBefore w:val="0"/>
              <w:widowControl w:val="0"/>
              <w:kinsoku/>
              <w:wordWrap/>
              <w:overflowPunct/>
              <w:topLinePunct w:val="0"/>
              <w:autoSpaceDE/>
              <w:autoSpaceDN/>
              <w:bidi w:val="0"/>
              <w:adjustRightInd/>
              <w:snapToGrid w:val="0"/>
              <w:spacing w:line="400" w:lineRule="exact"/>
              <w:ind w:firstLine="422" w:firstLineChars="200"/>
              <w:textAlignment w:val="auto"/>
              <w:rPr>
                <w:rFonts w:ascii="宋体" w:hAnsi="宋体" w:cs="Courier New"/>
                <w:color w:val="auto"/>
                <w:szCs w:val="21"/>
                <w:highlight w:val="none"/>
              </w:rPr>
            </w:pPr>
            <w:r>
              <w:rPr>
                <w:rFonts w:hint="eastAsia" w:ascii="宋体" w:hAnsi="宋体"/>
                <w:b/>
                <w:bCs/>
                <w:color w:val="auto"/>
                <w:szCs w:val="21"/>
                <w:highlight w:val="none"/>
              </w:rPr>
              <w:t>注：以上证明材料须提供合同</w:t>
            </w:r>
            <w:r>
              <w:rPr>
                <w:rFonts w:hint="eastAsia" w:ascii="宋体" w:hAnsi="宋体" w:cs="宋体"/>
                <w:b/>
                <w:color w:val="auto"/>
                <w:szCs w:val="21"/>
                <w:highlight w:val="none"/>
              </w:rPr>
              <w:t>、审核</w:t>
            </w:r>
            <w:r>
              <w:rPr>
                <w:rFonts w:ascii="宋体" w:hAnsi="宋体" w:cs="宋体"/>
                <w:b/>
                <w:color w:val="auto"/>
                <w:szCs w:val="21"/>
                <w:highlight w:val="none"/>
              </w:rPr>
              <w:t>成果文件</w:t>
            </w:r>
            <w:r>
              <w:rPr>
                <w:rFonts w:hint="eastAsia" w:ascii="宋体" w:hAnsi="宋体" w:cs="宋体"/>
                <w:b/>
                <w:color w:val="auto"/>
                <w:szCs w:val="21"/>
                <w:highlight w:val="none"/>
              </w:rPr>
              <w:t>盖章页</w:t>
            </w:r>
            <w:r>
              <w:rPr>
                <w:rFonts w:hint="eastAsia" w:ascii="宋体" w:hAnsi="宋体"/>
                <w:b/>
                <w:bCs/>
                <w:color w:val="auto"/>
                <w:szCs w:val="21"/>
                <w:highlight w:val="none"/>
              </w:rPr>
              <w:t>或中标通知书（其中之一）扫描件（须加盖供应商公章），以上证明材料必须真实有效。同一份业绩合同同时满足</w:t>
            </w:r>
            <w:r>
              <w:rPr>
                <w:rFonts w:hint="eastAsia" w:ascii="宋体" w:hAnsi="宋体" w:cs="宋体"/>
                <w:b/>
                <w:color w:val="auto"/>
                <w:szCs w:val="21"/>
                <w:highlight w:val="none"/>
              </w:rPr>
              <w:t>过程跟踪审计、竣工结算审核</w:t>
            </w:r>
            <w:r>
              <w:rPr>
                <w:rFonts w:hint="eastAsia" w:ascii="宋体" w:hAnsi="宋体"/>
                <w:b/>
                <w:bCs/>
                <w:color w:val="auto"/>
                <w:szCs w:val="21"/>
                <w:highlight w:val="none"/>
              </w:rPr>
              <w:t>业绩要求的，只计一次分，不重复计分。</w:t>
            </w:r>
          </w:p>
        </w:tc>
        <w:tc>
          <w:tcPr>
            <w:tcW w:w="851" w:type="dxa"/>
            <w:noWrap w:val="0"/>
            <w:vAlign w:val="center"/>
          </w:tcPr>
          <w:p w14:paraId="6F091AE9">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1</w:t>
            </w:r>
            <w:r>
              <w:rPr>
                <w:rFonts w:ascii="宋体" w:hAnsi="宋体" w:cs="Tahoma"/>
                <w:color w:val="auto"/>
                <w:kern w:val="0"/>
                <w:szCs w:val="21"/>
                <w:highlight w:val="none"/>
              </w:rPr>
              <w:t>0</w:t>
            </w:r>
            <w:r>
              <w:rPr>
                <w:rFonts w:hint="eastAsia" w:ascii="宋体" w:hAnsi="宋体" w:cs="Tahoma"/>
                <w:color w:val="auto"/>
                <w:kern w:val="0"/>
                <w:szCs w:val="21"/>
                <w:highlight w:val="none"/>
              </w:rPr>
              <w:t>分</w:t>
            </w:r>
          </w:p>
        </w:tc>
      </w:tr>
      <w:tr w14:paraId="5FFBA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795BA956">
            <w:pPr>
              <w:pStyle w:val="21"/>
              <w:keepNext w:val="0"/>
              <w:keepLines w:val="0"/>
              <w:pageBreakBefore w:val="0"/>
              <w:kinsoku/>
              <w:wordWrap/>
              <w:overflowPunct/>
              <w:topLinePunct w:val="0"/>
              <w:autoSpaceDE/>
              <w:autoSpaceDN/>
              <w:bidi w:val="0"/>
              <w:spacing w:line="400" w:lineRule="exact"/>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总得分为以上各项评审因素得分合计</w:t>
            </w:r>
          </w:p>
        </w:tc>
        <w:tc>
          <w:tcPr>
            <w:tcW w:w="851" w:type="dxa"/>
            <w:noWrap w:val="0"/>
            <w:vAlign w:val="center"/>
          </w:tcPr>
          <w:p w14:paraId="03ED53E6">
            <w:pPr>
              <w:keepNext w:val="0"/>
              <w:keepLines w:val="0"/>
              <w:pageBreakBefore w:val="0"/>
              <w:widowControl/>
              <w:kinsoku/>
              <w:wordWrap/>
              <w:overflowPunct/>
              <w:topLinePunct w:val="0"/>
              <w:autoSpaceDE/>
              <w:autoSpaceDN/>
              <w:bidi w:val="0"/>
              <w:spacing w:line="400" w:lineRule="exact"/>
              <w:jc w:val="center"/>
              <w:rPr>
                <w:rFonts w:ascii="宋体" w:hAnsi="宋体" w:cs="Tahoma"/>
                <w:color w:val="auto"/>
                <w:kern w:val="0"/>
                <w:szCs w:val="21"/>
                <w:highlight w:val="none"/>
              </w:rPr>
            </w:pPr>
            <w:r>
              <w:rPr>
                <w:rFonts w:hint="eastAsia" w:ascii="宋体" w:hAnsi="宋体" w:cs="Tahoma"/>
                <w:color w:val="auto"/>
                <w:kern w:val="0"/>
                <w:szCs w:val="21"/>
                <w:highlight w:val="none"/>
              </w:rPr>
              <w:t>100分</w:t>
            </w:r>
          </w:p>
        </w:tc>
      </w:tr>
      <w:tr w14:paraId="7764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9090" w:type="dxa"/>
            <w:gridSpan w:val="4"/>
            <w:noWrap w:val="0"/>
            <w:vAlign w:val="top"/>
          </w:tcPr>
          <w:p w14:paraId="524BB9C2">
            <w:pPr>
              <w:keepNext w:val="0"/>
              <w:keepLines w:val="0"/>
              <w:pageBreakBefore w:val="0"/>
              <w:widowControl/>
              <w:kinsoku/>
              <w:wordWrap/>
              <w:overflowPunct/>
              <w:topLinePunct w:val="0"/>
              <w:autoSpaceDE/>
              <w:autoSpaceDN/>
              <w:bidi w:val="0"/>
              <w:spacing w:line="400" w:lineRule="exact"/>
              <w:ind w:firstLine="420" w:firstLineChars="200"/>
              <w:jc w:val="left"/>
              <w:rPr>
                <w:rFonts w:ascii="宋体" w:hAnsi="宋体" w:cs="Tahoma"/>
                <w:color w:val="auto"/>
                <w:kern w:val="0"/>
                <w:szCs w:val="21"/>
                <w:highlight w:val="none"/>
              </w:rPr>
            </w:pPr>
            <w:r>
              <w:rPr>
                <w:rFonts w:hint="eastAsia" w:ascii="宋体" w:hAnsi="宋体" w:cs="Courier New"/>
                <w:bCs/>
                <w:color w:val="auto"/>
                <w:szCs w:val="21"/>
                <w:highlight w:val="none"/>
              </w:rPr>
              <w:t>本项目为服务类项目，无政策功能分。</w:t>
            </w:r>
          </w:p>
        </w:tc>
      </w:tr>
    </w:tbl>
    <w:p w14:paraId="252294FA">
      <w:pPr>
        <w:rPr>
          <w:rFonts w:ascii="宋体" w:hAnsi="宋体" w:cs="宋体"/>
          <w:b/>
          <w:bCs/>
          <w:color w:val="auto"/>
          <w:szCs w:val="21"/>
          <w:highlight w:val="none"/>
        </w:rPr>
      </w:pPr>
    </w:p>
    <w:p w14:paraId="228B05FC">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7.2终止竞争性磋商采购活动</w:t>
      </w:r>
    </w:p>
    <w:p w14:paraId="0CFAFD38">
      <w:pPr>
        <w:spacing w:line="400" w:lineRule="exact"/>
        <w:ind w:firstLine="420" w:firstLineChars="200"/>
        <w:rPr>
          <w:rFonts w:ascii="宋体" w:hAnsi="宋体" w:cs="宋体"/>
          <w:color w:val="auto"/>
          <w:highlight w:val="none"/>
        </w:rPr>
      </w:pPr>
      <w:r>
        <w:rPr>
          <w:rFonts w:hint="eastAsia" w:ascii="宋体" w:hAnsi="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59AE0347">
      <w:pPr>
        <w:pStyle w:val="4"/>
        <w:spacing w:before="0" w:after="0" w:line="360" w:lineRule="auto"/>
        <w:ind w:firstLine="640" w:firstLineChars="200"/>
        <w:jc w:val="center"/>
        <w:rPr>
          <w:rFonts w:ascii="宋体" w:hAnsi="宋体"/>
          <w:b w:val="0"/>
          <w:color w:val="auto"/>
          <w:highlight w:val="none"/>
        </w:rPr>
      </w:pPr>
      <w:bookmarkStart w:id="120" w:name="_Toc80886939"/>
      <w:r>
        <w:rPr>
          <w:rFonts w:hint="eastAsia" w:ascii="宋体" w:hAnsi="宋体"/>
          <w:b w:val="0"/>
          <w:color w:val="auto"/>
          <w:highlight w:val="none"/>
        </w:rPr>
        <w:br w:type="page"/>
      </w:r>
      <w:bookmarkStart w:id="121" w:name="_Toc11595"/>
      <w:bookmarkStart w:id="122" w:name="_Toc22545"/>
      <w:r>
        <w:rPr>
          <w:rFonts w:hint="eastAsia" w:ascii="宋体" w:hAnsi="宋体"/>
          <w:b w:val="0"/>
          <w:color w:val="auto"/>
          <w:highlight w:val="none"/>
        </w:rPr>
        <w:t>第二节 评审报告</w:t>
      </w:r>
      <w:bookmarkEnd w:id="119"/>
      <w:bookmarkEnd w:id="120"/>
      <w:bookmarkEnd w:id="121"/>
      <w:bookmarkEnd w:id="122"/>
    </w:p>
    <w:p w14:paraId="6A76C5A3">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1.成交标准</w:t>
      </w:r>
    </w:p>
    <w:p w14:paraId="6E89AD47">
      <w:pPr>
        <w:spacing w:line="360" w:lineRule="auto"/>
        <w:ind w:firstLine="420" w:firstLineChars="200"/>
        <w:rPr>
          <w:rFonts w:ascii="宋体" w:hAnsi="宋体" w:cs="宋体"/>
          <w:color w:val="auto"/>
          <w:sz w:val="24"/>
          <w:highlight w:val="none"/>
        </w:rPr>
      </w:pPr>
      <w:r>
        <w:rPr>
          <w:rFonts w:hint="eastAsia" w:ascii="宋体" w:hAnsi="宋体" w:cs="宋体"/>
          <w:bCs/>
          <w:color w:val="auto"/>
          <w:szCs w:val="21"/>
          <w:highlight w:val="none"/>
        </w:rPr>
        <w:t>由磋商小组根据综合评分情况，按照评审得分由高到低顺序推荐3名以上成交候选供应商</w:t>
      </w:r>
      <w:r>
        <w:rPr>
          <w:rFonts w:hint="eastAsia" w:ascii="宋体" w:hAnsi="宋体" w:cs="宋体"/>
          <w:color w:val="auto"/>
          <w:highlight w:val="none"/>
        </w:rPr>
        <w:t>，并在线编写电子评审报告</w:t>
      </w:r>
      <w:r>
        <w:rPr>
          <w:rFonts w:hint="eastAsia" w:ascii="宋体" w:hAnsi="宋体" w:cs="宋体"/>
          <w:bCs/>
          <w:color w:val="auto"/>
          <w:szCs w:val="21"/>
          <w:highlight w:val="none"/>
        </w:rPr>
        <w:t>。符合本章第一节第5.3条情形的，可以推荐2家成交候选供应商。评审得分相同的，按照最后报价</w:t>
      </w:r>
      <w:r>
        <w:rPr>
          <w:rFonts w:hint="eastAsia" w:ascii="宋体" w:hAnsi="宋体" w:cs="宋体"/>
          <w:bCs/>
          <w:color w:val="auto"/>
          <w:szCs w:val="21"/>
          <w:highlight w:val="none"/>
          <w:lang w:eastAsia="zh-CN"/>
        </w:rPr>
        <w:t>的价格分得分</w:t>
      </w:r>
      <w:r>
        <w:rPr>
          <w:rFonts w:hint="eastAsia" w:ascii="宋体" w:hAnsi="宋体" w:cs="宋体"/>
          <w:bCs/>
          <w:color w:val="auto"/>
          <w:szCs w:val="21"/>
          <w:highlight w:val="none"/>
        </w:rPr>
        <w:t>由</w:t>
      </w:r>
      <w:r>
        <w:rPr>
          <w:rFonts w:hint="eastAsia" w:ascii="宋体" w:hAnsi="宋体" w:cs="宋体"/>
          <w:bCs/>
          <w:color w:val="auto"/>
          <w:szCs w:val="21"/>
          <w:highlight w:val="none"/>
          <w:lang w:eastAsia="zh-CN"/>
        </w:rPr>
        <w:t>高</w:t>
      </w:r>
      <w:r>
        <w:rPr>
          <w:rFonts w:hint="eastAsia" w:ascii="宋体" w:hAnsi="宋体" w:cs="宋体"/>
          <w:bCs/>
          <w:color w:val="auto"/>
          <w:szCs w:val="21"/>
          <w:highlight w:val="none"/>
        </w:rPr>
        <w:t>到</w:t>
      </w:r>
      <w:r>
        <w:rPr>
          <w:rFonts w:hint="eastAsia" w:ascii="宋体" w:hAnsi="宋体" w:cs="宋体"/>
          <w:bCs/>
          <w:color w:val="auto"/>
          <w:szCs w:val="21"/>
          <w:highlight w:val="none"/>
          <w:lang w:eastAsia="zh-CN"/>
        </w:rPr>
        <w:t>低</w:t>
      </w:r>
      <w:r>
        <w:rPr>
          <w:rFonts w:hint="eastAsia" w:ascii="宋体" w:hAnsi="宋体" w:cs="宋体"/>
          <w:bCs/>
          <w:color w:val="auto"/>
          <w:szCs w:val="21"/>
          <w:highlight w:val="none"/>
        </w:rPr>
        <w:t>的顺序推荐。评审得分且最后报价</w:t>
      </w:r>
      <w:r>
        <w:rPr>
          <w:rFonts w:hint="eastAsia" w:ascii="宋体" w:hAnsi="宋体" w:cs="宋体"/>
          <w:bCs/>
          <w:color w:val="auto"/>
          <w:szCs w:val="21"/>
          <w:highlight w:val="none"/>
          <w:lang w:eastAsia="zh-CN"/>
        </w:rPr>
        <w:t>的价格分得分</w:t>
      </w:r>
      <w:r>
        <w:rPr>
          <w:rFonts w:hint="eastAsia" w:ascii="宋体" w:hAnsi="宋体" w:cs="宋体"/>
          <w:bCs/>
          <w:color w:val="auto"/>
          <w:szCs w:val="21"/>
          <w:highlight w:val="none"/>
        </w:rPr>
        <w:t>相同的，按照技术指标优劣顺序推荐</w:t>
      </w:r>
      <w:r>
        <w:rPr>
          <w:rFonts w:hint="eastAsia"/>
          <w:color w:val="auto"/>
          <w:highlight w:val="none"/>
        </w:rPr>
        <w:t>（按技术分得分由高到低排序）</w:t>
      </w:r>
      <w:r>
        <w:rPr>
          <w:rFonts w:hint="eastAsia" w:ascii="宋体" w:hAnsi="宋体" w:cs="宋体"/>
          <w:bCs/>
          <w:color w:val="auto"/>
          <w:szCs w:val="21"/>
          <w:highlight w:val="none"/>
        </w:rPr>
        <w:t>。评审得分、最后报价</w:t>
      </w:r>
      <w:r>
        <w:rPr>
          <w:rFonts w:hint="eastAsia" w:ascii="宋体" w:hAnsi="宋体" w:cs="宋体"/>
          <w:bCs/>
          <w:color w:val="auto"/>
          <w:szCs w:val="21"/>
          <w:highlight w:val="none"/>
          <w:lang w:eastAsia="zh-CN"/>
        </w:rPr>
        <w:t>的价格分得分</w:t>
      </w:r>
      <w:r>
        <w:rPr>
          <w:rFonts w:hint="eastAsia" w:ascii="宋体" w:hAnsi="宋体" w:cs="宋体"/>
          <w:bCs/>
          <w:color w:val="auto"/>
          <w:szCs w:val="21"/>
          <w:highlight w:val="none"/>
        </w:rPr>
        <w:t>、技术分得分均相同的，由磋商小组随机抽取推荐。</w:t>
      </w:r>
      <w:r>
        <w:rPr>
          <w:rFonts w:ascii="宋体" w:hAnsi="宋体"/>
          <w:bCs/>
          <w:color w:val="auto"/>
          <w:szCs w:val="21"/>
          <w:highlight w:val="none"/>
        </w:rPr>
        <w:t>为保证项目服务质量，</w:t>
      </w:r>
      <w:r>
        <w:rPr>
          <w:rFonts w:hint="eastAsia" w:ascii="宋体" w:hAnsi="宋体" w:cs="宋体"/>
          <w:color w:val="auto"/>
          <w:szCs w:val="21"/>
          <w:highlight w:val="none"/>
        </w:rPr>
        <w:t>供应商可以竞投一个分标也可以竞投</w:t>
      </w:r>
      <w:r>
        <w:rPr>
          <w:rFonts w:hint="eastAsia" w:ascii="宋体" w:hAnsi="宋体" w:cs="宋体"/>
          <w:color w:val="auto"/>
          <w:szCs w:val="21"/>
          <w:highlight w:val="none"/>
          <w:lang w:eastAsia="zh-CN"/>
        </w:rPr>
        <w:t>两</w:t>
      </w:r>
      <w:r>
        <w:rPr>
          <w:rFonts w:hint="eastAsia" w:ascii="宋体" w:hAnsi="宋体" w:cs="宋体"/>
          <w:color w:val="auto"/>
          <w:szCs w:val="21"/>
          <w:highlight w:val="none"/>
        </w:rPr>
        <w:t>个分标，但一个供应商最多只能成为一个分标的成交</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。评标顺序：1分标→2分标。已经成为1分标第一成交候选人的供应商仍可以参与2分标的竞标及评审，但自动失去</w:t>
      </w:r>
      <w:r>
        <w:rPr>
          <w:rFonts w:hint="eastAsia" w:ascii="宋体" w:hAnsi="宋体" w:cs="宋体"/>
          <w:color w:val="auto"/>
          <w:szCs w:val="21"/>
          <w:highlight w:val="none"/>
          <w:lang w:val="en-US" w:eastAsia="zh-CN"/>
        </w:rPr>
        <w:t>2分标</w:t>
      </w:r>
      <w:r>
        <w:rPr>
          <w:rFonts w:hint="eastAsia" w:ascii="宋体" w:hAnsi="宋体" w:cs="宋体"/>
          <w:color w:val="auto"/>
          <w:szCs w:val="21"/>
          <w:highlight w:val="none"/>
        </w:rPr>
        <w:t>成交候选人推荐资格，各分标成交人应为不同的供应商。</w:t>
      </w:r>
    </w:p>
    <w:p w14:paraId="796B710A">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2.评标争议</w:t>
      </w:r>
      <w:r>
        <w:rPr>
          <w:rFonts w:ascii="黑体" w:hAnsi="黑体" w:eastAsia="黑体" w:cs="宋体"/>
          <w:color w:val="auto"/>
          <w:sz w:val="24"/>
          <w:szCs w:val="32"/>
          <w:highlight w:val="none"/>
        </w:rPr>
        <w:t>事项</w:t>
      </w:r>
      <w:r>
        <w:rPr>
          <w:rFonts w:hint="eastAsia" w:ascii="黑体" w:hAnsi="黑体" w:eastAsia="黑体" w:cs="宋体"/>
          <w:color w:val="auto"/>
          <w:sz w:val="24"/>
          <w:szCs w:val="32"/>
          <w:highlight w:val="none"/>
        </w:rPr>
        <w:t>处理</w:t>
      </w:r>
    </w:p>
    <w:p w14:paraId="7870C3BB">
      <w:pPr>
        <w:pStyle w:val="61"/>
        <w:spacing w:before="0"/>
        <w:ind w:firstLine="420"/>
        <w:rPr>
          <w:rFonts w:ascii="宋体" w:hAnsi="宋体" w:cs="宋体"/>
          <w:color w:val="auto"/>
          <w:kern w:val="2"/>
          <w:sz w:val="21"/>
          <w:szCs w:val="24"/>
          <w:highlight w:val="none"/>
        </w:rPr>
      </w:pPr>
      <w:r>
        <w:rPr>
          <w:rFonts w:hint="eastAsia" w:ascii="宋体" w:hAnsi="宋体" w:cs="宋体"/>
          <w:color w:val="auto"/>
          <w:kern w:val="2"/>
          <w:sz w:val="21"/>
          <w:szCs w:val="24"/>
          <w:highlight w:val="none"/>
        </w:rPr>
        <w:t>磋商小组成员对需要共同认定的事项存在争议的，应当按照少数服从多数的原则作出结论。持不同意见的磋商小组成员应当在评审报告上签署不同意见及理由，否则视为同意评审报告。</w:t>
      </w:r>
    </w:p>
    <w:p w14:paraId="568C85FB">
      <w:pPr>
        <w:pStyle w:val="61"/>
        <w:spacing w:before="0"/>
        <w:ind w:firstLine="420"/>
        <w:rPr>
          <w:rFonts w:cs="宋体"/>
          <w:color w:val="auto"/>
          <w:kern w:val="2"/>
          <w:sz w:val="21"/>
          <w:szCs w:val="24"/>
          <w:highlight w:val="none"/>
        </w:rPr>
      </w:pPr>
    </w:p>
    <w:p w14:paraId="37EEBDDA">
      <w:pPr>
        <w:pStyle w:val="4"/>
        <w:spacing w:before="0" w:after="0" w:line="360" w:lineRule="auto"/>
        <w:ind w:firstLine="640" w:firstLineChars="200"/>
        <w:jc w:val="center"/>
        <w:rPr>
          <w:rFonts w:ascii="宋体" w:hAnsi="宋体"/>
          <w:b w:val="0"/>
          <w:color w:val="auto"/>
          <w:highlight w:val="none"/>
        </w:rPr>
      </w:pPr>
      <w:bookmarkStart w:id="123" w:name="_Toc2025"/>
      <w:bookmarkStart w:id="124" w:name="_Toc20045"/>
      <w:bookmarkStart w:id="125" w:name="_Toc80205936"/>
      <w:bookmarkStart w:id="126" w:name="_Toc80886940"/>
      <w:r>
        <w:rPr>
          <w:rFonts w:hint="eastAsia" w:ascii="宋体" w:hAnsi="宋体"/>
          <w:b w:val="0"/>
          <w:color w:val="auto"/>
          <w:highlight w:val="none"/>
        </w:rPr>
        <w:t>第三节 评审过程的保密与录像</w:t>
      </w:r>
      <w:bookmarkEnd w:id="123"/>
      <w:bookmarkEnd w:id="124"/>
      <w:bookmarkEnd w:id="125"/>
      <w:bookmarkEnd w:id="126"/>
    </w:p>
    <w:p w14:paraId="37D1D291">
      <w:pPr>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1.保密。</w:t>
      </w:r>
    </w:p>
    <w:p w14:paraId="4D409CCC">
      <w:pPr>
        <w:widowControl/>
        <w:spacing w:line="360" w:lineRule="auto"/>
        <w:ind w:firstLine="420" w:firstLineChars="200"/>
        <w:rPr>
          <w:rFonts w:cs="宋体"/>
          <w:color w:val="auto"/>
          <w:highlight w:val="none"/>
        </w:rPr>
      </w:pPr>
      <w:r>
        <w:rPr>
          <w:rFonts w:cs="宋体"/>
          <w:color w:val="auto"/>
          <w:highlight w:val="none"/>
        </w:rPr>
        <w:t>评审活动在严格保密的情况下进行。评审过程中凡是与响应文件评审和比较、中标成交供应商推荐等评审有关的情况，以及涉及国家秘密和商业秘密等信息，</w:t>
      </w:r>
      <w:r>
        <w:rPr>
          <w:rFonts w:hint="eastAsia" w:cs="宋体"/>
          <w:color w:val="auto"/>
          <w:highlight w:val="none"/>
        </w:rPr>
        <w:t>磋商小组</w:t>
      </w:r>
      <w:r>
        <w:rPr>
          <w:rFonts w:cs="宋体"/>
          <w:color w:val="auto"/>
          <w:highlight w:val="none"/>
        </w:rPr>
        <w:t>成员、采购人和采购</w:t>
      </w:r>
      <w:r>
        <w:rPr>
          <w:rFonts w:hint="eastAsia" w:cs="宋体"/>
          <w:color w:val="auto"/>
          <w:highlight w:val="none"/>
        </w:rPr>
        <w:t>代理</w:t>
      </w:r>
      <w:r>
        <w:rPr>
          <w:rFonts w:cs="宋体"/>
          <w:color w:val="auto"/>
          <w:highlight w:val="none"/>
        </w:rPr>
        <w:t>机构工作人员、相关监督人员等与评审有关的人员应当予以保密。</w:t>
      </w:r>
    </w:p>
    <w:p w14:paraId="006D56F3">
      <w:pPr>
        <w:widowControl/>
        <w:spacing w:line="360" w:lineRule="auto"/>
        <w:ind w:firstLine="480" w:firstLineChars="200"/>
        <w:rPr>
          <w:rFonts w:ascii="黑体" w:hAnsi="黑体" w:eastAsia="黑体" w:cs="宋体"/>
          <w:color w:val="auto"/>
          <w:sz w:val="24"/>
          <w:szCs w:val="32"/>
          <w:highlight w:val="none"/>
        </w:rPr>
      </w:pPr>
      <w:r>
        <w:rPr>
          <w:rFonts w:hint="eastAsia" w:ascii="黑体" w:hAnsi="黑体" w:eastAsia="黑体" w:cs="宋体"/>
          <w:color w:val="auto"/>
          <w:sz w:val="24"/>
          <w:szCs w:val="32"/>
          <w:highlight w:val="none"/>
        </w:rPr>
        <w:t>2.录音录像。</w:t>
      </w:r>
    </w:p>
    <w:p w14:paraId="58F45D53">
      <w:pPr>
        <w:spacing w:line="360" w:lineRule="auto"/>
        <w:ind w:firstLine="420" w:firstLineChars="200"/>
        <w:rPr>
          <w:rFonts w:cs="宋体"/>
          <w:color w:val="auto"/>
          <w:highlight w:val="none"/>
        </w:rPr>
      </w:pPr>
      <w:r>
        <w:rPr>
          <w:rFonts w:hint="eastAsia" w:cs="宋体"/>
          <w:color w:val="auto"/>
          <w:highlight w:val="none"/>
        </w:rPr>
        <w:t>采购代理机构对评审工作现场及操作屏幕进行全过程录音录像，录音录像资料作为采购项目文件随其他文件一并存档。</w:t>
      </w:r>
    </w:p>
    <w:p w14:paraId="7417D893">
      <w:pPr>
        <w:spacing w:line="400" w:lineRule="exact"/>
        <w:ind w:firstLine="420" w:firstLineChars="200"/>
        <w:rPr>
          <w:rFonts w:cs="宋体"/>
          <w:color w:val="auto"/>
          <w:highlight w:val="none"/>
        </w:rPr>
      </w:pPr>
    </w:p>
    <w:p w14:paraId="7FDD554D">
      <w:pPr>
        <w:spacing w:line="400" w:lineRule="exact"/>
        <w:ind w:firstLine="420" w:firstLineChars="200"/>
        <w:rPr>
          <w:rFonts w:cs="宋体"/>
          <w:color w:val="auto"/>
          <w:highlight w:val="none"/>
        </w:rPr>
      </w:pPr>
    </w:p>
    <w:p w14:paraId="79F20061">
      <w:pPr>
        <w:pStyle w:val="4"/>
        <w:rPr>
          <w:color w:val="auto"/>
          <w:highlight w:val="none"/>
        </w:rPr>
      </w:pPr>
    </w:p>
    <w:p w14:paraId="03FC48DE">
      <w:pPr>
        <w:pStyle w:val="4"/>
        <w:jc w:val="center"/>
        <w:rPr>
          <w:color w:val="auto"/>
          <w:highlight w:val="none"/>
        </w:rPr>
      </w:pPr>
      <w:r>
        <w:rPr>
          <w:color w:val="auto"/>
          <w:highlight w:val="none"/>
        </w:rPr>
        <w:br w:type="page"/>
      </w:r>
    </w:p>
    <w:p w14:paraId="6C791CD5">
      <w:pPr>
        <w:pStyle w:val="4"/>
        <w:jc w:val="center"/>
        <w:rPr>
          <w:color w:val="auto"/>
          <w:highlight w:val="none"/>
        </w:rPr>
      </w:pPr>
    </w:p>
    <w:p w14:paraId="5E692482">
      <w:pPr>
        <w:pStyle w:val="4"/>
        <w:jc w:val="center"/>
        <w:rPr>
          <w:color w:val="auto"/>
          <w:highlight w:val="none"/>
        </w:rPr>
      </w:pPr>
    </w:p>
    <w:p w14:paraId="2A7101B0">
      <w:pPr>
        <w:pStyle w:val="4"/>
        <w:jc w:val="center"/>
        <w:rPr>
          <w:color w:val="auto"/>
          <w:highlight w:val="none"/>
        </w:rPr>
      </w:pPr>
    </w:p>
    <w:p w14:paraId="3A72F350">
      <w:pPr>
        <w:pStyle w:val="4"/>
        <w:jc w:val="center"/>
        <w:rPr>
          <w:color w:val="auto"/>
          <w:highlight w:val="none"/>
        </w:rPr>
      </w:pPr>
    </w:p>
    <w:p w14:paraId="7519EF38">
      <w:pPr>
        <w:pStyle w:val="4"/>
        <w:jc w:val="center"/>
        <w:rPr>
          <w:color w:val="auto"/>
          <w:highlight w:val="none"/>
        </w:rPr>
      </w:pPr>
    </w:p>
    <w:p w14:paraId="68B307B0">
      <w:pPr>
        <w:pStyle w:val="3"/>
        <w:jc w:val="center"/>
        <w:rPr>
          <w:color w:val="auto"/>
          <w:highlight w:val="none"/>
        </w:rPr>
        <w:sectPr>
          <w:pgSz w:w="11911" w:h="16838"/>
          <w:pgMar w:top="1134" w:right="1134" w:bottom="1134" w:left="1134" w:header="720" w:footer="720" w:gutter="0"/>
          <w:cols w:space="720" w:num="1"/>
        </w:sectPr>
      </w:pPr>
      <w:bookmarkStart w:id="127" w:name="_Toc27282"/>
      <w:bookmarkStart w:id="128" w:name="_Toc12890"/>
      <w:bookmarkStart w:id="129" w:name="_Toc80886941"/>
      <w:bookmarkStart w:id="130" w:name="_Toc22302"/>
      <w:bookmarkStart w:id="131" w:name="_Toc5005"/>
      <w:bookmarkStart w:id="132" w:name="_Toc7776"/>
      <w:bookmarkStart w:id="133" w:name="_Toc26272"/>
      <w:bookmarkStart w:id="134" w:name="_Toc17404"/>
      <w:r>
        <w:rPr>
          <w:rFonts w:hint="eastAsia" w:ascii="Calibri" w:hAnsi="Calibri"/>
          <w:color w:val="auto"/>
          <w:highlight w:val="none"/>
        </w:rPr>
        <w:t>第五章 响应文件格式</w:t>
      </w:r>
      <w:bookmarkEnd w:id="127"/>
      <w:bookmarkEnd w:id="128"/>
      <w:bookmarkEnd w:id="129"/>
      <w:bookmarkEnd w:id="130"/>
      <w:bookmarkEnd w:id="131"/>
      <w:bookmarkEnd w:id="132"/>
      <w:bookmarkEnd w:id="133"/>
      <w:bookmarkEnd w:id="134"/>
    </w:p>
    <w:p w14:paraId="6A5588B2">
      <w:pPr>
        <w:pStyle w:val="4"/>
        <w:jc w:val="center"/>
        <w:rPr>
          <w:rFonts w:ascii="宋体" w:hAnsi="宋体"/>
          <w:bCs w:val="0"/>
          <w:color w:val="auto"/>
          <w:highlight w:val="none"/>
        </w:rPr>
      </w:pPr>
      <w:bookmarkStart w:id="135" w:name="_Toc12994"/>
      <w:bookmarkStart w:id="136" w:name="_Toc80205939"/>
      <w:bookmarkStart w:id="137" w:name="_Toc80886943"/>
      <w:bookmarkStart w:id="138" w:name="_Toc22245"/>
      <w:r>
        <w:rPr>
          <w:rFonts w:hint="eastAsia" w:ascii="宋体" w:hAnsi="宋体"/>
          <w:bCs w:val="0"/>
          <w:color w:val="auto"/>
          <w:highlight w:val="none"/>
        </w:rPr>
        <w:t>第一节 资格证明文件格式</w:t>
      </w:r>
      <w:bookmarkEnd w:id="135"/>
      <w:bookmarkEnd w:id="136"/>
      <w:bookmarkEnd w:id="137"/>
      <w:bookmarkEnd w:id="138"/>
    </w:p>
    <w:p w14:paraId="02F7EB69">
      <w:pPr>
        <w:snapToGrid w:val="0"/>
        <w:spacing w:before="120" w:beforeLines="50" w:after="50"/>
        <w:jc w:val="left"/>
        <w:rPr>
          <w:color w:val="auto"/>
          <w:sz w:val="24"/>
          <w:highlight w:val="none"/>
        </w:rPr>
      </w:pPr>
      <w:r>
        <w:rPr>
          <w:rFonts w:hint="eastAsia" w:hAnsi="宋体" w:cs="宋体"/>
          <w:b/>
          <w:bCs/>
          <w:color w:val="auto"/>
          <w:sz w:val="28"/>
          <w:szCs w:val="28"/>
          <w:highlight w:val="none"/>
        </w:rPr>
        <w:t>1.资格证明文件封面的格式</w:t>
      </w:r>
      <w:r>
        <w:rPr>
          <w:rFonts w:hint="eastAsia" w:ascii="宋体" w:hAnsi="宋体" w:cs="宋体"/>
          <w:b/>
          <w:color w:val="auto"/>
          <w:sz w:val="28"/>
          <w:szCs w:val="28"/>
          <w:highlight w:val="none"/>
        </w:rPr>
        <w:t>（参照此格式自拟）</w:t>
      </w:r>
      <w:r>
        <w:rPr>
          <w:rFonts w:hint="eastAsia" w:hAnsi="宋体" w:cs="宋体"/>
          <w:b/>
          <w:bCs/>
          <w:color w:val="auto"/>
          <w:sz w:val="28"/>
          <w:szCs w:val="28"/>
          <w:highlight w:val="none"/>
        </w:rPr>
        <w:t>：</w:t>
      </w:r>
      <w:r>
        <w:rPr>
          <w:rFonts w:hint="eastAsia"/>
          <w:color w:val="auto"/>
          <w:sz w:val="24"/>
          <w:highlight w:val="none"/>
        </w:rPr>
        <w:t xml:space="preserve">                                      </w:t>
      </w:r>
    </w:p>
    <w:p w14:paraId="0658EE70">
      <w:pPr>
        <w:snapToGrid w:val="0"/>
        <w:spacing w:before="120" w:beforeLines="50" w:after="50"/>
        <w:ind w:firstLine="6930" w:firstLineChars="3300"/>
        <w:rPr>
          <w:bCs/>
          <w:color w:val="auto"/>
          <w:sz w:val="32"/>
          <w:szCs w:val="20"/>
          <w:highlight w:val="none"/>
        </w:rPr>
      </w:pPr>
      <w:r>
        <w:rPr>
          <w:rFonts w:hint="eastAsia"/>
          <w:bCs/>
          <w:color w:val="auto"/>
          <w:highlight w:val="none"/>
        </w:rPr>
        <w:t>全流程电子文件</w:t>
      </w:r>
    </w:p>
    <w:p w14:paraId="1C6AD979">
      <w:pPr>
        <w:snapToGrid w:val="0"/>
        <w:spacing w:before="120" w:beforeLines="50" w:after="50"/>
        <w:rPr>
          <w:color w:val="auto"/>
          <w:sz w:val="24"/>
          <w:szCs w:val="20"/>
          <w:highlight w:val="none"/>
        </w:rPr>
      </w:pPr>
    </w:p>
    <w:p w14:paraId="537AB3A5">
      <w:pPr>
        <w:snapToGrid w:val="0"/>
        <w:spacing w:before="120" w:beforeLines="50" w:after="50"/>
        <w:rPr>
          <w:color w:val="auto"/>
          <w:sz w:val="24"/>
          <w:szCs w:val="20"/>
          <w:highlight w:val="none"/>
        </w:rPr>
      </w:pPr>
    </w:p>
    <w:p w14:paraId="0F48B31D">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3B323B64">
      <w:pPr>
        <w:snapToGrid w:val="0"/>
        <w:spacing w:before="120" w:beforeLines="50" w:after="50"/>
        <w:rPr>
          <w:bCs/>
          <w:color w:val="auto"/>
          <w:sz w:val="24"/>
          <w:szCs w:val="20"/>
          <w:highlight w:val="none"/>
        </w:rPr>
      </w:pPr>
    </w:p>
    <w:p w14:paraId="537E0146">
      <w:pPr>
        <w:snapToGrid w:val="0"/>
        <w:spacing w:before="120" w:beforeLines="50" w:after="50"/>
        <w:rPr>
          <w:bCs/>
          <w:color w:val="auto"/>
          <w:sz w:val="24"/>
          <w:szCs w:val="20"/>
          <w:highlight w:val="none"/>
        </w:rPr>
      </w:pPr>
    </w:p>
    <w:p w14:paraId="1749BF38">
      <w:pPr>
        <w:snapToGrid w:val="0"/>
        <w:spacing w:before="120" w:beforeLines="50" w:after="50"/>
        <w:rPr>
          <w:bCs/>
          <w:color w:val="auto"/>
          <w:sz w:val="24"/>
          <w:szCs w:val="20"/>
          <w:highlight w:val="none"/>
        </w:rPr>
      </w:pPr>
    </w:p>
    <w:p w14:paraId="15313E8E">
      <w:pPr>
        <w:snapToGrid w:val="0"/>
        <w:spacing w:before="120" w:beforeLines="50" w:after="50"/>
        <w:rPr>
          <w:bCs/>
          <w:color w:val="auto"/>
          <w:sz w:val="24"/>
          <w:szCs w:val="20"/>
          <w:highlight w:val="none"/>
        </w:rPr>
      </w:pPr>
    </w:p>
    <w:p w14:paraId="734BB86F">
      <w:pPr>
        <w:snapToGrid w:val="0"/>
        <w:spacing w:before="120" w:beforeLines="50" w:after="50"/>
        <w:rPr>
          <w:bCs/>
          <w:color w:val="auto"/>
          <w:sz w:val="24"/>
          <w:szCs w:val="20"/>
          <w:highlight w:val="none"/>
        </w:rPr>
      </w:pPr>
    </w:p>
    <w:p w14:paraId="66E614F6">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项目名称：</w:t>
      </w:r>
    </w:p>
    <w:p w14:paraId="26487D94">
      <w:pPr>
        <w:snapToGrid w:val="0"/>
        <w:spacing w:before="120" w:beforeLines="50" w:after="50"/>
        <w:ind w:firstLine="720" w:firstLineChars="225"/>
        <w:rPr>
          <w:rFonts w:cs="仿宋_GB2312"/>
          <w:bCs/>
          <w:color w:val="auto"/>
          <w:sz w:val="32"/>
          <w:szCs w:val="32"/>
          <w:highlight w:val="none"/>
        </w:rPr>
      </w:pPr>
    </w:p>
    <w:p w14:paraId="392C47D8">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项目编号：</w:t>
      </w:r>
    </w:p>
    <w:p w14:paraId="4D586FFC">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 xml:space="preserve"> </w:t>
      </w:r>
    </w:p>
    <w:p w14:paraId="17A52E62">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所竞分标（如有则填写，无分标时填写“无”或者留空）：</w:t>
      </w:r>
    </w:p>
    <w:p w14:paraId="0B9752F8">
      <w:pPr>
        <w:snapToGrid w:val="0"/>
        <w:spacing w:before="120" w:beforeLines="50" w:after="50"/>
        <w:ind w:firstLine="720" w:firstLineChars="225"/>
        <w:rPr>
          <w:rFonts w:cs="仿宋_GB2312"/>
          <w:bCs/>
          <w:color w:val="auto"/>
          <w:sz w:val="32"/>
          <w:szCs w:val="32"/>
          <w:highlight w:val="none"/>
        </w:rPr>
      </w:pPr>
    </w:p>
    <w:p w14:paraId="00FEA787">
      <w:pPr>
        <w:pStyle w:val="8"/>
        <w:snapToGrid w:val="0"/>
        <w:spacing w:before="50" w:after="50"/>
        <w:ind w:firstLine="720" w:firstLineChars="225"/>
        <w:rPr>
          <w:rFonts w:cs="仿宋_GB2312"/>
          <w:bCs/>
          <w:color w:val="auto"/>
          <w:sz w:val="32"/>
          <w:szCs w:val="32"/>
          <w:highlight w:val="none"/>
        </w:rPr>
      </w:pPr>
      <w:r>
        <w:rPr>
          <w:rFonts w:hint="eastAsia" w:cs="仿宋_GB2312"/>
          <w:bCs/>
          <w:color w:val="auto"/>
          <w:sz w:val="32"/>
          <w:szCs w:val="32"/>
          <w:highlight w:val="none"/>
        </w:rPr>
        <w:t>供应商名称：</w:t>
      </w:r>
    </w:p>
    <w:p w14:paraId="25773B7C">
      <w:pPr>
        <w:pStyle w:val="8"/>
        <w:snapToGrid w:val="0"/>
        <w:spacing w:before="50" w:after="50"/>
        <w:ind w:firstLine="720" w:firstLineChars="225"/>
        <w:rPr>
          <w:rFonts w:cs="仿宋_GB2312"/>
          <w:bCs/>
          <w:color w:val="auto"/>
          <w:sz w:val="32"/>
          <w:szCs w:val="32"/>
          <w:highlight w:val="none"/>
        </w:rPr>
      </w:pPr>
    </w:p>
    <w:p w14:paraId="6FFC478D">
      <w:pPr>
        <w:pStyle w:val="8"/>
        <w:snapToGrid w:val="0"/>
        <w:spacing w:before="50" w:after="50"/>
        <w:ind w:firstLine="720" w:firstLineChars="225"/>
        <w:rPr>
          <w:rFonts w:cs="仿宋_GB2312"/>
          <w:bCs/>
          <w:color w:val="auto"/>
          <w:sz w:val="32"/>
          <w:szCs w:val="32"/>
          <w:highlight w:val="none"/>
        </w:rPr>
      </w:pPr>
    </w:p>
    <w:p w14:paraId="047D9E39">
      <w:pPr>
        <w:pStyle w:val="8"/>
        <w:snapToGrid w:val="0"/>
        <w:spacing w:before="50" w:after="50"/>
        <w:ind w:firstLine="720" w:firstLineChars="225"/>
        <w:rPr>
          <w:rFonts w:cs="仿宋_GB2312"/>
          <w:bCs/>
          <w:color w:val="auto"/>
          <w:sz w:val="32"/>
          <w:szCs w:val="32"/>
          <w:highlight w:val="none"/>
        </w:rPr>
      </w:pPr>
    </w:p>
    <w:p w14:paraId="38821039">
      <w:pPr>
        <w:pStyle w:val="8"/>
        <w:snapToGrid w:val="0"/>
        <w:spacing w:before="50" w:after="50"/>
        <w:ind w:firstLine="1280" w:firstLineChars="400"/>
        <w:rPr>
          <w:rFonts w:cs="仿宋_GB2312"/>
          <w:bCs/>
          <w:color w:val="auto"/>
          <w:sz w:val="32"/>
          <w:szCs w:val="32"/>
          <w:highlight w:val="none"/>
        </w:rPr>
      </w:pPr>
    </w:p>
    <w:p w14:paraId="1242801C">
      <w:pPr>
        <w:snapToGrid w:val="0"/>
        <w:spacing w:before="120" w:beforeLines="50" w:after="50"/>
        <w:jc w:val="center"/>
        <w:rPr>
          <w:rFonts w:cs="仿宋_GB2312"/>
          <w:color w:val="auto"/>
          <w:sz w:val="32"/>
          <w:szCs w:val="32"/>
          <w:highlight w:val="none"/>
        </w:rPr>
      </w:pPr>
      <w:r>
        <w:rPr>
          <w:rFonts w:hint="eastAsia" w:cs="仿宋_GB2312"/>
          <w:color w:val="auto"/>
          <w:sz w:val="32"/>
          <w:szCs w:val="32"/>
          <w:highlight w:val="none"/>
        </w:rPr>
        <w:t>年    月    日</w:t>
      </w:r>
    </w:p>
    <w:p w14:paraId="3F887702">
      <w:pPr>
        <w:snapToGrid w:val="0"/>
        <w:spacing w:before="120" w:beforeLines="50" w:after="50" w:line="360" w:lineRule="auto"/>
        <w:jc w:val="left"/>
        <w:rPr>
          <w:rFonts w:ascii="宋体" w:hAnsi="宋体" w:cs="宋体"/>
          <w:b/>
          <w:bCs/>
          <w:color w:val="auto"/>
          <w:sz w:val="28"/>
          <w:szCs w:val="28"/>
          <w:highlight w:val="none"/>
        </w:rPr>
      </w:pPr>
      <w:r>
        <w:rPr>
          <w:color w:val="auto"/>
          <w:sz w:val="24"/>
          <w:highlight w:val="none"/>
        </w:rPr>
        <w:br w:type="page"/>
      </w:r>
      <w:r>
        <w:rPr>
          <w:rFonts w:hint="eastAsia" w:ascii="宋体" w:hAnsi="宋体" w:cs="宋体"/>
          <w:b/>
          <w:bCs/>
          <w:color w:val="auto"/>
          <w:sz w:val="28"/>
          <w:szCs w:val="28"/>
          <w:highlight w:val="none"/>
        </w:rPr>
        <w:t>2.资格证明文件目录</w:t>
      </w:r>
    </w:p>
    <w:p w14:paraId="7E0F010B">
      <w:pPr>
        <w:spacing w:line="360" w:lineRule="auto"/>
        <w:rPr>
          <w:rFonts w:ascii="宋体" w:hAnsi="宋体" w:cs="宋体"/>
          <w:b/>
          <w:bCs/>
          <w:color w:val="auto"/>
          <w:sz w:val="28"/>
          <w:szCs w:val="28"/>
          <w:highlight w:val="none"/>
        </w:rPr>
      </w:pPr>
      <w:r>
        <w:rPr>
          <w:rFonts w:hint="eastAsia" w:ascii="宋体" w:hAnsi="宋体" w:cs="宋体"/>
          <w:color w:val="auto"/>
          <w:sz w:val="28"/>
          <w:szCs w:val="28"/>
          <w:highlight w:val="none"/>
        </w:rPr>
        <w:t xml:space="preserve">    根据竞争性磋商文件规定及供应商提供的材料自行编写目录（部分格式后附）。</w:t>
      </w:r>
    </w:p>
    <w:p w14:paraId="669A0474">
      <w:pPr>
        <w:snapToGrid w:val="0"/>
        <w:spacing w:before="120" w:beforeLines="50" w:after="50"/>
        <w:jc w:val="left"/>
        <w:rPr>
          <w:rFonts w:ascii="宋体" w:hAnsi="宋体"/>
          <w:b/>
          <w:color w:val="auto"/>
          <w:sz w:val="24"/>
          <w:highlight w:val="none"/>
        </w:rPr>
      </w:pPr>
      <w:r>
        <w:rPr>
          <w:rFonts w:hint="eastAsia"/>
          <w:color w:val="auto"/>
          <w:szCs w:val="21"/>
          <w:highlight w:val="none"/>
        </w:rPr>
        <w:br w:type="page"/>
      </w:r>
      <w:r>
        <w:rPr>
          <w:rFonts w:hint="eastAsia" w:ascii="宋体" w:hAnsi="宋体"/>
          <w:b/>
          <w:color w:val="auto"/>
          <w:sz w:val="24"/>
          <w:highlight w:val="none"/>
        </w:rPr>
        <w:t>3.</w:t>
      </w:r>
      <w:r>
        <w:rPr>
          <w:rFonts w:hint="eastAsia" w:ascii="宋体" w:hAnsi="宋体"/>
          <w:b/>
          <w:color w:val="auto"/>
          <w:sz w:val="28"/>
          <w:szCs w:val="28"/>
          <w:highlight w:val="none"/>
        </w:rPr>
        <w:t>供应商直接控股股东信息表</w:t>
      </w:r>
    </w:p>
    <w:p w14:paraId="37E0B0B8">
      <w:pPr>
        <w:snapToGrid w:val="0"/>
        <w:spacing w:before="50" w:after="120" w:afterLines="50"/>
        <w:jc w:val="center"/>
        <w:rPr>
          <w:rFonts w:ascii="宋体" w:hAnsi="宋体"/>
          <w:b/>
          <w:color w:val="auto"/>
          <w:sz w:val="28"/>
          <w:szCs w:val="28"/>
          <w:highlight w:val="none"/>
        </w:rPr>
      </w:pPr>
    </w:p>
    <w:p w14:paraId="098971BD">
      <w:pPr>
        <w:snapToGrid w:val="0"/>
        <w:spacing w:before="50" w:after="120" w:afterLines="50" w:line="360" w:lineRule="auto"/>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tbl>
      <w:tblPr>
        <w:tblStyle w:val="31"/>
        <w:tblW w:w="8484" w:type="dxa"/>
        <w:jc w:val="center"/>
        <w:shd w:val="clear" w:color="auto" w:fill="FBFBFB"/>
        <w:tblLayout w:type="fixed"/>
        <w:tblCellMar>
          <w:top w:w="0" w:type="dxa"/>
          <w:left w:w="0" w:type="dxa"/>
          <w:bottom w:w="0" w:type="dxa"/>
          <w:right w:w="0" w:type="dxa"/>
        </w:tblCellMar>
      </w:tblPr>
      <w:tblGrid>
        <w:gridCol w:w="828"/>
        <w:gridCol w:w="2269"/>
        <w:gridCol w:w="1239"/>
        <w:gridCol w:w="3014"/>
        <w:gridCol w:w="1134"/>
      </w:tblGrid>
      <w:tr w14:paraId="2F5E4D40">
        <w:tblPrEx>
          <w:shd w:val="clear" w:color="auto" w:fill="FBFBFB"/>
          <w:tblCellMar>
            <w:top w:w="0" w:type="dxa"/>
            <w:left w:w="0" w:type="dxa"/>
            <w:bottom w:w="0" w:type="dxa"/>
            <w:right w:w="0" w:type="dxa"/>
          </w:tblCellMar>
        </w:tblPrEx>
        <w:trPr>
          <w:tblHeader/>
          <w:jc w:val="cent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1C427C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1E3428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B7AEF15">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01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45B9EBE5">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134"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0F0DD06">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169E9D3B">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99176AD">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DEC49C2">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379B6BB">
            <w:pPr>
              <w:spacing w:line="360" w:lineRule="auto"/>
              <w:jc w:val="center"/>
              <w:rPr>
                <w:rFonts w:ascii="宋体" w:hAnsi="宋体" w:cs="宋体"/>
                <w:color w:val="auto"/>
                <w:kern w:val="0"/>
                <w:sz w:val="24"/>
                <w:highlight w:val="none"/>
              </w:rPr>
            </w:pPr>
          </w:p>
        </w:tc>
        <w:tc>
          <w:tcPr>
            <w:tcW w:w="301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C798C1B">
            <w:pPr>
              <w:spacing w:line="360" w:lineRule="auto"/>
              <w:jc w:val="center"/>
              <w:rPr>
                <w:rFonts w:ascii="宋体" w:hAnsi="宋体" w:cs="宋体"/>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5D7811F">
            <w:pPr>
              <w:spacing w:line="360" w:lineRule="auto"/>
              <w:jc w:val="center"/>
              <w:rPr>
                <w:rFonts w:ascii="宋体" w:hAnsi="宋体" w:cs="宋体"/>
                <w:color w:val="auto"/>
                <w:kern w:val="0"/>
                <w:sz w:val="24"/>
                <w:highlight w:val="none"/>
              </w:rPr>
            </w:pPr>
          </w:p>
        </w:tc>
      </w:tr>
      <w:tr w14:paraId="0238E669">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B98A48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6964350">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408C8AB">
            <w:pPr>
              <w:spacing w:line="360" w:lineRule="auto"/>
              <w:jc w:val="center"/>
              <w:rPr>
                <w:rFonts w:ascii="宋体" w:hAnsi="宋体" w:cs="宋体"/>
                <w:color w:val="auto"/>
                <w:kern w:val="0"/>
                <w:sz w:val="24"/>
                <w:highlight w:val="none"/>
              </w:rPr>
            </w:pPr>
          </w:p>
        </w:tc>
        <w:tc>
          <w:tcPr>
            <w:tcW w:w="301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F9CC6A9">
            <w:pPr>
              <w:spacing w:line="360" w:lineRule="auto"/>
              <w:jc w:val="center"/>
              <w:rPr>
                <w:rFonts w:ascii="宋体" w:hAnsi="宋体" w:cs="宋体"/>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C3D8F2">
            <w:pPr>
              <w:spacing w:line="360" w:lineRule="auto"/>
              <w:jc w:val="center"/>
              <w:rPr>
                <w:rFonts w:ascii="宋体" w:hAnsi="宋体" w:cs="宋体"/>
                <w:color w:val="auto"/>
                <w:kern w:val="0"/>
                <w:sz w:val="24"/>
                <w:highlight w:val="none"/>
              </w:rPr>
            </w:pPr>
          </w:p>
        </w:tc>
      </w:tr>
      <w:tr w14:paraId="14D72BE9">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22B5274">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00B039">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EC88A22">
            <w:pPr>
              <w:spacing w:line="360" w:lineRule="auto"/>
              <w:jc w:val="center"/>
              <w:rPr>
                <w:rFonts w:ascii="宋体" w:hAnsi="宋体" w:cs="宋体"/>
                <w:color w:val="auto"/>
                <w:kern w:val="0"/>
                <w:sz w:val="24"/>
                <w:highlight w:val="none"/>
              </w:rPr>
            </w:pPr>
          </w:p>
        </w:tc>
        <w:tc>
          <w:tcPr>
            <w:tcW w:w="301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7CA6817">
            <w:pPr>
              <w:spacing w:line="360" w:lineRule="auto"/>
              <w:jc w:val="center"/>
              <w:rPr>
                <w:rFonts w:ascii="宋体" w:hAnsi="宋体" w:cs="宋体"/>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AC4AB85">
            <w:pPr>
              <w:spacing w:line="360" w:lineRule="auto"/>
              <w:jc w:val="center"/>
              <w:rPr>
                <w:rFonts w:ascii="宋体" w:hAnsi="宋体" w:cs="宋体"/>
                <w:color w:val="auto"/>
                <w:kern w:val="0"/>
                <w:sz w:val="24"/>
                <w:highlight w:val="none"/>
              </w:rPr>
            </w:pPr>
          </w:p>
        </w:tc>
      </w:tr>
      <w:tr w14:paraId="55A64810">
        <w:tblPrEx>
          <w:tblCellMar>
            <w:top w:w="0" w:type="dxa"/>
            <w:left w:w="0" w:type="dxa"/>
            <w:bottom w:w="0" w:type="dxa"/>
            <w:right w:w="0" w:type="dxa"/>
          </w:tblCellMar>
        </w:tblPrEx>
        <w:trPr>
          <w:jc w:val="center"/>
        </w:trPr>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2C6F06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5AA2926">
            <w:pPr>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9EBE515">
            <w:pPr>
              <w:spacing w:line="360" w:lineRule="auto"/>
              <w:jc w:val="center"/>
              <w:rPr>
                <w:rFonts w:ascii="宋体" w:hAnsi="宋体" w:cs="宋体"/>
                <w:color w:val="auto"/>
                <w:kern w:val="0"/>
                <w:sz w:val="24"/>
                <w:highlight w:val="none"/>
              </w:rPr>
            </w:pPr>
          </w:p>
        </w:tc>
        <w:tc>
          <w:tcPr>
            <w:tcW w:w="301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01ABF88">
            <w:pPr>
              <w:spacing w:line="360" w:lineRule="auto"/>
              <w:jc w:val="center"/>
              <w:rPr>
                <w:rFonts w:ascii="宋体" w:hAnsi="宋体" w:cs="宋体"/>
                <w:color w:val="auto"/>
                <w:kern w:val="0"/>
                <w:sz w:val="24"/>
                <w:highlight w:val="none"/>
              </w:rPr>
            </w:pPr>
          </w:p>
        </w:tc>
        <w:tc>
          <w:tcPr>
            <w:tcW w:w="1134"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A3A87A3">
            <w:pPr>
              <w:spacing w:line="360" w:lineRule="auto"/>
              <w:jc w:val="center"/>
              <w:rPr>
                <w:rFonts w:ascii="宋体" w:hAnsi="宋体" w:cs="宋体"/>
                <w:color w:val="auto"/>
                <w:kern w:val="0"/>
                <w:sz w:val="24"/>
                <w:highlight w:val="none"/>
              </w:rPr>
            </w:pPr>
          </w:p>
        </w:tc>
      </w:tr>
    </w:tbl>
    <w:p w14:paraId="321D214C">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3FAFE93B">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4B59D42">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095198D4">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olor w:val="auto"/>
          <w:sz w:val="24"/>
          <w:highlight w:val="none"/>
        </w:rPr>
        <w:t>”中填“无”。</w:t>
      </w:r>
    </w:p>
    <w:p w14:paraId="04852F1A">
      <w:pPr>
        <w:snapToGrid w:val="0"/>
        <w:spacing w:line="360" w:lineRule="auto"/>
        <w:jc w:val="left"/>
        <w:rPr>
          <w:rFonts w:ascii="宋体" w:hAnsi="宋体"/>
          <w:color w:val="auto"/>
          <w:sz w:val="24"/>
          <w:highlight w:val="none"/>
        </w:rPr>
      </w:pPr>
    </w:p>
    <w:p w14:paraId="2543D61F">
      <w:pPr>
        <w:snapToGrid w:val="0"/>
        <w:spacing w:line="360" w:lineRule="auto"/>
        <w:jc w:val="left"/>
        <w:rPr>
          <w:rFonts w:ascii="宋体" w:hAnsi="宋体"/>
          <w:color w:val="auto"/>
          <w:sz w:val="24"/>
          <w:highlight w:val="none"/>
        </w:rPr>
      </w:pPr>
    </w:p>
    <w:p w14:paraId="0A647FC5">
      <w:pPr>
        <w:snapToGrid w:val="0"/>
        <w:spacing w:line="360" w:lineRule="auto"/>
        <w:jc w:val="left"/>
        <w:rPr>
          <w:rFonts w:ascii="宋体" w:hAnsi="宋体"/>
          <w:color w:val="auto"/>
          <w:sz w:val="24"/>
          <w:highlight w:val="none"/>
        </w:rPr>
      </w:pPr>
    </w:p>
    <w:p w14:paraId="0164E72E">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33AB8BE5">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供应商名称（电子签章）：</w:t>
      </w:r>
    </w:p>
    <w:p w14:paraId="333BE6A8">
      <w:pPr>
        <w:snapToGrid w:val="0"/>
        <w:spacing w:line="360" w:lineRule="auto"/>
        <w:jc w:val="left"/>
        <w:rPr>
          <w:rFonts w:ascii="宋体" w:hAnsi="宋体"/>
          <w:color w:val="auto"/>
          <w:szCs w:val="21"/>
          <w:highlight w:val="none"/>
        </w:rPr>
      </w:pPr>
      <w:r>
        <w:rPr>
          <w:rFonts w:hint="eastAsia" w:ascii="宋体" w:hAnsi="宋体"/>
          <w:color w:val="auto"/>
          <w:sz w:val="24"/>
          <w:highlight w:val="none"/>
        </w:rPr>
        <w:t xml:space="preserve">                                    日期：    年   月   日</w:t>
      </w:r>
    </w:p>
    <w:p w14:paraId="009CED7E">
      <w:pPr>
        <w:snapToGrid w:val="0"/>
        <w:jc w:val="center"/>
        <w:rPr>
          <w:rFonts w:ascii="宋体" w:hAnsi="宋体"/>
          <w:b/>
          <w:color w:val="auto"/>
          <w:sz w:val="28"/>
          <w:szCs w:val="28"/>
          <w:highlight w:val="none"/>
        </w:rPr>
      </w:pPr>
    </w:p>
    <w:p w14:paraId="12903ABB">
      <w:pPr>
        <w:snapToGrid w:val="0"/>
        <w:spacing w:line="360" w:lineRule="auto"/>
        <w:jc w:val="left"/>
        <w:rPr>
          <w:rFonts w:ascii="宋体" w:hAnsi="宋体"/>
          <w:b/>
          <w:color w:val="auto"/>
          <w:sz w:val="32"/>
          <w:szCs w:val="32"/>
          <w:highlight w:val="none"/>
        </w:rPr>
      </w:pPr>
      <w:r>
        <w:rPr>
          <w:rFonts w:hint="eastAsia" w:ascii="宋体" w:hAnsi="宋体"/>
          <w:b/>
          <w:color w:val="auto"/>
          <w:sz w:val="32"/>
          <w:szCs w:val="32"/>
          <w:highlight w:val="none"/>
        </w:rPr>
        <w:br w:type="page"/>
      </w:r>
      <w:r>
        <w:rPr>
          <w:rFonts w:hint="eastAsia" w:ascii="宋体" w:hAnsi="宋体"/>
          <w:b/>
          <w:color w:val="auto"/>
          <w:sz w:val="24"/>
          <w:highlight w:val="none"/>
        </w:rPr>
        <w:t>4.</w:t>
      </w:r>
      <w:r>
        <w:rPr>
          <w:color w:val="auto"/>
          <w:highlight w:val="none"/>
        </w:rPr>
        <w:t xml:space="preserve"> </w:t>
      </w:r>
      <w:r>
        <w:rPr>
          <w:rFonts w:hint="eastAsia" w:ascii="宋体" w:hAnsi="宋体"/>
          <w:b/>
          <w:color w:val="auto"/>
          <w:sz w:val="28"/>
          <w:szCs w:val="28"/>
          <w:highlight w:val="none"/>
        </w:rPr>
        <w:t>供应商直接管理关系信息表</w:t>
      </w:r>
    </w:p>
    <w:p w14:paraId="5BE1015E">
      <w:pPr>
        <w:snapToGrid w:val="0"/>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供应商直接管理关系信息表</w:t>
      </w:r>
    </w:p>
    <w:tbl>
      <w:tblPr>
        <w:tblStyle w:val="31"/>
        <w:tblW w:w="8484" w:type="dxa"/>
        <w:jc w:val="center"/>
        <w:shd w:val="clear" w:color="auto" w:fill="FBFBFB"/>
        <w:tblLayout w:type="fixed"/>
        <w:tblCellMar>
          <w:top w:w="0" w:type="dxa"/>
          <w:left w:w="0" w:type="dxa"/>
          <w:bottom w:w="0" w:type="dxa"/>
          <w:right w:w="0" w:type="dxa"/>
        </w:tblCellMar>
      </w:tblPr>
      <w:tblGrid>
        <w:gridCol w:w="1005"/>
        <w:gridCol w:w="2659"/>
        <w:gridCol w:w="3119"/>
        <w:gridCol w:w="1701"/>
      </w:tblGrid>
      <w:tr w14:paraId="143C0288">
        <w:tblPrEx>
          <w:shd w:val="clear" w:color="auto" w:fill="FBFBFB"/>
          <w:tblCellMar>
            <w:top w:w="0" w:type="dxa"/>
            <w:left w:w="0" w:type="dxa"/>
            <w:bottom w:w="0" w:type="dxa"/>
            <w:right w:w="0" w:type="dxa"/>
          </w:tblCellMar>
        </w:tblPrEx>
        <w:trPr>
          <w:tblHeader/>
          <w:jc w:val="center"/>
        </w:trPr>
        <w:tc>
          <w:tcPr>
            <w:tcW w:w="1005"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0263FD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9AC9F5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11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58E21EF5">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701"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1F3AC0A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954D9E3">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EA92686">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310976C">
            <w:pPr>
              <w:spacing w:line="360" w:lineRule="auto"/>
              <w:jc w:val="center"/>
              <w:rPr>
                <w:rFonts w:ascii="宋体" w:hAnsi="宋体" w:cs="宋体"/>
                <w:color w:val="auto"/>
                <w:kern w:val="0"/>
                <w:sz w:val="24"/>
                <w:highlight w:val="none"/>
              </w:rPr>
            </w:pPr>
          </w:p>
        </w:tc>
        <w:tc>
          <w:tcPr>
            <w:tcW w:w="311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610DC69">
            <w:pPr>
              <w:spacing w:line="360" w:lineRule="auto"/>
              <w:jc w:val="center"/>
              <w:rPr>
                <w:rFonts w:ascii="宋体" w:hAnsi="宋体" w:cs="宋体"/>
                <w:color w:val="auto"/>
                <w:kern w:val="0"/>
                <w:sz w:val="24"/>
                <w:highlight w:val="none"/>
              </w:rPr>
            </w:pPr>
          </w:p>
        </w:tc>
        <w:tc>
          <w:tcPr>
            <w:tcW w:w="170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00E6562">
            <w:pPr>
              <w:spacing w:line="360" w:lineRule="auto"/>
              <w:jc w:val="center"/>
              <w:rPr>
                <w:rFonts w:ascii="宋体" w:hAnsi="宋体" w:cs="宋体"/>
                <w:color w:val="auto"/>
                <w:kern w:val="0"/>
                <w:sz w:val="24"/>
                <w:highlight w:val="none"/>
              </w:rPr>
            </w:pPr>
          </w:p>
        </w:tc>
      </w:tr>
      <w:tr w14:paraId="56002A28">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69AA60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C94DA94">
            <w:pPr>
              <w:spacing w:line="360" w:lineRule="auto"/>
              <w:jc w:val="center"/>
              <w:rPr>
                <w:rFonts w:ascii="宋体" w:hAnsi="宋体" w:cs="宋体"/>
                <w:color w:val="auto"/>
                <w:kern w:val="0"/>
                <w:sz w:val="24"/>
                <w:highlight w:val="none"/>
              </w:rPr>
            </w:pPr>
          </w:p>
        </w:tc>
        <w:tc>
          <w:tcPr>
            <w:tcW w:w="311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26CF86B">
            <w:pPr>
              <w:spacing w:line="360" w:lineRule="auto"/>
              <w:jc w:val="center"/>
              <w:rPr>
                <w:rFonts w:ascii="宋体" w:hAnsi="宋体" w:cs="宋体"/>
                <w:color w:val="auto"/>
                <w:kern w:val="0"/>
                <w:sz w:val="24"/>
                <w:highlight w:val="none"/>
              </w:rPr>
            </w:pPr>
          </w:p>
        </w:tc>
        <w:tc>
          <w:tcPr>
            <w:tcW w:w="170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26AFB9B">
            <w:pPr>
              <w:spacing w:line="360" w:lineRule="auto"/>
              <w:jc w:val="center"/>
              <w:rPr>
                <w:rFonts w:ascii="宋体" w:hAnsi="宋体" w:cs="宋体"/>
                <w:color w:val="auto"/>
                <w:kern w:val="0"/>
                <w:sz w:val="24"/>
                <w:highlight w:val="none"/>
              </w:rPr>
            </w:pPr>
          </w:p>
        </w:tc>
      </w:tr>
      <w:tr w14:paraId="26719EFD">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16D4D2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D228F76">
            <w:pPr>
              <w:spacing w:line="360" w:lineRule="auto"/>
              <w:jc w:val="center"/>
              <w:rPr>
                <w:rFonts w:ascii="宋体" w:hAnsi="宋体" w:cs="宋体"/>
                <w:color w:val="auto"/>
                <w:kern w:val="0"/>
                <w:sz w:val="24"/>
                <w:highlight w:val="none"/>
              </w:rPr>
            </w:pPr>
          </w:p>
        </w:tc>
        <w:tc>
          <w:tcPr>
            <w:tcW w:w="311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B44EC71">
            <w:pPr>
              <w:spacing w:line="360" w:lineRule="auto"/>
              <w:jc w:val="center"/>
              <w:rPr>
                <w:rFonts w:ascii="宋体" w:hAnsi="宋体" w:cs="宋体"/>
                <w:color w:val="auto"/>
                <w:kern w:val="0"/>
                <w:sz w:val="24"/>
                <w:highlight w:val="none"/>
              </w:rPr>
            </w:pPr>
          </w:p>
        </w:tc>
        <w:tc>
          <w:tcPr>
            <w:tcW w:w="170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8C5D9E8">
            <w:pPr>
              <w:spacing w:line="360" w:lineRule="auto"/>
              <w:jc w:val="center"/>
              <w:rPr>
                <w:rFonts w:ascii="宋体" w:hAnsi="宋体" w:cs="宋体"/>
                <w:color w:val="auto"/>
                <w:kern w:val="0"/>
                <w:sz w:val="24"/>
                <w:highlight w:val="none"/>
              </w:rPr>
            </w:pPr>
          </w:p>
        </w:tc>
      </w:tr>
      <w:tr w14:paraId="372D0D92">
        <w:tblPrEx>
          <w:tblCellMar>
            <w:top w:w="0" w:type="dxa"/>
            <w:left w:w="0" w:type="dxa"/>
            <w:bottom w:w="0" w:type="dxa"/>
            <w:right w:w="0" w:type="dxa"/>
          </w:tblCellMar>
        </w:tblPrEx>
        <w:trPr>
          <w:jc w:val="center"/>
        </w:trPr>
        <w:tc>
          <w:tcPr>
            <w:tcW w:w="1005"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DF3D40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3C5CE04">
            <w:pPr>
              <w:spacing w:line="360" w:lineRule="auto"/>
              <w:jc w:val="center"/>
              <w:rPr>
                <w:rFonts w:ascii="宋体" w:hAnsi="宋体" w:cs="宋体"/>
                <w:color w:val="auto"/>
                <w:kern w:val="0"/>
                <w:sz w:val="24"/>
                <w:highlight w:val="none"/>
              </w:rPr>
            </w:pPr>
          </w:p>
        </w:tc>
        <w:tc>
          <w:tcPr>
            <w:tcW w:w="311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90289E1">
            <w:pPr>
              <w:spacing w:line="360" w:lineRule="auto"/>
              <w:jc w:val="center"/>
              <w:rPr>
                <w:rFonts w:ascii="宋体" w:hAnsi="宋体" w:cs="宋体"/>
                <w:color w:val="auto"/>
                <w:kern w:val="0"/>
                <w:sz w:val="24"/>
                <w:highlight w:val="none"/>
              </w:rPr>
            </w:pPr>
          </w:p>
        </w:tc>
        <w:tc>
          <w:tcPr>
            <w:tcW w:w="1701"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567084">
            <w:pPr>
              <w:spacing w:line="360" w:lineRule="auto"/>
              <w:jc w:val="center"/>
              <w:rPr>
                <w:rFonts w:ascii="宋体" w:hAnsi="宋体" w:cs="宋体"/>
                <w:color w:val="auto"/>
                <w:kern w:val="0"/>
                <w:sz w:val="24"/>
                <w:highlight w:val="none"/>
              </w:rPr>
            </w:pPr>
          </w:p>
        </w:tc>
      </w:tr>
    </w:tbl>
    <w:p w14:paraId="5591A367">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247AA2EA">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2AB70AE">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2EFA6155">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olor w:val="auto"/>
          <w:sz w:val="24"/>
          <w:highlight w:val="none"/>
        </w:rPr>
        <w:t>”中填“无”。</w:t>
      </w:r>
    </w:p>
    <w:p w14:paraId="6B112FDB">
      <w:pPr>
        <w:snapToGrid w:val="0"/>
        <w:spacing w:line="360" w:lineRule="auto"/>
        <w:jc w:val="left"/>
        <w:rPr>
          <w:rFonts w:ascii="宋体" w:hAnsi="宋体"/>
          <w:color w:val="auto"/>
          <w:sz w:val="24"/>
          <w:highlight w:val="none"/>
        </w:rPr>
      </w:pPr>
    </w:p>
    <w:p w14:paraId="6D2E85C7">
      <w:pPr>
        <w:snapToGrid w:val="0"/>
        <w:spacing w:line="360" w:lineRule="auto"/>
        <w:jc w:val="left"/>
        <w:rPr>
          <w:rFonts w:ascii="宋体" w:hAnsi="宋体"/>
          <w:color w:val="auto"/>
          <w:sz w:val="24"/>
          <w:highlight w:val="none"/>
        </w:rPr>
      </w:pPr>
    </w:p>
    <w:p w14:paraId="32E9A4DF">
      <w:pPr>
        <w:snapToGrid w:val="0"/>
        <w:spacing w:line="360" w:lineRule="auto"/>
        <w:jc w:val="left"/>
        <w:rPr>
          <w:rFonts w:ascii="宋体" w:hAnsi="宋体"/>
          <w:color w:val="auto"/>
          <w:sz w:val="24"/>
          <w:highlight w:val="none"/>
        </w:rPr>
      </w:pPr>
    </w:p>
    <w:p w14:paraId="15FDE171">
      <w:pPr>
        <w:snapToGrid w:val="0"/>
        <w:spacing w:line="360" w:lineRule="auto"/>
        <w:jc w:val="left"/>
        <w:rPr>
          <w:color w:val="auto"/>
          <w:sz w:val="24"/>
          <w:highlight w:val="none"/>
        </w:rPr>
      </w:pPr>
    </w:p>
    <w:p w14:paraId="74DF340D">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0EBB7809">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供应商名称（电子签章）：</w:t>
      </w:r>
    </w:p>
    <w:p w14:paraId="53BD8B1C">
      <w:pPr>
        <w:snapToGrid w:val="0"/>
        <w:spacing w:line="360" w:lineRule="auto"/>
        <w:ind w:right="480" w:firstLine="240" w:firstLineChars="100"/>
        <w:jc w:val="left"/>
        <w:rPr>
          <w:rFonts w:ascii="宋体" w:hAnsi="宋体"/>
          <w:color w:val="auto"/>
          <w:szCs w:val="21"/>
          <w:highlight w:val="none"/>
        </w:rPr>
      </w:pPr>
      <w:r>
        <w:rPr>
          <w:rFonts w:hint="eastAsia" w:ascii="宋体" w:hAnsi="宋体"/>
          <w:color w:val="auto"/>
          <w:sz w:val="24"/>
          <w:highlight w:val="none"/>
        </w:rPr>
        <w:t xml:space="preserve">                                日期：    年   月   日</w:t>
      </w:r>
    </w:p>
    <w:p w14:paraId="2B5AB088">
      <w:pPr>
        <w:spacing w:line="320" w:lineRule="exact"/>
        <w:jc w:val="left"/>
        <w:rPr>
          <w:rFonts w:ascii="宋体" w:hAnsi="宋体" w:cs="宋体"/>
          <w:b/>
          <w:bCs/>
          <w:color w:val="auto"/>
          <w:kern w:val="0"/>
          <w:sz w:val="28"/>
          <w:szCs w:val="28"/>
          <w:highlight w:val="none"/>
        </w:rPr>
        <w:sectPr>
          <w:pgSz w:w="11911" w:h="16838"/>
          <w:pgMar w:top="1134" w:right="1134" w:bottom="1134" w:left="1134" w:header="720" w:footer="720" w:gutter="0"/>
          <w:cols w:space="720" w:num="1"/>
        </w:sectPr>
      </w:pPr>
    </w:p>
    <w:p w14:paraId="4A6DF96B">
      <w:pPr>
        <w:spacing w:line="320" w:lineRule="exact"/>
        <w:jc w:val="left"/>
        <w:rPr>
          <w:rFonts w:ascii="宋体" w:hAnsi="宋体" w:cs="宋体"/>
          <w:b/>
          <w:bCs/>
          <w:color w:val="auto"/>
          <w:sz w:val="28"/>
          <w:szCs w:val="28"/>
          <w:highlight w:val="none"/>
        </w:rPr>
      </w:pPr>
      <w:r>
        <w:rPr>
          <w:rFonts w:hint="eastAsia" w:ascii="宋体" w:hAnsi="宋体" w:cs="宋体"/>
          <w:b/>
          <w:bCs/>
          <w:color w:val="auto"/>
          <w:kern w:val="0"/>
          <w:sz w:val="28"/>
          <w:szCs w:val="28"/>
          <w:highlight w:val="none"/>
        </w:rPr>
        <w:t>5.声明函的格式：</w:t>
      </w:r>
    </w:p>
    <w:p w14:paraId="4346FFA3">
      <w:pPr>
        <w:spacing w:line="320" w:lineRule="exact"/>
        <w:jc w:val="center"/>
        <w:rPr>
          <w:b/>
          <w:color w:val="auto"/>
          <w:sz w:val="32"/>
          <w:szCs w:val="32"/>
          <w:highlight w:val="none"/>
        </w:rPr>
      </w:pPr>
    </w:p>
    <w:p w14:paraId="4FFB3B69">
      <w:pPr>
        <w:spacing w:line="320" w:lineRule="exact"/>
        <w:jc w:val="center"/>
        <w:rPr>
          <w:b/>
          <w:color w:val="auto"/>
          <w:sz w:val="32"/>
          <w:szCs w:val="32"/>
          <w:highlight w:val="none"/>
        </w:rPr>
      </w:pPr>
      <w:r>
        <w:rPr>
          <w:rFonts w:hint="eastAsia"/>
          <w:b/>
          <w:color w:val="auto"/>
          <w:sz w:val="32"/>
          <w:szCs w:val="32"/>
          <w:highlight w:val="none"/>
        </w:rPr>
        <w:t>声明函</w:t>
      </w:r>
    </w:p>
    <w:p w14:paraId="12956A62">
      <w:pPr>
        <w:spacing w:line="320" w:lineRule="exact"/>
        <w:jc w:val="center"/>
        <w:rPr>
          <w:color w:val="auto"/>
          <w:sz w:val="24"/>
          <w:szCs w:val="20"/>
          <w:highlight w:val="none"/>
        </w:rPr>
      </w:pPr>
    </w:p>
    <w:p w14:paraId="5100B0E1">
      <w:pPr>
        <w:spacing w:line="400" w:lineRule="exact"/>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（采购代理机构名称）</w:t>
      </w:r>
      <w:r>
        <w:rPr>
          <w:rFonts w:hint="eastAsia" w:ascii="宋体" w:hAnsi="宋体" w:cs="宋体"/>
          <w:color w:val="auto"/>
          <w:sz w:val="24"/>
          <w:highlight w:val="none"/>
        </w:rPr>
        <w:t>：</w:t>
      </w:r>
    </w:p>
    <w:p w14:paraId="11BAB218">
      <w:pPr>
        <w:spacing w:line="400" w:lineRule="exact"/>
        <w:ind w:firstLine="480" w:firstLineChars="200"/>
        <w:contextualSpacing/>
        <w:rPr>
          <w:rFonts w:ascii="宋体" w:hAnsi="宋体" w:cs="宋体"/>
          <w:color w:val="auto"/>
          <w:sz w:val="24"/>
          <w:highlight w:val="none"/>
        </w:rPr>
      </w:pPr>
      <w:r>
        <w:rPr>
          <w:rFonts w:hint="eastAsia" w:ascii="宋体" w:hAnsi="宋体" w:cs="宋体"/>
          <w:i/>
          <w:iCs/>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C87A1D9">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i/>
          <w:iCs/>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75F25571">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0833453B">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7C7FE304">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4690D846">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25832E5F">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（2）已详细审查磋商文件的全部内容，包括澄清或者更正公告（如有）；</w:t>
      </w:r>
    </w:p>
    <w:p w14:paraId="54206CD4">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692D2C5D">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w:t>
      </w:r>
    </w:p>
    <w:p w14:paraId="006EB76E">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根据《中华人民共和国政府采购法实施条例》第五十条要求对政府采购合同进行公告，但政府采购合同中涉及国家秘密、商业秘密的内容除外。我方就对本次响应文件进行注明如下：（两项内容中必须选择一项）</w:t>
      </w:r>
    </w:p>
    <w:p w14:paraId="283C1608">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5D2EF62B">
      <w:pPr>
        <w:spacing w:line="400" w:lineRule="exact"/>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0307BFB">
      <w:pPr>
        <w:pStyle w:val="18"/>
        <w:tabs>
          <w:tab w:val="left" w:pos="939"/>
        </w:tabs>
        <w:spacing w:line="400" w:lineRule="exact"/>
        <w:ind w:left="0" w:leftChars="0" w:firstLine="480" w:firstLineChars="200"/>
        <w:rPr>
          <w:rFonts w:ascii="宋体" w:hAnsi="宋体" w:cs="宋体"/>
          <w:color w:val="auto"/>
          <w:sz w:val="24"/>
          <w:highlight w:val="none"/>
        </w:rPr>
      </w:pPr>
      <w:r>
        <w:rPr>
          <w:rFonts w:hint="eastAsia" w:ascii="宋体" w:hAnsi="宋体" w:cs="宋体"/>
          <w:color w:val="auto"/>
          <w:kern w:val="0"/>
          <w:sz w:val="24"/>
          <w:highlight w:val="none"/>
        </w:rPr>
        <w:t>6.</w:t>
      </w:r>
      <w:r>
        <w:rPr>
          <w:rFonts w:hint="eastAsia" w:ascii="宋体" w:hAnsi="宋体" w:cs="宋体"/>
          <w:color w:val="auto"/>
          <w:sz w:val="24"/>
          <w:highlight w:val="none"/>
        </w:rPr>
        <w:t>以上事项如有虚假或者隐瞒，我方愿意承担一切后果，并不再寻求任何旨在减轻或者免除法律责任的辩解。</w:t>
      </w:r>
    </w:p>
    <w:p w14:paraId="7D826191">
      <w:pPr>
        <w:pStyle w:val="18"/>
        <w:tabs>
          <w:tab w:val="left" w:pos="939"/>
        </w:tabs>
        <w:spacing w:line="400" w:lineRule="exact"/>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39D2885A">
      <w:pPr>
        <w:pStyle w:val="18"/>
        <w:tabs>
          <w:tab w:val="left" w:pos="939"/>
        </w:tabs>
        <w:spacing w:line="400" w:lineRule="exact"/>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注：如为联合体竞标，盖章处须加盖联合体各方公章，否则其响应文件按无效响应处理。</w:t>
      </w:r>
    </w:p>
    <w:p w14:paraId="1E0E0CCE">
      <w:pPr>
        <w:pStyle w:val="18"/>
        <w:tabs>
          <w:tab w:val="left" w:pos="939"/>
        </w:tabs>
        <w:spacing w:line="400" w:lineRule="exact"/>
        <w:ind w:left="0" w:leftChars="0" w:firstLine="480" w:firstLineChars="200"/>
        <w:rPr>
          <w:rFonts w:ascii="宋体" w:hAnsi="宋体" w:cs="宋体"/>
          <w:color w:val="auto"/>
          <w:sz w:val="24"/>
          <w:highlight w:val="none"/>
        </w:rPr>
      </w:pPr>
    </w:p>
    <w:p w14:paraId="079B3ECC">
      <w:pPr>
        <w:autoSpaceDE w:val="0"/>
        <w:autoSpaceDN w:val="0"/>
        <w:ind w:left="4365" w:leftChars="1850" w:hanging="480" w:hangingChars="200"/>
        <w:rPr>
          <w:rFonts w:ascii="宋体" w:hAnsi="宋体" w:cs="宋体"/>
          <w:color w:val="auto"/>
          <w:kern w:val="0"/>
          <w:sz w:val="24"/>
          <w:highlight w:val="none"/>
        </w:rPr>
      </w:pPr>
    </w:p>
    <w:p w14:paraId="28EB1A08">
      <w:pPr>
        <w:autoSpaceDE w:val="0"/>
        <w:autoSpaceDN w:val="0"/>
        <w:ind w:left="4365" w:leftChars="1850" w:hanging="480" w:hangingChars="200"/>
        <w:rPr>
          <w:rFonts w:ascii="宋体" w:hAnsi="宋体" w:cs="宋体"/>
          <w:color w:val="auto"/>
          <w:kern w:val="0"/>
          <w:sz w:val="24"/>
          <w:highlight w:val="none"/>
        </w:rPr>
      </w:pPr>
    </w:p>
    <w:p w14:paraId="2E9E0C1D">
      <w:pPr>
        <w:autoSpaceDE w:val="0"/>
        <w:autoSpaceDN w:val="0"/>
        <w:spacing w:line="360" w:lineRule="auto"/>
        <w:ind w:left="4365" w:leftChars="1850" w:hanging="480" w:hangingChars="200"/>
        <w:rPr>
          <w:rFonts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4B58881C">
      <w:pPr>
        <w:autoSpaceDE w:val="0"/>
        <w:autoSpaceDN w:val="0"/>
        <w:spacing w:line="360" w:lineRule="auto"/>
        <w:ind w:firstLine="6120" w:firstLineChars="2550"/>
        <w:rPr>
          <w:rFonts w:ascii="宋体" w:hAnsi="宋体" w:cs="宋体"/>
          <w:color w:val="auto"/>
          <w:kern w:val="0"/>
          <w:sz w:val="24"/>
          <w:highlight w:val="none"/>
          <w:lang w:val="zh-CN"/>
        </w:rPr>
        <w:sectPr>
          <w:pgSz w:w="11911" w:h="16838"/>
          <w:pgMar w:top="1134" w:right="1134" w:bottom="1134" w:left="1134" w:header="720" w:footer="720" w:gutter="0"/>
          <w:cols w:space="720" w:num="1"/>
        </w:sectPr>
      </w:pPr>
      <w:r>
        <w:rPr>
          <w:rFonts w:hint="eastAsia" w:ascii="宋体" w:hAnsi="宋体" w:cs="宋体"/>
          <w:color w:val="auto"/>
          <w:kern w:val="0"/>
          <w:sz w:val="24"/>
          <w:highlight w:val="none"/>
          <w:lang w:val="zh-CN"/>
        </w:rPr>
        <w:t>日期：  年  月   日</w:t>
      </w:r>
    </w:p>
    <w:p w14:paraId="155AEC70">
      <w:pPr>
        <w:pStyle w:val="8"/>
        <w:overflowPunct w:val="0"/>
        <w:spacing w:line="520" w:lineRule="exact"/>
        <w:ind w:firstLine="0"/>
        <w:rPr>
          <w:rFonts w:ascii="宋体" w:hAnsi="宋体" w:cs="宋体"/>
          <w:b/>
          <w:bCs/>
          <w:color w:val="auto"/>
          <w:sz w:val="28"/>
          <w:szCs w:val="28"/>
          <w:highlight w:val="none"/>
        </w:rPr>
      </w:pPr>
      <w:r>
        <w:rPr>
          <w:rFonts w:hint="eastAsia" w:ascii="宋体" w:hAnsi="宋体" w:cs="宋体"/>
          <w:b/>
          <w:color w:val="auto"/>
          <w:kern w:val="0"/>
          <w:sz w:val="28"/>
          <w:szCs w:val="28"/>
          <w:highlight w:val="none"/>
        </w:rPr>
        <w:t>6.联合体竞标协议书的格式：</w:t>
      </w:r>
    </w:p>
    <w:p w14:paraId="1480D2D8">
      <w:pPr>
        <w:spacing w:line="600" w:lineRule="exact"/>
        <w:jc w:val="center"/>
        <w:rPr>
          <w:rFonts w:ascii="方正小标宋简体" w:hAnsi="方正小标宋简体" w:eastAsia="方正小标宋简体" w:cs="方正小标宋简体"/>
          <w:color w:val="auto"/>
          <w:sz w:val="44"/>
          <w:szCs w:val="44"/>
          <w:highlight w:val="none"/>
        </w:rPr>
      </w:pPr>
    </w:p>
    <w:p w14:paraId="12159053">
      <w:pPr>
        <w:spacing w:line="60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联合体竞标协议书</w:t>
      </w:r>
    </w:p>
    <w:p w14:paraId="6603DEF7">
      <w:pPr>
        <w:autoSpaceDE w:val="0"/>
        <w:autoSpaceDN w:val="0"/>
        <w:adjustRightInd w:val="0"/>
        <w:spacing w:line="360" w:lineRule="auto"/>
        <w:jc w:val="left"/>
        <w:rPr>
          <w:rFonts w:hAnsi="Calibri" w:cs="宋体"/>
          <w:color w:val="auto"/>
          <w:kern w:val="0"/>
          <w:szCs w:val="21"/>
          <w:highlight w:val="none"/>
          <w:u w:val="single"/>
        </w:rPr>
      </w:pPr>
    </w:p>
    <w:p w14:paraId="7762F146">
      <w:pPr>
        <w:autoSpaceDE w:val="0"/>
        <w:autoSpaceDN w:val="0"/>
        <w:adjustRightInd w:val="0"/>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（所有成员单位名称）自愿组成联合体，共同参加</w:t>
      </w:r>
      <w:r>
        <w:rPr>
          <w:rFonts w:hint="eastAsia" w:ascii="宋体" w:hAnsi="宋体" w:cs="宋体"/>
          <w:color w:val="auto"/>
          <w:kern w:val="0"/>
          <w:sz w:val="24"/>
          <w:highlight w:val="none"/>
          <w:u w:val="single"/>
        </w:rPr>
        <w:t xml:space="preserve">     </w:t>
      </w:r>
      <w:r>
        <w:rPr>
          <w:rFonts w:hint="eastAsia" w:ascii="宋体" w:hAnsi="宋体" w:cs="宋体"/>
          <w:i/>
          <w:iCs/>
          <w:color w:val="auto"/>
          <w:kern w:val="0"/>
          <w:sz w:val="24"/>
          <w:highlight w:val="none"/>
          <w:u w:val="single"/>
        </w:rPr>
        <w:t>（采购代理机构名称）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组织的</w:t>
      </w:r>
      <w:r>
        <w:rPr>
          <w:rFonts w:hint="eastAsia" w:ascii="宋体" w:hAnsi="宋体" w:cs="宋体"/>
          <w:color w:val="auto"/>
          <w:kern w:val="0"/>
          <w:sz w:val="24"/>
          <w:highlight w:val="none"/>
          <w:u w:val="single"/>
        </w:rPr>
        <w:t xml:space="preserve">        </w:t>
      </w:r>
      <w:r>
        <w:rPr>
          <w:rFonts w:hint="eastAsia" w:ascii="宋体" w:hAnsi="宋体" w:cs="宋体"/>
          <w:i/>
          <w:iCs/>
          <w:color w:val="auto"/>
          <w:kern w:val="0"/>
          <w:sz w:val="24"/>
          <w:highlight w:val="none"/>
          <w:u w:val="single"/>
        </w:rPr>
        <w:t xml:space="preserve"> （项目名称）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（项目编号：</w:t>
      </w:r>
      <w:r>
        <w:rPr>
          <w:rFonts w:hint="eastAsia" w:ascii="宋体" w:hAnsi="宋体" w:cs="宋体"/>
          <w:i/>
          <w:iCs/>
          <w:color w:val="auto"/>
          <w:kern w:val="0"/>
          <w:sz w:val="24"/>
          <w:highlight w:val="none"/>
          <w:u w:val="single"/>
        </w:rPr>
        <w:t>（项目编号）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）竞争性磋商采购。现就联合体竞标事宜订立如下协议：</w:t>
      </w:r>
    </w:p>
    <w:p w14:paraId="17109B20">
      <w:pPr>
        <w:autoSpaceDE w:val="0"/>
        <w:autoSpaceDN w:val="0"/>
        <w:adjustRightInd w:val="0"/>
        <w:spacing w:line="360" w:lineRule="exact"/>
        <w:ind w:firstLine="420"/>
        <w:jc w:val="left"/>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（某成员单位名称）为联合体名称牵头人。</w:t>
      </w:r>
    </w:p>
    <w:p w14:paraId="46DC6EC2">
      <w:pPr>
        <w:autoSpaceDE w:val="0"/>
        <w:autoSpaceDN w:val="0"/>
        <w:adjustRightInd w:val="0"/>
        <w:spacing w:line="360" w:lineRule="exact"/>
        <w:ind w:firstLine="420"/>
        <w:jc w:val="left"/>
        <w:rPr>
          <w:rFonts w:ascii="宋体" w:hAnsi="宋体" w:cs="宋体"/>
          <w:color w:val="auto"/>
          <w:kern w:val="0"/>
          <w:sz w:val="24"/>
          <w:highlight w:val="none"/>
        </w:rPr>
      </w:pPr>
      <w:r>
        <w:rPr>
          <w:rFonts w:hint="eastAsia" w:ascii="宋体" w:hAnsi="宋体" w:cs="宋体"/>
          <w:color w:val="auto"/>
          <w:kern w:val="0"/>
          <w:sz w:val="24"/>
          <w:highlight w:val="none"/>
        </w:rPr>
        <w:t>2、联合体牵头人合法代表联合体各成员负责本磋商项目响应文件编制和合同谈判活动，并代表联合体提交和接收相关的资料、信息及指示，并处理与之有关的一切事务，负责合同实施阶段的主办、组织和协调工作。</w:t>
      </w:r>
    </w:p>
    <w:p w14:paraId="617CC764">
      <w:pPr>
        <w:autoSpaceDE w:val="0"/>
        <w:autoSpaceDN w:val="0"/>
        <w:adjustRightInd w:val="0"/>
        <w:spacing w:line="360" w:lineRule="exact"/>
        <w:ind w:firstLine="420"/>
        <w:jc w:val="left"/>
        <w:rPr>
          <w:rFonts w:ascii="宋体" w:hAnsi="宋体" w:cs="宋体"/>
          <w:color w:val="auto"/>
          <w:kern w:val="0"/>
          <w:sz w:val="24"/>
          <w:highlight w:val="none"/>
        </w:rPr>
      </w:pPr>
      <w:r>
        <w:rPr>
          <w:rFonts w:hint="eastAsia" w:ascii="宋体" w:hAnsi="宋体" w:cs="宋体"/>
          <w:color w:val="auto"/>
          <w:kern w:val="0"/>
          <w:sz w:val="24"/>
          <w:highlight w:val="none"/>
        </w:rPr>
        <w:t>3、联合体牵头人在本项目中签署和盖章的一切文件和处理的一切事宜，联合体各成员均予以承认。 联合体各成员将严格按照磋商文件、响应文件和合同的要求全面履行义务，并向采购人承担连带责任。</w:t>
      </w:r>
    </w:p>
    <w:p w14:paraId="6CBD6E88">
      <w:pPr>
        <w:autoSpaceDE w:val="0"/>
        <w:autoSpaceDN w:val="0"/>
        <w:adjustRightInd w:val="0"/>
        <w:spacing w:line="360" w:lineRule="exact"/>
        <w:ind w:left="479" w:leftChars="228"/>
        <w:jc w:val="left"/>
        <w:rPr>
          <w:rFonts w:ascii="宋体" w:hAnsi="宋体" w:cs="宋体"/>
          <w:color w:val="auto"/>
          <w:kern w:val="0"/>
          <w:sz w:val="24"/>
          <w:highlight w:val="none"/>
        </w:rPr>
      </w:pPr>
      <w:r>
        <w:rPr>
          <w:rFonts w:hint="eastAsia" w:ascii="宋体" w:hAnsi="宋体" w:cs="宋体"/>
          <w:color w:val="auto"/>
          <w:kern w:val="0"/>
          <w:sz w:val="24"/>
          <w:highlight w:val="none"/>
        </w:rPr>
        <w:t>4、联合体各成员单位内部的职责分工如下：</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40699F1E">
      <w:pPr>
        <w:spacing w:line="3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5、本联合体中，</w:t>
      </w:r>
      <w:r>
        <w:rPr>
          <w:rFonts w:hint="eastAsia" w:ascii="宋体" w:hAnsi="宋体" w:cs="宋体"/>
          <w:color w:val="auto"/>
          <w:kern w:val="0"/>
          <w:sz w:val="24"/>
          <w:highlight w:val="none"/>
          <w:u w:val="single"/>
        </w:rPr>
        <w:t xml:space="preserve">                         （某成员单位名称）为       </w:t>
      </w:r>
      <w:r>
        <w:rPr>
          <w:rFonts w:hint="eastAsia" w:ascii="宋体" w:hAnsi="宋体" w:cs="宋体"/>
          <w:color w:val="auto"/>
          <w:kern w:val="0"/>
          <w:sz w:val="24"/>
          <w:highlight w:val="none"/>
        </w:rPr>
        <w:t>（请填写：中型、小型、微型）企业，其协议合同金额占联合体协议合同总金额的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%。【如联合体成员中有小型、微型企业的，请填写此条，否则无需填写；如联合体成员中有多个小型、微型企业的，请逐一列出】</w:t>
      </w:r>
    </w:p>
    <w:p w14:paraId="4C0DC804">
      <w:pPr>
        <w:autoSpaceDE w:val="0"/>
        <w:autoSpaceDN w:val="0"/>
        <w:adjustRightInd w:val="0"/>
        <w:spacing w:line="360" w:lineRule="exact"/>
        <w:ind w:firstLine="420"/>
        <w:jc w:val="left"/>
        <w:rPr>
          <w:rFonts w:ascii="宋体" w:hAnsi="宋体" w:cs="宋体"/>
          <w:color w:val="auto"/>
          <w:kern w:val="0"/>
          <w:sz w:val="24"/>
          <w:highlight w:val="none"/>
        </w:rPr>
      </w:pPr>
      <w:r>
        <w:rPr>
          <w:rFonts w:hint="eastAsia" w:ascii="宋体" w:hAnsi="宋体" w:cs="宋体"/>
          <w:color w:val="auto"/>
          <w:kern w:val="0"/>
          <w:sz w:val="24"/>
          <w:highlight w:val="none"/>
        </w:rPr>
        <w:t>6、本协议书自签署之日起生效，合同履行完毕后自动失效。</w:t>
      </w:r>
    </w:p>
    <w:p w14:paraId="55FC1211">
      <w:pPr>
        <w:autoSpaceDE w:val="0"/>
        <w:autoSpaceDN w:val="0"/>
        <w:adjustRightInd w:val="0"/>
        <w:spacing w:line="360" w:lineRule="exact"/>
        <w:ind w:firstLine="420"/>
        <w:jc w:val="left"/>
        <w:rPr>
          <w:rFonts w:ascii="宋体" w:hAnsi="宋体" w:cs="宋体"/>
          <w:color w:val="auto"/>
          <w:kern w:val="0"/>
          <w:sz w:val="24"/>
          <w:highlight w:val="none"/>
        </w:rPr>
      </w:pPr>
      <w:r>
        <w:rPr>
          <w:rFonts w:hint="eastAsia" w:ascii="宋体" w:hAnsi="宋体" w:cs="宋体"/>
          <w:color w:val="auto"/>
          <w:kern w:val="0"/>
          <w:sz w:val="24"/>
          <w:highlight w:val="none"/>
        </w:rPr>
        <w:t>7、本协议书一式</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份，联合体成员和采购代理机构各执一份。</w:t>
      </w:r>
    </w:p>
    <w:p w14:paraId="5D2ED27E">
      <w:pPr>
        <w:autoSpaceDE w:val="0"/>
        <w:autoSpaceDN w:val="0"/>
        <w:adjustRightInd w:val="0"/>
        <w:spacing w:line="360" w:lineRule="exact"/>
        <w:ind w:firstLine="420"/>
        <w:jc w:val="left"/>
        <w:rPr>
          <w:rFonts w:ascii="宋体" w:hAnsi="宋体" w:cs="宋体"/>
          <w:color w:val="auto"/>
          <w:kern w:val="0"/>
          <w:sz w:val="24"/>
          <w:highlight w:val="none"/>
        </w:rPr>
      </w:pPr>
      <w:r>
        <w:rPr>
          <w:rFonts w:hint="eastAsia" w:ascii="宋体" w:hAnsi="宋体" w:cs="宋体"/>
          <w:color w:val="auto"/>
          <w:kern w:val="0"/>
          <w:sz w:val="24"/>
          <w:highlight w:val="none"/>
        </w:rPr>
        <w:t>注：本协议书由法定代表人签字的，应附法定代表人身份证明；本协议书由委托代理人签字的，应附法定代表人授权委托书。</w:t>
      </w:r>
    </w:p>
    <w:p w14:paraId="27E6D0A2">
      <w:pPr>
        <w:autoSpaceDE w:val="0"/>
        <w:autoSpaceDN w:val="0"/>
        <w:adjustRightInd w:val="0"/>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牵头人名称：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（盖公章）</w:t>
      </w:r>
    </w:p>
    <w:p w14:paraId="64C56BF3">
      <w:pPr>
        <w:autoSpaceDE w:val="0"/>
        <w:autoSpaceDN w:val="0"/>
        <w:adjustRightInd w:val="0"/>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法定代表人或其委托代理人：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（签字）</w:t>
      </w:r>
    </w:p>
    <w:p w14:paraId="44F36525">
      <w:pPr>
        <w:autoSpaceDE w:val="0"/>
        <w:autoSpaceDN w:val="0"/>
        <w:adjustRightInd w:val="0"/>
        <w:spacing w:line="360" w:lineRule="exact"/>
        <w:jc w:val="left"/>
        <w:rPr>
          <w:rFonts w:ascii="宋体" w:hAnsi="宋体" w:cs="宋体"/>
          <w:color w:val="auto"/>
          <w:kern w:val="0"/>
          <w:sz w:val="24"/>
          <w:highlight w:val="none"/>
        </w:rPr>
      </w:pPr>
    </w:p>
    <w:p w14:paraId="5A73615E">
      <w:pPr>
        <w:autoSpaceDE w:val="0"/>
        <w:autoSpaceDN w:val="0"/>
        <w:adjustRightInd w:val="0"/>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成员一名称：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（盖公章）</w:t>
      </w:r>
    </w:p>
    <w:p w14:paraId="195A67D0">
      <w:pPr>
        <w:autoSpaceDE w:val="0"/>
        <w:autoSpaceDN w:val="0"/>
        <w:adjustRightInd w:val="0"/>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法定代表人或其委托代理人：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（签字）</w:t>
      </w:r>
    </w:p>
    <w:p w14:paraId="389C402C">
      <w:pPr>
        <w:autoSpaceDE w:val="0"/>
        <w:autoSpaceDN w:val="0"/>
        <w:adjustRightInd w:val="0"/>
        <w:spacing w:line="360" w:lineRule="exact"/>
        <w:jc w:val="left"/>
        <w:rPr>
          <w:rFonts w:ascii="宋体" w:hAnsi="宋体" w:cs="宋体"/>
          <w:color w:val="auto"/>
          <w:kern w:val="0"/>
          <w:szCs w:val="21"/>
          <w:highlight w:val="none"/>
        </w:rPr>
      </w:pPr>
    </w:p>
    <w:p w14:paraId="2E65CE8C">
      <w:pPr>
        <w:autoSpaceDE w:val="0"/>
        <w:autoSpaceDN w:val="0"/>
        <w:adjustRightInd w:val="0"/>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成员二名称：</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（盖公章）</w:t>
      </w:r>
    </w:p>
    <w:p w14:paraId="421442A7">
      <w:pPr>
        <w:autoSpaceDE w:val="0"/>
        <w:autoSpaceDN w:val="0"/>
        <w:adjustRightInd w:val="0"/>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法定代表人或其委托代理人：                         （签字）</w:t>
      </w:r>
    </w:p>
    <w:p w14:paraId="33BAFAB5">
      <w:pPr>
        <w:autoSpaceDE w:val="0"/>
        <w:autoSpaceDN w:val="0"/>
        <w:adjustRightInd w:val="0"/>
        <w:spacing w:line="360" w:lineRule="exact"/>
        <w:jc w:val="left"/>
        <w:rPr>
          <w:rFonts w:ascii="宋体" w:hAnsi="宋体" w:cs="宋体"/>
          <w:color w:val="auto"/>
          <w:kern w:val="0"/>
          <w:sz w:val="24"/>
          <w:highlight w:val="none"/>
        </w:rPr>
      </w:pPr>
    </w:p>
    <w:p w14:paraId="583EF4DA">
      <w:pPr>
        <w:autoSpaceDE w:val="0"/>
        <w:autoSpaceDN w:val="0"/>
        <w:adjustRightInd w:val="0"/>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w:t>
      </w:r>
    </w:p>
    <w:p w14:paraId="24433938">
      <w:pPr>
        <w:autoSpaceDE w:val="0"/>
        <w:autoSpaceDN w:val="0"/>
        <w:spacing w:line="360" w:lineRule="exact"/>
        <w:ind w:left="4365" w:leftChars="1850" w:hanging="480" w:hangingChars="200"/>
        <w:rPr>
          <w:rFonts w:ascii="宋体" w:hAnsi="宋体" w:cs="宋体"/>
          <w:color w:val="auto"/>
          <w:kern w:val="0"/>
          <w:sz w:val="24"/>
          <w:highlight w:val="none"/>
        </w:rPr>
      </w:pPr>
    </w:p>
    <w:p w14:paraId="4DF03050">
      <w:pPr>
        <w:autoSpaceDE w:val="0"/>
        <w:autoSpaceDN w:val="0"/>
        <w:spacing w:line="360" w:lineRule="exact"/>
        <w:ind w:firstLine="6120" w:firstLineChars="255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3FE5703">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48AD87D6">
      <w:pPr>
        <w:autoSpaceDE w:val="0"/>
        <w:autoSpaceDN w:val="0"/>
        <w:spacing w:line="360" w:lineRule="auto"/>
        <w:ind w:firstLine="6120" w:firstLineChars="2550"/>
        <w:rPr>
          <w:rFonts w:ascii="仿宋_GB2312" w:hAnsi="仿宋" w:eastAsia="仿宋_GB2312" w:cs="仿宋_GB2312"/>
          <w:color w:val="auto"/>
          <w:kern w:val="0"/>
          <w:sz w:val="24"/>
          <w:highlight w:val="none"/>
          <w:lang w:val="zh-CN"/>
        </w:rPr>
      </w:pPr>
    </w:p>
    <w:p w14:paraId="55C2C53E">
      <w:pPr>
        <w:pStyle w:val="4"/>
        <w:jc w:val="center"/>
        <w:rPr>
          <w:rFonts w:ascii="宋体" w:hAnsi="宋体"/>
          <w:b w:val="0"/>
          <w:color w:val="auto"/>
          <w:highlight w:val="none"/>
        </w:rPr>
      </w:pPr>
      <w:bookmarkStart w:id="139" w:name="_Toc15951"/>
      <w:bookmarkStart w:id="140" w:name="_Toc20562"/>
      <w:bookmarkStart w:id="141" w:name="_Toc80205940"/>
      <w:bookmarkStart w:id="142" w:name="_Toc80886944"/>
      <w:r>
        <w:rPr>
          <w:rFonts w:hint="eastAsia" w:ascii="宋体" w:hAnsi="宋体"/>
          <w:b w:val="0"/>
          <w:bCs w:val="0"/>
          <w:color w:val="auto"/>
          <w:highlight w:val="none"/>
        </w:rPr>
        <w:t xml:space="preserve">第二节 </w:t>
      </w:r>
      <w:r>
        <w:rPr>
          <w:rFonts w:hint="eastAsia" w:ascii="宋体" w:hAnsi="宋体"/>
          <w:b w:val="0"/>
          <w:color w:val="auto"/>
          <w:highlight w:val="none"/>
        </w:rPr>
        <w:t>商务技术文件格式</w:t>
      </w:r>
      <w:bookmarkEnd w:id="139"/>
      <w:bookmarkEnd w:id="140"/>
      <w:bookmarkEnd w:id="141"/>
      <w:bookmarkEnd w:id="142"/>
    </w:p>
    <w:p w14:paraId="37E58A34">
      <w:pPr>
        <w:snapToGrid w:val="0"/>
        <w:spacing w:before="120" w:beforeLines="50" w:after="50" w:line="360" w:lineRule="auto"/>
        <w:jc w:val="left"/>
        <w:rPr>
          <w:rFonts w:ascii="宋体" w:hAnsi="宋体"/>
          <w:b/>
          <w:color w:val="auto"/>
          <w:sz w:val="32"/>
          <w:szCs w:val="32"/>
          <w:highlight w:val="none"/>
        </w:rPr>
      </w:pPr>
      <w:r>
        <w:rPr>
          <w:rFonts w:hint="eastAsia" w:ascii="宋体" w:hAnsi="宋体"/>
          <w:b/>
          <w:color w:val="auto"/>
          <w:sz w:val="28"/>
          <w:szCs w:val="28"/>
          <w:highlight w:val="none"/>
        </w:rPr>
        <w:t>1.商务技术文件封面的格式</w:t>
      </w:r>
      <w:r>
        <w:rPr>
          <w:rFonts w:hint="eastAsia" w:ascii="宋体" w:hAnsi="宋体" w:cs="宋体"/>
          <w:b/>
          <w:color w:val="auto"/>
          <w:sz w:val="28"/>
          <w:szCs w:val="28"/>
          <w:highlight w:val="none"/>
        </w:rPr>
        <w:t>（参照此格式自拟）</w:t>
      </w:r>
      <w:r>
        <w:rPr>
          <w:rFonts w:hint="eastAsia" w:ascii="宋体" w:hAnsi="宋体"/>
          <w:b/>
          <w:color w:val="auto"/>
          <w:sz w:val="28"/>
          <w:szCs w:val="28"/>
          <w:highlight w:val="none"/>
        </w:rPr>
        <w:t>：</w:t>
      </w:r>
    </w:p>
    <w:p w14:paraId="566EEB12">
      <w:pPr>
        <w:snapToGrid w:val="0"/>
        <w:spacing w:before="120" w:beforeLines="50" w:after="50"/>
        <w:rPr>
          <w:color w:val="auto"/>
          <w:sz w:val="24"/>
          <w:highlight w:val="none"/>
        </w:rPr>
      </w:pPr>
      <w:r>
        <w:rPr>
          <w:rFonts w:hint="eastAsia"/>
          <w:color w:val="auto"/>
          <w:sz w:val="24"/>
          <w:highlight w:val="none"/>
        </w:rPr>
        <w:t xml:space="preserve">                                             </w:t>
      </w:r>
    </w:p>
    <w:p w14:paraId="3F704F31">
      <w:pPr>
        <w:snapToGrid w:val="0"/>
        <w:spacing w:before="120" w:beforeLines="50" w:after="50"/>
        <w:ind w:firstLine="6720" w:firstLineChars="3200"/>
        <w:rPr>
          <w:bCs/>
          <w:color w:val="auto"/>
          <w:sz w:val="32"/>
          <w:szCs w:val="20"/>
          <w:highlight w:val="none"/>
        </w:rPr>
      </w:pPr>
      <w:r>
        <w:rPr>
          <w:rFonts w:hint="eastAsia"/>
          <w:bCs/>
          <w:color w:val="auto"/>
          <w:highlight w:val="none"/>
        </w:rPr>
        <w:t>全流程电子文件</w:t>
      </w:r>
    </w:p>
    <w:p w14:paraId="20880660">
      <w:pPr>
        <w:snapToGrid w:val="0"/>
        <w:spacing w:before="120" w:beforeLines="50" w:after="50"/>
        <w:rPr>
          <w:color w:val="auto"/>
          <w:sz w:val="24"/>
          <w:szCs w:val="20"/>
          <w:highlight w:val="none"/>
        </w:rPr>
      </w:pPr>
    </w:p>
    <w:p w14:paraId="2296D70F">
      <w:pPr>
        <w:snapToGrid w:val="0"/>
        <w:spacing w:before="120" w:beforeLines="50" w:after="50"/>
        <w:rPr>
          <w:color w:val="auto"/>
          <w:sz w:val="24"/>
          <w:szCs w:val="20"/>
          <w:highlight w:val="none"/>
        </w:rPr>
      </w:pPr>
    </w:p>
    <w:p w14:paraId="4246B409">
      <w:pPr>
        <w:snapToGrid w:val="0"/>
        <w:spacing w:before="120" w:beforeLines="50" w:after="50"/>
        <w:rPr>
          <w:color w:val="auto"/>
          <w:sz w:val="24"/>
          <w:szCs w:val="20"/>
          <w:highlight w:val="none"/>
        </w:rPr>
      </w:pPr>
    </w:p>
    <w:p w14:paraId="08534374">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1EA7DF3C">
      <w:pPr>
        <w:snapToGrid w:val="0"/>
        <w:spacing w:before="120" w:beforeLines="50" w:after="50"/>
        <w:rPr>
          <w:bCs/>
          <w:color w:val="auto"/>
          <w:sz w:val="24"/>
          <w:szCs w:val="20"/>
          <w:highlight w:val="none"/>
        </w:rPr>
      </w:pPr>
    </w:p>
    <w:p w14:paraId="2009067B">
      <w:pPr>
        <w:snapToGrid w:val="0"/>
        <w:spacing w:before="120" w:beforeLines="50" w:after="50"/>
        <w:rPr>
          <w:bCs/>
          <w:color w:val="auto"/>
          <w:sz w:val="24"/>
          <w:szCs w:val="20"/>
          <w:highlight w:val="none"/>
        </w:rPr>
      </w:pPr>
    </w:p>
    <w:p w14:paraId="094F4461">
      <w:pPr>
        <w:snapToGrid w:val="0"/>
        <w:spacing w:before="120" w:beforeLines="50" w:after="50"/>
        <w:rPr>
          <w:bCs/>
          <w:color w:val="auto"/>
          <w:sz w:val="24"/>
          <w:szCs w:val="20"/>
          <w:highlight w:val="none"/>
        </w:rPr>
      </w:pPr>
    </w:p>
    <w:p w14:paraId="260AA87C">
      <w:pPr>
        <w:snapToGrid w:val="0"/>
        <w:spacing w:before="120" w:beforeLines="50" w:after="50"/>
        <w:rPr>
          <w:bCs/>
          <w:color w:val="auto"/>
          <w:sz w:val="24"/>
          <w:szCs w:val="20"/>
          <w:highlight w:val="none"/>
        </w:rPr>
      </w:pPr>
    </w:p>
    <w:p w14:paraId="05CE16B9">
      <w:pPr>
        <w:snapToGrid w:val="0"/>
        <w:spacing w:before="120" w:beforeLines="50" w:after="50"/>
        <w:rPr>
          <w:bCs/>
          <w:color w:val="auto"/>
          <w:sz w:val="24"/>
          <w:szCs w:val="20"/>
          <w:highlight w:val="none"/>
        </w:rPr>
      </w:pPr>
    </w:p>
    <w:p w14:paraId="4F79DFC5">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项目名称：</w:t>
      </w:r>
    </w:p>
    <w:p w14:paraId="49EFA3D9">
      <w:pPr>
        <w:snapToGrid w:val="0"/>
        <w:spacing w:before="120" w:beforeLines="50" w:after="50"/>
        <w:ind w:firstLine="720" w:firstLineChars="225"/>
        <w:rPr>
          <w:rFonts w:cs="仿宋_GB2312"/>
          <w:bCs/>
          <w:color w:val="auto"/>
          <w:sz w:val="32"/>
          <w:szCs w:val="32"/>
          <w:highlight w:val="none"/>
        </w:rPr>
      </w:pPr>
    </w:p>
    <w:p w14:paraId="1036D9F4">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项目编号：</w:t>
      </w:r>
    </w:p>
    <w:p w14:paraId="7A2184E8">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 xml:space="preserve"> </w:t>
      </w:r>
    </w:p>
    <w:p w14:paraId="5E3FD50A">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所竞分标（如有则填写，无分标时填写“无”或者留空）：</w:t>
      </w:r>
    </w:p>
    <w:p w14:paraId="232403FA">
      <w:pPr>
        <w:snapToGrid w:val="0"/>
        <w:spacing w:before="120" w:beforeLines="50" w:after="50"/>
        <w:ind w:firstLine="720" w:firstLineChars="225"/>
        <w:rPr>
          <w:rFonts w:cs="仿宋_GB2312"/>
          <w:bCs/>
          <w:color w:val="auto"/>
          <w:sz w:val="32"/>
          <w:szCs w:val="32"/>
          <w:highlight w:val="none"/>
        </w:rPr>
      </w:pPr>
    </w:p>
    <w:p w14:paraId="35FAE6CC">
      <w:pPr>
        <w:pStyle w:val="8"/>
        <w:snapToGrid w:val="0"/>
        <w:spacing w:before="50" w:after="50"/>
        <w:ind w:firstLine="640" w:firstLineChars="200"/>
        <w:rPr>
          <w:rFonts w:cs="仿宋_GB2312"/>
          <w:bCs/>
          <w:color w:val="auto"/>
          <w:sz w:val="32"/>
          <w:szCs w:val="32"/>
          <w:highlight w:val="none"/>
        </w:rPr>
      </w:pPr>
      <w:r>
        <w:rPr>
          <w:rFonts w:hint="eastAsia" w:cs="仿宋_GB2312"/>
          <w:bCs/>
          <w:color w:val="auto"/>
          <w:sz w:val="32"/>
          <w:szCs w:val="32"/>
          <w:highlight w:val="none"/>
        </w:rPr>
        <w:t>供应商名称：</w:t>
      </w:r>
    </w:p>
    <w:p w14:paraId="119F02C0">
      <w:pPr>
        <w:pStyle w:val="8"/>
        <w:snapToGrid w:val="0"/>
        <w:spacing w:before="50" w:after="50"/>
        <w:ind w:firstLine="720" w:firstLineChars="225"/>
        <w:rPr>
          <w:rFonts w:cs="仿宋_GB2312"/>
          <w:bCs/>
          <w:color w:val="auto"/>
          <w:sz w:val="32"/>
          <w:szCs w:val="32"/>
          <w:highlight w:val="none"/>
        </w:rPr>
      </w:pPr>
    </w:p>
    <w:p w14:paraId="372EC68F">
      <w:pPr>
        <w:pStyle w:val="8"/>
        <w:snapToGrid w:val="0"/>
        <w:spacing w:before="50" w:after="50"/>
        <w:ind w:firstLine="720" w:firstLineChars="225"/>
        <w:rPr>
          <w:rFonts w:cs="仿宋_GB2312"/>
          <w:bCs/>
          <w:color w:val="auto"/>
          <w:sz w:val="32"/>
          <w:szCs w:val="32"/>
          <w:highlight w:val="none"/>
        </w:rPr>
      </w:pPr>
    </w:p>
    <w:p w14:paraId="5A46F198">
      <w:pPr>
        <w:pStyle w:val="8"/>
        <w:snapToGrid w:val="0"/>
        <w:spacing w:before="50" w:after="50"/>
        <w:ind w:firstLine="1280" w:firstLineChars="400"/>
        <w:rPr>
          <w:rFonts w:cs="仿宋_GB2312"/>
          <w:bCs/>
          <w:color w:val="auto"/>
          <w:sz w:val="32"/>
          <w:szCs w:val="32"/>
          <w:highlight w:val="none"/>
        </w:rPr>
      </w:pPr>
    </w:p>
    <w:p w14:paraId="0C5B2B82">
      <w:pPr>
        <w:snapToGrid w:val="0"/>
        <w:spacing w:before="120" w:beforeLines="50" w:after="50"/>
        <w:jc w:val="center"/>
        <w:rPr>
          <w:rFonts w:cs="仿宋_GB2312"/>
          <w:color w:val="auto"/>
          <w:sz w:val="32"/>
          <w:szCs w:val="32"/>
          <w:highlight w:val="none"/>
        </w:rPr>
      </w:pPr>
      <w:r>
        <w:rPr>
          <w:rFonts w:hint="eastAsia" w:cs="仿宋_GB2312"/>
          <w:color w:val="auto"/>
          <w:sz w:val="32"/>
          <w:szCs w:val="32"/>
          <w:highlight w:val="none"/>
        </w:rPr>
        <w:t>年    月    日</w:t>
      </w:r>
    </w:p>
    <w:p w14:paraId="5818DA32">
      <w:pPr>
        <w:snapToGrid w:val="0"/>
        <w:spacing w:before="120" w:beforeLines="50" w:after="50" w:line="360" w:lineRule="auto"/>
        <w:ind w:left="142" w:firstLine="643" w:firstLineChars="200"/>
        <w:jc w:val="left"/>
        <w:rPr>
          <w:b/>
          <w:bCs/>
          <w:color w:val="auto"/>
          <w:sz w:val="32"/>
          <w:szCs w:val="32"/>
          <w:highlight w:val="none"/>
        </w:rPr>
        <w:sectPr>
          <w:pgSz w:w="11911" w:h="16838"/>
          <w:pgMar w:top="1134" w:right="1134" w:bottom="1134" w:left="1134" w:header="720" w:footer="720" w:gutter="0"/>
          <w:cols w:space="720" w:num="1"/>
        </w:sectPr>
      </w:pPr>
    </w:p>
    <w:p w14:paraId="1C9772D0">
      <w:pPr>
        <w:spacing w:line="360" w:lineRule="auto"/>
        <w:ind w:right="420"/>
        <w:rPr>
          <w:rFonts w:ascii="宋体" w:hAnsi="宋体" w:cs="宋体"/>
          <w:color w:val="auto"/>
          <w:sz w:val="24"/>
          <w:szCs w:val="20"/>
          <w:highlight w:val="none"/>
        </w:rPr>
      </w:pPr>
      <w:r>
        <w:rPr>
          <w:rFonts w:hint="eastAsia" w:ascii="宋体" w:hAnsi="宋体" w:cs="宋体"/>
          <w:b/>
          <w:bCs/>
          <w:color w:val="auto"/>
          <w:sz w:val="28"/>
          <w:szCs w:val="28"/>
          <w:highlight w:val="none"/>
        </w:rPr>
        <w:t>2.商务技术文件目录</w:t>
      </w:r>
    </w:p>
    <w:p w14:paraId="2D7B1DFF">
      <w:pPr>
        <w:spacing w:line="400" w:lineRule="exact"/>
        <w:rPr>
          <w:rFonts w:ascii="仿宋_GB2312" w:hAnsi="仿宋_GB2312" w:eastAsia="仿宋_GB2312" w:cs="仿宋_GB2312"/>
          <w:color w:val="auto"/>
          <w:sz w:val="32"/>
          <w:szCs w:val="32"/>
          <w:highlight w:val="none"/>
        </w:rPr>
      </w:pPr>
      <w:r>
        <w:rPr>
          <w:rFonts w:hint="eastAsia" w:ascii="宋体" w:hAnsi="宋体" w:cs="宋体"/>
          <w:color w:val="auto"/>
          <w:kern w:val="0"/>
          <w:sz w:val="24"/>
          <w:highlight w:val="none"/>
        </w:rPr>
        <w:t xml:space="preserve">  根据竞争性磋商文件规定及供应商提供的材料自行编写目录（部分格式后附）。</w:t>
      </w:r>
    </w:p>
    <w:p w14:paraId="1645FD58">
      <w:pPr>
        <w:spacing w:line="520" w:lineRule="exact"/>
        <w:jc w:val="left"/>
        <w:rPr>
          <w:rFonts w:ascii="宋体" w:hAnsi="宋体" w:cs="宋体"/>
          <w:color w:val="auto"/>
          <w:sz w:val="28"/>
          <w:szCs w:val="28"/>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宋体"/>
          <w:b/>
          <w:color w:val="auto"/>
          <w:sz w:val="28"/>
          <w:szCs w:val="28"/>
          <w:highlight w:val="none"/>
        </w:rPr>
        <w:t>3.无串通竞标行为的承诺函的格式：</w:t>
      </w:r>
    </w:p>
    <w:p w14:paraId="49D2D09F">
      <w:pPr>
        <w:spacing w:line="520" w:lineRule="exact"/>
        <w:jc w:val="center"/>
        <w:rPr>
          <w:rFonts w:ascii="方正小标宋简体" w:hAnsi="方正小标宋简体" w:eastAsia="方正小标宋简体" w:cs="方正小标宋简体"/>
          <w:color w:val="auto"/>
          <w:sz w:val="44"/>
          <w:szCs w:val="44"/>
          <w:highlight w:val="none"/>
        </w:rPr>
      </w:pPr>
    </w:p>
    <w:p w14:paraId="5AC1DFA0">
      <w:pPr>
        <w:spacing w:line="52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无串通竞标行为的承诺函</w:t>
      </w:r>
    </w:p>
    <w:p w14:paraId="7D1F369E">
      <w:pPr>
        <w:spacing w:line="520" w:lineRule="exact"/>
        <w:ind w:firstLine="640" w:firstLineChars="200"/>
        <w:rPr>
          <w:rFonts w:ascii="仿宋_GB2312" w:hAnsi="仿宋_GB2312" w:eastAsia="仿宋_GB2312" w:cs="仿宋_GB2312"/>
          <w:color w:val="auto"/>
          <w:sz w:val="32"/>
          <w:szCs w:val="32"/>
          <w:highlight w:val="none"/>
        </w:rPr>
      </w:pPr>
    </w:p>
    <w:p w14:paraId="4F24A14D">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一、我方承诺无下列相互串通竞标的情形：</w:t>
      </w:r>
    </w:p>
    <w:p w14:paraId="5961E08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1.不同供应商的响应文件由同一单位或者个人编制；</w:t>
      </w:r>
      <w:r>
        <w:rPr>
          <w:rFonts w:hint="eastAsia" w:ascii="宋体" w:hAnsi="宋体" w:cs="宋体"/>
          <w:b/>
          <w:bCs/>
          <w:color w:val="auto"/>
          <w:szCs w:val="21"/>
          <w:highlight w:val="none"/>
        </w:rPr>
        <w:t xml:space="preserve">或不同供应商报名的IP地址一致的； </w:t>
      </w:r>
      <w:r>
        <w:rPr>
          <w:rFonts w:hint="eastAsia" w:ascii="宋体" w:hAnsi="宋体" w:cs="宋体"/>
          <w:color w:val="auto"/>
          <w:sz w:val="24"/>
          <w:highlight w:val="none"/>
        </w:rPr>
        <w:t xml:space="preserve"> </w:t>
      </w:r>
    </w:p>
    <w:p w14:paraId="44FBCF53">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2.不同供应商委托同一单位或者个人办理竞标事宜；</w:t>
      </w:r>
    </w:p>
    <w:p w14:paraId="0112899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3.不同供应商的响应文件载明的项目管理员为同一个人；</w:t>
      </w:r>
    </w:p>
    <w:p w14:paraId="413E624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4.不</w:t>
      </w:r>
      <w:r>
        <w:rPr>
          <w:rFonts w:hint="eastAsia" w:ascii="宋体" w:hAnsi="宋体" w:cs="宋体"/>
          <w:color w:val="auto"/>
          <w:spacing w:val="-6"/>
          <w:sz w:val="24"/>
          <w:highlight w:val="none"/>
        </w:rPr>
        <w:t>同供应商的响应文件异常一致或者响应报价呈规律性差异；</w:t>
      </w:r>
    </w:p>
    <w:p w14:paraId="471E5B0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5.不同供应商的响应文件相互混装；</w:t>
      </w:r>
    </w:p>
    <w:p w14:paraId="344275DC">
      <w:pPr>
        <w:pStyle w:val="14"/>
        <w:ind w:firstLine="480" w:firstLineChars="200"/>
        <w:rPr>
          <w:rFonts w:ascii="宋体" w:hAnsi="宋体" w:cs="宋体"/>
          <w:color w:val="auto"/>
          <w:highlight w:val="none"/>
        </w:rPr>
      </w:pPr>
      <w:r>
        <w:rPr>
          <w:rFonts w:hint="eastAsia" w:ascii="宋体" w:hAnsi="宋体" w:cs="宋体"/>
          <w:color w:val="auto"/>
          <w:sz w:val="24"/>
          <w:highlight w:val="none"/>
        </w:rPr>
        <w:t>6.不同供应商的磋商保证金从同一单位或者个人账户转出。</w:t>
      </w:r>
    </w:p>
    <w:p w14:paraId="4AE81034">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二、我方承诺无下列恶意串通的情形：</w:t>
      </w:r>
    </w:p>
    <w:p w14:paraId="5D563FF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6D82165C">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0C04B43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3.供</w:t>
      </w:r>
      <w:r>
        <w:rPr>
          <w:rFonts w:hint="eastAsia" w:ascii="宋体" w:hAnsi="宋体" w:cs="宋体"/>
          <w:color w:val="auto"/>
          <w:spacing w:val="-6"/>
          <w:sz w:val="24"/>
          <w:highlight w:val="none"/>
        </w:rPr>
        <w:t>应商之间协商报价、技术方案等响应文件的实质性内容；</w:t>
      </w:r>
    </w:p>
    <w:p w14:paraId="592621E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1CB6C5F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0F3208ED">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412ECBC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7.供应商与采购人或者采购代理机构之间、供应商相互之间，为</w:t>
      </w:r>
      <w:r>
        <w:rPr>
          <w:rFonts w:hint="eastAsia" w:ascii="宋体" w:hAnsi="宋体" w:cs="宋体"/>
          <w:color w:val="auto"/>
          <w:spacing w:val="-6"/>
          <w:sz w:val="24"/>
          <w:highlight w:val="none"/>
        </w:rPr>
        <w:t>谋求特定供应商成交或者排斥其他供应商的其他串通行为。</w:t>
      </w:r>
    </w:p>
    <w:p w14:paraId="6F0C8B2D">
      <w:pPr>
        <w:spacing w:line="360" w:lineRule="auto"/>
        <w:ind w:firstLine="480" w:firstLineChars="200"/>
        <w:contextualSpacing/>
        <w:rPr>
          <w:rFonts w:ascii="宋体" w:hAnsi="宋体" w:cs="宋体"/>
          <w:color w:val="auto"/>
          <w:sz w:val="24"/>
          <w:highlight w:val="none"/>
        </w:rPr>
      </w:pPr>
    </w:p>
    <w:p w14:paraId="4DD4A02A">
      <w:pPr>
        <w:spacing w:line="360" w:lineRule="auto"/>
        <w:ind w:firstLine="482" w:firstLineChars="200"/>
        <w:contextualSpacing/>
        <w:rPr>
          <w:rFonts w:ascii="宋体" w:hAnsi="宋体" w:cs="宋体"/>
          <w:b/>
          <w:bCs/>
          <w:color w:val="auto"/>
          <w:sz w:val="24"/>
          <w:highlight w:val="none"/>
        </w:rPr>
      </w:pPr>
      <w:r>
        <w:rPr>
          <w:rFonts w:hint="eastAsia" w:ascii="宋体" w:hAnsi="宋体" w:cs="宋体"/>
          <w:b/>
          <w:bCs/>
          <w:color w:val="auto"/>
          <w:sz w:val="24"/>
          <w:highlight w:val="none"/>
        </w:rPr>
        <w:t>以上情形一经核查属实，接受政府采购监管部门对我方认定存在围标串标行为，我方愿意承担一切后果，并不再寻求任何旨在减轻或者免除法律责任的辩解。</w:t>
      </w:r>
    </w:p>
    <w:p w14:paraId="4EF7EE26">
      <w:pPr>
        <w:pStyle w:val="2"/>
        <w:rPr>
          <w:rFonts w:ascii="宋体" w:hAnsi="宋体" w:cs="宋体"/>
          <w:b/>
          <w:bCs/>
          <w:color w:val="auto"/>
          <w:sz w:val="24"/>
          <w:highlight w:val="none"/>
        </w:rPr>
      </w:pPr>
    </w:p>
    <w:p w14:paraId="143E9ECD">
      <w:pPr>
        <w:pStyle w:val="2"/>
        <w:rPr>
          <w:rFonts w:ascii="宋体" w:hAnsi="宋体" w:cs="宋体"/>
          <w:b/>
          <w:bCs/>
          <w:color w:val="auto"/>
          <w:sz w:val="24"/>
          <w:highlight w:val="none"/>
        </w:rPr>
      </w:pPr>
    </w:p>
    <w:p w14:paraId="604A83AC">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6F1F2B2A">
      <w:pPr>
        <w:spacing w:line="480" w:lineRule="auto"/>
        <w:ind w:firstLine="5040" w:firstLineChars="2100"/>
        <w:jc w:val="left"/>
        <w:rPr>
          <w:rFonts w:ascii="宋体" w:hAnsi="宋体" w:cs="宋体"/>
          <w:b/>
          <w:bCs/>
          <w:color w:val="auto"/>
          <w:sz w:val="28"/>
          <w:szCs w:val="28"/>
          <w:highlight w:val="none"/>
        </w:rPr>
      </w:pPr>
      <w:r>
        <w:rPr>
          <w:rFonts w:hint="eastAsia" w:ascii="宋体" w:hAnsi="宋体" w:cs="宋体"/>
          <w:color w:val="auto"/>
          <w:kern w:val="0"/>
          <w:sz w:val="24"/>
          <w:highlight w:val="none"/>
          <w:lang w:val="zh-CN"/>
        </w:rPr>
        <w:t xml:space="preserve">日期：  年  月   日   </w:t>
      </w:r>
      <w:r>
        <w:rPr>
          <w:b/>
          <w:bCs/>
          <w:color w:val="auto"/>
          <w:sz w:val="32"/>
          <w:szCs w:val="32"/>
          <w:highlight w:val="none"/>
        </w:rPr>
        <w:br w:type="page"/>
      </w:r>
      <w:r>
        <w:rPr>
          <w:rFonts w:hint="eastAsia" w:ascii="宋体" w:hAnsi="宋体" w:cs="宋体"/>
          <w:b/>
          <w:bCs/>
          <w:color w:val="auto"/>
          <w:sz w:val="28"/>
          <w:szCs w:val="28"/>
          <w:highlight w:val="none"/>
        </w:rPr>
        <w:t>4.法定代表人身份证明的格式：</w:t>
      </w:r>
    </w:p>
    <w:p w14:paraId="02F6AF77">
      <w:pPr>
        <w:spacing w:line="520" w:lineRule="exact"/>
        <w:jc w:val="center"/>
        <w:rPr>
          <w:rFonts w:ascii="仿宋_GB2312" w:hAnsi="仿宋_GB2312" w:eastAsia="仿宋_GB2312" w:cs="仿宋_GB2312"/>
          <w:color w:val="auto"/>
          <w:sz w:val="32"/>
          <w:szCs w:val="32"/>
          <w:highlight w:val="none"/>
        </w:rPr>
      </w:pPr>
      <w:r>
        <w:rPr>
          <w:rFonts w:hint="eastAsia" w:ascii="宋体" w:hAnsi="宋体" w:cs="宋体"/>
          <w:bCs/>
          <w:color w:val="auto"/>
          <w:sz w:val="32"/>
          <w:szCs w:val="32"/>
          <w:highlight w:val="none"/>
        </w:rPr>
        <w:t>法定代表人身份证明</w:t>
      </w:r>
    </w:p>
    <w:p w14:paraId="0D286B6A">
      <w:pPr>
        <w:spacing w:line="360" w:lineRule="auto"/>
        <w:ind w:left="540"/>
        <w:contextualSpacing/>
        <w:rPr>
          <w:rFonts w:ascii="仿宋_GB2312" w:hAnsi="仿宋_GB2312" w:eastAsia="仿宋_GB2312" w:cs="仿宋_GB2312"/>
          <w:color w:val="auto"/>
          <w:sz w:val="32"/>
          <w:szCs w:val="32"/>
          <w:highlight w:val="none"/>
        </w:rPr>
      </w:pPr>
    </w:p>
    <w:p w14:paraId="1CD57046">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p>
    <w:p w14:paraId="1AEBC9DD">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0B80F84A">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1BC4EA04">
      <w:pPr>
        <w:spacing w:line="360" w:lineRule="auto"/>
        <w:ind w:left="540"/>
        <w:contextualSpacing/>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2EE750EC">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32AA5AFE">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的法定代表人。</w:t>
      </w:r>
    </w:p>
    <w:p w14:paraId="0A464E21">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特此证明。</w:t>
      </w:r>
    </w:p>
    <w:p w14:paraId="7C3DAC06">
      <w:pPr>
        <w:spacing w:line="360" w:lineRule="auto"/>
        <w:ind w:left="540"/>
        <w:contextualSpacing/>
        <w:rPr>
          <w:rFonts w:ascii="宋体" w:hAnsi="宋体" w:cs="宋体"/>
          <w:color w:val="auto"/>
          <w:sz w:val="24"/>
          <w:highlight w:val="none"/>
        </w:rPr>
      </w:pPr>
    </w:p>
    <w:p w14:paraId="779F077D">
      <w:pPr>
        <w:spacing w:line="360" w:lineRule="auto"/>
        <w:ind w:left="540"/>
        <w:contextualSpacing/>
        <w:rPr>
          <w:rFonts w:ascii="宋体" w:hAnsi="宋体" w:cs="宋体"/>
          <w:color w:val="auto"/>
          <w:sz w:val="24"/>
          <w:highlight w:val="none"/>
        </w:rPr>
      </w:pPr>
    </w:p>
    <w:p w14:paraId="1F148F12">
      <w:pPr>
        <w:spacing w:line="360" w:lineRule="auto"/>
        <w:ind w:left="540"/>
        <w:contextualSpacing/>
        <w:rPr>
          <w:rFonts w:ascii="宋体" w:hAnsi="宋体" w:cs="宋体"/>
          <w:color w:val="auto"/>
          <w:sz w:val="24"/>
          <w:highlight w:val="none"/>
        </w:rPr>
      </w:pPr>
    </w:p>
    <w:p w14:paraId="6DE9C82C">
      <w:pPr>
        <w:spacing w:line="360" w:lineRule="auto"/>
        <w:ind w:left="540"/>
        <w:contextualSpacing/>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73C91C80">
      <w:pPr>
        <w:spacing w:line="360" w:lineRule="auto"/>
        <w:ind w:left="540"/>
        <w:contextualSpacing/>
        <w:rPr>
          <w:rFonts w:ascii="宋体" w:hAnsi="宋体" w:cs="宋体"/>
          <w:color w:val="auto"/>
          <w:sz w:val="24"/>
          <w:highlight w:val="none"/>
        </w:rPr>
      </w:pPr>
    </w:p>
    <w:p w14:paraId="244E2289">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6EBCB892">
      <w:pPr>
        <w:spacing w:line="360" w:lineRule="auto"/>
        <w:contextualSpacing/>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144EE3C5">
      <w:pPr>
        <w:spacing w:line="360" w:lineRule="auto"/>
        <w:contextualSpacing/>
        <w:jc w:val="left"/>
        <w:rPr>
          <w:rFonts w:ascii="宋体" w:hAnsi="宋体" w:cs="宋体"/>
          <w:color w:val="auto"/>
          <w:sz w:val="24"/>
          <w:highlight w:val="none"/>
        </w:rPr>
      </w:pPr>
    </w:p>
    <w:p w14:paraId="04CC8FF8">
      <w:pPr>
        <w:spacing w:line="360" w:lineRule="auto"/>
        <w:contextualSpacing/>
        <w:jc w:val="left"/>
        <w:rPr>
          <w:rFonts w:ascii="宋体" w:hAnsi="宋体" w:cs="宋体"/>
          <w:color w:val="auto"/>
          <w:sz w:val="24"/>
          <w:highlight w:val="none"/>
        </w:rPr>
      </w:pPr>
    </w:p>
    <w:p w14:paraId="3CB68047">
      <w:pPr>
        <w:spacing w:line="360" w:lineRule="auto"/>
        <w:ind w:firstLine="420" w:firstLineChars="200"/>
        <w:contextualSpacing/>
        <w:jc w:val="left"/>
        <w:rPr>
          <w:rFonts w:ascii="宋体" w:hAnsi="宋体" w:cs="宋体"/>
          <w:color w:val="auto"/>
          <w:szCs w:val="21"/>
          <w:highlight w:val="none"/>
        </w:rPr>
      </w:pPr>
      <w:r>
        <w:rPr>
          <w:rFonts w:hint="eastAsia" w:ascii="宋体" w:hAnsi="宋体" w:cs="宋体"/>
          <w:color w:val="auto"/>
          <w:szCs w:val="21"/>
          <w:highlight w:val="none"/>
        </w:rPr>
        <w:t>注：</w:t>
      </w:r>
    </w:p>
    <w:p w14:paraId="2ADE5199">
      <w:pPr>
        <w:spacing w:line="360" w:lineRule="auto"/>
        <w:ind w:firstLine="420" w:firstLineChars="200"/>
        <w:contextualSpacing/>
        <w:jc w:val="left"/>
        <w:rPr>
          <w:rFonts w:ascii="宋体" w:hAnsi="宋体" w:cs="宋体"/>
          <w:color w:val="auto"/>
          <w:szCs w:val="21"/>
          <w:highlight w:val="none"/>
        </w:rPr>
      </w:pPr>
      <w:r>
        <w:rPr>
          <w:rFonts w:hint="eastAsia" w:ascii="宋体" w:hAnsi="宋体" w:cs="宋体"/>
          <w:color w:val="auto"/>
          <w:szCs w:val="21"/>
          <w:highlight w:val="none"/>
        </w:rPr>
        <w:t>1.自然人竞标的无需提供，联合体竞标的只需牵头人出具。</w:t>
      </w:r>
    </w:p>
    <w:p w14:paraId="57E2AD26">
      <w:pPr>
        <w:spacing w:line="360" w:lineRule="auto"/>
        <w:ind w:firstLine="420" w:firstLineChars="200"/>
        <w:contextualSpacing/>
        <w:jc w:val="left"/>
        <w:rPr>
          <w:rFonts w:ascii="宋体" w:hAnsi="宋体" w:cs="宋体"/>
          <w:color w:val="auto"/>
          <w:szCs w:val="21"/>
          <w:highlight w:val="none"/>
        </w:rPr>
        <w:sectPr>
          <w:pgSz w:w="11911" w:h="16838"/>
          <w:pgMar w:top="1134" w:right="1134" w:bottom="1134" w:left="1134" w:header="720" w:footer="720" w:gutter="0"/>
          <w:cols w:space="720" w:num="1"/>
        </w:sectPr>
      </w:pPr>
      <w:r>
        <w:rPr>
          <w:rFonts w:hint="eastAsia" w:ascii="宋体" w:hAnsi="宋体" w:cs="宋体"/>
          <w:color w:val="auto"/>
          <w:szCs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31"/>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14:paraId="0B2F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noWrap w:val="0"/>
            <w:vAlign w:val="top"/>
          </w:tcPr>
          <w:p w14:paraId="2FD9013B">
            <w:pPr>
              <w:spacing w:line="360" w:lineRule="auto"/>
              <w:rPr>
                <w:rFonts w:hAnsi="Calibri"/>
                <w:b/>
                <w:color w:val="auto"/>
                <w:sz w:val="24"/>
                <w:highlight w:val="none"/>
              </w:rPr>
            </w:pPr>
          </w:p>
          <w:p w14:paraId="006EF4F3">
            <w:pPr>
              <w:spacing w:line="360" w:lineRule="auto"/>
              <w:rPr>
                <w:rFonts w:hAnsi="Calibri"/>
                <w:b/>
                <w:color w:val="auto"/>
                <w:sz w:val="24"/>
                <w:highlight w:val="none"/>
              </w:rPr>
            </w:pPr>
            <w:r>
              <w:rPr>
                <w:rFonts w:hint="eastAsia" w:hAnsi="Calibri"/>
                <w:b/>
                <w:color w:val="auto"/>
                <w:sz w:val="24"/>
                <w:highlight w:val="none"/>
              </w:rPr>
              <w:t>法定代表人身份证复印件粘贴处（正、反面）</w:t>
            </w:r>
          </w:p>
        </w:tc>
      </w:tr>
    </w:tbl>
    <w:p w14:paraId="24444A05">
      <w:pPr>
        <w:spacing w:line="360" w:lineRule="auto"/>
        <w:ind w:firstLine="482" w:firstLineChars="200"/>
        <w:contextualSpacing/>
        <w:jc w:val="left"/>
        <w:rPr>
          <w:rFonts w:ascii="仿宋_GB2312" w:hAnsi="仿宋_GB2312" w:eastAsia="仿宋_GB2312" w:cs="仿宋_GB2312"/>
          <w:b/>
          <w:color w:val="auto"/>
          <w:sz w:val="32"/>
          <w:szCs w:val="32"/>
          <w:highlight w:val="none"/>
        </w:rPr>
      </w:pPr>
      <w:r>
        <w:rPr>
          <w:rFonts w:hint="eastAsia" w:ascii="Calibri"/>
          <w:b/>
          <w:color w:val="auto"/>
          <w:sz w:val="24"/>
          <w:highlight w:val="none"/>
        </w:rPr>
        <w:t>附件：</w:t>
      </w:r>
    </w:p>
    <w:p w14:paraId="4F38E6A4">
      <w:pPr>
        <w:adjustRightInd w:val="0"/>
        <w:snapToGrid w:val="0"/>
        <w:spacing w:line="300" w:lineRule="auto"/>
        <w:jc w:val="left"/>
        <w:rPr>
          <w:b/>
          <w:color w:val="auto"/>
          <w:szCs w:val="21"/>
          <w:highlight w:val="none"/>
        </w:rPr>
      </w:pPr>
    </w:p>
    <w:p w14:paraId="0F1BD1DF">
      <w:pPr>
        <w:spacing w:line="520" w:lineRule="exact"/>
        <w:ind w:firstLine="880"/>
        <w:jc w:val="left"/>
        <w:rPr>
          <w:rFonts w:ascii="宋体" w:hAnsi="宋体" w:cs="宋体"/>
          <w:color w:val="auto"/>
          <w:szCs w:val="21"/>
          <w:highlight w:val="none"/>
        </w:rPr>
      </w:pPr>
    </w:p>
    <w:p w14:paraId="5064394F">
      <w:pPr>
        <w:spacing w:line="520" w:lineRule="exact"/>
        <w:ind w:firstLine="880"/>
        <w:jc w:val="left"/>
        <w:rPr>
          <w:rFonts w:ascii="宋体" w:hAnsi="宋体" w:cs="宋体"/>
          <w:color w:val="auto"/>
          <w:szCs w:val="21"/>
          <w:highlight w:val="none"/>
        </w:rPr>
      </w:pPr>
    </w:p>
    <w:p w14:paraId="10771E56">
      <w:pPr>
        <w:spacing w:line="520" w:lineRule="exact"/>
        <w:ind w:firstLine="880"/>
        <w:jc w:val="left"/>
        <w:rPr>
          <w:rFonts w:ascii="宋体" w:hAnsi="宋体" w:cs="宋体"/>
          <w:color w:val="auto"/>
          <w:szCs w:val="21"/>
          <w:highlight w:val="none"/>
        </w:rPr>
      </w:pPr>
    </w:p>
    <w:p w14:paraId="18E70A08">
      <w:pPr>
        <w:spacing w:line="520" w:lineRule="exact"/>
        <w:ind w:firstLine="880"/>
        <w:jc w:val="left"/>
        <w:rPr>
          <w:rFonts w:ascii="宋体" w:hAnsi="宋体" w:cs="宋体"/>
          <w:color w:val="auto"/>
          <w:szCs w:val="21"/>
          <w:highlight w:val="none"/>
        </w:rPr>
      </w:pPr>
    </w:p>
    <w:p w14:paraId="38102AF6">
      <w:pPr>
        <w:spacing w:line="520" w:lineRule="exact"/>
        <w:ind w:firstLine="880"/>
        <w:jc w:val="left"/>
        <w:rPr>
          <w:rFonts w:ascii="宋体" w:hAnsi="宋体" w:cs="宋体"/>
          <w:color w:val="auto"/>
          <w:szCs w:val="21"/>
          <w:highlight w:val="none"/>
        </w:rPr>
      </w:pPr>
    </w:p>
    <w:p w14:paraId="5A395E1E">
      <w:pPr>
        <w:spacing w:line="520" w:lineRule="exact"/>
        <w:ind w:firstLine="880"/>
        <w:jc w:val="left"/>
        <w:rPr>
          <w:rFonts w:ascii="宋体" w:hAnsi="宋体" w:cs="宋体"/>
          <w:color w:val="auto"/>
          <w:szCs w:val="21"/>
          <w:highlight w:val="none"/>
        </w:rPr>
      </w:pPr>
    </w:p>
    <w:p w14:paraId="0336B6E0">
      <w:pPr>
        <w:spacing w:line="520" w:lineRule="exact"/>
        <w:ind w:firstLine="880"/>
        <w:jc w:val="left"/>
        <w:rPr>
          <w:rFonts w:ascii="宋体" w:hAnsi="宋体" w:cs="宋体"/>
          <w:color w:val="auto"/>
          <w:szCs w:val="21"/>
          <w:highlight w:val="none"/>
        </w:rPr>
      </w:pPr>
    </w:p>
    <w:p w14:paraId="73B7F595">
      <w:pPr>
        <w:spacing w:line="520" w:lineRule="exact"/>
        <w:ind w:firstLine="880"/>
        <w:jc w:val="left"/>
        <w:rPr>
          <w:rFonts w:ascii="宋体" w:hAnsi="宋体" w:cs="宋体"/>
          <w:color w:val="auto"/>
          <w:szCs w:val="21"/>
          <w:highlight w:val="none"/>
        </w:rPr>
      </w:pPr>
    </w:p>
    <w:p w14:paraId="26422F85">
      <w:pPr>
        <w:spacing w:line="520" w:lineRule="exact"/>
        <w:ind w:firstLine="880"/>
        <w:jc w:val="left"/>
        <w:rPr>
          <w:rFonts w:ascii="宋体" w:hAnsi="宋体" w:cs="宋体"/>
          <w:color w:val="auto"/>
          <w:szCs w:val="21"/>
          <w:highlight w:val="none"/>
        </w:rPr>
      </w:pPr>
    </w:p>
    <w:p w14:paraId="799C3F34">
      <w:pPr>
        <w:spacing w:line="520" w:lineRule="exact"/>
        <w:ind w:firstLine="880"/>
        <w:jc w:val="left"/>
        <w:rPr>
          <w:rFonts w:ascii="宋体" w:hAnsi="宋体" w:cs="宋体"/>
          <w:color w:val="auto"/>
          <w:szCs w:val="21"/>
          <w:highlight w:val="none"/>
        </w:rPr>
      </w:pPr>
    </w:p>
    <w:p w14:paraId="1881C38A">
      <w:pPr>
        <w:spacing w:line="520" w:lineRule="exact"/>
        <w:ind w:firstLine="880"/>
        <w:jc w:val="left"/>
        <w:rPr>
          <w:rFonts w:ascii="宋体" w:hAnsi="宋体" w:cs="宋体"/>
          <w:color w:val="auto"/>
          <w:szCs w:val="21"/>
          <w:highlight w:val="none"/>
        </w:rPr>
      </w:pPr>
    </w:p>
    <w:p w14:paraId="59F93E8B">
      <w:pPr>
        <w:spacing w:line="520" w:lineRule="exact"/>
        <w:ind w:firstLine="880"/>
        <w:jc w:val="left"/>
        <w:rPr>
          <w:rFonts w:ascii="宋体" w:hAnsi="宋体" w:cs="宋体"/>
          <w:color w:val="auto"/>
          <w:szCs w:val="21"/>
          <w:highlight w:val="none"/>
        </w:rPr>
      </w:pPr>
    </w:p>
    <w:p w14:paraId="50D140E1">
      <w:pPr>
        <w:spacing w:line="520" w:lineRule="exact"/>
        <w:ind w:firstLine="880"/>
        <w:jc w:val="left"/>
        <w:rPr>
          <w:rFonts w:ascii="宋体" w:hAnsi="宋体" w:cs="宋体"/>
          <w:color w:val="auto"/>
          <w:szCs w:val="21"/>
          <w:highlight w:val="none"/>
        </w:rPr>
      </w:pPr>
    </w:p>
    <w:p w14:paraId="12150522">
      <w:pPr>
        <w:spacing w:line="520" w:lineRule="exact"/>
        <w:ind w:firstLine="880"/>
        <w:jc w:val="left"/>
        <w:rPr>
          <w:rFonts w:ascii="宋体" w:hAnsi="宋体" w:cs="宋体"/>
          <w:color w:val="auto"/>
          <w:szCs w:val="21"/>
          <w:highlight w:val="none"/>
        </w:rPr>
      </w:pPr>
    </w:p>
    <w:p w14:paraId="7D9C82B2">
      <w:pPr>
        <w:spacing w:line="520" w:lineRule="exact"/>
        <w:ind w:firstLine="880"/>
        <w:jc w:val="left"/>
        <w:rPr>
          <w:rFonts w:ascii="宋体" w:hAnsi="宋体" w:cs="宋体"/>
          <w:color w:val="auto"/>
          <w:szCs w:val="21"/>
          <w:highlight w:val="none"/>
        </w:rPr>
      </w:pPr>
    </w:p>
    <w:p w14:paraId="1085B2BA">
      <w:pPr>
        <w:spacing w:line="520" w:lineRule="exact"/>
        <w:ind w:firstLine="880"/>
        <w:jc w:val="left"/>
        <w:rPr>
          <w:rFonts w:ascii="宋体" w:hAnsi="宋体" w:cs="宋体"/>
          <w:color w:val="auto"/>
          <w:szCs w:val="21"/>
          <w:highlight w:val="none"/>
        </w:rPr>
      </w:pPr>
    </w:p>
    <w:p w14:paraId="71B6F73C">
      <w:pPr>
        <w:spacing w:line="520" w:lineRule="exact"/>
        <w:ind w:firstLine="880"/>
        <w:jc w:val="left"/>
        <w:rPr>
          <w:rFonts w:ascii="宋体" w:hAnsi="宋体" w:cs="宋体"/>
          <w:color w:val="auto"/>
          <w:szCs w:val="21"/>
          <w:highlight w:val="none"/>
        </w:rPr>
      </w:pPr>
    </w:p>
    <w:p w14:paraId="7DA60A25">
      <w:pPr>
        <w:spacing w:line="520" w:lineRule="exact"/>
        <w:ind w:firstLine="880"/>
        <w:jc w:val="left"/>
        <w:rPr>
          <w:rFonts w:ascii="宋体" w:hAnsi="宋体" w:cs="宋体"/>
          <w:color w:val="auto"/>
          <w:szCs w:val="21"/>
          <w:highlight w:val="none"/>
        </w:rPr>
      </w:pPr>
    </w:p>
    <w:p w14:paraId="6D8EBBD1">
      <w:pPr>
        <w:spacing w:line="520" w:lineRule="exact"/>
        <w:jc w:val="left"/>
        <w:rPr>
          <w:rFonts w:ascii="方正小标宋简体" w:hAnsi="方正小标宋简体" w:eastAsia="仿宋" w:cs="方正小标宋简体"/>
          <w:bCs/>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宋体"/>
          <w:b/>
          <w:bCs/>
          <w:color w:val="auto"/>
          <w:sz w:val="28"/>
          <w:szCs w:val="28"/>
          <w:highlight w:val="none"/>
        </w:rPr>
        <w:t>5.法定代表人授权委托书的格式：</w:t>
      </w:r>
    </w:p>
    <w:p w14:paraId="0DB78BB5">
      <w:pPr>
        <w:spacing w:line="500" w:lineRule="exact"/>
        <w:jc w:val="center"/>
        <w:rPr>
          <w:rFonts w:ascii="方正小标宋简体" w:hAnsi="方正小标宋简体" w:eastAsia="方正小标宋简体" w:cs="方正小标宋简体"/>
          <w:color w:val="auto"/>
          <w:sz w:val="44"/>
          <w:szCs w:val="44"/>
          <w:highlight w:val="none"/>
        </w:rPr>
      </w:pPr>
    </w:p>
    <w:p w14:paraId="17BDBF1B">
      <w:pPr>
        <w:spacing w:line="52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授权委托书（非联合体竞标格式）</w:t>
      </w:r>
    </w:p>
    <w:p w14:paraId="6DE50DB4">
      <w:pPr>
        <w:spacing w:line="52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（如有委托时）</w:t>
      </w:r>
    </w:p>
    <w:p w14:paraId="1F40CC07">
      <w:pPr>
        <w:spacing w:line="520" w:lineRule="exact"/>
        <w:rPr>
          <w:rFonts w:ascii="仿宋_GB2312" w:hAnsi="仿宋_GB2312" w:eastAsia="仿宋_GB2312" w:cs="仿宋_GB2312"/>
          <w:color w:val="auto"/>
          <w:sz w:val="32"/>
          <w:szCs w:val="32"/>
          <w:highlight w:val="none"/>
        </w:rPr>
      </w:pPr>
    </w:p>
    <w:p w14:paraId="73444C6A">
      <w:pPr>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54D5D17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□法定代表人/□负责人/□自然人本人</w:t>
      </w:r>
      <w:r>
        <w:rPr>
          <w:rFonts w:hint="eastAsia" w:ascii="宋体" w:hAnsi="宋体" w:cs="宋体"/>
          <w:color w:val="auto"/>
          <w:sz w:val="24"/>
          <w:highlight w:val="none"/>
        </w:rPr>
        <w:t>），现授权</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（姓名）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项目的竞标活动，并代表我方全权办理针对上述项目的所有采购程序和环节的具体事务和签署相关文件。</w:t>
      </w:r>
    </w:p>
    <w:p w14:paraId="42CD447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我方对委托代理人的签字事项负全部责任。</w:t>
      </w:r>
    </w:p>
    <w:p w14:paraId="508830E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3559222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279FB8F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附：委托代理人有效身份证正反面复印件</w:t>
      </w:r>
    </w:p>
    <w:p w14:paraId="5CA4BC9C">
      <w:pPr>
        <w:spacing w:line="360" w:lineRule="auto"/>
        <w:rPr>
          <w:rFonts w:ascii="宋体" w:hAnsi="宋体" w:cs="宋体"/>
          <w:color w:val="auto"/>
          <w:sz w:val="24"/>
          <w:highlight w:val="none"/>
        </w:rPr>
      </w:pPr>
    </w:p>
    <w:p w14:paraId="1352248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委托代理人（签字）：         法定代表人（签字）：                    </w:t>
      </w:r>
    </w:p>
    <w:p w14:paraId="3EC39E4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委托代理人身份证号码：                              </w:t>
      </w:r>
    </w:p>
    <w:p w14:paraId="186C459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2523A3F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rPr>
        <w:t>供应商名称（盖公章）：</w:t>
      </w:r>
    </w:p>
    <w:p w14:paraId="0AB2B94D">
      <w:pPr>
        <w:spacing w:line="360" w:lineRule="auto"/>
        <w:contextualSpacing/>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3012F3C4">
      <w:pPr>
        <w:spacing w:line="360" w:lineRule="auto"/>
        <w:rPr>
          <w:rFonts w:ascii="宋体" w:hAnsi="宋体" w:cs="宋体"/>
          <w:color w:val="auto"/>
          <w:sz w:val="24"/>
          <w:highlight w:val="none"/>
        </w:rPr>
      </w:pPr>
    </w:p>
    <w:p w14:paraId="5ED2D3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14:paraId="2899CC5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法定代表人和委托代理人必须在授权委托书上签字，</w:t>
      </w:r>
      <w:r>
        <w:rPr>
          <w:rFonts w:hint="eastAsia" w:ascii="宋体" w:hAnsi="宋体" w:cs="宋体"/>
          <w:b/>
          <w:color w:val="auto"/>
          <w:szCs w:val="21"/>
          <w:highlight w:val="none"/>
        </w:rPr>
        <w:t>否则其响应文件按无效响应处理。</w:t>
      </w:r>
    </w:p>
    <w:p w14:paraId="632F769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957EEA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 法人、其他组织竞标时“我方”是指“我单位”，自然人竞标时“我方”是指“本人”。</w:t>
      </w:r>
    </w:p>
    <w:p w14:paraId="7B3D3A57">
      <w:pPr>
        <w:spacing w:line="500" w:lineRule="exact"/>
        <w:jc w:val="center"/>
        <w:rPr>
          <w:rFonts w:ascii="宋体" w:hAnsi="宋体" w:cs="宋体"/>
          <w:b/>
          <w:bCs/>
          <w:color w:val="auto"/>
          <w:sz w:val="32"/>
          <w:szCs w:val="32"/>
          <w:highlight w:val="none"/>
        </w:rPr>
      </w:pPr>
      <w:r>
        <w:rPr>
          <w:rFonts w:ascii="仿宋_GB2312" w:hAnsi="仿宋_GB2312" w:eastAsia="仿宋_GB2312" w:cs="仿宋_GB2312"/>
          <w:color w:val="auto"/>
          <w:szCs w:val="21"/>
          <w:highlight w:val="none"/>
        </w:rPr>
        <w:br w:type="page"/>
      </w:r>
      <w:r>
        <w:rPr>
          <w:rFonts w:hint="eastAsia" w:ascii="宋体" w:hAnsi="宋体" w:cs="宋体"/>
          <w:b/>
          <w:bCs/>
          <w:color w:val="auto"/>
          <w:sz w:val="32"/>
          <w:szCs w:val="32"/>
          <w:highlight w:val="none"/>
        </w:rPr>
        <w:t>授权委托书（联合体竞标格式）</w:t>
      </w:r>
    </w:p>
    <w:p w14:paraId="4B70800C">
      <w:pPr>
        <w:spacing w:line="50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（如有委托时）</w:t>
      </w:r>
    </w:p>
    <w:p w14:paraId="1EDCDAEA">
      <w:pPr>
        <w:spacing w:line="500" w:lineRule="exact"/>
        <w:jc w:val="center"/>
        <w:rPr>
          <w:rFonts w:ascii="方正小标宋简体" w:hAnsi="方正小标宋简体" w:eastAsia="方正小标宋简体" w:cs="方正小标宋简体"/>
          <w:color w:val="auto"/>
          <w:sz w:val="44"/>
          <w:szCs w:val="44"/>
          <w:highlight w:val="none"/>
        </w:rPr>
      </w:pPr>
    </w:p>
    <w:p w14:paraId="1E9616A6">
      <w:pPr>
        <w:spacing w:line="500" w:lineRule="exact"/>
        <w:jc w:val="center"/>
        <w:rPr>
          <w:rFonts w:ascii="仿宋_GB2312" w:hAnsi="仿宋_GB2312" w:eastAsia="仿宋_GB2312" w:cs="仿宋_GB2312"/>
          <w:color w:val="auto"/>
          <w:sz w:val="32"/>
          <w:szCs w:val="32"/>
          <w:highlight w:val="none"/>
        </w:rPr>
      </w:pPr>
    </w:p>
    <w:p w14:paraId="2949CF20">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本授权委托书声明：根据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（牵头人名称）与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（联合体其他成员名称）签订的《联合体竞标协议书》的内容，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（牵头人名称）的法定代表人</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（姓名）</w:t>
      </w:r>
      <w:r>
        <w:rPr>
          <w:rFonts w:hint="eastAsia" w:ascii="宋体" w:hAnsi="宋体" w:cs="宋体"/>
          <w:color w:val="auto"/>
          <w:sz w:val="24"/>
          <w:highlight w:val="none"/>
        </w:rPr>
        <w:t>现授权</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 xml:space="preserve"> （姓名）</w:t>
      </w:r>
      <w:r>
        <w:rPr>
          <w:rFonts w:hint="eastAsia" w:ascii="宋体" w:hAnsi="宋体" w:cs="宋体"/>
          <w:color w:val="auto"/>
          <w:sz w:val="24"/>
          <w:highlight w:val="none"/>
        </w:rPr>
        <w:t>为联合委托代理人，并代表我方全权办理针对上述项目的所有采购程序和环节的具体事务和签署相关文件。</w:t>
      </w:r>
    </w:p>
    <w:p w14:paraId="74D672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我方对委托代理人的签字事项负全部责任。</w:t>
      </w:r>
    </w:p>
    <w:p w14:paraId="5624364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7E47062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7B44075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277FC0CF">
      <w:pPr>
        <w:spacing w:line="360" w:lineRule="auto"/>
        <w:ind w:firstLine="1560" w:firstLineChars="650"/>
        <w:rPr>
          <w:rFonts w:ascii="宋体" w:hAnsi="宋体" w:cs="宋体"/>
          <w:color w:val="auto"/>
          <w:sz w:val="24"/>
          <w:highlight w:val="none"/>
        </w:rPr>
      </w:pPr>
      <w:r>
        <w:rPr>
          <w:rFonts w:hint="eastAsia" w:ascii="宋体" w:hAnsi="宋体" w:cs="宋体"/>
          <w:color w:val="auto"/>
          <w:sz w:val="24"/>
          <w:highlight w:val="none"/>
        </w:rPr>
        <w:t>牵头人法定代表人（签字）：</w:t>
      </w:r>
    </w:p>
    <w:p w14:paraId="0A8DCC96">
      <w:pPr>
        <w:spacing w:line="360" w:lineRule="auto"/>
        <w:ind w:firstLine="3120" w:firstLineChars="1300"/>
        <w:rPr>
          <w:rFonts w:ascii="宋体" w:hAnsi="宋体" w:cs="宋体"/>
          <w:color w:val="auto"/>
          <w:sz w:val="24"/>
          <w:highlight w:val="none"/>
        </w:rPr>
      </w:pPr>
      <w:r>
        <w:rPr>
          <w:rFonts w:hint="eastAsia" w:ascii="宋体" w:hAnsi="宋体" w:cs="宋体"/>
          <w:color w:val="auto"/>
          <w:sz w:val="24"/>
          <w:highlight w:val="none"/>
        </w:rPr>
        <w:t>牵头人名称（盖公章）：</w:t>
      </w:r>
    </w:p>
    <w:p w14:paraId="22EE022D">
      <w:pPr>
        <w:spacing w:line="360" w:lineRule="auto"/>
        <w:ind w:firstLine="3840" w:firstLineChars="1600"/>
        <w:rPr>
          <w:rFonts w:ascii="宋体" w:hAnsi="宋体" w:cs="宋体"/>
          <w:color w:val="auto"/>
          <w:sz w:val="24"/>
          <w:highlight w:val="none"/>
        </w:rPr>
      </w:pPr>
      <w:r>
        <w:rPr>
          <w:rFonts w:hint="eastAsia" w:ascii="宋体" w:hAnsi="宋体" w:cs="宋体"/>
          <w:color w:val="auto"/>
          <w:sz w:val="24"/>
          <w:highlight w:val="none"/>
        </w:rPr>
        <w:t>日期：    年   月   日</w:t>
      </w:r>
    </w:p>
    <w:p w14:paraId="6C55CA75">
      <w:pPr>
        <w:spacing w:line="360" w:lineRule="auto"/>
        <w:rPr>
          <w:rFonts w:ascii="宋体" w:hAnsi="宋体" w:cs="宋体"/>
          <w:color w:val="auto"/>
          <w:sz w:val="24"/>
          <w:highlight w:val="none"/>
        </w:rPr>
      </w:pPr>
    </w:p>
    <w:p w14:paraId="3A863834">
      <w:pPr>
        <w:spacing w:line="360" w:lineRule="auto"/>
        <w:ind w:firstLine="3120" w:firstLineChars="1300"/>
        <w:rPr>
          <w:rFonts w:ascii="宋体" w:hAnsi="宋体" w:cs="宋体"/>
          <w:color w:val="auto"/>
          <w:sz w:val="24"/>
          <w:highlight w:val="none"/>
        </w:rPr>
      </w:pPr>
      <w:r>
        <w:rPr>
          <w:rFonts w:hint="eastAsia" w:ascii="宋体" w:hAnsi="宋体" w:cs="宋体"/>
          <w:color w:val="auto"/>
          <w:sz w:val="24"/>
          <w:highlight w:val="none"/>
        </w:rPr>
        <w:t>委托代理人（签字）：</w:t>
      </w:r>
    </w:p>
    <w:p w14:paraId="62A7664A">
      <w:pPr>
        <w:spacing w:line="360" w:lineRule="auto"/>
        <w:ind w:firstLine="3840" w:firstLineChars="1600"/>
        <w:rPr>
          <w:rFonts w:ascii="宋体" w:hAnsi="宋体" w:cs="宋体"/>
          <w:color w:val="auto"/>
          <w:sz w:val="24"/>
          <w:highlight w:val="none"/>
        </w:rPr>
      </w:pPr>
      <w:r>
        <w:rPr>
          <w:rFonts w:hint="eastAsia" w:ascii="宋体" w:hAnsi="宋体" w:cs="宋体"/>
          <w:color w:val="auto"/>
          <w:sz w:val="24"/>
          <w:highlight w:val="none"/>
        </w:rPr>
        <w:t>日期：    年   月   日</w:t>
      </w:r>
    </w:p>
    <w:p w14:paraId="569AE396">
      <w:pPr>
        <w:spacing w:line="360" w:lineRule="auto"/>
        <w:rPr>
          <w:rFonts w:ascii="宋体" w:hAnsi="宋体" w:cs="宋体"/>
          <w:color w:val="auto"/>
          <w:sz w:val="24"/>
          <w:highlight w:val="none"/>
        </w:rPr>
      </w:pPr>
    </w:p>
    <w:p w14:paraId="0570B3E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w:t>
      </w:r>
    </w:p>
    <w:p w14:paraId="3A276C0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 法定代表人和委托代理人必须在授权委托书上签字，</w:t>
      </w:r>
      <w:r>
        <w:rPr>
          <w:rFonts w:hint="eastAsia" w:ascii="宋体" w:hAnsi="宋体" w:cs="宋体"/>
          <w:b/>
          <w:color w:val="auto"/>
          <w:szCs w:val="21"/>
          <w:highlight w:val="none"/>
        </w:rPr>
        <w:t>否则其响应文件按无效响应处理。</w:t>
      </w:r>
    </w:p>
    <w:p w14:paraId="055D8C1B">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2.本授权委托书应由联合体牵头人的法定代表人按上述规定签署。</w:t>
      </w:r>
    </w:p>
    <w:p w14:paraId="0EA44DD0">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1164F911">
      <w:pPr>
        <w:spacing w:line="360" w:lineRule="auto"/>
        <w:ind w:firstLine="420" w:firstLineChars="200"/>
        <w:jc w:val="left"/>
        <w:rPr>
          <w:rFonts w:ascii="宋体" w:hAnsi="宋体" w:cs="宋体"/>
          <w:color w:val="auto"/>
          <w:sz w:val="24"/>
          <w:highlight w:val="none"/>
        </w:rPr>
      </w:pPr>
      <w:r>
        <w:rPr>
          <w:rFonts w:hint="eastAsia" w:ascii="宋体" w:hAnsi="宋体" w:cs="宋体"/>
          <w:color w:val="auto"/>
          <w:szCs w:val="21"/>
          <w:highlight w:val="none"/>
        </w:rPr>
        <w:t>4.法人、其他组织竞标时“我方”是指“我单位”，自然人竞标时“我方”是指“本人”。</w:t>
      </w:r>
    </w:p>
    <w:p w14:paraId="2F978D47">
      <w:pPr>
        <w:spacing w:line="360" w:lineRule="auto"/>
        <w:ind w:firstLine="420" w:firstLineChars="200"/>
        <w:jc w:val="left"/>
        <w:rPr>
          <w:rFonts w:ascii="仿宋_GB2312" w:hAnsi="仿宋_GB2312" w:eastAsia="仿宋_GB2312" w:cs="仿宋_GB2312"/>
          <w:color w:val="auto"/>
          <w:szCs w:val="21"/>
          <w:highlight w:val="none"/>
        </w:rPr>
      </w:pPr>
    </w:p>
    <w:p w14:paraId="50EAD594">
      <w:pPr>
        <w:spacing w:line="520" w:lineRule="exact"/>
        <w:jc w:val="left"/>
        <w:rPr>
          <w:rFonts w:ascii="仿宋" w:hAnsi="仿宋" w:eastAsia="仿宋" w:cs="仿宋_GB2312"/>
          <w:b/>
          <w:color w:val="auto"/>
          <w:sz w:val="30"/>
          <w:szCs w:val="30"/>
          <w:highlight w:val="none"/>
        </w:rPr>
      </w:pPr>
      <w:r>
        <w:rPr>
          <w:rFonts w:hint="eastAsia" w:ascii="仿宋_GB2312" w:hAnsi="仿宋_GB2312" w:eastAsia="仿宋_GB2312" w:cs="仿宋_GB2312"/>
          <w:color w:val="auto"/>
          <w:sz w:val="32"/>
          <w:szCs w:val="32"/>
          <w:highlight w:val="none"/>
        </w:rPr>
        <w:br w:type="page"/>
      </w:r>
      <w:r>
        <w:rPr>
          <w:rFonts w:hint="eastAsia" w:ascii="宋体" w:hAnsi="宋体" w:cs="宋体"/>
          <w:b/>
          <w:color w:val="auto"/>
          <w:sz w:val="28"/>
          <w:szCs w:val="28"/>
          <w:highlight w:val="none"/>
        </w:rPr>
        <w:t>6.商务条款偏离表的格式：</w:t>
      </w:r>
    </w:p>
    <w:p w14:paraId="08EEB5CC">
      <w:pPr>
        <w:pStyle w:val="2"/>
        <w:rPr>
          <w:color w:val="auto"/>
          <w:highlight w:val="none"/>
        </w:rPr>
      </w:pPr>
    </w:p>
    <w:p w14:paraId="028438E5">
      <w:pPr>
        <w:spacing w:line="500" w:lineRule="exact"/>
        <w:jc w:val="center"/>
        <w:rPr>
          <w:rFonts w:ascii="宋体" w:hAnsi="宋体" w:cs="宋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商务要求偏离表</w:t>
      </w:r>
    </w:p>
    <w:p w14:paraId="04CA24BB">
      <w:pPr>
        <w:spacing w:line="520" w:lineRule="exact"/>
        <w:rPr>
          <w:rFonts w:ascii="宋体" w:hAnsi="宋体" w:cs="宋体"/>
          <w:color w:val="auto"/>
          <w:sz w:val="32"/>
          <w:szCs w:val="32"/>
          <w:highlight w:val="none"/>
        </w:rPr>
      </w:pPr>
    </w:p>
    <w:p w14:paraId="6DF8589C">
      <w:pPr>
        <w:spacing w:line="360" w:lineRule="auto"/>
        <w:contextualSpacing/>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500FEE95">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p w14:paraId="240F2454">
      <w:pPr>
        <w:spacing w:line="360" w:lineRule="auto"/>
        <w:contextualSpacing/>
        <w:rPr>
          <w:rFonts w:ascii="宋体" w:hAnsi="宋体" w:cs="宋体"/>
          <w:color w:val="auto"/>
          <w:sz w:val="24"/>
          <w:highlight w:val="none"/>
          <w:u w:val="single"/>
        </w:rPr>
      </w:pPr>
      <w:r>
        <w:rPr>
          <w:rFonts w:hint="eastAsia" w:ascii="宋体" w:hAnsi="宋体" w:cs="宋体"/>
          <w:color w:val="auto"/>
          <w:sz w:val="24"/>
          <w:highlight w:val="none"/>
        </w:rPr>
        <w:t>所竞分标（如有则填写，无分标时填写“无”或者留空）：</w:t>
      </w:r>
      <w:r>
        <w:rPr>
          <w:rFonts w:hint="eastAsia" w:ascii="宋体" w:hAnsi="宋体" w:cs="宋体"/>
          <w:color w:val="auto"/>
          <w:sz w:val="24"/>
          <w:highlight w:val="none"/>
          <w:u w:val="single"/>
        </w:rPr>
        <w:t xml:space="preserve">                </w:t>
      </w:r>
    </w:p>
    <w:tbl>
      <w:tblPr>
        <w:tblStyle w:val="31"/>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14:paraId="2815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5C67B88F">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315E698D">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竞争性磋商文件的商务要求</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5247A229">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响应文件响应的商务要求</w:t>
            </w:r>
          </w:p>
        </w:tc>
        <w:tc>
          <w:tcPr>
            <w:tcW w:w="1274" w:type="dxa"/>
            <w:tcBorders>
              <w:top w:val="single" w:color="auto" w:sz="4" w:space="0"/>
              <w:left w:val="single" w:color="auto" w:sz="4" w:space="0"/>
              <w:bottom w:val="single" w:color="auto" w:sz="4" w:space="0"/>
              <w:right w:val="single" w:color="auto" w:sz="4" w:space="0"/>
            </w:tcBorders>
            <w:noWrap w:val="0"/>
            <w:vAlign w:val="center"/>
          </w:tcPr>
          <w:p w14:paraId="7E754491">
            <w:pPr>
              <w:spacing w:line="340" w:lineRule="exact"/>
              <w:jc w:val="center"/>
              <w:rPr>
                <w:rFonts w:ascii="宋体" w:hAnsi="宋体" w:cs="宋体"/>
                <w:color w:val="auto"/>
                <w:szCs w:val="21"/>
                <w:highlight w:val="none"/>
              </w:rPr>
            </w:pPr>
            <w:r>
              <w:rPr>
                <w:rFonts w:hint="eastAsia" w:ascii="宋体" w:hAnsi="宋体" w:cs="宋体"/>
                <w:color w:val="auto"/>
                <w:szCs w:val="21"/>
                <w:highlight w:val="none"/>
              </w:rPr>
              <w:t>偏离说明</w:t>
            </w:r>
          </w:p>
        </w:tc>
      </w:tr>
      <w:tr w14:paraId="17E8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25A3961">
            <w:pPr>
              <w:spacing w:line="340" w:lineRule="exact"/>
              <w:rPr>
                <w:rFonts w:ascii="宋体" w:hAnsi="宋体" w:cs="宋体"/>
                <w:color w:val="auto"/>
                <w:szCs w:val="21"/>
                <w:highlight w:val="none"/>
              </w:rPr>
            </w:pPr>
            <w:r>
              <w:rPr>
                <w:rFonts w:hint="eastAsia" w:ascii="宋体" w:hAnsi="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3ABF081">
            <w:pPr>
              <w:spacing w:line="340" w:lineRule="exact"/>
              <w:rPr>
                <w:rFonts w:ascii="宋体" w:hAnsi="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480DA5A7">
            <w:pPr>
              <w:spacing w:line="340" w:lineRule="exact"/>
              <w:rPr>
                <w:rFonts w:ascii="宋体" w:hAnsi="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71ED315E">
            <w:pPr>
              <w:spacing w:line="300" w:lineRule="exact"/>
              <w:rPr>
                <w:rFonts w:ascii="宋体" w:hAnsi="宋体" w:cs="宋体"/>
                <w:color w:val="auto"/>
                <w:szCs w:val="21"/>
                <w:highlight w:val="none"/>
              </w:rPr>
            </w:pPr>
          </w:p>
        </w:tc>
      </w:tr>
      <w:tr w14:paraId="390B1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6444A1D">
            <w:pPr>
              <w:spacing w:line="340" w:lineRule="exact"/>
              <w:rPr>
                <w:rFonts w:ascii="宋体" w:hAnsi="宋体" w:cs="宋体"/>
                <w:color w:val="auto"/>
                <w:szCs w:val="21"/>
                <w:highlight w:val="none"/>
              </w:rPr>
            </w:pPr>
            <w:r>
              <w:rPr>
                <w:rFonts w:hint="eastAsia" w:ascii="宋体" w:hAnsi="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7830B0C6">
            <w:pPr>
              <w:spacing w:line="340" w:lineRule="exact"/>
              <w:rPr>
                <w:rFonts w:ascii="宋体" w:hAnsi="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05801202">
            <w:pPr>
              <w:spacing w:line="340" w:lineRule="exact"/>
              <w:rPr>
                <w:rFonts w:ascii="宋体" w:hAnsi="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A6AADF5">
            <w:pPr>
              <w:spacing w:line="300" w:lineRule="exact"/>
              <w:rPr>
                <w:rFonts w:ascii="宋体" w:hAnsi="宋体" w:cs="宋体"/>
                <w:color w:val="auto"/>
                <w:szCs w:val="21"/>
                <w:highlight w:val="none"/>
              </w:rPr>
            </w:pPr>
          </w:p>
        </w:tc>
      </w:tr>
      <w:tr w14:paraId="2F26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839FC4">
            <w:pPr>
              <w:spacing w:line="340" w:lineRule="exact"/>
              <w:rPr>
                <w:rFonts w:ascii="宋体" w:hAnsi="宋体" w:cs="宋体"/>
                <w:color w:val="auto"/>
                <w:szCs w:val="21"/>
                <w:highlight w:val="none"/>
              </w:rPr>
            </w:pPr>
            <w:r>
              <w:rPr>
                <w:rFonts w:hint="eastAsia" w:ascii="宋体" w:hAnsi="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28B515F">
            <w:pPr>
              <w:spacing w:line="340" w:lineRule="exact"/>
              <w:rPr>
                <w:rFonts w:ascii="宋体" w:hAnsi="宋体" w:cs="宋体"/>
                <w:color w:val="auto"/>
                <w:szCs w:val="21"/>
                <w:highlight w:val="none"/>
              </w:rPr>
            </w:pPr>
          </w:p>
        </w:tc>
        <w:tc>
          <w:tcPr>
            <w:tcW w:w="3589" w:type="dxa"/>
            <w:tcBorders>
              <w:top w:val="single" w:color="auto" w:sz="4" w:space="0"/>
              <w:left w:val="single" w:color="auto" w:sz="4" w:space="0"/>
              <w:bottom w:val="single" w:color="auto" w:sz="4" w:space="0"/>
              <w:right w:val="single" w:color="auto" w:sz="4" w:space="0"/>
            </w:tcBorders>
            <w:noWrap w:val="0"/>
            <w:vAlign w:val="top"/>
          </w:tcPr>
          <w:p w14:paraId="6BE3522E">
            <w:pPr>
              <w:spacing w:line="340" w:lineRule="exact"/>
              <w:rPr>
                <w:rFonts w:ascii="宋体" w:hAnsi="宋体" w:cs="宋体"/>
                <w:color w:val="auto"/>
                <w:szCs w:val="21"/>
                <w:highlight w:val="none"/>
              </w:rPr>
            </w:pPr>
          </w:p>
        </w:tc>
        <w:tc>
          <w:tcPr>
            <w:tcW w:w="1274" w:type="dxa"/>
            <w:tcBorders>
              <w:top w:val="single" w:color="auto" w:sz="4" w:space="0"/>
              <w:left w:val="single" w:color="auto" w:sz="4" w:space="0"/>
              <w:bottom w:val="single" w:color="auto" w:sz="4" w:space="0"/>
              <w:right w:val="single" w:color="auto" w:sz="4" w:space="0"/>
            </w:tcBorders>
            <w:noWrap w:val="0"/>
            <w:vAlign w:val="top"/>
          </w:tcPr>
          <w:p w14:paraId="46FD0033">
            <w:pPr>
              <w:spacing w:line="300" w:lineRule="exact"/>
              <w:rPr>
                <w:rFonts w:ascii="宋体" w:hAnsi="宋体" w:cs="宋体"/>
                <w:color w:val="auto"/>
                <w:szCs w:val="21"/>
                <w:highlight w:val="none"/>
              </w:rPr>
            </w:pPr>
          </w:p>
        </w:tc>
      </w:tr>
    </w:tbl>
    <w:p w14:paraId="16A45328">
      <w:pPr>
        <w:pStyle w:val="16"/>
        <w:spacing w:line="400" w:lineRule="exact"/>
        <w:ind w:firstLine="0" w:firstLineChars="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53F172BF">
      <w:pPr>
        <w:pStyle w:val="16"/>
        <w:spacing w:line="40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1.应对照磋商文件“第二章 采购需求”中的商务条款逐条作出明确响应，并作出偏离说明。</w:t>
      </w:r>
    </w:p>
    <w:p w14:paraId="004622A7">
      <w:pPr>
        <w:pStyle w:val="16"/>
        <w:spacing w:line="400" w:lineRule="exact"/>
        <w:ind w:firstLine="480" w:firstLineChars="200"/>
        <w:contextualSpacing/>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2.供应商应根据自身的承诺，对照磋商文件要求，在“偏离说明”中注明“正偏离”或者“负偏离”或者“无偏离”。既不属于“正偏离”也不属于“负偏离”即为“无偏离”。 当响应文件的商务内容低于竞争性磋商文件要求时，供应商应当如实写明“负偏离”。</w:t>
      </w:r>
    </w:p>
    <w:p w14:paraId="1433F9A0">
      <w:pPr>
        <w:spacing w:line="40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3.表格内容均需按要求填写，不得留空，</w:t>
      </w:r>
      <w:r>
        <w:rPr>
          <w:rFonts w:hint="eastAsia" w:ascii="宋体" w:hAnsi="宋体" w:cs="宋体"/>
          <w:b/>
          <w:bCs/>
          <w:color w:val="auto"/>
          <w:kern w:val="0"/>
          <w:sz w:val="24"/>
          <w:highlight w:val="none"/>
        </w:rPr>
        <w:t>否则按竞标无效处理。</w:t>
      </w:r>
    </w:p>
    <w:p w14:paraId="3C8CF27F">
      <w:pPr>
        <w:spacing w:line="400" w:lineRule="exact"/>
        <w:ind w:firstLine="480" w:firstLineChars="200"/>
        <w:contextualSpacing/>
        <w:rPr>
          <w:rFonts w:ascii="宋体" w:hAnsi="宋体" w:cs="宋体"/>
          <w:color w:val="auto"/>
          <w:kern w:val="0"/>
          <w:sz w:val="24"/>
          <w:highlight w:val="none"/>
        </w:rPr>
      </w:pPr>
    </w:p>
    <w:p w14:paraId="2D0DEF9A">
      <w:pPr>
        <w:spacing w:line="360" w:lineRule="auto"/>
        <w:ind w:firstLine="3840" w:firstLineChars="1600"/>
        <w:rPr>
          <w:rFonts w:ascii="宋体" w:hAnsi="宋体" w:cs="宋体"/>
          <w:color w:val="auto"/>
          <w:sz w:val="24"/>
          <w:highlight w:val="none"/>
        </w:rPr>
      </w:pPr>
      <w:r>
        <w:rPr>
          <w:rFonts w:hint="eastAsia" w:ascii="宋体" w:hAnsi="宋体" w:cs="宋体"/>
          <w:color w:val="auto"/>
          <w:kern w:val="0"/>
          <w:sz w:val="24"/>
          <w:highlight w:val="none"/>
        </w:rPr>
        <w:t>供应商名称（盖公章）：</w:t>
      </w:r>
    </w:p>
    <w:p w14:paraId="15766675">
      <w:pPr>
        <w:spacing w:line="360" w:lineRule="auto"/>
        <w:contextualSpacing/>
        <w:jc w:val="center"/>
        <w:rPr>
          <w:rFonts w:ascii="宋体" w:hAnsi="宋体" w:cs="宋体"/>
          <w:b/>
          <w:color w:val="auto"/>
          <w:sz w:val="24"/>
          <w:highlight w:val="none"/>
        </w:rPr>
      </w:pPr>
      <w:r>
        <w:rPr>
          <w:rFonts w:hint="eastAsia" w:ascii="宋体" w:hAnsi="宋体" w:cs="宋体"/>
          <w:color w:val="auto"/>
          <w:kern w:val="0"/>
          <w:sz w:val="24"/>
          <w:highlight w:val="none"/>
          <w:lang w:val="zh-CN"/>
        </w:rPr>
        <w:t xml:space="preserve">                                                   日期：  年  月   日</w:t>
      </w:r>
    </w:p>
    <w:p w14:paraId="77E6E8BE">
      <w:pPr>
        <w:snapToGrid w:val="0"/>
        <w:spacing w:line="360" w:lineRule="auto"/>
        <w:ind w:firstLine="602" w:firstLineChars="200"/>
        <w:rPr>
          <w:rFonts w:ascii="仿宋" w:hAnsi="仿宋" w:eastAsia="仿宋" w:cs="仿宋_GB2312"/>
          <w:b/>
          <w:color w:val="auto"/>
          <w:sz w:val="30"/>
          <w:szCs w:val="30"/>
          <w:highlight w:val="none"/>
        </w:rPr>
      </w:pPr>
    </w:p>
    <w:p w14:paraId="03A4F659">
      <w:pPr>
        <w:snapToGrid w:val="0"/>
        <w:spacing w:line="360" w:lineRule="auto"/>
        <w:ind w:firstLine="602" w:firstLineChars="200"/>
        <w:rPr>
          <w:rFonts w:ascii="仿宋" w:hAnsi="仿宋" w:eastAsia="仿宋" w:cs="仿宋_GB2312"/>
          <w:b/>
          <w:color w:val="auto"/>
          <w:sz w:val="30"/>
          <w:szCs w:val="30"/>
          <w:highlight w:val="none"/>
        </w:rPr>
      </w:pPr>
    </w:p>
    <w:p w14:paraId="48A6C05C">
      <w:pPr>
        <w:pStyle w:val="2"/>
        <w:rPr>
          <w:color w:val="auto"/>
          <w:highlight w:val="none"/>
        </w:rPr>
      </w:pPr>
    </w:p>
    <w:p w14:paraId="728D3BBB">
      <w:pPr>
        <w:snapToGrid w:val="0"/>
        <w:spacing w:line="360" w:lineRule="auto"/>
        <w:ind w:firstLine="602" w:firstLineChars="200"/>
        <w:rPr>
          <w:rFonts w:ascii="仿宋" w:hAnsi="仿宋" w:eastAsia="仿宋" w:cs="仿宋_GB2312"/>
          <w:b/>
          <w:color w:val="auto"/>
          <w:sz w:val="30"/>
          <w:szCs w:val="30"/>
          <w:highlight w:val="none"/>
        </w:rPr>
      </w:pPr>
    </w:p>
    <w:p w14:paraId="61CB079B">
      <w:pPr>
        <w:pStyle w:val="26"/>
        <w:snapToGrid w:val="0"/>
        <w:ind w:left="562" w:hanging="562"/>
        <w:rPr>
          <w:rFonts w:ascii="宋体" w:hAnsi="宋体" w:cs="宋体"/>
          <w:i/>
          <w:iCs/>
          <w:color w:val="auto"/>
          <w:sz w:val="24"/>
          <w:highlight w:val="none"/>
        </w:rPr>
      </w:pPr>
      <w:r>
        <w:rPr>
          <w:rFonts w:hint="eastAsia" w:ascii="宋体" w:hAnsi="宋体" w:cs="宋体"/>
          <w:b/>
          <w:color w:val="auto"/>
          <w:sz w:val="28"/>
          <w:szCs w:val="28"/>
          <w:highlight w:val="none"/>
        </w:rPr>
        <w:t>7.供应商类似的业绩证明文件</w:t>
      </w:r>
      <w:r>
        <w:rPr>
          <w:rFonts w:hint="eastAsia" w:ascii="宋体" w:hAnsi="宋体" w:cs="宋体"/>
          <w:b/>
          <w:bCs/>
          <w:color w:val="auto"/>
          <w:sz w:val="30"/>
          <w:szCs w:val="30"/>
          <w:highlight w:val="none"/>
        </w:rPr>
        <w:t>（如有要求）：</w:t>
      </w:r>
    </w:p>
    <w:p w14:paraId="6EEFABC9">
      <w:pPr>
        <w:spacing w:line="360" w:lineRule="auto"/>
        <w:ind w:firstLine="2880" w:firstLineChars="900"/>
        <w:contextualSpacing/>
        <w:rPr>
          <w:rFonts w:ascii="宋体" w:hAnsi="宋体" w:cs="宋体"/>
          <w:color w:val="auto"/>
          <w:sz w:val="32"/>
          <w:szCs w:val="32"/>
          <w:highlight w:val="none"/>
        </w:rPr>
      </w:pPr>
    </w:p>
    <w:p w14:paraId="7B84D547">
      <w:pPr>
        <w:spacing w:line="360" w:lineRule="auto"/>
        <w:ind w:firstLine="2880" w:firstLineChars="900"/>
        <w:contextualSpacing/>
        <w:rPr>
          <w:rFonts w:ascii="宋体" w:hAnsi="宋体" w:cs="宋体"/>
          <w:color w:val="auto"/>
          <w:sz w:val="32"/>
          <w:szCs w:val="32"/>
          <w:highlight w:val="none"/>
        </w:rPr>
      </w:pPr>
      <w:r>
        <w:rPr>
          <w:rFonts w:hint="eastAsia" w:ascii="宋体" w:hAnsi="宋体" w:cs="宋体"/>
          <w:color w:val="auto"/>
          <w:sz w:val="32"/>
          <w:szCs w:val="32"/>
          <w:highlight w:val="none"/>
        </w:rPr>
        <w:t>类似项目的业绩一览表</w:t>
      </w:r>
    </w:p>
    <w:p w14:paraId="3A26A892">
      <w:pPr>
        <w:spacing w:line="360" w:lineRule="auto"/>
        <w:contextualSpacing/>
        <w:rPr>
          <w:rFonts w:ascii="宋体" w:hAnsi="宋体" w:cs="宋体"/>
          <w:color w:val="auto"/>
          <w:sz w:val="24"/>
          <w:highlight w:val="none"/>
          <w:u w:val="single"/>
        </w:rPr>
      </w:pPr>
      <w:r>
        <w:rPr>
          <w:rFonts w:hint="eastAsia" w:ascii="宋体" w:hAnsi="宋体" w:cs="宋体"/>
          <w:color w:val="auto"/>
          <w:sz w:val="24"/>
          <w:highlight w:val="none"/>
        </w:rPr>
        <w:t>所竞分标（如有则填写，无分标时填写“无”或者留空）：</w:t>
      </w:r>
      <w:r>
        <w:rPr>
          <w:rFonts w:hint="eastAsia" w:ascii="宋体" w:hAnsi="宋体" w:cs="宋体"/>
          <w:color w:val="auto"/>
          <w:sz w:val="24"/>
          <w:highlight w:val="none"/>
          <w:u w:val="single"/>
        </w:rPr>
        <w:t xml:space="preserve">                </w:t>
      </w:r>
    </w:p>
    <w:tbl>
      <w:tblPr>
        <w:tblStyle w:val="31"/>
        <w:tblpPr w:leftFromText="180" w:rightFromText="180" w:vertAnchor="page" w:horzAnchor="page" w:tblpX="1255" w:tblpY="364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63"/>
        <w:gridCol w:w="2164"/>
        <w:gridCol w:w="1134"/>
        <w:gridCol w:w="1134"/>
        <w:gridCol w:w="1701"/>
        <w:gridCol w:w="1276"/>
        <w:gridCol w:w="1842"/>
      </w:tblGrid>
      <w:tr w14:paraId="51B17B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14:paraId="6591146A">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采购人名称</w:t>
            </w:r>
          </w:p>
        </w:tc>
        <w:tc>
          <w:tcPr>
            <w:tcW w:w="2164" w:type="dxa"/>
            <w:vMerge w:val="restart"/>
            <w:tcBorders>
              <w:top w:val="single" w:color="auto" w:sz="4" w:space="0"/>
              <w:left w:val="single" w:color="auto" w:sz="4" w:space="0"/>
              <w:bottom w:val="single" w:color="auto" w:sz="4" w:space="0"/>
              <w:right w:val="single" w:color="auto" w:sz="4" w:space="0"/>
            </w:tcBorders>
            <w:noWrap w:val="0"/>
            <w:vAlign w:val="center"/>
          </w:tcPr>
          <w:p w14:paraId="4B783657">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643E2F09">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合同</w:t>
            </w:r>
          </w:p>
          <w:p w14:paraId="3D0AFA71">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金额</w:t>
            </w:r>
          </w:p>
          <w:p w14:paraId="6C06E958">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（万元）</w:t>
            </w:r>
          </w:p>
        </w:tc>
        <w:tc>
          <w:tcPr>
            <w:tcW w:w="4111" w:type="dxa"/>
            <w:gridSpan w:val="3"/>
            <w:tcBorders>
              <w:top w:val="single" w:color="auto" w:sz="4" w:space="0"/>
              <w:left w:val="single" w:color="auto" w:sz="4" w:space="0"/>
              <w:bottom w:val="single" w:color="auto" w:sz="4" w:space="0"/>
              <w:right w:val="single" w:color="auto" w:sz="4" w:space="0"/>
            </w:tcBorders>
            <w:noWrap w:val="0"/>
            <w:vAlign w:val="center"/>
          </w:tcPr>
          <w:p w14:paraId="625777E9">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附件在响应文件中页码</w:t>
            </w:r>
          </w:p>
        </w:tc>
        <w:tc>
          <w:tcPr>
            <w:tcW w:w="1842" w:type="dxa"/>
            <w:vMerge w:val="restart"/>
            <w:tcBorders>
              <w:top w:val="single" w:color="auto" w:sz="4" w:space="0"/>
              <w:left w:val="single" w:color="auto" w:sz="4" w:space="0"/>
              <w:bottom w:val="single" w:color="auto" w:sz="4" w:space="0"/>
              <w:right w:val="single" w:color="auto" w:sz="4" w:space="0"/>
            </w:tcBorders>
            <w:noWrap w:val="0"/>
            <w:vAlign w:val="center"/>
          </w:tcPr>
          <w:p w14:paraId="62862CA8">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采购人联系人及联系电话</w:t>
            </w:r>
          </w:p>
        </w:tc>
      </w:tr>
      <w:tr w14:paraId="1E1B5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14:paraId="60141E81">
            <w:pPr>
              <w:jc w:val="left"/>
              <w:rPr>
                <w:rFonts w:ascii="宋体" w:hAnsi="宋体" w:cs="宋体"/>
                <w:color w:val="auto"/>
                <w:sz w:val="24"/>
                <w:highlight w:val="none"/>
              </w:rPr>
            </w:pPr>
          </w:p>
        </w:tc>
        <w:tc>
          <w:tcPr>
            <w:tcW w:w="2164" w:type="dxa"/>
            <w:vMerge w:val="continue"/>
            <w:tcBorders>
              <w:top w:val="single" w:color="auto" w:sz="4" w:space="0"/>
              <w:left w:val="single" w:color="auto" w:sz="4" w:space="0"/>
              <w:bottom w:val="single" w:color="auto" w:sz="4" w:space="0"/>
              <w:right w:val="single" w:color="auto" w:sz="4" w:space="0"/>
            </w:tcBorders>
            <w:noWrap w:val="0"/>
            <w:vAlign w:val="center"/>
          </w:tcPr>
          <w:p w14:paraId="53EFA724">
            <w:pPr>
              <w:jc w:val="left"/>
              <w:rPr>
                <w:rFonts w:ascii="宋体" w:hAnsi="宋体" w:cs="宋体"/>
                <w:color w:val="auto"/>
                <w:sz w:val="24"/>
                <w:highlight w:val="none"/>
              </w:rPr>
            </w:pPr>
          </w:p>
        </w:tc>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21859216">
            <w:pPr>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C8F73D8">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合同</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0AE712A">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验收报告</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29F53AFF">
            <w:pPr>
              <w:snapToGrid w:val="0"/>
              <w:spacing w:line="240" w:lineRule="auto"/>
              <w:jc w:val="center"/>
              <w:rPr>
                <w:rFonts w:ascii="宋体" w:hAnsi="宋体" w:cs="宋体"/>
                <w:color w:val="auto"/>
                <w:sz w:val="24"/>
                <w:highlight w:val="none"/>
              </w:rPr>
            </w:pPr>
            <w:r>
              <w:rPr>
                <w:rFonts w:hint="eastAsia" w:ascii="宋体" w:hAnsi="宋体" w:cs="宋体"/>
                <w:color w:val="auto"/>
                <w:sz w:val="24"/>
                <w:highlight w:val="none"/>
              </w:rPr>
              <w:t>用户评价</w:t>
            </w:r>
          </w:p>
        </w:tc>
        <w:tc>
          <w:tcPr>
            <w:tcW w:w="1842" w:type="dxa"/>
            <w:vMerge w:val="continue"/>
            <w:tcBorders>
              <w:top w:val="single" w:color="auto" w:sz="4" w:space="0"/>
              <w:left w:val="single" w:color="auto" w:sz="4" w:space="0"/>
              <w:bottom w:val="single" w:color="auto" w:sz="4" w:space="0"/>
              <w:right w:val="single" w:color="auto" w:sz="4" w:space="0"/>
            </w:tcBorders>
            <w:noWrap w:val="0"/>
            <w:vAlign w:val="center"/>
          </w:tcPr>
          <w:p w14:paraId="08D5A224">
            <w:pPr>
              <w:jc w:val="left"/>
              <w:rPr>
                <w:rFonts w:ascii="宋体" w:hAnsi="宋体" w:cs="宋体"/>
                <w:color w:val="auto"/>
                <w:sz w:val="24"/>
                <w:highlight w:val="none"/>
              </w:rPr>
            </w:pPr>
          </w:p>
        </w:tc>
      </w:tr>
      <w:tr w14:paraId="421BD2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063" w:type="dxa"/>
            <w:tcBorders>
              <w:top w:val="single" w:color="auto" w:sz="4" w:space="0"/>
              <w:left w:val="single" w:color="auto" w:sz="4" w:space="0"/>
              <w:bottom w:val="single" w:color="auto" w:sz="4" w:space="0"/>
              <w:right w:val="single" w:color="auto" w:sz="4" w:space="0"/>
            </w:tcBorders>
            <w:noWrap w:val="0"/>
            <w:vAlign w:val="top"/>
          </w:tcPr>
          <w:p w14:paraId="63465A3A">
            <w:pPr>
              <w:snapToGrid w:val="0"/>
              <w:spacing w:line="240" w:lineRule="exact"/>
              <w:jc w:val="left"/>
              <w:rPr>
                <w:rFonts w:ascii="宋体" w:hAnsi="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083020A9">
            <w:pPr>
              <w:snapToGrid w:val="0"/>
              <w:spacing w:line="24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BB51180">
            <w:pPr>
              <w:snapToGrid w:val="0"/>
              <w:spacing w:line="24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39EAB5F">
            <w:pPr>
              <w:snapToGrid w:val="0"/>
              <w:spacing w:line="24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76761C31">
            <w:pPr>
              <w:snapToGrid w:val="0"/>
              <w:spacing w:line="24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6C9B58CD">
            <w:pPr>
              <w:snapToGrid w:val="0"/>
              <w:spacing w:line="240" w:lineRule="exact"/>
              <w:jc w:val="left"/>
              <w:rPr>
                <w:rFonts w:ascii="宋体" w:hAnsi="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126F5CE9">
            <w:pPr>
              <w:snapToGrid w:val="0"/>
              <w:spacing w:line="240" w:lineRule="exact"/>
              <w:jc w:val="left"/>
              <w:rPr>
                <w:rFonts w:ascii="宋体" w:hAnsi="宋体" w:cs="宋体"/>
                <w:color w:val="auto"/>
                <w:sz w:val="24"/>
                <w:highlight w:val="none"/>
              </w:rPr>
            </w:pPr>
          </w:p>
        </w:tc>
      </w:tr>
      <w:tr w14:paraId="66B866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noWrap w:val="0"/>
            <w:vAlign w:val="top"/>
          </w:tcPr>
          <w:p w14:paraId="42640ECC">
            <w:pPr>
              <w:snapToGrid w:val="0"/>
              <w:spacing w:before="50" w:after="120" w:afterLines="50" w:line="400" w:lineRule="exact"/>
              <w:jc w:val="left"/>
              <w:rPr>
                <w:rFonts w:ascii="宋体" w:hAnsi="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026030D9">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4038DA31">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1F0E7F2">
            <w:pPr>
              <w:snapToGrid w:val="0"/>
              <w:spacing w:before="50" w:after="120" w:afterLines="50" w:line="40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541BD1BB">
            <w:pPr>
              <w:snapToGrid w:val="0"/>
              <w:spacing w:before="50" w:after="120" w:afterLines="50" w:line="40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7C1F1C5D">
            <w:pPr>
              <w:snapToGrid w:val="0"/>
              <w:spacing w:before="50" w:after="120" w:afterLines="50" w:line="400" w:lineRule="exact"/>
              <w:jc w:val="left"/>
              <w:rPr>
                <w:rFonts w:ascii="宋体" w:hAnsi="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28800FA9">
            <w:pPr>
              <w:snapToGrid w:val="0"/>
              <w:spacing w:before="50" w:after="120" w:afterLines="50" w:line="400" w:lineRule="exact"/>
              <w:jc w:val="left"/>
              <w:rPr>
                <w:rFonts w:ascii="宋体" w:hAnsi="宋体" w:cs="宋体"/>
                <w:color w:val="auto"/>
                <w:sz w:val="24"/>
                <w:highlight w:val="none"/>
              </w:rPr>
            </w:pPr>
          </w:p>
        </w:tc>
      </w:tr>
      <w:tr w14:paraId="1A26D6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063" w:type="dxa"/>
            <w:tcBorders>
              <w:top w:val="single" w:color="auto" w:sz="4" w:space="0"/>
              <w:left w:val="single" w:color="auto" w:sz="4" w:space="0"/>
              <w:bottom w:val="single" w:color="auto" w:sz="4" w:space="0"/>
              <w:right w:val="single" w:color="auto" w:sz="4" w:space="0"/>
            </w:tcBorders>
            <w:noWrap w:val="0"/>
            <w:vAlign w:val="top"/>
          </w:tcPr>
          <w:p w14:paraId="4CBE68EA">
            <w:pPr>
              <w:snapToGrid w:val="0"/>
              <w:spacing w:before="50" w:after="120" w:afterLines="50" w:line="400" w:lineRule="exact"/>
              <w:jc w:val="left"/>
              <w:rPr>
                <w:rFonts w:ascii="宋体" w:hAnsi="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28AE9485">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7183B7FD">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33384174">
            <w:pPr>
              <w:snapToGrid w:val="0"/>
              <w:spacing w:before="50" w:after="120" w:afterLines="50" w:line="40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586F0337">
            <w:pPr>
              <w:snapToGrid w:val="0"/>
              <w:spacing w:before="50" w:after="120" w:afterLines="50" w:line="40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135A96E">
            <w:pPr>
              <w:snapToGrid w:val="0"/>
              <w:spacing w:before="50" w:after="120" w:afterLines="50" w:line="400" w:lineRule="exact"/>
              <w:jc w:val="left"/>
              <w:rPr>
                <w:rFonts w:ascii="宋体" w:hAnsi="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0A38CDBA">
            <w:pPr>
              <w:snapToGrid w:val="0"/>
              <w:spacing w:before="50" w:after="120" w:afterLines="50" w:line="400" w:lineRule="exact"/>
              <w:jc w:val="left"/>
              <w:rPr>
                <w:rFonts w:ascii="宋体" w:hAnsi="宋体" w:cs="宋体"/>
                <w:color w:val="auto"/>
                <w:sz w:val="24"/>
                <w:highlight w:val="none"/>
              </w:rPr>
            </w:pPr>
          </w:p>
        </w:tc>
      </w:tr>
      <w:tr w14:paraId="00748B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noWrap w:val="0"/>
            <w:vAlign w:val="top"/>
          </w:tcPr>
          <w:p w14:paraId="455A5536">
            <w:pPr>
              <w:snapToGrid w:val="0"/>
              <w:spacing w:before="50" w:after="120" w:afterLines="50" w:line="400" w:lineRule="exact"/>
              <w:jc w:val="left"/>
              <w:rPr>
                <w:rFonts w:ascii="宋体" w:hAnsi="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40599A36">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65C0F607">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1F673D32">
            <w:pPr>
              <w:snapToGrid w:val="0"/>
              <w:spacing w:before="50" w:after="120" w:afterLines="50" w:line="40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421F9518">
            <w:pPr>
              <w:snapToGrid w:val="0"/>
              <w:spacing w:before="50" w:after="120" w:afterLines="50" w:line="40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33C796F6">
            <w:pPr>
              <w:snapToGrid w:val="0"/>
              <w:spacing w:before="50" w:after="120" w:afterLines="50" w:line="400" w:lineRule="exact"/>
              <w:jc w:val="left"/>
              <w:rPr>
                <w:rFonts w:ascii="宋体" w:hAnsi="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3171146C">
            <w:pPr>
              <w:snapToGrid w:val="0"/>
              <w:spacing w:before="50" w:after="120" w:afterLines="50" w:line="400" w:lineRule="exact"/>
              <w:jc w:val="left"/>
              <w:rPr>
                <w:rFonts w:ascii="宋体" w:hAnsi="宋体" w:cs="宋体"/>
                <w:color w:val="auto"/>
                <w:sz w:val="24"/>
                <w:highlight w:val="none"/>
              </w:rPr>
            </w:pPr>
          </w:p>
        </w:tc>
      </w:tr>
      <w:tr w14:paraId="029F69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63" w:type="dxa"/>
            <w:tcBorders>
              <w:top w:val="single" w:color="auto" w:sz="4" w:space="0"/>
              <w:left w:val="single" w:color="auto" w:sz="4" w:space="0"/>
              <w:bottom w:val="single" w:color="auto" w:sz="4" w:space="0"/>
              <w:right w:val="single" w:color="auto" w:sz="4" w:space="0"/>
            </w:tcBorders>
            <w:noWrap w:val="0"/>
            <w:vAlign w:val="top"/>
          </w:tcPr>
          <w:p w14:paraId="257199E6">
            <w:pPr>
              <w:snapToGrid w:val="0"/>
              <w:spacing w:before="50" w:after="120" w:afterLines="50" w:line="400" w:lineRule="exact"/>
              <w:jc w:val="left"/>
              <w:rPr>
                <w:rFonts w:ascii="宋体" w:hAnsi="宋体" w:cs="宋体"/>
                <w:color w:val="auto"/>
                <w:sz w:val="24"/>
                <w:highlight w:val="none"/>
              </w:rPr>
            </w:pPr>
          </w:p>
        </w:tc>
        <w:tc>
          <w:tcPr>
            <w:tcW w:w="2164" w:type="dxa"/>
            <w:tcBorders>
              <w:top w:val="single" w:color="auto" w:sz="4" w:space="0"/>
              <w:left w:val="single" w:color="auto" w:sz="4" w:space="0"/>
              <w:bottom w:val="single" w:color="auto" w:sz="4" w:space="0"/>
              <w:right w:val="single" w:color="auto" w:sz="4" w:space="0"/>
            </w:tcBorders>
            <w:noWrap w:val="0"/>
            <w:vAlign w:val="top"/>
          </w:tcPr>
          <w:p w14:paraId="5E05217A">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5B01295C">
            <w:pPr>
              <w:snapToGrid w:val="0"/>
              <w:spacing w:before="50" w:after="120" w:afterLines="50" w:line="400" w:lineRule="exact"/>
              <w:jc w:val="left"/>
              <w:rPr>
                <w:rFonts w:ascii="宋体" w:hAnsi="宋体" w:cs="宋体"/>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noWrap w:val="0"/>
            <w:vAlign w:val="top"/>
          </w:tcPr>
          <w:p w14:paraId="0B3BA233">
            <w:pPr>
              <w:snapToGrid w:val="0"/>
              <w:spacing w:before="50" w:after="120" w:afterLines="50" w:line="400" w:lineRule="exact"/>
              <w:jc w:val="left"/>
              <w:rPr>
                <w:rFonts w:ascii="宋体" w:hAnsi="宋体" w:cs="宋体"/>
                <w:color w:val="auto"/>
                <w:sz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top"/>
          </w:tcPr>
          <w:p w14:paraId="587E3C90">
            <w:pPr>
              <w:snapToGrid w:val="0"/>
              <w:spacing w:before="50" w:after="120" w:afterLines="50" w:line="400" w:lineRule="exact"/>
              <w:jc w:val="left"/>
              <w:rPr>
                <w:rFonts w:ascii="宋体" w:hAnsi="宋体" w:cs="宋体"/>
                <w:color w:val="auto"/>
                <w:sz w:val="24"/>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top"/>
          </w:tcPr>
          <w:p w14:paraId="09F9A965">
            <w:pPr>
              <w:snapToGrid w:val="0"/>
              <w:spacing w:before="50" w:after="120" w:afterLines="50" w:line="400" w:lineRule="exact"/>
              <w:jc w:val="left"/>
              <w:rPr>
                <w:rFonts w:ascii="宋体" w:hAnsi="宋体" w:cs="宋体"/>
                <w:color w:val="auto"/>
                <w:sz w:val="24"/>
                <w:highlight w:val="none"/>
              </w:rPr>
            </w:pPr>
          </w:p>
        </w:tc>
        <w:tc>
          <w:tcPr>
            <w:tcW w:w="1842" w:type="dxa"/>
            <w:tcBorders>
              <w:top w:val="single" w:color="auto" w:sz="4" w:space="0"/>
              <w:left w:val="single" w:color="auto" w:sz="4" w:space="0"/>
              <w:bottom w:val="single" w:color="auto" w:sz="4" w:space="0"/>
              <w:right w:val="single" w:color="auto" w:sz="4" w:space="0"/>
            </w:tcBorders>
            <w:noWrap w:val="0"/>
            <w:vAlign w:val="top"/>
          </w:tcPr>
          <w:p w14:paraId="182606C4">
            <w:pPr>
              <w:snapToGrid w:val="0"/>
              <w:spacing w:before="50" w:after="120" w:afterLines="50" w:line="400" w:lineRule="exact"/>
              <w:jc w:val="left"/>
              <w:rPr>
                <w:rFonts w:ascii="宋体" w:hAnsi="宋体" w:cs="宋体"/>
                <w:color w:val="auto"/>
                <w:sz w:val="24"/>
                <w:highlight w:val="none"/>
              </w:rPr>
            </w:pPr>
          </w:p>
        </w:tc>
      </w:tr>
    </w:tbl>
    <w:p w14:paraId="1AE9603F">
      <w:pPr>
        <w:snapToGrid w:val="0"/>
        <w:spacing w:line="360" w:lineRule="auto"/>
        <w:ind w:firstLine="4935" w:firstLineChars="2350"/>
        <w:rPr>
          <w:rFonts w:ascii="宋体" w:hAnsi="宋体" w:cs="宋体"/>
          <w:color w:val="auto"/>
          <w:szCs w:val="21"/>
          <w:highlight w:val="none"/>
        </w:rPr>
      </w:pPr>
    </w:p>
    <w:p w14:paraId="1A3716A0">
      <w:pPr>
        <w:snapToGrid w:val="0"/>
        <w:spacing w:line="360" w:lineRule="auto"/>
        <w:rPr>
          <w:rFonts w:ascii="宋体" w:hAnsi="宋体" w:cs="宋体"/>
          <w:color w:val="auto"/>
          <w:szCs w:val="21"/>
          <w:highlight w:val="none"/>
        </w:rPr>
      </w:pPr>
      <w:r>
        <w:rPr>
          <w:rFonts w:hint="eastAsia" w:ascii="宋体" w:hAnsi="宋体" w:cs="宋体"/>
          <w:color w:val="auto"/>
          <w:sz w:val="24"/>
          <w:szCs w:val="20"/>
          <w:highlight w:val="none"/>
        </w:rPr>
        <w:t>注：在填写时，如本表格不适合供应商的实际情况，可参照本表格式自行制表填写，并附上相关证明材料</w:t>
      </w:r>
      <w:r>
        <w:rPr>
          <w:rFonts w:hint="eastAsia"/>
          <w:color w:val="auto"/>
          <w:highlight w:val="none"/>
        </w:rPr>
        <w:t>。</w:t>
      </w:r>
    </w:p>
    <w:p w14:paraId="6679FF0F">
      <w:pPr>
        <w:snapToGrid w:val="0"/>
        <w:spacing w:line="360" w:lineRule="auto"/>
        <w:rPr>
          <w:rFonts w:ascii="宋体" w:hAnsi="宋体" w:cs="宋体"/>
          <w:color w:val="auto"/>
          <w:szCs w:val="21"/>
          <w:highlight w:val="none"/>
        </w:rPr>
      </w:pPr>
    </w:p>
    <w:p w14:paraId="3AEA805E">
      <w:pPr>
        <w:snapToGrid w:val="0"/>
        <w:spacing w:line="360" w:lineRule="auto"/>
        <w:rPr>
          <w:rFonts w:ascii="宋体" w:hAnsi="宋体" w:cs="宋体"/>
          <w:color w:val="auto"/>
          <w:szCs w:val="21"/>
          <w:highlight w:val="none"/>
        </w:rPr>
      </w:pPr>
    </w:p>
    <w:p w14:paraId="6145D4DF">
      <w:pPr>
        <w:snapToGrid w:val="0"/>
        <w:spacing w:line="360" w:lineRule="auto"/>
        <w:rPr>
          <w:rFonts w:ascii="宋体" w:hAnsi="宋体" w:cs="宋体"/>
          <w:color w:val="auto"/>
          <w:kern w:val="0"/>
          <w:sz w:val="24"/>
          <w:highlight w:val="none"/>
        </w:rPr>
      </w:pPr>
      <w:r>
        <w:rPr>
          <w:rFonts w:hint="eastAsia" w:ascii="宋体" w:hAnsi="宋体" w:cs="宋体"/>
          <w:color w:val="auto"/>
          <w:szCs w:val="21"/>
          <w:highlight w:val="none"/>
        </w:rPr>
        <w:t xml:space="preserve">                                                                 </w:t>
      </w:r>
      <w:r>
        <w:rPr>
          <w:rFonts w:hint="eastAsia" w:ascii="宋体" w:hAnsi="宋体" w:cs="宋体"/>
          <w:color w:val="auto"/>
          <w:kern w:val="0"/>
          <w:sz w:val="24"/>
          <w:highlight w:val="none"/>
          <w:lang w:val="zh-CN"/>
        </w:rPr>
        <w:t>供应商名称(盖公章)：</w:t>
      </w:r>
    </w:p>
    <w:p w14:paraId="51E93735">
      <w:pPr>
        <w:spacing w:line="500" w:lineRule="exact"/>
        <w:jc w:val="center"/>
        <w:rPr>
          <w:rFonts w:ascii="宋体" w:hAnsi="宋体" w:cs="宋体"/>
          <w:color w:val="auto"/>
          <w:sz w:val="32"/>
          <w:szCs w:val="32"/>
          <w:highlight w:val="none"/>
        </w:rPr>
        <w:sectPr>
          <w:pgSz w:w="11911" w:h="16838"/>
          <w:pgMar w:top="1134" w:right="1134" w:bottom="1134" w:left="1134" w:header="720" w:footer="720" w:gutter="0"/>
          <w:cols w:space="720" w:num="1"/>
        </w:sect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4319A7DE">
      <w:pPr>
        <w:snapToGrid w:val="0"/>
        <w:spacing w:line="360" w:lineRule="auto"/>
        <w:rPr>
          <w:rFonts w:ascii="宋体" w:hAnsi="宋体" w:cs="宋体"/>
          <w:color w:val="auto"/>
          <w:sz w:val="28"/>
          <w:szCs w:val="28"/>
          <w:highlight w:val="none"/>
        </w:rPr>
      </w:pPr>
      <w:r>
        <w:rPr>
          <w:rFonts w:hint="eastAsia" w:ascii="宋体" w:hAnsi="宋体" w:cs="宋体"/>
          <w:b/>
          <w:color w:val="auto"/>
          <w:sz w:val="28"/>
          <w:szCs w:val="28"/>
          <w:highlight w:val="none"/>
        </w:rPr>
        <w:t>8.服务需求偏离表的格式：</w:t>
      </w:r>
    </w:p>
    <w:p w14:paraId="0AF11C99">
      <w:pPr>
        <w:spacing w:line="500" w:lineRule="exact"/>
        <w:jc w:val="center"/>
        <w:rPr>
          <w:rFonts w:ascii="宋体" w:hAnsi="宋体" w:cs="宋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技术要求偏离表</w:t>
      </w:r>
    </w:p>
    <w:p w14:paraId="678DB7A5">
      <w:pPr>
        <w:spacing w:line="500" w:lineRule="exact"/>
        <w:jc w:val="center"/>
        <w:rPr>
          <w:rFonts w:ascii="宋体" w:hAnsi="宋体" w:cs="宋体"/>
          <w:b/>
          <w:color w:val="auto"/>
          <w:sz w:val="32"/>
          <w:szCs w:val="32"/>
          <w:highlight w:val="none"/>
        </w:rPr>
      </w:pPr>
      <w:r>
        <w:rPr>
          <w:rFonts w:hint="eastAsia" w:ascii="宋体" w:hAnsi="宋体" w:cs="宋体"/>
          <w:bCs/>
          <w:color w:val="auto"/>
          <w:sz w:val="44"/>
          <w:szCs w:val="44"/>
          <w:highlight w:val="none"/>
        </w:rPr>
        <w:t>(注：按采购需求具体条款修改)</w:t>
      </w:r>
    </w:p>
    <w:p w14:paraId="15CF7E26">
      <w:pPr>
        <w:spacing w:line="360" w:lineRule="auto"/>
        <w:contextualSpacing/>
        <w:jc w:val="left"/>
        <w:rPr>
          <w:rFonts w:ascii="宋体" w:hAnsi="宋体" w:cs="宋体"/>
          <w:color w:val="auto"/>
          <w:sz w:val="24"/>
          <w:highlight w:val="none"/>
        </w:rPr>
      </w:pPr>
    </w:p>
    <w:p w14:paraId="7DBF2BB0">
      <w:pPr>
        <w:spacing w:line="360" w:lineRule="auto"/>
        <w:ind w:firstLine="720" w:firstLineChars="300"/>
        <w:contextualSpacing/>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62515D54">
      <w:pPr>
        <w:spacing w:line="360" w:lineRule="auto"/>
        <w:ind w:firstLine="720" w:firstLineChars="300"/>
        <w:contextualSpacing/>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p>
    <w:p w14:paraId="1E781B20">
      <w:pPr>
        <w:spacing w:line="360" w:lineRule="auto"/>
        <w:ind w:firstLine="720" w:firstLineChars="300"/>
        <w:contextualSpacing/>
        <w:rPr>
          <w:rFonts w:ascii="宋体" w:hAnsi="宋体" w:cs="宋体"/>
          <w:color w:val="auto"/>
          <w:sz w:val="24"/>
          <w:highlight w:val="none"/>
          <w:u w:val="single"/>
        </w:rPr>
      </w:pPr>
      <w:r>
        <w:rPr>
          <w:rFonts w:hint="eastAsia" w:ascii="宋体" w:hAnsi="宋体" w:cs="宋体"/>
          <w:color w:val="auto"/>
          <w:sz w:val="24"/>
          <w:highlight w:val="none"/>
        </w:rPr>
        <w:t>所竞分标（如有则填写，无分标时填写“无”或者留空）：</w:t>
      </w:r>
      <w:r>
        <w:rPr>
          <w:rFonts w:hint="eastAsia" w:ascii="宋体" w:hAnsi="宋体" w:cs="宋体"/>
          <w:color w:val="auto"/>
          <w:sz w:val="24"/>
          <w:highlight w:val="none"/>
          <w:u w:val="single"/>
        </w:rPr>
        <w:t xml:space="preserve">              </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175"/>
        <w:gridCol w:w="2118"/>
        <w:gridCol w:w="2944"/>
        <w:gridCol w:w="1095"/>
      </w:tblGrid>
      <w:tr w14:paraId="1458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6E0ED0CA">
            <w:pPr>
              <w:rPr>
                <w:rFonts w:ascii="宋体" w:hAnsi="宋体" w:cs="宋体"/>
                <w:color w:val="auto"/>
                <w:szCs w:val="21"/>
                <w:highlight w:val="none"/>
              </w:rPr>
            </w:pPr>
            <w:r>
              <w:rPr>
                <w:rFonts w:hint="eastAsia" w:ascii="宋体" w:hAnsi="宋体" w:cs="宋体"/>
                <w:color w:val="auto"/>
                <w:szCs w:val="21"/>
                <w:highlight w:val="none"/>
              </w:rPr>
              <w:t>项号</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10BED011">
            <w:pPr>
              <w:jc w:val="center"/>
              <w:rPr>
                <w:rFonts w:ascii="宋体" w:hAnsi="宋体" w:cs="宋体"/>
                <w:color w:val="auto"/>
                <w:szCs w:val="21"/>
                <w:highlight w:val="none"/>
              </w:rPr>
            </w:pPr>
            <w:r>
              <w:rPr>
                <w:rFonts w:hint="eastAsia" w:ascii="宋体" w:hAnsi="宋体" w:cs="宋体"/>
                <w:color w:val="auto"/>
                <w:szCs w:val="21"/>
                <w:highlight w:val="none"/>
              </w:rPr>
              <w:t>采购内容</w:t>
            </w:r>
          </w:p>
        </w:tc>
        <w:tc>
          <w:tcPr>
            <w:tcW w:w="2118" w:type="dxa"/>
            <w:tcBorders>
              <w:top w:val="single" w:color="auto" w:sz="4" w:space="0"/>
              <w:left w:val="single" w:color="auto" w:sz="4" w:space="0"/>
              <w:bottom w:val="single" w:color="auto" w:sz="4" w:space="0"/>
              <w:right w:val="single" w:color="auto" w:sz="4" w:space="0"/>
            </w:tcBorders>
            <w:noWrap w:val="0"/>
            <w:vAlign w:val="center"/>
          </w:tcPr>
          <w:p w14:paraId="5CEB73DE">
            <w:pPr>
              <w:jc w:val="center"/>
              <w:rPr>
                <w:rFonts w:ascii="宋体" w:hAnsi="宋体" w:cs="宋体"/>
                <w:color w:val="auto"/>
                <w:szCs w:val="21"/>
                <w:highlight w:val="none"/>
              </w:rPr>
            </w:pPr>
            <w:r>
              <w:rPr>
                <w:rFonts w:hint="eastAsia" w:ascii="宋体" w:hAnsi="宋体" w:cs="宋体"/>
                <w:color w:val="auto"/>
                <w:szCs w:val="21"/>
                <w:highlight w:val="none"/>
              </w:rPr>
              <w:t>竞争性磋商文件</w:t>
            </w:r>
            <w:r>
              <w:rPr>
                <w:rFonts w:hint="eastAsia" w:ascii="宋体" w:hAnsi="宋体"/>
                <w:color w:val="auto"/>
                <w:szCs w:val="21"/>
                <w:highlight w:val="none"/>
              </w:rPr>
              <w:t>采购需求中的技术要求</w:t>
            </w:r>
          </w:p>
        </w:tc>
        <w:tc>
          <w:tcPr>
            <w:tcW w:w="2944" w:type="dxa"/>
            <w:tcBorders>
              <w:top w:val="single" w:color="auto" w:sz="4" w:space="0"/>
              <w:left w:val="single" w:color="auto" w:sz="4" w:space="0"/>
              <w:bottom w:val="single" w:color="auto" w:sz="4" w:space="0"/>
              <w:right w:val="single" w:color="auto" w:sz="4" w:space="0"/>
            </w:tcBorders>
            <w:noWrap w:val="0"/>
            <w:vAlign w:val="center"/>
          </w:tcPr>
          <w:p w14:paraId="0E41F327">
            <w:pPr>
              <w:jc w:val="center"/>
              <w:rPr>
                <w:rFonts w:ascii="宋体" w:hAnsi="宋体" w:cs="宋体"/>
                <w:color w:val="auto"/>
                <w:szCs w:val="21"/>
                <w:highlight w:val="none"/>
              </w:rPr>
            </w:pPr>
            <w:r>
              <w:rPr>
                <w:rFonts w:hint="eastAsia" w:ascii="宋体" w:hAnsi="宋体" w:cs="宋体"/>
                <w:color w:val="auto"/>
                <w:szCs w:val="21"/>
                <w:highlight w:val="none"/>
              </w:rPr>
              <w:t>竞标响应</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D85E822">
            <w:pPr>
              <w:rPr>
                <w:rFonts w:ascii="宋体" w:hAnsi="宋体" w:cs="宋体"/>
                <w:color w:val="auto"/>
                <w:szCs w:val="21"/>
                <w:highlight w:val="none"/>
              </w:rPr>
            </w:pPr>
            <w:r>
              <w:rPr>
                <w:rFonts w:hint="eastAsia" w:ascii="宋体" w:hAnsi="宋体" w:cs="宋体"/>
                <w:color w:val="auto"/>
                <w:szCs w:val="21"/>
                <w:highlight w:val="none"/>
              </w:rPr>
              <w:t>偏离说明</w:t>
            </w:r>
          </w:p>
        </w:tc>
      </w:tr>
      <w:tr w14:paraId="49D6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137F7EC7">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24854C4F">
            <w:pPr>
              <w:rPr>
                <w:rFonts w:ascii="宋体" w:hAnsi="宋体" w:cs="宋体"/>
                <w:color w:val="auto"/>
                <w:szCs w:val="21"/>
                <w:highlight w:val="none"/>
              </w:rPr>
            </w:pPr>
          </w:p>
        </w:tc>
        <w:tc>
          <w:tcPr>
            <w:tcW w:w="2118" w:type="dxa"/>
            <w:tcBorders>
              <w:top w:val="single" w:color="auto" w:sz="4" w:space="0"/>
              <w:left w:val="single" w:color="auto" w:sz="4" w:space="0"/>
              <w:bottom w:val="single" w:color="auto" w:sz="4" w:space="0"/>
              <w:right w:val="single" w:color="auto" w:sz="4" w:space="0"/>
            </w:tcBorders>
            <w:noWrap w:val="0"/>
            <w:vAlign w:val="center"/>
          </w:tcPr>
          <w:p w14:paraId="6DFA787E">
            <w:pPr>
              <w:rPr>
                <w:rFonts w:ascii="宋体" w:hAnsi="宋体" w:cs="宋体"/>
                <w:color w:val="auto"/>
                <w:szCs w:val="21"/>
                <w:highlight w:val="none"/>
              </w:rPr>
            </w:pPr>
          </w:p>
        </w:tc>
        <w:tc>
          <w:tcPr>
            <w:tcW w:w="2944" w:type="dxa"/>
            <w:tcBorders>
              <w:top w:val="single" w:color="auto" w:sz="4" w:space="0"/>
              <w:left w:val="single" w:color="auto" w:sz="4" w:space="0"/>
              <w:bottom w:val="single" w:color="auto" w:sz="4" w:space="0"/>
              <w:right w:val="single" w:color="auto" w:sz="4" w:space="0"/>
            </w:tcBorders>
            <w:noWrap w:val="0"/>
            <w:vAlign w:val="center"/>
          </w:tcPr>
          <w:p w14:paraId="082B62BA">
            <w:pPr>
              <w:rPr>
                <w:rFonts w:ascii="宋体" w:hAnsi="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5B7F6EB">
            <w:pPr>
              <w:rPr>
                <w:rFonts w:ascii="宋体" w:hAnsi="宋体" w:cs="宋体"/>
                <w:color w:val="auto"/>
                <w:szCs w:val="21"/>
                <w:highlight w:val="none"/>
              </w:rPr>
            </w:pPr>
          </w:p>
        </w:tc>
      </w:tr>
      <w:tr w14:paraId="2A9E3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716E5E84">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1754D794">
            <w:pPr>
              <w:rPr>
                <w:rFonts w:ascii="宋体" w:hAnsi="宋体" w:cs="宋体"/>
                <w:color w:val="auto"/>
                <w:szCs w:val="21"/>
                <w:highlight w:val="none"/>
              </w:rPr>
            </w:pPr>
          </w:p>
        </w:tc>
        <w:tc>
          <w:tcPr>
            <w:tcW w:w="2118" w:type="dxa"/>
            <w:tcBorders>
              <w:top w:val="single" w:color="auto" w:sz="4" w:space="0"/>
              <w:left w:val="single" w:color="auto" w:sz="4" w:space="0"/>
              <w:bottom w:val="single" w:color="auto" w:sz="4" w:space="0"/>
              <w:right w:val="single" w:color="auto" w:sz="4" w:space="0"/>
            </w:tcBorders>
            <w:noWrap w:val="0"/>
            <w:vAlign w:val="center"/>
          </w:tcPr>
          <w:p w14:paraId="7D5148C9">
            <w:pPr>
              <w:rPr>
                <w:rFonts w:ascii="宋体" w:hAnsi="宋体" w:cs="宋体"/>
                <w:color w:val="auto"/>
                <w:szCs w:val="21"/>
                <w:highlight w:val="none"/>
              </w:rPr>
            </w:pPr>
          </w:p>
        </w:tc>
        <w:tc>
          <w:tcPr>
            <w:tcW w:w="2944" w:type="dxa"/>
            <w:tcBorders>
              <w:top w:val="single" w:color="auto" w:sz="4" w:space="0"/>
              <w:left w:val="single" w:color="auto" w:sz="4" w:space="0"/>
              <w:bottom w:val="single" w:color="auto" w:sz="4" w:space="0"/>
              <w:right w:val="single" w:color="auto" w:sz="4" w:space="0"/>
            </w:tcBorders>
            <w:noWrap w:val="0"/>
            <w:vAlign w:val="center"/>
          </w:tcPr>
          <w:p w14:paraId="72A50B90">
            <w:pPr>
              <w:rPr>
                <w:rFonts w:ascii="宋体" w:hAnsi="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9FE4714">
            <w:pPr>
              <w:rPr>
                <w:rFonts w:ascii="宋体" w:hAnsi="宋体" w:cs="宋体"/>
                <w:color w:val="auto"/>
                <w:szCs w:val="21"/>
                <w:highlight w:val="none"/>
              </w:rPr>
            </w:pPr>
          </w:p>
        </w:tc>
      </w:tr>
      <w:tr w14:paraId="25D0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jc w:val="center"/>
        </w:trPr>
        <w:tc>
          <w:tcPr>
            <w:tcW w:w="754" w:type="dxa"/>
            <w:tcBorders>
              <w:top w:val="single" w:color="auto" w:sz="4" w:space="0"/>
              <w:left w:val="single" w:color="auto" w:sz="4" w:space="0"/>
              <w:bottom w:val="single" w:color="auto" w:sz="4" w:space="0"/>
              <w:right w:val="single" w:color="auto" w:sz="4" w:space="0"/>
            </w:tcBorders>
            <w:noWrap w:val="0"/>
            <w:vAlign w:val="center"/>
          </w:tcPr>
          <w:p w14:paraId="0217E211">
            <w:pPr>
              <w:jc w:val="center"/>
              <w:rPr>
                <w:rFonts w:ascii="宋体" w:hAnsi="宋体" w:cs="宋体"/>
                <w:color w:val="auto"/>
                <w:szCs w:val="21"/>
                <w:highlight w:val="none"/>
              </w:rPr>
            </w:pPr>
            <w:r>
              <w:rPr>
                <w:rFonts w:hint="eastAsia" w:ascii="宋体" w:hAnsi="宋体" w:cs="宋体"/>
                <w:color w:val="auto"/>
                <w:szCs w:val="21"/>
                <w:highlight w:val="none"/>
              </w:rPr>
              <w:t>...</w:t>
            </w:r>
          </w:p>
        </w:tc>
        <w:tc>
          <w:tcPr>
            <w:tcW w:w="1175" w:type="dxa"/>
            <w:tcBorders>
              <w:top w:val="single" w:color="auto" w:sz="4" w:space="0"/>
              <w:left w:val="single" w:color="auto" w:sz="4" w:space="0"/>
              <w:bottom w:val="single" w:color="auto" w:sz="4" w:space="0"/>
              <w:right w:val="single" w:color="auto" w:sz="4" w:space="0"/>
            </w:tcBorders>
            <w:noWrap w:val="0"/>
            <w:vAlign w:val="center"/>
          </w:tcPr>
          <w:p w14:paraId="55CF601E">
            <w:pPr>
              <w:rPr>
                <w:rFonts w:ascii="宋体" w:hAnsi="宋体" w:cs="宋体"/>
                <w:color w:val="auto"/>
                <w:szCs w:val="21"/>
                <w:highlight w:val="none"/>
              </w:rPr>
            </w:pPr>
          </w:p>
        </w:tc>
        <w:tc>
          <w:tcPr>
            <w:tcW w:w="2118" w:type="dxa"/>
            <w:tcBorders>
              <w:top w:val="single" w:color="auto" w:sz="4" w:space="0"/>
              <w:left w:val="single" w:color="auto" w:sz="4" w:space="0"/>
              <w:bottom w:val="single" w:color="auto" w:sz="4" w:space="0"/>
              <w:right w:val="single" w:color="auto" w:sz="4" w:space="0"/>
            </w:tcBorders>
            <w:noWrap w:val="0"/>
            <w:vAlign w:val="center"/>
          </w:tcPr>
          <w:p w14:paraId="46EE6A09">
            <w:pPr>
              <w:rPr>
                <w:rFonts w:ascii="宋体" w:hAnsi="宋体" w:cs="宋体"/>
                <w:color w:val="auto"/>
                <w:szCs w:val="21"/>
                <w:highlight w:val="none"/>
              </w:rPr>
            </w:pPr>
          </w:p>
        </w:tc>
        <w:tc>
          <w:tcPr>
            <w:tcW w:w="2944" w:type="dxa"/>
            <w:tcBorders>
              <w:top w:val="single" w:color="auto" w:sz="4" w:space="0"/>
              <w:left w:val="single" w:color="auto" w:sz="4" w:space="0"/>
              <w:bottom w:val="single" w:color="auto" w:sz="4" w:space="0"/>
              <w:right w:val="single" w:color="auto" w:sz="4" w:space="0"/>
            </w:tcBorders>
            <w:noWrap w:val="0"/>
            <w:vAlign w:val="center"/>
          </w:tcPr>
          <w:p w14:paraId="62B4853B">
            <w:pPr>
              <w:rPr>
                <w:rFonts w:ascii="宋体" w:hAnsi="宋体" w:cs="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CD9B89">
            <w:pPr>
              <w:rPr>
                <w:rFonts w:ascii="宋体" w:hAnsi="宋体" w:cs="宋体"/>
                <w:color w:val="auto"/>
                <w:szCs w:val="21"/>
                <w:highlight w:val="none"/>
              </w:rPr>
            </w:pPr>
          </w:p>
        </w:tc>
      </w:tr>
    </w:tbl>
    <w:p w14:paraId="6498640F">
      <w:pPr>
        <w:pStyle w:val="13"/>
        <w:spacing w:after="0" w:line="360" w:lineRule="auto"/>
        <w:contextualSpacing/>
        <w:rPr>
          <w:rFonts w:ascii="宋体" w:hAnsi="宋体" w:cs="宋体"/>
          <w:color w:val="auto"/>
          <w:kern w:val="0"/>
          <w:sz w:val="24"/>
          <w:szCs w:val="24"/>
          <w:highlight w:val="none"/>
        </w:rPr>
      </w:pPr>
    </w:p>
    <w:p w14:paraId="12A8CF0E">
      <w:pPr>
        <w:pStyle w:val="13"/>
        <w:spacing w:after="0" w:line="480" w:lineRule="auto"/>
        <w:ind w:firstLine="420" w:firstLineChars="200"/>
        <w:contextualSpacing/>
        <w:rPr>
          <w:rFonts w:ascii="宋体" w:hAnsi="宋体" w:cs="宋体"/>
          <w:color w:val="auto"/>
          <w:kern w:val="0"/>
          <w:sz w:val="21"/>
          <w:szCs w:val="21"/>
          <w:highlight w:val="none"/>
        </w:rPr>
      </w:pPr>
      <w:r>
        <w:rPr>
          <w:rFonts w:hint="eastAsia" w:ascii="宋体" w:hAnsi="宋体" w:cs="宋体"/>
          <w:color w:val="auto"/>
          <w:kern w:val="0"/>
          <w:sz w:val="21"/>
          <w:szCs w:val="21"/>
          <w:highlight w:val="none"/>
        </w:rPr>
        <w:t>注：</w:t>
      </w:r>
    </w:p>
    <w:p w14:paraId="3B766145">
      <w:pPr>
        <w:pStyle w:val="13"/>
        <w:spacing w:after="0" w:line="480" w:lineRule="auto"/>
        <w:ind w:firstLine="420" w:firstLineChars="200"/>
        <w:contextualSpacing/>
        <w:rPr>
          <w:rFonts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1.说明：应对照磋商文件“第二章  </w:t>
      </w:r>
      <w:r>
        <w:rPr>
          <w:rFonts w:hint="eastAsia" w:ascii="Cambria" w:hAnsi="Cambria"/>
          <w:bCs/>
          <w:color w:val="auto"/>
          <w:sz w:val="21"/>
          <w:szCs w:val="21"/>
          <w:highlight w:val="none"/>
        </w:rPr>
        <w:t>采购需求</w:t>
      </w:r>
      <w:r>
        <w:rPr>
          <w:rFonts w:hint="eastAsia" w:ascii="宋体" w:hAnsi="宋体" w:cs="宋体"/>
          <w:color w:val="auto"/>
          <w:kern w:val="0"/>
          <w:sz w:val="21"/>
          <w:szCs w:val="21"/>
          <w:highlight w:val="none"/>
        </w:rPr>
        <w:t>”中“需求一览表”的技术要求条款逐条作出明确响应，并作出偏离说明。</w:t>
      </w:r>
    </w:p>
    <w:p w14:paraId="1AB2AE4A">
      <w:pPr>
        <w:pStyle w:val="16"/>
        <w:spacing w:line="480" w:lineRule="auto"/>
        <w:ind w:firstLine="420" w:firstLineChars="200"/>
        <w:contextualSpacing/>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2.供应商应根据自身的承诺，对照磋商文件要求，在“偏离说明”中注明“正偏离”或者“负偏离”或者“无偏离”。既不属于“正偏离”也不属于“负偏离”即为“无偏离”。 当响应文件的服务需求内容低于竞争性磋商文件要求时，供应商应当如实写明“负偏离”。</w:t>
      </w:r>
    </w:p>
    <w:p w14:paraId="0B16C64E">
      <w:pPr>
        <w:spacing w:line="48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3.表格内容均需按要求填写并加盖公章，不得留空，</w:t>
      </w:r>
      <w:r>
        <w:rPr>
          <w:rFonts w:hint="eastAsia" w:ascii="宋体" w:hAnsi="宋体" w:cs="宋体"/>
          <w:b/>
          <w:bCs/>
          <w:color w:val="auto"/>
          <w:kern w:val="0"/>
          <w:szCs w:val="21"/>
          <w:highlight w:val="none"/>
        </w:rPr>
        <w:t>否则按竞标无效处理。</w:t>
      </w:r>
    </w:p>
    <w:p w14:paraId="654B5128">
      <w:pPr>
        <w:pStyle w:val="16"/>
        <w:spacing w:line="480" w:lineRule="auto"/>
        <w:ind w:firstLine="420" w:firstLineChars="200"/>
        <w:contextualSpacing/>
        <w:rPr>
          <w:rFonts w:ascii="宋体" w:hAnsi="宋体" w:eastAsia="宋体" w:cs="宋体"/>
          <w:color w:val="auto"/>
          <w:sz w:val="21"/>
          <w:szCs w:val="21"/>
          <w:highlight w:val="none"/>
        </w:rPr>
      </w:pPr>
    </w:p>
    <w:p w14:paraId="60B4C763">
      <w:pPr>
        <w:snapToGrid w:val="0"/>
        <w:spacing w:line="360" w:lineRule="auto"/>
        <w:rPr>
          <w:rFonts w:ascii="宋体" w:hAnsi="宋体" w:cs="宋体"/>
          <w:b/>
          <w:color w:val="auto"/>
          <w:sz w:val="30"/>
          <w:szCs w:val="30"/>
          <w:highlight w:val="none"/>
        </w:rPr>
      </w:pPr>
    </w:p>
    <w:p w14:paraId="3289F0F9">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5E2CDD00">
      <w:pPr>
        <w:autoSpaceDE w:val="0"/>
        <w:autoSpaceDN w:val="0"/>
        <w:spacing w:line="360" w:lineRule="auto"/>
        <w:ind w:firstLine="6480" w:firstLineChars="2700"/>
        <w:rPr>
          <w:rFonts w:ascii="宋体" w:hAnsi="宋体" w:cs="宋体"/>
          <w:b/>
          <w:bCs/>
          <w:color w:val="auto"/>
          <w:sz w:val="24"/>
          <w:highlight w:val="none"/>
        </w:rPr>
      </w:pPr>
      <w:r>
        <w:rPr>
          <w:rFonts w:hint="eastAsia" w:ascii="宋体" w:hAnsi="宋体" w:cs="宋体"/>
          <w:color w:val="auto"/>
          <w:kern w:val="0"/>
          <w:sz w:val="24"/>
          <w:highlight w:val="none"/>
          <w:lang w:val="zh-CN"/>
        </w:rPr>
        <w:t>日期：  年  月   日</w:t>
      </w:r>
    </w:p>
    <w:p w14:paraId="0B82C366">
      <w:pPr>
        <w:adjustRightInd w:val="0"/>
        <w:snapToGrid w:val="0"/>
        <w:spacing w:line="520" w:lineRule="exact"/>
        <w:jc w:val="center"/>
        <w:rPr>
          <w:rFonts w:ascii="方正小标宋简体" w:hAnsi="方正小标宋简体" w:eastAsia="方正小标宋简体" w:cs="方正小标宋简体"/>
          <w:bCs/>
          <w:color w:val="auto"/>
          <w:sz w:val="44"/>
          <w:szCs w:val="44"/>
          <w:highlight w:val="none"/>
        </w:rPr>
      </w:pPr>
    </w:p>
    <w:p w14:paraId="304CB5A2">
      <w:pPr>
        <w:snapToGrid w:val="0"/>
        <w:spacing w:line="360" w:lineRule="auto"/>
        <w:rPr>
          <w:rFonts w:ascii="宋体" w:hAnsi="宋体" w:cs="宋体"/>
          <w:b/>
          <w:color w:val="auto"/>
          <w:sz w:val="28"/>
          <w:szCs w:val="28"/>
          <w:highlight w:val="none"/>
        </w:rPr>
      </w:pPr>
    </w:p>
    <w:p w14:paraId="1E3715A2">
      <w:pPr>
        <w:snapToGrid w:val="0"/>
        <w:spacing w:line="360" w:lineRule="auto"/>
        <w:rPr>
          <w:rFonts w:ascii="宋体" w:hAnsi="宋体" w:cs="宋体"/>
          <w:b/>
          <w:color w:val="auto"/>
          <w:sz w:val="28"/>
          <w:szCs w:val="28"/>
          <w:highlight w:val="none"/>
        </w:rPr>
        <w:sectPr>
          <w:pgSz w:w="11911" w:h="16838"/>
          <w:pgMar w:top="1134" w:right="1134" w:bottom="1134" w:left="1134" w:header="720" w:footer="720" w:gutter="0"/>
          <w:cols w:space="720" w:num="1"/>
        </w:sectPr>
      </w:pPr>
    </w:p>
    <w:p w14:paraId="3EE6FB99">
      <w:pPr>
        <w:snapToGrid w:val="0"/>
        <w:spacing w:before="120" w:beforeLines="50" w:after="50"/>
        <w:ind w:left="142"/>
        <w:jc w:val="left"/>
        <w:rPr>
          <w:rFonts w:ascii="宋体" w:hAnsi="宋体"/>
          <w:b/>
          <w:color w:val="auto"/>
          <w:sz w:val="24"/>
          <w:highlight w:val="none"/>
        </w:rPr>
      </w:pPr>
      <w:r>
        <w:rPr>
          <w:rFonts w:hint="eastAsia" w:ascii="宋体" w:hAnsi="宋体"/>
          <w:b/>
          <w:color w:val="auto"/>
          <w:sz w:val="24"/>
          <w:highlight w:val="none"/>
        </w:rPr>
        <w:t>项目实施人员一览表格式</w:t>
      </w:r>
    </w:p>
    <w:p w14:paraId="4D4D1722">
      <w:pPr>
        <w:snapToGrid w:val="0"/>
        <w:spacing w:before="120" w:beforeLines="50" w:after="50"/>
        <w:ind w:left="142"/>
        <w:jc w:val="left"/>
        <w:rPr>
          <w:rFonts w:ascii="宋体" w:hAnsi="宋体"/>
          <w:b/>
          <w:color w:val="auto"/>
          <w:sz w:val="24"/>
          <w:highlight w:val="none"/>
        </w:rPr>
      </w:pPr>
    </w:p>
    <w:p w14:paraId="0CEEB4D2">
      <w:pPr>
        <w:spacing w:line="360" w:lineRule="auto"/>
        <w:ind w:left="142"/>
        <w:contextualSpacing/>
        <w:jc w:val="center"/>
        <w:rPr>
          <w:rFonts w:ascii="宋体" w:hAnsi="宋体"/>
          <w:b/>
          <w:color w:val="auto"/>
          <w:sz w:val="32"/>
          <w:szCs w:val="32"/>
          <w:highlight w:val="none"/>
        </w:rPr>
      </w:pPr>
      <w:r>
        <w:rPr>
          <w:rFonts w:hint="eastAsia" w:ascii="宋体" w:hAnsi="宋体"/>
          <w:b/>
          <w:color w:val="auto"/>
          <w:sz w:val="32"/>
          <w:szCs w:val="32"/>
          <w:highlight w:val="none"/>
        </w:rPr>
        <w:t>项目实施人员一览表</w:t>
      </w:r>
    </w:p>
    <w:p w14:paraId="7902CAD6">
      <w:pPr>
        <w:pStyle w:val="21"/>
        <w:spacing w:line="360" w:lineRule="auto"/>
        <w:contextualSpacing/>
        <w:rPr>
          <w:color w:val="auto"/>
          <w:sz w:val="24"/>
          <w:szCs w:val="24"/>
          <w:highlight w:val="none"/>
        </w:rPr>
      </w:pPr>
      <w:r>
        <w:rPr>
          <w:rFonts w:hint="eastAsia"/>
          <w:color w:val="auto"/>
          <w:sz w:val="24"/>
          <w:szCs w:val="24"/>
          <w:highlight w:val="none"/>
        </w:rPr>
        <w:t>所竞分标：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31"/>
        <w:tblW w:w="9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179"/>
        <w:gridCol w:w="1559"/>
        <w:gridCol w:w="2694"/>
        <w:gridCol w:w="1417"/>
        <w:gridCol w:w="992"/>
        <w:gridCol w:w="1007"/>
      </w:tblGrid>
      <w:tr w14:paraId="1515C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8" w:hRule="atLeast"/>
        </w:trPr>
        <w:tc>
          <w:tcPr>
            <w:tcW w:w="772" w:type="dxa"/>
            <w:noWrap w:val="0"/>
            <w:vAlign w:val="center"/>
          </w:tcPr>
          <w:p w14:paraId="2A2FCBB9">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序号</w:t>
            </w:r>
          </w:p>
        </w:tc>
        <w:tc>
          <w:tcPr>
            <w:tcW w:w="1179" w:type="dxa"/>
            <w:noWrap w:val="0"/>
            <w:vAlign w:val="center"/>
          </w:tcPr>
          <w:p w14:paraId="6D6EEFA9">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姓名</w:t>
            </w:r>
          </w:p>
        </w:tc>
        <w:tc>
          <w:tcPr>
            <w:tcW w:w="1559" w:type="dxa"/>
            <w:noWrap w:val="0"/>
            <w:vAlign w:val="center"/>
          </w:tcPr>
          <w:p w14:paraId="7F92A53E">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职务（项目负责人/驻场人员/其他）</w:t>
            </w:r>
          </w:p>
        </w:tc>
        <w:tc>
          <w:tcPr>
            <w:tcW w:w="2694" w:type="dxa"/>
            <w:noWrap w:val="0"/>
            <w:vAlign w:val="center"/>
          </w:tcPr>
          <w:p w14:paraId="34DA0C8E">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17" w:type="dxa"/>
            <w:noWrap w:val="0"/>
            <w:vAlign w:val="center"/>
          </w:tcPr>
          <w:p w14:paraId="121305FF">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证书编号</w:t>
            </w:r>
          </w:p>
        </w:tc>
        <w:tc>
          <w:tcPr>
            <w:tcW w:w="992" w:type="dxa"/>
            <w:noWrap w:val="0"/>
            <w:vAlign w:val="center"/>
          </w:tcPr>
          <w:p w14:paraId="0BDA3F80">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劳动合同时间</w:t>
            </w:r>
          </w:p>
        </w:tc>
        <w:tc>
          <w:tcPr>
            <w:tcW w:w="1007" w:type="dxa"/>
            <w:noWrap w:val="0"/>
            <w:vAlign w:val="center"/>
          </w:tcPr>
          <w:p w14:paraId="6160EDAA">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证明材料页码</w:t>
            </w:r>
          </w:p>
        </w:tc>
      </w:tr>
      <w:tr w14:paraId="5CB2B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72" w:type="dxa"/>
            <w:noWrap w:val="0"/>
            <w:vAlign w:val="center"/>
          </w:tcPr>
          <w:p w14:paraId="29BA1739">
            <w:pPr>
              <w:spacing w:line="360" w:lineRule="auto"/>
              <w:contextualSpacing/>
              <w:jc w:val="center"/>
              <w:rPr>
                <w:rFonts w:ascii="宋体" w:hAnsi="宋体"/>
                <w:color w:val="auto"/>
                <w:sz w:val="24"/>
                <w:szCs w:val="20"/>
                <w:highlight w:val="none"/>
              </w:rPr>
            </w:pPr>
          </w:p>
        </w:tc>
        <w:tc>
          <w:tcPr>
            <w:tcW w:w="1179" w:type="dxa"/>
            <w:noWrap w:val="0"/>
            <w:vAlign w:val="center"/>
          </w:tcPr>
          <w:p w14:paraId="06BC129E">
            <w:pPr>
              <w:spacing w:line="360" w:lineRule="auto"/>
              <w:contextualSpacing/>
              <w:jc w:val="center"/>
              <w:rPr>
                <w:rFonts w:ascii="宋体" w:hAnsi="宋体"/>
                <w:color w:val="auto"/>
                <w:sz w:val="24"/>
                <w:szCs w:val="20"/>
                <w:highlight w:val="none"/>
              </w:rPr>
            </w:pPr>
          </w:p>
        </w:tc>
        <w:tc>
          <w:tcPr>
            <w:tcW w:w="1559" w:type="dxa"/>
            <w:noWrap w:val="0"/>
            <w:vAlign w:val="center"/>
          </w:tcPr>
          <w:p w14:paraId="6B01D0C1">
            <w:pPr>
              <w:spacing w:line="360" w:lineRule="auto"/>
              <w:contextualSpacing/>
              <w:jc w:val="center"/>
              <w:rPr>
                <w:rFonts w:ascii="宋体" w:hAnsi="宋体"/>
                <w:color w:val="auto"/>
                <w:sz w:val="24"/>
                <w:szCs w:val="20"/>
                <w:highlight w:val="none"/>
              </w:rPr>
            </w:pPr>
          </w:p>
        </w:tc>
        <w:tc>
          <w:tcPr>
            <w:tcW w:w="2694" w:type="dxa"/>
            <w:noWrap w:val="0"/>
            <w:vAlign w:val="center"/>
          </w:tcPr>
          <w:p w14:paraId="3D339277">
            <w:pPr>
              <w:spacing w:line="360" w:lineRule="auto"/>
              <w:contextualSpacing/>
              <w:jc w:val="center"/>
              <w:rPr>
                <w:rFonts w:ascii="宋体" w:hAnsi="宋体"/>
                <w:color w:val="auto"/>
                <w:sz w:val="24"/>
                <w:szCs w:val="20"/>
                <w:highlight w:val="none"/>
              </w:rPr>
            </w:pPr>
          </w:p>
        </w:tc>
        <w:tc>
          <w:tcPr>
            <w:tcW w:w="1417" w:type="dxa"/>
            <w:noWrap w:val="0"/>
            <w:vAlign w:val="center"/>
          </w:tcPr>
          <w:p w14:paraId="4020AE12">
            <w:pPr>
              <w:spacing w:line="360" w:lineRule="auto"/>
              <w:contextualSpacing/>
              <w:jc w:val="center"/>
              <w:rPr>
                <w:rFonts w:ascii="宋体" w:hAnsi="宋体"/>
                <w:color w:val="auto"/>
                <w:sz w:val="24"/>
                <w:szCs w:val="20"/>
                <w:highlight w:val="none"/>
              </w:rPr>
            </w:pPr>
          </w:p>
        </w:tc>
        <w:tc>
          <w:tcPr>
            <w:tcW w:w="992" w:type="dxa"/>
            <w:noWrap w:val="0"/>
            <w:vAlign w:val="center"/>
          </w:tcPr>
          <w:p w14:paraId="67B8F7FD">
            <w:pPr>
              <w:spacing w:line="360" w:lineRule="auto"/>
              <w:contextualSpacing/>
              <w:jc w:val="center"/>
              <w:rPr>
                <w:rFonts w:ascii="宋体" w:hAnsi="宋体"/>
                <w:color w:val="auto"/>
                <w:sz w:val="24"/>
                <w:szCs w:val="20"/>
                <w:highlight w:val="none"/>
              </w:rPr>
            </w:pPr>
          </w:p>
        </w:tc>
        <w:tc>
          <w:tcPr>
            <w:tcW w:w="1007" w:type="dxa"/>
            <w:noWrap w:val="0"/>
            <w:vAlign w:val="top"/>
          </w:tcPr>
          <w:p w14:paraId="328054A1">
            <w:pPr>
              <w:spacing w:line="360" w:lineRule="auto"/>
              <w:contextualSpacing/>
              <w:jc w:val="center"/>
              <w:rPr>
                <w:rFonts w:ascii="宋体" w:hAnsi="宋体"/>
                <w:color w:val="auto"/>
                <w:sz w:val="24"/>
                <w:szCs w:val="20"/>
                <w:highlight w:val="none"/>
              </w:rPr>
            </w:pPr>
          </w:p>
        </w:tc>
      </w:tr>
      <w:tr w14:paraId="7625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72" w:type="dxa"/>
            <w:noWrap w:val="0"/>
            <w:vAlign w:val="center"/>
          </w:tcPr>
          <w:p w14:paraId="467580E9">
            <w:pPr>
              <w:spacing w:line="360" w:lineRule="auto"/>
              <w:contextualSpacing/>
              <w:jc w:val="center"/>
              <w:rPr>
                <w:rFonts w:ascii="宋体" w:hAnsi="宋体"/>
                <w:color w:val="auto"/>
                <w:sz w:val="24"/>
                <w:szCs w:val="20"/>
                <w:highlight w:val="none"/>
              </w:rPr>
            </w:pPr>
          </w:p>
        </w:tc>
        <w:tc>
          <w:tcPr>
            <w:tcW w:w="1179" w:type="dxa"/>
            <w:noWrap w:val="0"/>
            <w:vAlign w:val="center"/>
          </w:tcPr>
          <w:p w14:paraId="332D9801">
            <w:pPr>
              <w:spacing w:line="360" w:lineRule="auto"/>
              <w:contextualSpacing/>
              <w:jc w:val="center"/>
              <w:rPr>
                <w:rFonts w:ascii="宋体" w:hAnsi="宋体"/>
                <w:color w:val="auto"/>
                <w:sz w:val="24"/>
                <w:szCs w:val="20"/>
                <w:highlight w:val="none"/>
              </w:rPr>
            </w:pPr>
          </w:p>
        </w:tc>
        <w:tc>
          <w:tcPr>
            <w:tcW w:w="1559" w:type="dxa"/>
            <w:noWrap w:val="0"/>
            <w:vAlign w:val="center"/>
          </w:tcPr>
          <w:p w14:paraId="5E22D35A">
            <w:pPr>
              <w:spacing w:line="360" w:lineRule="auto"/>
              <w:contextualSpacing/>
              <w:jc w:val="center"/>
              <w:rPr>
                <w:rFonts w:ascii="宋体" w:hAnsi="宋体"/>
                <w:color w:val="auto"/>
                <w:sz w:val="24"/>
                <w:szCs w:val="20"/>
                <w:highlight w:val="none"/>
              </w:rPr>
            </w:pPr>
          </w:p>
        </w:tc>
        <w:tc>
          <w:tcPr>
            <w:tcW w:w="2694" w:type="dxa"/>
            <w:noWrap w:val="0"/>
            <w:vAlign w:val="center"/>
          </w:tcPr>
          <w:p w14:paraId="3258D402">
            <w:pPr>
              <w:spacing w:line="360" w:lineRule="auto"/>
              <w:contextualSpacing/>
              <w:jc w:val="center"/>
              <w:rPr>
                <w:rFonts w:ascii="宋体" w:hAnsi="宋体"/>
                <w:color w:val="auto"/>
                <w:sz w:val="24"/>
                <w:szCs w:val="20"/>
                <w:highlight w:val="none"/>
              </w:rPr>
            </w:pPr>
          </w:p>
        </w:tc>
        <w:tc>
          <w:tcPr>
            <w:tcW w:w="1417" w:type="dxa"/>
            <w:noWrap w:val="0"/>
            <w:vAlign w:val="center"/>
          </w:tcPr>
          <w:p w14:paraId="35B2DF82">
            <w:pPr>
              <w:spacing w:line="360" w:lineRule="auto"/>
              <w:contextualSpacing/>
              <w:jc w:val="center"/>
              <w:rPr>
                <w:rFonts w:ascii="宋体" w:hAnsi="宋体"/>
                <w:color w:val="auto"/>
                <w:sz w:val="24"/>
                <w:szCs w:val="20"/>
                <w:highlight w:val="none"/>
              </w:rPr>
            </w:pPr>
          </w:p>
        </w:tc>
        <w:tc>
          <w:tcPr>
            <w:tcW w:w="992" w:type="dxa"/>
            <w:noWrap w:val="0"/>
            <w:vAlign w:val="center"/>
          </w:tcPr>
          <w:p w14:paraId="0C8902C6">
            <w:pPr>
              <w:spacing w:line="360" w:lineRule="auto"/>
              <w:contextualSpacing/>
              <w:jc w:val="center"/>
              <w:rPr>
                <w:rFonts w:ascii="宋体" w:hAnsi="宋体"/>
                <w:color w:val="auto"/>
                <w:sz w:val="24"/>
                <w:szCs w:val="20"/>
                <w:highlight w:val="none"/>
              </w:rPr>
            </w:pPr>
          </w:p>
        </w:tc>
        <w:tc>
          <w:tcPr>
            <w:tcW w:w="1007" w:type="dxa"/>
            <w:noWrap w:val="0"/>
            <w:vAlign w:val="top"/>
          </w:tcPr>
          <w:p w14:paraId="7505A19F">
            <w:pPr>
              <w:spacing w:line="360" w:lineRule="auto"/>
              <w:contextualSpacing/>
              <w:jc w:val="center"/>
              <w:rPr>
                <w:rFonts w:ascii="宋体" w:hAnsi="宋体"/>
                <w:color w:val="auto"/>
                <w:sz w:val="24"/>
                <w:szCs w:val="20"/>
                <w:highlight w:val="none"/>
              </w:rPr>
            </w:pPr>
          </w:p>
        </w:tc>
      </w:tr>
      <w:tr w14:paraId="355B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72" w:type="dxa"/>
            <w:noWrap w:val="0"/>
            <w:vAlign w:val="center"/>
          </w:tcPr>
          <w:p w14:paraId="5F24ED2C">
            <w:pPr>
              <w:spacing w:line="360" w:lineRule="auto"/>
              <w:contextualSpacing/>
              <w:jc w:val="center"/>
              <w:rPr>
                <w:rFonts w:ascii="宋体" w:hAnsi="宋体"/>
                <w:color w:val="auto"/>
                <w:sz w:val="24"/>
                <w:szCs w:val="20"/>
                <w:highlight w:val="none"/>
              </w:rPr>
            </w:pPr>
          </w:p>
        </w:tc>
        <w:tc>
          <w:tcPr>
            <w:tcW w:w="1179" w:type="dxa"/>
            <w:noWrap w:val="0"/>
            <w:vAlign w:val="center"/>
          </w:tcPr>
          <w:p w14:paraId="06215E05">
            <w:pPr>
              <w:spacing w:line="360" w:lineRule="auto"/>
              <w:contextualSpacing/>
              <w:jc w:val="center"/>
              <w:rPr>
                <w:rFonts w:ascii="宋体" w:hAnsi="宋体"/>
                <w:color w:val="auto"/>
                <w:sz w:val="24"/>
                <w:szCs w:val="20"/>
                <w:highlight w:val="none"/>
              </w:rPr>
            </w:pPr>
          </w:p>
        </w:tc>
        <w:tc>
          <w:tcPr>
            <w:tcW w:w="1559" w:type="dxa"/>
            <w:noWrap w:val="0"/>
            <w:vAlign w:val="center"/>
          </w:tcPr>
          <w:p w14:paraId="4AFE5113">
            <w:pPr>
              <w:spacing w:line="360" w:lineRule="auto"/>
              <w:contextualSpacing/>
              <w:jc w:val="center"/>
              <w:rPr>
                <w:rFonts w:ascii="宋体" w:hAnsi="宋体"/>
                <w:color w:val="auto"/>
                <w:sz w:val="24"/>
                <w:szCs w:val="20"/>
                <w:highlight w:val="none"/>
              </w:rPr>
            </w:pPr>
          </w:p>
        </w:tc>
        <w:tc>
          <w:tcPr>
            <w:tcW w:w="2694" w:type="dxa"/>
            <w:noWrap w:val="0"/>
            <w:vAlign w:val="center"/>
          </w:tcPr>
          <w:p w14:paraId="7FBFF76B">
            <w:pPr>
              <w:spacing w:line="360" w:lineRule="auto"/>
              <w:contextualSpacing/>
              <w:jc w:val="center"/>
              <w:rPr>
                <w:rFonts w:ascii="宋体" w:hAnsi="宋体"/>
                <w:color w:val="auto"/>
                <w:sz w:val="24"/>
                <w:szCs w:val="20"/>
                <w:highlight w:val="none"/>
              </w:rPr>
            </w:pPr>
          </w:p>
        </w:tc>
        <w:tc>
          <w:tcPr>
            <w:tcW w:w="1417" w:type="dxa"/>
            <w:noWrap w:val="0"/>
            <w:vAlign w:val="center"/>
          </w:tcPr>
          <w:p w14:paraId="6A3BBB2F">
            <w:pPr>
              <w:spacing w:line="360" w:lineRule="auto"/>
              <w:contextualSpacing/>
              <w:jc w:val="center"/>
              <w:rPr>
                <w:rFonts w:ascii="宋体" w:hAnsi="宋体"/>
                <w:color w:val="auto"/>
                <w:sz w:val="24"/>
                <w:szCs w:val="20"/>
                <w:highlight w:val="none"/>
              </w:rPr>
            </w:pPr>
          </w:p>
        </w:tc>
        <w:tc>
          <w:tcPr>
            <w:tcW w:w="992" w:type="dxa"/>
            <w:noWrap w:val="0"/>
            <w:vAlign w:val="center"/>
          </w:tcPr>
          <w:p w14:paraId="100D253E">
            <w:pPr>
              <w:spacing w:line="360" w:lineRule="auto"/>
              <w:contextualSpacing/>
              <w:jc w:val="center"/>
              <w:rPr>
                <w:rFonts w:ascii="宋体" w:hAnsi="宋体"/>
                <w:color w:val="auto"/>
                <w:sz w:val="24"/>
                <w:szCs w:val="20"/>
                <w:highlight w:val="none"/>
              </w:rPr>
            </w:pPr>
          </w:p>
        </w:tc>
        <w:tc>
          <w:tcPr>
            <w:tcW w:w="1007" w:type="dxa"/>
            <w:noWrap w:val="0"/>
            <w:vAlign w:val="top"/>
          </w:tcPr>
          <w:p w14:paraId="593D8BFF">
            <w:pPr>
              <w:spacing w:line="360" w:lineRule="auto"/>
              <w:contextualSpacing/>
              <w:jc w:val="center"/>
              <w:rPr>
                <w:rFonts w:ascii="宋体" w:hAnsi="宋体"/>
                <w:color w:val="auto"/>
                <w:sz w:val="24"/>
                <w:szCs w:val="20"/>
                <w:highlight w:val="none"/>
              </w:rPr>
            </w:pPr>
          </w:p>
        </w:tc>
      </w:tr>
    </w:tbl>
    <w:p w14:paraId="7C86DA77">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462DDA58">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在填写时，如本表格不适合供应商的实际情况，可根据本表格式自行制表填写。</w:t>
      </w:r>
    </w:p>
    <w:p w14:paraId="612D8097">
      <w:pPr>
        <w:spacing w:line="360" w:lineRule="auto"/>
        <w:contextualSpacing/>
        <w:jc w:val="left"/>
        <w:rPr>
          <w:rFonts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供应商应当附本表所列证书的复印件并加盖供应商电子签章。</w:t>
      </w:r>
    </w:p>
    <w:p w14:paraId="0498ABA7">
      <w:pPr>
        <w:spacing w:line="360" w:lineRule="auto"/>
        <w:contextualSpacing/>
        <w:rPr>
          <w:rFonts w:ascii="宋体" w:hAnsi="宋体"/>
          <w:color w:val="auto"/>
          <w:sz w:val="24"/>
          <w:highlight w:val="none"/>
        </w:rPr>
      </w:pPr>
    </w:p>
    <w:p w14:paraId="31099ACC">
      <w:pPr>
        <w:spacing w:line="360" w:lineRule="auto"/>
        <w:contextualSpacing/>
        <w:rPr>
          <w:rFonts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306818E">
      <w:pPr>
        <w:snapToGrid w:val="0"/>
        <w:spacing w:line="360" w:lineRule="auto"/>
        <w:rPr>
          <w:rFonts w:ascii="宋体" w:hAnsi="宋体" w:cs="宋体"/>
          <w:b/>
          <w:color w:val="auto"/>
          <w:sz w:val="28"/>
          <w:szCs w:val="28"/>
          <w:highlight w:val="none"/>
        </w:rPr>
        <w:sectPr>
          <w:pgSz w:w="11911" w:h="16838"/>
          <w:pgMar w:top="1134" w:right="1134" w:bottom="1134" w:left="1134" w:header="720" w:footer="720" w:gutter="0"/>
          <w:cols w:space="720" w:num="1"/>
        </w:sectPr>
      </w:pPr>
      <w:r>
        <w:rPr>
          <w:rFonts w:hint="eastAsia" w:ascii="宋体" w:hAnsi="宋体"/>
          <w:color w:val="auto"/>
          <w:spacing w:val="20"/>
          <w:sz w:val="24"/>
          <w:highlight w:val="none"/>
        </w:rPr>
        <w:t>供应商名称（电子签章）：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2A257B1C">
      <w:pPr>
        <w:snapToGrid w:val="0"/>
        <w:spacing w:before="120" w:beforeLines="50" w:after="50"/>
        <w:jc w:val="left"/>
        <w:rPr>
          <w:rFonts w:ascii="方正小标宋简体" w:hAnsi="方正小标宋简体" w:eastAsia="方正小标宋简体" w:cs="方正小标宋简体"/>
          <w:bCs/>
          <w:color w:val="auto"/>
          <w:szCs w:val="21"/>
          <w:highlight w:val="none"/>
        </w:rPr>
      </w:pPr>
      <w:r>
        <w:rPr>
          <w:rFonts w:hint="eastAsia" w:ascii="宋体" w:hAnsi="宋体" w:cs="宋体"/>
          <w:b/>
          <w:color w:val="auto"/>
          <w:sz w:val="28"/>
          <w:szCs w:val="28"/>
          <w:highlight w:val="none"/>
        </w:rPr>
        <w:t>9.代理服务费承诺书</w:t>
      </w:r>
    </w:p>
    <w:p w14:paraId="396AD728">
      <w:pPr>
        <w:snapToGrid w:val="0"/>
        <w:spacing w:before="120" w:beforeLines="50" w:after="50"/>
        <w:jc w:val="left"/>
        <w:rPr>
          <w:rFonts w:ascii="方正小标宋简体" w:hAnsi="方正小标宋简体" w:eastAsia="方正小标宋简体" w:cs="方正小标宋简体"/>
          <w:bCs/>
          <w:color w:val="auto"/>
          <w:szCs w:val="21"/>
          <w:highlight w:val="none"/>
        </w:rPr>
      </w:pPr>
    </w:p>
    <w:p w14:paraId="3B42AFD0">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代理服务费承诺书</w:t>
      </w:r>
    </w:p>
    <w:p w14:paraId="66763E79">
      <w:pPr>
        <w:snapToGrid w:val="0"/>
        <w:spacing w:before="120" w:beforeLines="50" w:after="50"/>
        <w:jc w:val="center"/>
        <w:rPr>
          <w:rFonts w:ascii="宋体" w:hAnsi="宋体"/>
          <w:b/>
          <w:color w:val="auto"/>
          <w:sz w:val="24"/>
          <w:highlight w:val="none"/>
        </w:rPr>
      </w:pPr>
    </w:p>
    <w:p w14:paraId="1A1E7EE1">
      <w:pPr>
        <w:spacing w:line="360" w:lineRule="auto"/>
        <w:rPr>
          <w:rFonts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采购代理机构名称</w:t>
      </w:r>
      <w:r>
        <w:rPr>
          <w:rFonts w:hint="eastAsia" w:ascii="宋体" w:hAnsi="宋体"/>
          <w:color w:val="auto"/>
          <w:sz w:val="24"/>
          <w:highlight w:val="none"/>
        </w:rPr>
        <w:t>：</w:t>
      </w:r>
    </w:p>
    <w:p w14:paraId="53F3016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本单位参加了贵方组织的</w:t>
      </w:r>
      <w:r>
        <w:rPr>
          <w:rFonts w:hint="eastAsia" w:ascii="宋体" w:hAnsi="宋体"/>
          <w:color w:val="auto"/>
          <w:sz w:val="24"/>
          <w:highlight w:val="none"/>
          <w:u w:val="single"/>
        </w:rPr>
        <w:t xml:space="preserve">  项目名称（项目编号）  </w:t>
      </w:r>
      <w:r>
        <w:rPr>
          <w:rFonts w:hint="eastAsia" w:ascii="宋体" w:hAnsi="宋体"/>
          <w:color w:val="auto"/>
          <w:sz w:val="24"/>
          <w:highlight w:val="none"/>
        </w:rPr>
        <w:t>项目， 在此说明如下：</w:t>
      </w:r>
    </w:p>
    <w:p w14:paraId="129414A2">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1.我方承诺，若本单位成交，保证在发出成交通知书之后，按本项目采购文件的规定标准向贵单位一次性足额支付代理服务费， 在领取成交通知书后，由于被质疑、投诉或者其他原因而导致成交结果改变，我方将放弃对已缴纳的成交服务费追还的一切权利。</w:t>
      </w:r>
    </w:p>
    <w:p w14:paraId="3D92C52B">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2.本单位选择第</w:t>
      </w:r>
      <w:r>
        <w:rPr>
          <w:rFonts w:hint="eastAsia" w:ascii="宋体" w:hAnsi="宋体"/>
          <w:color w:val="auto"/>
          <w:sz w:val="24"/>
          <w:highlight w:val="none"/>
          <w:u w:val="single"/>
        </w:rPr>
        <w:t xml:space="preserve">     </w:t>
      </w:r>
      <w:r>
        <w:rPr>
          <w:rFonts w:hint="eastAsia" w:ascii="宋体" w:hAnsi="宋体"/>
          <w:color w:val="auto"/>
          <w:sz w:val="24"/>
          <w:highlight w:val="none"/>
        </w:rPr>
        <w:t>种方式作为代理服务费开票类型：</w:t>
      </w:r>
    </w:p>
    <w:p w14:paraId="12746F34">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第一种方式：开具增值税普通发票。开票信息如下：</w:t>
      </w:r>
    </w:p>
    <w:p w14:paraId="4AFCE821">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（1）供应商名称</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360A429C">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1224CF61">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第二种方式：开具增值税专用发票，开票信息如下：</w:t>
      </w:r>
    </w:p>
    <w:p w14:paraId="44C0B51C">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（1）供应商名称</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3245E9B6">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（2）纳税人识别号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642CE042">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（3）在税局登记的地址</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1C2D4F24">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（4）在税局登记的电话</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5DCC8ACE">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（5）开户银行</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065B1965">
      <w:pPr>
        <w:spacing w:line="360" w:lineRule="auto"/>
        <w:ind w:firstLine="360" w:firstLineChars="150"/>
        <w:rPr>
          <w:rFonts w:ascii="宋体" w:hAnsi="宋体"/>
          <w:color w:val="auto"/>
          <w:sz w:val="24"/>
          <w:highlight w:val="none"/>
        </w:rPr>
      </w:pPr>
      <w:r>
        <w:rPr>
          <w:rFonts w:hint="eastAsia" w:ascii="宋体" w:hAnsi="宋体"/>
          <w:color w:val="auto"/>
          <w:sz w:val="24"/>
          <w:highlight w:val="none"/>
        </w:rPr>
        <w:t>（6）银行账户</w:t>
      </w:r>
      <w:r>
        <w:rPr>
          <w:rFonts w:hint="eastAsia" w:ascii="宋体" w:hAnsi="宋体"/>
          <w:color w:val="auto"/>
          <w:sz w:val="24"/>
          <w:highlight w:val="none"/>
          <w:u w:val="single"/>
        </w:rPr>
        <w:t xml:space="preserve">_                           </w:t>
      </w:r>
      <w:r>
        <w:rPr>
          <w:rFonts w:hint="eastAsia" w:ascii="宋体" w:hAnsi="宋体"/>
          <w:color w:val="auto"/>
          <w:sz w:val="24"/>
          <w:highlight w:val="none"/>
        </w:rPr>
        <w:t>。</w:t>
      </w:r>
    </w:p>
    <w:p w14:paraId="4F252D24">
      <w:pPr>
        <w:spacing w:line="440" w:lineRule="exact"/>
        <w:rPr>
          <w:rFonts w:ascii="宋体" w:hAnsi="宋体"/>
          <w:color w:val="auto"/>
          <w:sz w:val="24"/>
          <w:highlight w:val="none"/>
        </w:rPr>
      </w:pPr>
    </w:p>
    <w:p w14:paraId="6B299795">
      <w:pPr>
        <w:spacing w:line="440" w:lineRule="exact"/>
        <w:rPr>
          <w:rFonts w:ascii="宋体" w:hAnsi="宋体"/>
          <w:color w:val="auto"/>
          <w:sz w:val="24"/>
          <w:highlight w:val="none"/>
        </w:rPr>
      </w:pPr>
    </w:p>
    <w:p w14:paraId="5D048001">
      <w:pPr>
        <w:spacing w:line="440" w:lineRule="exact"/>
        <w:rPr>
          <w:rFonts w:ascii="宋体" w:hAnsi="宋体"/>
          <w:color w:val="auto"/>
          <w:sz w:val="24"/>
          <w:highlight w:val="none"/>
        </w:rPr>
      </w:pPr>
    </w:p>
    <w:p w14:paraId="0D0F0B50">
      <w:pPr>
        <w:snapToGrid w:val="0"/>
        <w:spacing w:line="360" w:lineRule="auto"/>
        <w:ind w:left="-2" w:leftChars="-1" w:right="-817" w:rightChars="-389" w:firstLine="1920" w:firstLineChars="800"/>
        <w:rPr>
          <w:rFonts w:ascii="宋体" w:hAnsi="宋体"/>
          <w:color w:val="auto"/>
          <w:sz w:val="24"/>
          <w:highlight w:val="none"/>
        </w:rPr>
      </w:pPr>
      <w:r>
        <w:rPr>
          <w:rFonts w:hint="eastAsia" w:ascii="宋体" w:hAnsi="宋体"/>
          <w:color w:val="auto"/>
          <w:sz w:val="24"/>
          <w:highlight w:val="none"/>
        </w:rPr>
        <w:t xml:space="preserve">法定代表人或者委托代理人（签字或者电子签名）： </w:t>
      </w:r>
    </w:p>
    <w:p w14:paraId="5C5E1D59">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供应商公章（电子签章）：</w:t>
      </w:r>
    </w:p>
    <w:p w14:paraId="264F05DF">
      <w:pPr>
        <w:snapToGrid w:val="0"/>
        <w:spacing w:line="360" w:lineRule="auto"/>
        <w:ind w:right="480" w:firstLine="240" w:firstLineChars="100"/>
        <w:jc w:val="left"/>
        <w:rPr>
          <w:rFonts w:ascii="宋体" w:hAnsi="宋体"/>
          <w:color w:val="auto"/>
          <w:sz w:val="24"/>
          <w:szCs w:val="20"/>
          <w:highlight w:val="none"/>
        </w:rPr>
      </w:pPr>
      <w:r>
        <w:rPr>
          <w:rFonts w:hint="eastAsia" w:ascii="宋体" w:hAnsi="宋体"/>
          <w:color w:val="auto"/>
          <w:sz w:val="24"/>
          <w:highlight w:val="none"/>
        </w:rPr>
        <w:t xml:space="preserve">                                    日期：    年   月   日</w:t>
      </w:r>
    </w:p>
    <w:p w14:paraId="19D542C4">
      <w:pPr>
        <w:autoSpaceDE w:val="0"/>
        <w:autoSpaceDN w:val="0"/>
        <w:spacing w:line="360" w:lineRule="auto"/>
        <w:ind w:firstLine="6480" w:firstLineChars="2700"/>
        <w:rPr>
          <w:rFonts w:ascii="宋体" w:hAnsi="宋体" w:cs="宋体"/>
          <w:color w:val="auto"/>
          <w:kern w:val="0"/>
          <w:sz w:val="24"/>
          <w:highlight w:val="none"/>
          <w:lang w:val="zh-CN"/>
        </w:rPr>
      </w:pPr>
    </w:p>
    <w:p w14:paraId="56881842">
      <w:pPr>
        <w:autoSpaceDE w:val="0"/>
        <w:autoSpaceDN w:val="0"/>
        <w:spacing w:line="360" w:lineRule="auto"/>
        <w:ind w:firstLine="6480" w:firstLineChars="2700"/>
        <w:rPr>
          <w:rFonts w:ascii="仿宋_GB2312" w:hAnsi="仿宋" w:eastAsia="仿宋_GB2312" w:cs="仿宋_GB2312"/>
          <w:color w:val="auto"/>
          <w:kern w:val="0"/>
          <w:sz w:val="24"/>
          <w:highlight w:val="none"/>
          <w:lang w:val="zh-CN"/>
        </w:rPr>
      </w:pPr>
    </w:p>
    <w:p w14:paraId="0C7808C0">
      <w:pPr>
        <w:autoSpaceDE w:val="0"/>
        <w:autoSpaceDN w:val="0"/>
        <w:spacing w:line="360" w:lineRule="auto"/>
        <w:ind w:firstLine="8132" w:firstLineChars="2700"/>
        <w:rPr>
          <w:rFonts w:ascii="仿宋_GB2312" w:hAnsi="仿宋" w:eastAsia="仿宋_GB2312" w:cs="仿宋_GB2312"/>
          <w:b/>
          <w:bCs/>
          <w:color w:val="auto"/>
          <w:sz w:val="24"/>
          <w:highlight w:val="none"/>
        </w:rPr>
      </w:pPr>
      <w:r>
        <w:rPr>
          <w:rFonts w:hint="eastAsia" w:ascii="仿宋" w:hAnsi="仿宋" w:eastAsia="仿宋" w:cs="仿宋_GB2312"/>
          <w:b/>
          <w:color w:val="auto"/>
          <w:sz w:val="30"/>
          <w:szCs w:val="30"/>
          <w:highlight w:val="none"/>
        </w:rPr>
        <w:br w:type="page"/>
      </w:r>
    </w:p>
    <w:p w14:paraId="4A57B026">
      <w:pPr>
        <w:pStyle w:val="4"/>
        <w:jc w:val="center"/>
        <w:rPr>
          <w:rFonts w:ascii="宋体" w:hAnsi="宋体"/>
          <w:color w:val="auto"/>
          <w:highlight w:val="none"/>
        </w:rPr>
      </w:pPr>
      <w:bookmarkStart w:id="143" w:name="_Toc80886945"/>
      <w:bookmarkStart w:id="144" w:name="_Toc12611"/>
      <w:bookmarkStart w:id="145" w:name="_Toc80205941"/>
      <w:bookmarkStart w:id="146" w:name="_Toc31035"/>
      <w:r>
        <w:rPr>
          <w:rFonts w:hint="eastAsia" w:ascii="宋体" w:hAnsi="宋体"/>
          <w:color w:val="auto"/>
          <w:highlight w:val="none"/>
        </w:rPr>
        <w:t>第三节 报价文件格式</w:t>
      </w:r>
      <w:bookmarkEnd w:id="143"/>
      <w:bookmarkEnd w:id="144"/>
      <w:bookmarkEnd w:id="145"/>
      <w:bookmarkEnd w:id="146"/>
    </w:p>
    <w:p w14:paraId="29C9D6D5">
      <w:pPr>
        <w:pStyle w:val="2"/>
        <w:rPr>
          <w:color w:val="auto"/>
          <w:highlight w:val="none"/>
          <w:lang w:val="zh-CN"/>
        </w:rPr>
      </w:pPr>
      <w:r>
        <w:rPr>
          <w:rFonts w:hint="eastAsia"/>
          <w:color w:val="auto"/>
          <w:sz w:val="24"/>
          <w:highlight w:val="none"/>
        </w:rPr>
        <w:t xml:space="preserve">  </w:t>
      </w:r>
      <w:r>
        <w:rPr>
          <w:rFonts w:hint="eastAsia" w:ascii="宋体" w:hAnsi="宋体" w:cs="宋体"/>
          <w:b/>
          <w:bCs/>
          <w:color w:val="auto"/>
          <w:sz w:val="28"/>
          <w:szCs w:val="28"/>
          <w:highlight w:val="none"/>
        </w:rPr>
        <w:t>1.报价文件封面的格式</w:t>
      </w:r>
      <w:r>
        <w:rPr>
          <w:rFonts w:hint="eastAsia" w:ascii="宋体" w:hAnsi="宋体" w:cs="宋体"/>
          <w:b/>
          <w:color w:val="auto"/>
          <w:sz w:val="28"/>
          <w:szCs w:val="28"/>
          <w:highlight w:val="none"/>
        </w:rPr>
        <w:t>（参照此格式自拟）</w:t>
      </w:r>
      <w:r>
        <w:rPr>
          <w:rFonts w:hint="eastAsia" w:ascii="宋体" w:hAnsi="宋体" w:cs="宋体"/>
          <w:b/>
          <w:bCs/>
          <w:color w:val="auto"/>
          <w:sz w:val="28"/>
          <w:szCs w:val="28"/>
          <w:highlight w:val="none"/>
        </w:rPr>
        <w:t>：</w:t>
      </w:r>
    </w:p>
    <w:p w14:paraId="0B1D9F57">
      <w:pPr>
        <w:snapToGrid w:val="0"/>
        <w:spacing w:before="120" w:beforeLines="50" w:after="50"/>
        <w:rPr>
          <w:color w:val="auto"/>
          <w:sz w:val="24"/>
          <w:highlight w:val="none"/>
        </w:rPr>
      </w:pPr>
      <w:r>
        <w:rPr>
          <w:rFonts w:hint="eastAsia"/>
          <w:color w:val="auto"/>
          <w:sz w:val="24"/>
          <w:highlight w:val="none"/>
        </w:rPr>
        <w:t xml:space="preserve">                                             </w:t>
      </w:r>
    </w:p>
    <w:p w14:paraId="5D2267D7">
      <w:pPr>
        <w:snapToGrid w:val="0"/>
        <w:spacing w:before="120" w:beforeLines="50" w:after="50"/>
        <w:ind w:firstLine="6720" w:firstLineChars="3200"/>
        <w:rPr>
          <w:bCs/>
          <w:color w:val="auto"/>
          <w:sz w:val="32"/>
          <w:szCs w:val="20"/>
          <w:highlight w:val="none"/>
        </w:rPr>
      </w:pPr>
      <w:r>
        <w:rPr>
          <w:rFonts w:hint="eastAsia"/>
          <w:bCs/>
          <w:color w:val="auto"/>
          <w:highlight w:val="none"/>
        </w:rPr>
        <w:t>全流程电子文件</w:t>
      </w:r>
    </w:p>
    <w:p w14:paraId="05F13CBF">
      <w:pPr>
        <w:snapToGrid w:val="0"/>
        <w:spacing w:before="120" w:beforeLines="50" w:after="50"/>
        <w:rPr>
          <w:color w:val="auto"/>
          <w:sz w:val="24"/>
          <w:szCs w:val="20"/>
          <w:highlight w:val="none"/>
        </w:rPr>
      </w:pPr>
    </w:p>
    <w:p w14:paraId="6A384ECF">
      <w:pPr>
        <w:snapToGrid w:val="0"/>
        <w:spacing w:before="120" w:beforeLines="50" w:after="50"/>
        <w:rPr>
          <w:color w:val="auto"/>
          <w:sz w:val="24"/>
          <w:szCs w:val="20"/>
          <w:highlight w:val="none"/>
        </w:rPr>
      </w:pPr>
    </w:p>
    <w:p w14:paraId="44880F05">
      <w:pPr>
        <w:snapToGrid w:val="0"/>
        <w:spacing w:before="120" w:beforeLines="50" w:after="50"/>
        <w:rPr>
          <w:color w:val="auto"/>
          <w:sz w:val="24"/>
          <w:szCs w:val="20"/>
          <w:highlight w:val="none"/>
        </w:rPr>
      </w:pPr>
    </w:p>
    <w:p w14:paraId="09F30F39">
      <w:pPr>
        <w:snapToGrid w:val="0"/>
        <w:spacing w:before="120"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 xml:space="preserve">报 </w:t>
      </w:r>
      <w:r>
        <w:rPr>
          <w:rFonts w:ascii="方正小标宋简体" w:hAnsi="方正小标宋简体" w:eastAsia="方正小标宋简体" w:cs="方正小标宋简体"/>
          <w:bCs/>
          <w:color w:val="auto"/>
          <w:sz w:val="44"/>
          <w:szCs w:val="44"/>
          <w:highlight w:val="none"/>
        </w:rPr>
        <w:t xml:space="preserve"> </w:t>
      </w:r>
      <w:r>
        <w:rPr>
          <w:rFonts w:hint="eastAsia" w:ascii="方正小标宋简体" w:hAnsi="方正小标宋简体" w:eastAsia="方正小标宋简体" w:cs="方正小标宋简体"/>
          <w:bCs/>
          <w:color w:val="auto"/>
          <w:sz w:val="44"/>
          <w:szCs w:val="44"/>
          <w:highlight w:val="none"/>
        </w:rPr>
        <w:t>价  文  件</w:t>
      </w:r>
    </w:p>
    <w:p w14:paraId="235E2300">
      <w:pPr>
        <w:snapToGrid w:val="0"/>
        <w:spacing w:before="120" w:beforeLines="50" w:after="50"/>
        <w:rPr>
          <w:bCs/>
          <w:color w:val="auto"/>
          <w:sz w:val="24"/>
          <w:szCs w:val="20"/>
          <w:highlight w:val="none"/>
        </w:rPr>
      </w:pPr>
    </w:p>
    <w:p w14:paraId="17D92A68">
      <w:pPr>
        <w:snapToGrid w:val="0"/>
        <w:spacing w:before="120" w:beforeLines="50" w:after="50"/>
        <w:rPr>
          <w:bCs/>
          <w:color w:val="auto"/>
          <w:sz w:val="24"/>
          <w:szCs w:val="20"/>
          <w:highlight w:val="none"/>
        </w:rPr>
      </w:pPr>
    </w:p>
    <w:p w14:paraId="0F0E7B4C">
      <w:pPr>
        <w:snapToGrid w:val="0"/>
        <w:spacing w:before="120" w:beforeLines="50" w:after="50"/>
        <w:rPr>
          <w:bCs/>
          <w:color w:val="auto"/>
          <w:sz w:val="24"/>
          <w:szCs w:val="20"/>
          <w:highlight w:val="none"/>
        </w:rPr>
      </w:pPr>
    </w:p>
    <w:p w14:paraId="51A2AA39">
      <w:pPr>
        <w:snapToGrid w:val="0"/>
        <w:spacing w:before="120" w:beforeLines="50" w:after="50"/>
        <w:rPr>
          <w:bCs/>
          <w:color w:val="auto"/>
          <w:sz w:val="24"/>
          <w:szCs w:val="20"/>
          <w:highlight w:val="none"/>
        </w:rPr>
      </w:pPr>
    </w:p>
    <w:p w14:paraId="35D464DF">
      <w:pPr>
        <w:snapToGrid w:val="0"/>
        <w:spacing w:before="120" w:beforeLines="50" w:after="50"/>
        <w:rPr>
          <w:bCs/>
          <w:color w:val="auto"/>
          <w:sz w:val="24"/>
          <w:szCs w:val="20"/>
          <w:highlight w:val="none"/>
        </w:rPr>
      </w:pPr>
    </w:p>
    <w:p w14:paraId="475AD499">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项目名称：</w:t>
      </w:r>
    </w:p>
    <w:p w14:paraId="2171DB22">
      <w:pPr>
        <w:snapToGrid w:val="0"/>
        <w:spacing w:before="120" w:beforeLines="50" w:after="50"/>
        <w:ind w:firstLine="720" w:firstLineChars="225"/>
        <w:rPr>
          <w:rFonts w:cs="仿宋_GB2312"/>
          <w:bCs/>
          <w:color w:val="auto"/>
          <w:sz w:val="32"/>
          <w:szCs w:val="32"/>
          <w:highlight w:val="none"/>
        </w:rPr>
      </w:pPr>
    </w:p>
    <w:p w14:paraId="6B27B1DE">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项目编号：</w:t>
      </w:r>
    </w:p>
    <w:p w14:paraId="47EFDEF3">
      <w:pPr>
        <w:snapToGrid w:val="0"/>
        <w:spacing w:before="120" w:beforeLines="50" w:after="50"/>
        <w:ind w:firstLine="720" w:firstLineChars="225"/>
        <w:rPr>
          <w:rFonts w:cs="仿宋_GB2312"/>
          <w:bCs/>
          <w:color w:val="auto"/>
          <w:sz w:val="32"/>
          <w:szCs w:val="32"/>
          <w:highlight w:val="none"/>
        </w:rPr>
      </w:pPr>
      <w:r>
        <w:rPr>
          <w:rFonts w:hint="eastAsia" w:cs="仿宋_GB2312"/>
          <w:bCs/>
          <w:color w:val="auto"/>
          <w:sz w:val="32"/>
          <w:szCs w:val="32"/>
          <w:highlight w:val="none"/>
        </w:rPr>
        <w:t xml:space="preserve"> </w:t>
      </w:r>
    </w:p>
    <w:p w14:paraId="0BC71B0E">
      <w:pPr>
        <w:snapToGrid w:val="0"/>
        <w:spacing w:before="120" w:beforeLines="50" w:after="50"/>
        <w:ind w:firstLine="640" w:firstLineChars="200"/>
        <w:rPr>
          <w:rFonts w:cs="仿宋_GB2312"/>
          <w:bCs/>
          <w:color w:val="auto"/>
          <w:sz w:val="32"/>
          <w:szCs w:val="32"/>
          <w:highlight w:val="none"/>
        </w:rPr>
      </w:pPr>
      <w:r>
        <w:rPr>
          <w:rFonts w:hint="eastAsia" w:cs="仿宋_GB2312"/>
          <w:bCs/>
          <w:color w:val="auto"/>
          <w:sz w:val="32"/>
          <w:szCs w:val="32"/>
          <w:highlight w:val="none"/>
        </w:rPr>
        <w:t>所竞分标（如有则填写，无分标时填写“无”或者留空）：</w:t>
      </w:r>
    </w:p>
    <w:p w14:paraId="52DDE7E3">
      <w:pPr>
        <w:snapToGrid w:val="0"/>
        <w:spacing w:before="120" w:beforeLines="50" w:after="50"/>
        <w:ind w:firstLine="720" w:firstLineChars="225"/>
        <w:rPr>
          <w:rFonts w:cs="仿宋_GB2312"/>
          <w:bCs/>
          <w:color w:val="auto"/>
          <w:sz w:val="32"/>
          <w:szCs w:val="32"/>
          <w:highlight w:val="none"/>
        </w:rPr>
      </w:pPr>
    </w:p>
    <w:p w14:paraId="4FEB72DA">
      <w:pPr>
        <w:pStyle w:val="8"/>
        <w:snapToGrid w:val="0"/>
        <w:spacing w:before="50" w:after="50"/>
        <w:ind w:firstLine="640" w:firstLineChars="200"/>
        <w:rPr>
          <w:rFonts w:cs="仿宋_GB2312"/>
          <w:bCs/>
          <w:color w:val="auto"/>
          <w:sz w:val="32"/>
          <w:szCs w:val="32"/>
          <w:highlight w:val="none"/>
        </w:rPr>
      </w:pPr>
      <w:r>
        <w:rPr>
          <w:rFonts w:hint="eastAsia" w:cs="仿宋_GB2312"/>
          <w:bCs/>
          <w:color w:val="auto"/>
          <w:sz w:val="32"/>
          <w:szCs w:val="32"/>
          <w:highlight w:val="none"/>
        </w:rPr>
        <w:t>供应商名称：</w:t>
      </w:r>
    </w:p>
    <w:p w14:paraId="07139082">
      <w:pPr>
        <w:pStyle w:val="8"/>
        <w:snapToGrid w:val="0"/>
        <w:spacing w:before="50" w:after="50"/>
        <w:ind w:firstLine="720" w:firstLineChars="225"/>
        <w:rPr>
          <w:rFonts w:cs="仿宋_GB2312"/>
          <w:bCs/>
          <w:color w:val="auto"/>
          <w:sz w:val="32"/>
          <w:szCs w:val="32"/>
          <w:highlight w:val="none"/>
        </w:rPr>
      </w:pPr>
    </w:p>
    <w:p w14:paraId="0B88316B">
      <w:pPr>
        <w:pStyle w:val="8"/>
        <w:snapToGrid w:val="0"/>
        <w:spacing w:before="50" w:after="50"/>
        <w:ind w:firstLine="720" w:firstLineChars="225"/>
        <w:rPr>
          <w:rFonts w:cs="仿宋_GB2312"/>
          <w:bCs/>
          <w:color w:val="auto"/>
          <w:sz w:val="32"/>
          <w:szCs w:val="32"/>
          <w:highlight w:val="none"/>
        </w:rPr>
      </w:pPr>
    </w:p>
    <w:p w14:paraId="0EF0C2D7">
      <w:pPr>
        <w:pStyle w:val="8"/>
        <w:snapToGrid w:val="0"/>
        <w:spacing w:before="50" w:after="50"/>
        <w:ind w:firstLine="1280" w:firstLineChars="400"/>
        <w:rPr>
          <w:rFonts w:cs="仿宋_GB2312"/>
          <w:bCs/>
          <w:color w:val="auto"/>
          <w:sz w:val="32"/>
          <w:szCs w:val="32"/>
          <w:highlight w:val="none"/>
        </w:rPr>
      </w:pPr>
    </w:p>
    <w:p w14:paraId="644ECF68">
      <w:pPr>
        <w:snapToGrid w:val="0"/>
        <w:spacing w:before="120" w:beforeLines="50" w:after="50"/>
        <w:jc w:val="center"/>
        <w:rPr>
          <w:rFonts w:cs="仿宋_GB2312"/>
          <w:color w:val="auto"/>
          <w:sz w:val="32"/>
          <w:szCs w:val="32"/>
          <w:highlight w:val="none"/>
        </w:rPr>
      </w:pPr>
      <w:r>
        <w:rPr>
          <w:rFonts w:hint="eastAsia" w:cs="仿宋_GB2312"/>
          <w:color w:val="auto"/>
          <w:sz w:val="32"/>
          <w:szCs w:val="32"/>
          <w:highlight w:val="none"/>
        </w:rPr>
        <w:t>年    月    日</w:t>
      </w:r>
    </w:p>
    <w:p w14:paraId="477A8953">
      <w:pPr>
        <w:snapToGrid w:val="0"/>
        <w:spacing w:before="120" w:beforeLines="50" w:after="50" w:line="360" w:lineRule="auto"/>
        <w:jc w:val="left"/>
        <w:rPr>
          <w:rFonts w:ascii="宋体" w:hAnsi="宋体" w:cs="宋体"/>
          <w:color w:val="auto"/>
          <w:sz w:val="28"/>
          <w:szCs w:val="28"/>
          <w:highlight w:val="none"/>
        </w:rPr>
      </w:pPr>
      <w:r>
        <w:rPr>
          <w:color w:val="auto"/>
          <w:sz w:val="24"/>
          <w:highlight w:val="none"/>
        </w:rPr>
        <w:br w:type="page"/>
      </w:r>
      <w:r>
        <w:rPr>
          <w:rFonts w:hint="eastAsia" w:ascii="宋体" w:hAnsi="宋体" w:cs="宋体"/>
          <w:b/>
          <w:color w:val="auto"/>
          <w:sz w:val="28"/>
          <w:szCs w:val="28"/>
          <w:highlight w:val="none"/>
        </w:rPr>
        <w:t>2.</w:t>
      </w:r>
      <w:r>
        <w:rPr>
          <w:rFonts w:hint="eastAsia" w:ascii="宋体" w:hAnsi="宋体" w:cs="宋体"/>
          <w:b/>
          <w:bCs/>
          <w:color w:val="auto"/>
          <w:sz w:val="28"/>
          <w:szCs w:val="28"/>
          <w:highlight w:val="none"/>
        </w:rPr>
        <w:t>报价文件目录</w:t>
      </w:r>
    </w:p>
    <w:p w14:paraId="42F9E5ED">
      <w:pPr>
        <w:snapToGrid w:val="0"/>
        <w:spacing w:before="50" w:after="120" w:afterLines="50" w:line="360" w:lineRule="auto"/>
        <w:jc w:val="left"/>
        <w:rPr>
          <w:rFonts w:ascii="宋体" w:hAnsi="宋体" w:cs="宋体"/>
          <w:b/>
          <w:color w:val="auto"/>
          <w:sz w:val="28"/>
          <w:szCs w:val="28"/>
          <w:highlight w:val="none"/>
        </w:rPr>
      </w:pPr>
      <w:r>
        <w:rPr>
          <w:rFonts w:hint="eastAsia" w:ascii="宋体" w:hAnsi="宋体" w:cs="宋体"/>
          <w:color w:val="auto"/>
          <w:sz w:val="28"/>
          <w:szCs w:val="28"/>
          <w:highlight w:val="none"/>
        </w:rPr>
        <w:t>根据竞争性磋商文件规定及供应商提供的材料自行编写目录</w:t>
      </w:r>
      <w:r>
        <w:rPr>
          <w:rFonts w:hint="eastAsia" w:ascii="宋体" w:hAnsi="宋体" w:cs="宋体"/>
          <w:color w:val="auto"/>
          <w:kern w:val="0"/>
          <w:sz w:val="28"/>
          <w:szCs w:val="28"/>
          <w:highlight w:val="none"/>
        </w:rPr>
        <w:t>（部分格式后附）</w:t>
      </w:r>
      <w:r>
        <w:rPr>
          <w:rFonts w:hint="eastAsia" w:ascii="宋体" w:hAnsi="宋体" w:cs="宋体"/>
          <w:color w:val="auto"/>
          <w:sz w:val="28"/>
          <w:szCs w:val="28"/>
          <w:highlight w:val="none"/>
        </w:rPr>
        <w:t>。</w:t>
      </w:r>
    </w:p>
    <w:p w14:paraId="28074327">
      <w:pPr>
        <w:spacing w:line="360" w:lineRule="auto"/>
        <w:rPr>
          <w:rFonts w:ascii="仿宋_GB2312" w:hAnsi="仿宋" w:eastAsia="仿宋_GB2312" w:cs="仿宋_GB2312"/>
          <w:color w:val="auto"/>
          <w:sz w:val="24"/>
          <w:highlight w:val="none"/>
        </w:rPr>
      </w:pPr>
    </w:p>
    <w:p w14:paraId="319FEC25">
      <w:pPr>
        <w:snapToGrid w:val="0"/>
        <w:spacing w:before="120" w:beforeLines="50" w:after="50" w:line="360" w:lineRule="auto"/>
        <w:ind w:left="142" w:firstLine="640" w:firstLineChars="200"/>
        <w:jc w:val="left"/>
        <w:rPr>
          <w:rFonts w:ascii="仿宋_GB2312" w:hAnsi="仿宋_GB2312" w:eastAsia="仿宋_GB2312" w:cs="仿宋_GB2312"/>
          <w:color w:val="auto"/>
          <w:sz w:val="32"/>
          <w:szCs w:val="32"/>
          <w:highlight w:val="none"/>
        </w:rPr>
      </w:pPr>
    </w:p>
    <w:p w14:paraId="179F1D0C">
      <w:pPr>
        <w:snapToGrid w:val="0"/>
        <w:spacing w:before="120" w:beforeLines="50" w:after="50" w:line="360" w:lineRule="auto"/>
        <w:jc w:val="left"/>
        <w:rPr>
          <w:rFonts w:ascii="Calibri" w:cs="仿宋_GB2312"/>
          <w:color w:val="auto"/>
          <w:sz w:val="24"/>
          <w:highlight w:val="none"/>
        </w:rPr>
      </w:pPr>
      <w:r>
        <w:rPr>
          <w:rFonts w:ascii="Calibri" w:cs="仿宋_GB2312"/>
          <w:color w:val="auto"/>
          <w:sz w:val="24"/>
          <w:highlight w:val="none"/>
        </w:rPr>
        <w:br w:type="page"/>
      </w:r>
      <w:r>
        <w:rPr>
          <w:rFonts w:hint="eastAsia" w:ascii="宋体" w:hAnsi="宋体" w:cs="宋体"/>
          <w:b/>
          <w:color w:val="auto"/>
          <w:sz w:val="28"/>
          <w:szCs w:val="28"/>
          <w:highlight w:val="none"/>
        </w:rPr>
        <w:t>3.</w:t>
      </w:r>
      <w:r>
        <w:rPr>
          <w:rFonts w:hint="eastAsia" w:ascii="宋体" w:hAnsi="宋体" w:cs="宋体"/>
          <w:b/>
          <w:color w:val="auto"/>
          <w:sz w:val="28"/>
          <w:szCs w:val="28"/>
          <w:highlight w:val="none"/>
          <w:lang w:val="zh-CN"/>
        </w:rPr>
        <w:t>响应函的格式：</w:t>
      </w:r>
    </w:p>
    <w:p w14:paraId="615F111E">
      <w:pPr>
        <w:spacing w:line="500" w:lineRule="exact"/>
        <w:jc w:val="center"/>
        <w:rPr>
          <w:b/>
          <w:bCs/>
          <w:color w:val="auto"/>
          <w:kern w:val="0"/>
          <w:sz w:val="30"/>
          <w:szCs w:val="30"/>
          <w:highlight w:val="none"/>
        </w:rPr>
      </w:pPr>
      <w:r>
        <w:rPr>
          <w:rFonts w:hint="eastAsia"/>
          <w:b/>
          <w:bCs/>
          <w:color w:val="auto"/>
          <w:kern w:val="0"/>
          <w:sz w:val="30"/>
          <w:szCs w:val="30"/>
          <w:highlight w:val="none"/>
        </w:rPr>
        <w:t>响应函</w:t>
      </w:r>
    </w:p>
    <w:p w14:paraId="605C88DB">
      <w:pPr>
        <w:spacing w:line="500" w:lineRule="exact"/>
        <w:rPr>
          <w:color w:val="auto"/>
          <w:kern w:val="0"/>
          <w:sz w:val="32"/>
          <w:szCs w:val="21"/>
          <w:highlight w:val="none"/>
        </w:rPr>
      </w:pPr>
    </w:p>
    <w:p w14:paraId="29853497">
      <w:pPr>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致：</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（采购代理机构名称）</w:t>
      </w:r>
    </w:p>
    <w:p w14:paraId="6E586B74">
      <w:pPr>
        <w:spacing w:line="440" w:lineRule="exact"/>
        <w:ind w:firstLine="420" w:firstLineChars="200"/>
        <w:rPr>
          <w:rFonts w:ascii="宋体" w:hAnsi="宋体" w:cs="宋体"/>
          <w:color w:val="auto"/>
          <w:kern w:val="0"/>
          <w:szCs w:val="21"/>
          <w:highlight w:val="none"/>
        </w:rPr>
      </w:pPr>
    </w:p>
    <w:p w14:paraId="548386D6">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我方已仔细阅读了贵方组织的</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项目（项目编号：</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 xml:space="preserve">）的竞争性磋商文件的全部内容，现正式递交下述文件参加贵方组织的本次政府采购活动： </w:t>
      </w:r>
    </w:p>
    <w:p w14:paraId="6DC18E7E">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一、首次报价文件电子版（包含按“第三章 供应商须知”提交的全部文件）；</w:t>
      </w:r>
    </w:p>
    <w:p w14:paraId="0A090059">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二、技术文件电子版（包含按“第三章 供应商须知”提交的全部文件）；商务文件电子版（包含按“第三章 供应商须知”提交的全部文件）；</w:t>
      </w:r>
    </w:p>
    <w:p w14:paraId="42CCB43B">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三、资格证明文件电子版（包含按“第三章供应商须知”提交的全部文件）。</w:t>
      </w:r>
    </w:p>
    <w:p w14:paraId="1F412DFA">
      <w:pPr>
        <w:spacing w:line="44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据此函，我方兹宣布：</w:t>
      </w:r>
    </w:p>
    <w:p w14:paraId="478EBFFB">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1、我方愿意以磋商时</w:t>
      </w:r>
      <w:r>
        <w:rPr>
          <w:rFonts w:hint="eastAsia" w:hAnsi="宋体" w:cs="宋体"/>
          <w:color w:val="auto"/>
          <w:szCs w:val="21"/>
          <w:highlight w:val="none"/>
        </w:rPr>
        <w:t>提交的最后报价表中的跟踪审计费费用及结算审核费价格优惠率，在承诺的</w:t>
      </w:r>
      <w:r>
        <w:rPr>
          <w:rFonts w:hint="eastAsia" w:ascii="宋体" w:hAnsi="宋体" w:cs="宋体"/>
          <w:color w:val="auto"/>
          <w:kern w:val="0"/>
          <w:szCs w:val="21"/>
          <w:highlight w:val="none"/>
        </w:rPr>
        <w:t>服务期限</w:t>
      </w:r>
      <w:r>
        <w:rPr>
          <w:rFonts w:hint="eastAsia" w:hAnsi="宋体" w:cs="宋体"/>
          <w:color w:val="auto"/>
          <w:szCs w:val="21"/>
          <w:highlight w:val="none"/>
        </w:rPr>
        <w:t>内</w:t>
      </w:r>
      <w:r>
        <w:rPr>
          <w:rFonts w:hint="eastAsia" w:ascii="宋体" w:hAnsi="宋体" w:cs="宋体"/>
          <w:color w:val="auto"/>
          <w:kern w:val="0"/>
          <w:szCs w:val="21"/>
          <w:highlight w:val="none"/>
        </w:rPr>
        <w:t>提供本项目竞争性磋商文件第二章“采购需求”中相应的采购内容</w:t>
      </w:r>
      <w:r>
        <w:rPr>
          <w:rFonts w:hint="eastAsia" w:hAnsi="宋体" w:cs="宋体"/>
          <w:color w:val="auto"/>
          <w:szCs w:val="21"/>
          <w:highlight w:val="none"/>
        </w:rPr>
        <w:t>，具体详见最后报价表</w:t>
      </w:r>
      <w:r>
        <w:rPr>
          <w:rFonts w:hint="eastAsia" w:ascii="宋体" w:hAnsi="宋体" w:cs="宋体"/>
          <w:color w:val="auto"/>
          <w:kern w:val="0"/>
          <w:szCs w:val="21"/>
          <w:highlight w:val="none"/>
        </w:rPr>
        <w:t>。</w:t>
      </w:r>
    </w:p>
    <w:p w14:paraId="45F729DE">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2、我方同意自本项目竞争性磋商文件采购公告规定的提交响应文件截止时间起遵循本响应函，并承诺在“第三章 供应商须知”规定的竞标有效期内不修改、撤销响应文件。</w:t>
      </w:r>
    </w:p>
    <w:p w14:paraId="550EC74E">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3、我方在此声明，所递交的响应文件及有关资料内容完整、真实和准确。</w:t>
      </w:r>
    </w:p>
    <w:p w14:paraId="079FDFDF">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4、如本项目采购内容涉及须符合国家强制规定的，我方承诺我方本次竞标均符合国家有关强制规定。</w:t>
      </w:r>
    </w:p>
    <w:p w14:paraId="415823F8">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5、如我方成交，我方承诺在收到成交通知书后，在成交通知书规定的期限内，根据竞争性磋商文件、我方的响应文件及有关澄清承诺书的要求按第六章“合同文本”与采购人订立书面合同，并按照合同约定承担完成合同的责任和义务。</w:t>
      </w:r>
    </w:p>
    <w:p w14:paraId="7D466774">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6、我方已详细审核竞争性磋商文件，我方知道必须放弃提出含糊不清或误解问题的权利。</w:t>
      </w:r>
    </w:p>
    <w:p w14:paraId="26CE63F7">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7、我方承诺满足竞争性磋商文件第六章“合同文本”的条款，承担完成合同的责任和义务。</w:t>
      </w:r>
    </w:p>
    <w:p w14:paraId="24C65564">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8、我方同意应贵方要求提供与本次竞标有关的任何数据或资料。若贵方需要，我方愿意提供我方作出的一切承诺的证明材料。</w:t>
      </w:r>
    </w:p>
    <w:p w14:paraId="6333DE30">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9、我方完全理解贵方不一定接受响应报价最低的供应商为成交供应商的行为。</w:t>
      </w:r>
    </w:p>
    <w:p w14:paraId="3191D852">
      <w:pPr>
        <w:spacing w:line="440" w:lineRule="exact"/>
        <w:ind w:firstLine="482"/>
        <w:rPr>
          <w:rFonts w:ascii="宋体" w:hAnsi="宋体" w:cs="宋体"/>
          <w:color w:val="auto"/>
          <w:kern w:val="0"/>
          <w:szCs w:val="21"/>
          <w:highlight w:val="none"/>
        </w:rPr>
      </w:pPr>
      <w:r>
        <w:rPr>
          <w:rFonts w:hint="eastAsia" w:ascii="宋体" w:hAnsi="宋体" w:cs="宋体"/>
          <w:color w:val="auto"/>
          <w:kern w:val="0"/>
          <w:szCs w:val="21"/>
          <w:highlight w:val="none"/>
        </w:rPr>
        <w:t>10、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07BCE56">
      <w:pPr>
        <w:numPr>
          <w:ilvl w:val="0"/>
          <w:numId w:val="2"/>
        </w:numPr>
        <w:tabs>
          <w:tab w:val="left" w:pos="945"/>
        </w:tabs>
        <w:spacing w:line="480" w:lineRule="auto"/>
        <w:rPr>
          <w:rFonts w:ascii="宋体" w:hAnsi="宋体" w:cs="宋体"/>
          <w:color w:val="auto"/>
          <w:kern w:val="0"/>
          <w:szCs w:val="21"/>
          <w:highlight w:val="none"/>
        </w:rPr>
      </w:pPr>
      <w:r>
        <w:rPr>
          <w:rFonts w:hint="eastAsia" w:ascii="宋体" w:hAnsi="宋体" w:cs="宋体"/>
          <w:color w:val="auto"/>
          <w:kern w:val="0"/>
          <w:szCs w:val="21"/>
          <w:highlight w:val="none"/>
        </w:rPr>
        <w:t>提供虚假材料谋取中标、成交的；</w:t>
      </w:r>
    </w:p>
    <w:p w14:paraId="0BF28707">
      <w:pPr>
        <w:numPr>
          <w:ilvl w:val="0"/>
          <w:numId w:val="2"/>
        </w:numPr>
        <w:tabs>
          <w:tab w:val="left" w:pos="945"/>
        </w:tabs>
        <w:spacing w:line="480" w:lineRule="auto"/>
        <w:rPr>
          <w:rFonts w:ascii="宋体" w:hAnsi="宋体" w:cs="宋体"/>
          <w:color w:val="auto"/>
          <w:kern w:val="0"/>
          <w:szCs w:val="21"/>
          <w:highlight w:val="none"/>
        </w:rPr>
      </w:pPr>
      <w:r>
        <w:rPr>
          <w:rFonts w:hint="eastAsia" w:ascii="宋体" w:hAnsi="宋体" w:cs="宋体"/>
          <w:color w:val="auto"/>
          <w:kern w:val="0"/>
          <w:szCs w:val="21"/>
          <w:highlight w:val="none"/>
        </w:rPr>
        <w:t>采取不正当手段诋毁、排挤其他供应商的；</w:t>
      </w:r>
    </w:p>
    <w:p w14:paraId="7764E08C">
      <w:pPr>
        <w:numPr>
          <w:ilvl w:val="0"/>
          <w:numId w:val="2"/>
        </w:numPr>
        <w:tabs>
          <w:tab w:val="left" w:pos="945"/>
        </w:tabs>
        <w:spacing w:line="480" w:lineRule="auto"/>
        <w:rPr>
          <w:rFonts w:ascii="宋体" w:hAnsi="宋体" w:cs="宋体"/>
          <w:color w:val="auto"/>
          <w:kern w:val="0"/>
          <w:szCs w:val="21"/>
          <w:highlight w:val="none"/>
        </w:rPr>
      </w:pPr>
      <w:r>
        <w:rPr>
          <w:rFonts w:hint="eastAsia" w:ascii="宋体" w:hAnsi="宋体" w:cs="宋体"/>
          <w:color w:val="auto"/>
          <w:kern w:val="0"/>
          <w:szCs w:val="21"/>
          <w:highlight w:val="none"/>
        </w:rPr>
        <w:t>与采购人、其他供应商或者采购代理机构恶意串通的；</w:t>
      </w:r>
    </w:p>
    <w:p w14:paraId="3A7380D7">
      <w:pPr>
        <w:numPr>
          <w:ilvl w:val="0"/>
          <w:numId w:val="2"/>
        </w:numPr>
        <w:tabs>
          <w:tab w:val="left" w:pos="945"/>
        </w:tabs>
        <w:spacing w:line="480" w:lineRule="auto"/>
        <w:rPr>
          <w:rFonts w:ascii="宋体" w:hAnsi="宋体" w:cs="宋体"/>
          <w:color w:val="auto"/>
          <w:kern w:val="0"/>
          <w:szCs w:val="21"/>
          <w:highlight w:val="none"/>
        </w:rPr>
      </w:pPr>
      <w:r>
        <w:rPr>
          <w:rFonts w:hint="eastAsia" w:ascii="宋体" w:hAnsi="宋体" w:cs="宋体"/>
          <w:color w:val="auto"/>
          <w:kern w:val="0"/>
          <w:szCs w:val="21"/>
          <w:highlight w:val="none"/>
        </w:rPr>
        <w:t>向采购人、采购代理机构行贿或者提供其他不正当利益的；</w:t>
      </w:r>
    </w:p>
    <w:p w14:paraId="0C0D1339">
      <w:pPr>
        <w:numPr>
          <w:ilvl w:val="0"/>
          <w:numId w:val="2"/>
        </w:numPr>
        <w:tabs>
          <w:tab w:val="left" w:pos="945"/>
        </w:tabs>
        <w:spacing w:line="480" w:lineRule="auto"/>
        <w:rPr>
          <w:rFonts w:ascii="宋体" w:hAnsi="宋体" w:cs="宋体"/>
          <w:color w:val="auto"/>
          <w:kern w:val="0"/>
          <w:szCs w:val="21"/>
          <w:highlight w:val="none"/>
        </w:rPr>
      </w:pPr>
      <w:r>
        <w:rPr>
          <w:rFonts w:hint="eastAsia" w:ascii="宋体" w:hAnsi="宋体" w:cs="宋体"/>
          <w:color w:val="auto"/>
          <w:kern w:val="0"/>
          <w:szCs w:val="21"/>
          <w:highlight w:val="none"/>
        </w:rPr>
        <w:t>在采购过程中与采购人进行协商磋商的；</w:t>
      </w:r>
    </w:p>
    <w:p w14:paraId="58180DB3">
      <w:pPr>
        <w:numPr>
          <w:ilvl w:val="0"/>
          <w:numId w:val="2"/>
        </w:numPr>
        <w:tabs>
          <w:tab w:val="left" w:pos="945"/>
        </w:tabs>
        <w:spacing w:line="480" w:lineRule="auto"/>
        <w:rPr>
          <w:rFonts w:ascii="宋体" w:hAnsi="宋体" w:cs="宋体"/>
          <w:color w:val="auto"/>
          <w:kern w:val="0"/>
          <w:szCs w:val="21"/>
          <w:highlight w:val="none"/>
        </w:rPr>
      </w:pPr>
      <w:r>
        <w:rPr>
          <w:rFonts w:hint="eastAsia" w:ascii="宋体" w:hAnsi="宋体" w:cs="宋体"/>
          <w:color w:val="auto"/>
          <w:kern w:val="0"/>
          <w:szCs w:val="21"/>
          <w:highlight w:val="none"/>
        </w:rPr>
        <w:t>拒绝有关部门监督检查或提供虚假情况的。</w:t>
      </w:r>
    </w:p>
    <w:p w14:paraId="007D5D21">
      <w:pPr>
        <w:spacing w:line="480" w:lineRule="auto"/>
        <w:ind w:firstLine="420"/>
        <w:rPr>
          <w:rFonts w:ascii="宋体" w:hAnsi="宋体" w:cs="宋体"/>
          <w:b/>
          <w:bCs/>
          <w:color w:val="auto"/>
          <w:kern w:val="0"/>
          <w:szCs w:val="21"/>
          <w:highlight w:val="none"/>
        </w:rPr>
      </w:pPr>
      <w:r>
        <w:rPr>
          <w:rFonts w:hint="eastAsia" w:ascii="宋体" w:hAnsi="宋体" w:cs="宋体"/>
          <w:color w:val="auto"/>
          <w:kern w:val="0"/>
          <w:szCs w:val="21"/>
          <w:highlight w:val="none"/>
        </w:rPr>
        <w:t>11、</w:t>
      </w:r>
      <w:r>
        <w:rPr>
          <w:rFonts w:hint="eastAsia"/>
          <w:color w:val="auto"/>
          <w:szCs w:val="21"/>
          <w:highlight w:val="none"/>
        </w:rPr>
        <w:t>以上事项如有虚假或者隐瞒，我方愿意承担一切后果，并不再寻求任何旨在减轻或者免除法律责任的辩解</w:t>
      </w:r>
      <w:r>
        <w:rPr>
          <w:rFonts w:hint="eastAsia"/>
          <w:color w:val="auto"/>
          <w:highlight w:val="none"/>
        </w:rPr>
        <w:t>。</w:t>
      </w:r>
    </w:p>
    <w:p w14:paraId="12F1953F">
      <w:pPr>
        <w:spacing w:line="480" w:lineRule="auto"/>
        <w:ind w:firstLine="420"/>
        <w:rPr>
          <w:rFonts w:ascii="宋体" w:hAnsi="宋体" w:cs="宋体"/>
          <w:b/>
          <w:bCs/>
          <w:color w:val="auto"/>
          <w:kern w:val="0"/>
          <w:szCs w:val="21"/>
          <w:highlight w:val="none"/>
        </w:rPr>
      </w:pPr>
      <w:r>
        <w:rPr>
          <w:rFonts w:hint="eastAsia" w:ascii="宋体" w:hAnsi="宋体" w:cs="宋体"/>
          <w:b/>
          <w:bCs/>
          <w:color w:val="auto"/>
          <w:kern w:val="0"/>
          <w:szCs w:val="21"/>
          <w:highlight w:val="none"/>
        </w:rPr>
        <w:t>1</w:t>
      </w:r>
      <w:r>
        <w:rPr>
          <w:rFonts w:ascii="宋体" w:hAnsi="宋体" w:cs="宋体"/>
          <w:b/>
          <w:bCs/>
          <w:color w:val="auto"/>
          <w:kern w:val="0"/>
          <w:szCs w:val="21"/>
          <w:highlight w:val="none"/>
        </w:rPr>
        <w:t>2</w:t>
      </w:r>
      <w:r>
        <w:rPr>
          <w:rFonts w:hint="eastAsia" w:ascii="宋体" w:hAnsi="宋体" w:cs="宋体"/>
          <w:b/>
          <w:bCs/>
          <w:color w:val="auto"/>
          <w:kern w:val="0"/>
          <w:szCs w:val="21"/>
          <w:highlight w:val="none"/>
        </w:rPr>
        <w:t xml:space="preserve">、与本磋商有关的一切正式往来信函请寄： </w:t>
      </w:r>
    </w:p>
    <w:p w14:paraId="7ACDBDD4">
      <w:pPr>
        <w:snapToGrid w:val="0"/>
        <w:spacing w:line="380" w:lineRule="exact"/>
        <w:rPr>
          <w:rFonts w:ascii="宋体" w:hAnsi="宋体" w:cs="宋体"/>
          <w:color w:val="auto"/>
          <w:szCs w:val="21"/>
          <w:highlight w:val="none"/>
          <w:u w:val="single"/>
        </w:rPr>
      </w:pPr>
      <w:r>
        <w:rPr>
          <w:rFonts w:hint="eastAsia" w:ascii="宋体" w:hAnsi="宋体" w:cs="宋体"/>
          <w:color w:val="auto"/>
          <w:szCs w:val="21"/>
          <w:highlight w:val="none"/>
        </w:rPr>
        <w:t>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邮编：</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电话：</w:t>
      </w:r>
      <w:r>
        <w:rPr>
          <w:rFonts w:hint="eastAsia" w:ascii="宋体" w:hAnsi="宋体" w:cs="宋体"/>
          <w:color w:val="auto"/>
          <w:szCs w:val="21"/>
          <w:highlight w:val="none"/>
          <w:u w:val="single"/>
        </w:rPr>
        <w:t xml:space="preserve">                </w:t>
      </w:r>
    </w:p>
    <w:p w14:paraId="4F246F72">
      <w:pPr>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传真：</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电子信箱：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39AD712D">
      <w:pPr>
        <w:snapToGrid w:val="0"/>
        <w:spacing w:line="380" w:lineRule="exact"/>
        <w:rPr>
          <w:rFonts w:ascii="宋体" w:hAnsi="宋体" w:cs="宋体"/>
          <w:color w:val="auto"/>
          <w:szCs w:val="21"/>
          <w:highlight w:val="none"/>
          <w:u w:val="single"/>
        </w:rPr>
      </w:pPr>
      <w:r>
        <w:rPr>
          <w:rFonts w:hint="eastAsia" w:ascii="宋体" w:hAnsi="宋体" w:cs="宋体"/>
          <w:color w:val="auto"/>
          <w:szCs w:val="21"/>
          <w:highlight w:val="none"/>
        </w:rPr>
        <w:t>供应商代表姓名：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职务：</w:t>
      </w:r>
      <w:r>
        <w:rPr>
          <w:rFonts w:hint="eastAsia" w:ascii="宋体" w:hAnsi="宋体" w:cs="宋体"/>
          <w:color w:val="auto"/>
          <w:szCs w:val="21"/>
          <w:highlight w:val="none"/>
          <w:u w:val="single"/>
        </w:rPr>
        <w:t xml:space="preserve">       </w:t>
      </w:r>
    </w:p>
    <w:p w14:paraId="2CA93888">
      <w:pPr>
        <w:snapToGrid w:val="0"/>
        <w:spacing w:line="380" w:lineRule="exact"/>
        <w:rPr>
          <w:rFonts w:ascii="宋体" w:hAnsi="宋体" w:cs="宋体"/>
          <w:color w:val="auto"/>
          <w:szCs w:val="21"/>
          <w:highlight w:val="none"/>
          <w:u w:val="single"/>
        </w:rPr>
      </w:pPr>
      <w:r>
        <w:rPr>
          <w:rFonts w:hint="eastAsia" w:ascii="宋体" w:hAnsi="宋体" w:cs="宋体"/>
          <w:color w:val="auto"/>
          <w:szCs w:val="21"/>
          <w:highlight w:val="none"/>
        </w:rPr>
        <w:t>供应商名称（公章）：</w:t>
      </w:r>
      <w:r>
        <w:rPr>
          <w:rFonts w:hint="eastAsia" w:ascii="宋体" w:hAnsi="宋体" w:cs="宋体"/>
          <w:color w:val="auto"/>
          <w:szCs w:val="21"/>
          <w:highlight w:val="none"/>
          <w:u w:val="single"/>
        </w:rPr>
        <w:t xml:space="preserve">                                          </w:t>
      </w:r>
    </w:p>
    <w:p w14:paraId="530ED905">
      <w:pPr>
        <w:snapToGrid w:val="0"/>
        <w:spacing w:line="380" w:lineRule="exact"/>
        <w:rPr>
          <w:rFonts w:ascii="宋体" w:hAnsi="宋体" w:cs="宋体"/>
          <w:color w:val="auto"/>
          <w:szCs w:val="21"/>
          <w:highlight w:val="none"/>
          <w:u w:val="single"/>
        </w:rPr>
      </w:pPr>
      <w:r>
        <w:rPr>
          <w:rFonts w:hint="eastAsia" w:ascii="宋体" w:hAnsi="宋体" w:cs="宋体"/>
          <w:color w:val="auto"/>
          <w:szCs w:val="21"/>
          <w:highlight w:val="none"/>
        </w:rPr>
        <w:t>供应商统一社会信用代码：</w:t>
      </w:r>
      <w:r>
        <w:rPr>
          <w:rFonts w:hint="eastAsia" w:ascii="宋体" w:hAnsi="宋体" w:cs="宋体"/>
          <w:color w:val="auto"/>
          <w:szCs w:val="21"/>
          <w:highlight w:val="none"/>
          <w:u w:val="single"/>
        </w:rPr>
        <w:t xml:space="preserve">                                  </w:t>
      </w:r>
    </w:p>
    <w:p w14:paraId="67F704E7">
      <w:pPr>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供应商企业工商营业执照注册地址：</w:t>
      </w:r>
      <w:r>
        <w:rPr>
          <w:rFonts w:hint="eastAsia" w:ascii="宋体" w:hAnsi="宋体" w:cs="宋体"/>
          <w:color w:val="auto"/>
          <w:szCs w:val="21"/>
          <w:highlight w:val="none"/>
          <w:u w:val="single"/>
        </w:rPr>
        <w:t xml:space="preserve">                                 </w:t>
      </w:r>
    </w:p>
    <w:p w14:paraId="62A293E8">
      <w:pPr>
        <w:snapToGrid w:val="0"/>
        <w:spacing w:line="380" w:lineRule="exact"/>
        <w:rPr>
          <w:rFonts w:ascii="宋体" w:hAnsi="宋体" w:cs="宋体"/>
          <w:color w:val="auto"/>
          <w:szCs w:val="21"/>
          <w:highlight w:val="none"/>
          <w:u w:val="single"/>
        </w:rPr>
      </w:pPr>
      <w:r>
        <w:rPr>
          <w:rFonts w:hint="eastAsia" w:ascii="宋体" w:hAnsi="宋体" w:cs="宋体"/>
          <w:color w:val="auto"/>
          <w:szCs w:val="21"/>
          <w:highlight w:val="none"/>
        </w:rPr>
        <w:t>法定代表人姓名：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法定代表人身份证号码：</w:t>
      </w:r>
      <w:r>
        <w:rPr>
          <w:rFonts w:hint="eastAsia" w:ascii="宋体" w:hAnsi="宋体" w:cs="宋体"/>
          <w:color w:val="auto"/>
          <w:szCs w:val="21"/>
          <w:highlight w:val="none"/>
          <w:u w:val="single"/>
        </w:rPr>
        <w:t xml:space="preserve">                      </w:t>
      </w:r>
    </w:p>
    <w:p w14:paraId="505FE493">
      <w:pPr>
        <w:snapToGrid w:val="0"/>
        <w:spacing w:line="380" w:lineRule="exact"/>
        <w:rPr>
          <w:rFonts w:ascii="宋体" w:hAnsi="宋体" w:cs="宋体"/>
          <w:color w:val="auto"/>
          <w:szCs w:val="21"/>
          <w:highlight w:val="none"/>
          <w:u w:val="single"/>
        </w:rPr>
      </w:pPr>
      <w:r>
        <w:rPr>
          <w:rFonts w:hint="eastAsia" w:ascii="宋体" w:hAnsi="宋体" w:cs="宋体"/>
          <w:color w:val="auto"/>
          <w:szCs w:val="21"/>
          <w:highlight w:val="none"/>
        </w:rPr>
        <w:t>授权委托代理人姓名：</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授权委托代理人身份证号码：</w:t>
      </w:r>
      <w:r>
        <w:rPr>
          <w:rFonts w:hint="eastAsia" w:ascii="宋体" w:hAnsi="宋体" w:cs="宋体"/>
          <w:color w:val="auto"/>
          <w:szCs w:val="21"/>
          <w:highlight w:val="none"/>
          <w:u w:val="single"/>
        </w:rPr>
        <w:t xml:space="preserve">                      </w:t>
      </w:r>
    </w:p>
    <w:p w14:paraId="379F89E0">
      <w:pPr>
        <w:snapToGrid w:val="0"/>
        <w:spacing w:line="380" w:lineRule="exact"/>
        <w:rPr>
          <w:rFonts w:ascii="宋体" w:hAnsi="宋体" w:cs="宋体"/>
          <w:color w:val="auto"/>
          <w:szCs w:val="21"/>
          <w:highlight w:val="none"/>
        </w:rPr>
      </w:pPr>
      <w:r>
        <w:rPr>
          <w:rFonts w:hint="eastAsia" w:ascii="宋体" w:hAnsi="宋体" w:cs="宋体"/>
          <w:color w:val="auto"/>
          <w:szCs w:val="21"/>
          <w:highlight w:val="none"/>
        </w:rPr>
        <w:t>开户银行：</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银行账号：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p>
    <w:p w14:paraId="27B1C676">
      <w:pPr>
        <w:pStyle w:val="18"/>
        <w:tabs>
          <w:tab w:val="left" w:pos="939"/>
        </w:tabs>
        <w:spacing w:line="480" w:lineRule="auto"/>
        <w:ind w:left="141" w:leftChars="67" w:firstLine="315" w:firstLineChars="150"/>
        <w:rPr>
          <w:rFonts w:ascii="宋体" w:hAnsi="宋体" w:cs="宋体"/>
          <w:color w:val="auto"/>
          <w:szCs w:val="21"/>
          <w:highlight w:val="none"/>
        </w:rPr>
      </w:pPr>
    </w:p>
    <w:p w14:paraId="6D9D4698">
      <w:pPr>
        <w:pStyle w:val="18"/>
        <w:tabs>
          <w:tab w:val="left" w:pos="939"/>
        </w:tabs>
        <w:spacing w:line="480" w:lineRule="auto"/>
        <w:ind w:left="141" w:leftChars="67" w:firstLine="315" w:firstLineChars="150"/>
        <w:rPr>
          <w:rFonts w:ascii="宋体" w:hAnsi="宋体" w:cs="宋体"/>
          <w:color w:val="auto"/>
          <w:szCs w:val="21"/>
          <w:highlight w:val="none"/>
        </w:rPr>
      </w:pPr>
      <w:r>
        <w:rPr>
          <w:rFonts w:hint="eastAsia" w:ascii="宋体" w:hAnsi="宋体" w:cs="宋体"/>
          <w:color w:val="auto"/>
          <w:szCs w:val="21"/>
          <w:highlight w:val="none"/>
        </w:rPr>
        <w:t>特此承诺。</w:t>
      </w:r>
    </w:p>
    <w:p w14:paraId="051BB231">
      <w:pPr>
        <w:spacing w:line="360" w:lineRule="auto"/>
        <w:contextualSpacing/>
        <w:jc w:val="left"/>
        <w:rPr>
          <w:rFonts w:ascii="宋体" w:hAnsi="宋体" w:cs="宋体"/>
          <w:color w:val="auto"/>
          <w:szCs w:val="21"/>
          <w:highlight w:val="none"/>
        </w:rPr>
      </w:pPr>
    </w:p>
    <w:p w14:paraId="197902D9">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218CFA1D">
      <w:pPr>
        <w:autoSpaceDE w:val="0"/>
        <w:autoSpaceDN w:val="0"/>
        <w:spacing w:line="360" w:lineRule="auto"/>
        <w:ind w:firstLine="6480" w:firstLineChars="27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8E00AA5">
      <w:pPr>
        <w:spacing w:line="500" w:lineRule="exact"/>
        <w:rPr>
          <w:rFonts w:ascii="宋体" w:hAnsi="宋体" w:cs="宋体"/>
          <w:b/>
          <w:color w:val="auto"/>
          <w:sz w:val="28"/>
          <w:szCs w:val="28"/>
          <w:highlight w:val="none"/>
        </w:rPr>
      </w:pPr>
    </w:p>
    <w:p w14:paraId="2FC9BDAB">
      <w:pPr>
        <w:spacing w:line="500" w:lineRule="exact"/>
        <w:rPr>
          <w:rFonts w:ascii="仿宋" w:hAnsi="仿宋" w:eastAsia="仿宋" w:cs="仿宋_GB2312"/>
          <w:b/>
          <w:color w:val="auto"/>
          <w:sz w:val="30"/>
          <w:szCs w:val="30"/>
          <w:highlight w:val="none"/>
          <w:lang w:val="zh-CN"/>
        </w:rPr>
      </w:pPr>
      <w:r>
        <w:rPr>
          <w:rFonts w:hint="eastAsia" w:ascii="宋体" w:hAnsi="宋体" w:cs="宋体"/>
          <w:b/>
          <w:color w:val="auto"/>
          <w:sz w:val="28"/>
          <w:szCs w:val="28"/>
          <w:highlight w:val="none"/>
        </w:rPr>
        <w:br w:type="page"/>
      </w:r>
      <w:r>
        <w:rPr>
          <w:rFonts w:hint="eastAsia" w:ascii="宋体" w:hAnsi="宋体" w:cs="宋体"/>
          <w:b/>
          <w:color w:val="auto"/>
          <w:sz w:val="28"/>
          <w:szCs w:val="28"/>
          <w:highlight w:val="none"/>
        </w:rPr>
        <w:t>4.</w:t>
      </w:r>
      <w:r>
        <w:rPr>
          <w:rFonts w:hint="eastAsia" w:ascii="宋体" w:hAnsi="宋体" w:cs="宋体"/>
          <w:b/>
          <w:color w:val="auto"/>
          <w:sz w:val="28"/>
          <w:szCs w:val="28"/>
          <w:highlight w:val="none"/>
          <w:lang w:val="zh-CN"/>
        </w:rPr>
        <w:t>响应报价表的格式：</w:t>
      </w:r>
      <w:r>
        <w:rPr>
          <w:rFonts w:hint="eastAsia" w:ascii="仿宋" w:hAnsi="仿宋" w:eastAsia="仿宋" w:cs="仿宋_GB2312"/>
          <w:b/>
          <w:color w:val="auto"/>
          <w:sz w:val="30"/>
          <w:szCs w:val="30"/>
          <w:highlight w:val="none"/>
          <w:lang w:val="zh-CN"/>
        </w:rPr>
        <w:t xml:space="preserve"> </w:t>
      </w:r>
    </w:p>
    <w:p w14:paraId="530171C4">
      <w:pPr>
        <w:spacing w:line="520" w:lineRule="exact"/>
        <w:ind w:firstLine="420" w:firstLineChars="200"/>
        <w:rPr>
          <w:rFonts w:ascii="Calibri" w:hAnsi="Calibri"/>
          <w:color w:val="auto"/>
          <w:highlight w:val="none"/>
        </w:rPr>
      </w:pPr>
    </w:p>
    <w:p w14:paraId="6C4AD9A3">
      <w:pPr>
        <w:spacing w:line="520" w:lineRule="exact"/>
        <w:jc w:val="center"/>
        <w:rPr>
          <w:b/>
          <w:bCs/>
          <w:color w:val="auto"/>
          <w:sz w:val="32"/>
          <w:szCs w:val="32"/>
          <w:highlight w:val="none"/>
        </w:rPr>
      </w:pPr>
      <w:r>
        <w:rPr>
          <w:rFonts w:hint="eastAsia"/>
          <w:b/>
          <w:bCs/>
          <w:color w:val="auto"/>
          <w:sz w:val="32"/>
          <w:szCs w:val="32"/>
          <w:highlight w:val="none"/>
        </w:rPr>
        <w:t>响应报价表（1分标适用）</w:t>
      </w:r>
    </w:p>
    <w:p w14:paraId="238F0963">
      <w:pPr>
        <w:snapToGrid w:val="0"/>
        <w:spacing w:before="50" w:after="50" w:line="360" w:lineRule="auto"/>
        <w:rPr>
          <w:color w:val="auto"/>
          <w:sz w:val="24"/>
          <w:highlight w:val="none"/>
        </w:rPr>
      </w:pPr>
    </w:p>
    <w:p w14:paraId="23BA1447">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62E802F1">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1F6629DD">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所竞分标（如有则填写，无分标时填写“无”或者留空）：</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 xml:space="preserve"> 标号及名称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tbl>
      <w:tblPr>
        <w:tblStyle w:val="31"/>
        <w:tblW w:w="0" w:type="auto"/>
        <w:tblInd w:w="113" w:type="dxa"/>
        <w:tblLayout w:type="fixed"/>
        <w:tblCellMar>
          <w:top w:w="0" w:type="dxa"/>
          <w:left w:w="108" w:type="dxa"/>
          <w:bottom w:w="0" w:type="dxa"/>
          <w:right w:w="108" w:type="dxa"/>
        </w:tblCellMar>
      </w:tblPr>
      <w:tblGrid>
        <w:gridCol w:w="1668"/>
        <w:gridCol w:w="1755"/>
        <w:gridCol w:w="2550"/>
        <w:gridCol w:w="2549"/>
      </w:tblGrid>
      <w:tr w14:paraId="75FBFFC6">
        <w:tblPrEx>
          <w:tblCellMar>
            <w:top w:w="0" w:type="dxa"/>
            <w:left w:w="108" w:type="dxa"/>
            <w:bottom w:w="0" w:type="dxa"/>
            <w:right w:w="108" w:type="dxa"/>
          </w:tblCellMar>
        </w:tblPrEx>
        <w:trPr>
          <w:trHeight w:val="911" w:hRule="atLeast"/>
        </w:trPr>
        <w:tc>
          <w:tcPr>
            <w:tcW w:w="3423" w:type="dxa"/>
            <w:gridSpan w:val="2"/>
            <w:tcBorders>
              <w:top w:val="single" w:color="000000" w:sz="4" w:space="0"/>
              <w:left w:val="single" w:color="000000" w:sz="4" w:space="0"/>
              <w:bottom w:val="single" w:color="000000" w:sz="4" w:space="0"/>
              <w:right w:val="single" w:color="000000" w:sz="4" w:space="0"/>
            </w:tcBorders>
            <w:noWrap/>
            <w:vAlign w:val="center"/>
          </w:tcPr>
          <w:p w14:paraId="5AEB46A9">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类别</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50355D38">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有效报价范围</w:t>
            </w:r>
          </w:p>
        </w:tc>
        <w:tc>
          <w:tcPr>
            <w:tcW w:w="2549" w:type="dxa"/>
            <w:tcBorders>
              <w:top w:val="single" w:color="000000" w:sz="4" w:space="0"/>
              <w:left w:val="single" w:color="000000" w:sz="4" w:space="0"/>
              <w:bottom w:val="single" w:color="000000" w:sz="4" w:space="0"/>
              <w:right w:val="single" w:color="000000" w:sz="4" w:space="0"/>
            </w:tcBorders>
            <w:noWrap/>
            <w:vAlign w:val="center"/>
          </w:tcPr>
          <w:p w14:paraId="1F878961">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竞标报价</w:t>
            </w:r>
          </w:p>
        </w:tc>
      </w:tr>
      <w:tr w14:paraId="416E32A4">
        <w:tblPrEx>
          <w:tblCellMar>
            <w:top w:w="0" w:type="dxa"/>
            <w:left w:w="108" w:type="dxa"/>
            <w:bottom w:w="0" w:type="dxa"/>
            <w:right w:w="108" w:type="dxa"/>
          </w:tblCellMar>
        </w:tblPrEx>
        <w:trPr>
          <w:trHeight w:val="838" w:hRule="exact"/>
        </w:trPr>
        <w:tc>
          <w:tcPr>
            <w:tcW w:w="1668" w:type="dxa"/>
            <w:tcBorders>
              <w:top w:val="single" w:color="000000" w:sz="4" w:space="0"/>
              <w:left w:val="single" w:color="000000" w:sz="4" w:space="0"/>
              <w:bottom w:val="single" w:color="000000" w:sz="4" w:space="0"/>
              <w:right w:val="single" w:color="000000" w:sz="4" w:space="0"/>
            </w:tcBorders>
            <w:noWrap w:val="0"/>
            <w:vAlign w:val="center"/>
          </w:tcPr>
          <w:p w14:paraId="385136A1">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跟踪审计费</w:t>
            </w:r>
          </w:p>
        </w:tc>
        <w:tc>
          <w:tcPr>
            <w:tcW w:w="1755" w:type="dxa"/>
            <w:tcBorders>
              <w:top w:val="single" w:color="000000" w:sz="4" w:space="0"/>
              <w:left w:val="single" w:color="000000" w:sz="4" w:space="0"/>
              <w:bottom w:val="single" w:color="000000" w:sz="4" w:space="0"/>
              <w:right w:val="single" w:color="000000" w:sz="4" w:space="0"/>
            </w:tcBorders>
            <w:noWrap/>
            <w:vAlign w:val="center"/>
          </w:tcPr>
          <w:p w14:paraId="2D6E19F9">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费用</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3407A166">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≤14000.00元/月</w:t>
            </w:r>
          </w:p>
        </w:tc>
        <w:tc>
          <w:tcPr>
            <w:tcW w:w="2549" w:type="dxa"/>
            <w:tcBorders>
              <w:top w:val="single" w:color="000000" w:sz="4" w:space="0"/>
              <w:left w:val="single" w:color="000000" w:sz="4" w:space="0"/>
              <w:bottom w:val="single" w:color="000000" w:sz="4" w:space="0"/>
              <w:right w:val="single" w:color="000000" w:sz="4" w:space="0"/>
            </w:tcBorders>
            <w:noWrap/>
            <w:vAlign w:val="center"/>
          </w:tcPr>
          <w:p w14:paraId="2299CED0">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元/月</w:t>
            </w:r>
          </w:p>
        </w:tc>
      </w:tr>
      <w:tr w14:paraId="4B9A4617">
        <w:tblPrEx>
          <w:tblCellMar>
            <w:top w:w="0" w:type="dxa"/>
            <w:left w:w="108" w:type="dxa"/>
            <w:bottom w:w="0" w:type="dxa"/>
            <w:right w:w="108" w:type="dxa"/>
          </w:tblCellMar>
        </w:tblPrEx>
        <w:trPr>
          <w:trHeight w:val="680" w:hRule="exact"/>
        </w:trPr>
        <w:tc>
          <w:tcPr>
            <w:tcW w:w="1668" w:type="dxa"/>
            <w:tcBorders>
              <w:top w:val="single" w:color="000000" w:sz="4" w:space="0"/>
              <w:left w:val="single" w:color="000000" w:sz="4" w:space="0"/>
              <w:bottom w:val="single" w:color="000000" w:sz="4" w:space="0"/>
              <w:right w:val="single" w:color="000000" w:sz="4" w:space="0"/>
            </w:tcBorders>
            <w:noWrap w:val="0"/>
            <w:vAlign w:val="center"/>
          </w:tcPr>
          <w:p w14:paraId="72000734">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结算审核费</w:t>
            </w:r>
          </w:p>
        </w:tc>
        <w:tc>
          <w:tcPr>
            <w:tcW w:w="1755" w:type="dxa"/>
            <w:tcBorders>
              <w:top w:val="single" w:color="000000" w:sz="4" w:space="0"/>
              <w:left w:val="single" w:color="000000" w:sz="4" w:space="0"/>
              <w:bottom w:val="single" w:color="000000" w:sz="4" w:space="0"/>
              <w:right w:val="single" w:color="000000" w:sz="4" w:space="0"/>
            </w:tcBorders>
            <w:noWrap/>
            <w:vAlign w:val="center"/>
          </w:tcPr>
          <w:p w14:paraId="2C0F77C8">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价格优惠率</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096CDD8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≥25.00%</w:t>
            </w:r>
          </w:p>
        </w:tc>
        <w:tc>
          <w:tcPr>
            <w:tcW w:w="2549" w:type="dxa"/>
            <w:tcBorders>
              <w:top w:val="single" w:color="000000" w:sz="4" w:space="0"/>
              <w:left w:val="single" w:color="000000" w:sz="4" w:space="0"/>
              <w:bottom w:val="single" w:color="000000" w:sz="4" w:space="0"/>
              <w:right w:val="single" w:color="000000" w:sz="4" w:space="0"/>
            </w:tcBorders>
            <w:noWrap/>
            <w:vAlign w:val="center"/>
          </w:tcPr>
          <w:p w14:paraId="22659FBE">
            <w:pPr>
              <w:spacing w:line="400" w:lineRule="exact"/>
              <w:ind w:firstLine="420" w:firstLineChars="200"/>
              <w:jc w:val="center"/>
              <w:rPr>
                <w:rFonts w:ascii="宋体" w:hAnsi="宋体" w:cs="宋体"/>
                <w:color w:val="auto"/>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tc>
      </w:tr>
      <w:tr w14:paraId="160241B4">
        <w:tblPrEx>
          <w:tblCellMar>
            <w:top w:w="0" w:type="dxa"/>
            <w:left w:w="108" w:type="dxa"/>
            <w:bottom w:w="0" w:type="dxa"/>
            <w:right w:w="108" w:type="dxa"/>
          </w:tblCellMar>
        </w:tblPrEx>
        <w:trPr>
          <w:trHeight w:val="680" w:hRule="exact"/>
        </w:trPr>
        <w:tc>
          <w:tcPr>
            <w:tcW w:w="8522" w:type="dxa"/>
            <w:gridSpan w:val="4"/>
            <w:tcBorders>
              <w:top w:val="single" w:color="000000" w:sz="4" w:space="0"/>
              <w:left w:val="single" w:color="000000" w:sz="4" w:space="0"/>
              <w:bottom w:val="single" w:color="000000" w:sz="4" w:space="0"/>
              <w:right w:val="single" w:color="000000" w:sz="4" w:space="0"/>
            </w:tcBorders>
            <w:noWrap w:val="0"/>
            <w:vAlign w:val="center"/>
          </w:tcPr>
          <w:p w14:paraId="1AE05069">
            <w:pPr>
              <w:spacing w:line="40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注：报价四舍五入保留小数点后2位。</w:t>
            </w:r>
          </w:p>
        </w:tc>
      </w:tr>
    </w:tbl>
    <w:p w14:paraId="1CA62278">
      <w:pPr>
        <w:snapToGrid w:val="0"/>
        <w:spacing w:before="50" w:after="50"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注： </w:t>
      </w:r>
    </w:p>
    <w:p w14:paraId="247187C7">
      <w:pPr>
        <w:snapToGrid w:val="0"/>
        <w:spacing w:before="50" w:after="50"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1、供应商需按本表格式填写，不得自行更改，也不得留空（</w:t>
      </w:r>
      <w:r>
        <w:rPr>
          <w:rFonts w:hint="eastAsia" w:ascii="宋体" w:hAnsi="宋体" w:cs="宋体"/>
          <w:color w:val="auto"/>
          <w:szCs w:val="21"/>
          <w:highlight w:val="none"/>
        </w:rPr>
        <w:t>备注除外</w:t>
      </w:r>
      <w:r>
        <w:rPr>
          <w:rFonts w:hint="eastAsia" w:ascii="宋体" w:hAnsi="宋体" w:cs="宋体"/>
          <w:color w:val="auto"/>
          <w:kern w:val="0"/>
          <w:szCs w:val="21"/>
          <w:highlight w:val="none"/>
          <w:lang w:val="zh-CN"/>
        </w:rPr>
        <w:t>），如有多分标，按分标分别提供响应报价表，</w:t>
      </w:r>
      <w:r>
        <w:rPr>
          <w:rFonts w:hint="eastAsia" w:ascii="宋体" w:hAnsi="宋体" w:cs="宋体"/>
          <w:b/>
          <w:color w:val="auto"/>
          <w:kern w:val="0"/>
          <w:szCs w:val="21"/>
          <w:highlight w:val="none"/>
          <w:lang w:val="zh-CN"/>
        </w:rPr>
        <w:t>否则其响应按无效响应处理。</w:t>
      </w:r>
    </w:p>
    <w:p w14:paraId="58F9560F">
      <w:pPr>
        <w:snapToGrid w:val="0"/>
        <w:spacing w:before="50" w:after="50" w:line="360" w:lineRule="auto"/>
        <w:ind w:firstLine="420" w:firstLineChars="200"/>
        <w:jc w:val="left"/>
        <w:rPr>
          <w:rFonts w:ascii="宋体" w:hAnsi="宋体" w:cs="宋体"/>
          <w:b/>
          <w:color w:val="auto"/>
          <w:kern w:val="0"/>
          <w:szCs w:val="21"/>
          <w:highlight w:val="none"/>
          <w:lang w:val="zh-CN"/>
        </w:rPr>
      </w:pPr>
      <w:r>
        <w:rPr>
          <w:rFonts w:hint="eastAsia" w:ascii="宋体" w:hAnsi="宋体" w:cs="宋体"/>
          <w:color w:val="auto"/>
          <w:kern w:val="0"/>
          <w:szCs w:val="21"/>
          <w:highlight w:val="none"/>
          <w:lang w:val="zh-CN"/>
        </w:rPr>
        <w:t>2、供应商的报价表必须加盖供应商电子签章并由法定代表人或者委托代理人签字或者电子签名，</w:t>
      </w:r>
      <w:r>
        <w:rPr>
          <w:rFonts w:hint="eastAsia" w:ascii="宋体" w:hAnsi="宋体" w:cs="宋体"/>
          <w:b/>
          <w:bCs/>
          <w:color w:val="auto"/>
          <w:kern w:val="0"/>
          <w:szCs w:val="21"/>
          <w:highlight w:val="none"/>
          <w:lang w:val="zh-CN"/>
        </w:rPr>
        <w:t>否则其响应文件按无效处理</w:t>
      </w:r>
      <w:r>
        <w:rPr>
          <w:rFonts w:hint="eastAsia" w:ascii="宋体" w:hAnsi="宋体" w:cs="宋体"/>
          <w:b/>
          <w:color w:val="auto"/>
          <w:kern w:val="0"/>
          <w:szCs w:val="21"/>
          <w:highlight w:val="none"/>
          <w:lang w:val="zh-CN"/>
        </w:rPr>
        <w:t>。</w:t>
      </w:r>
    </w:p>
    <w:p w14:paraId="387AA4D4">
      <w:pPr>
        <w:snapToGrid w:val="0"/>
        <w:spacing w:before="50" w:after="50" w:line="360" w:lineRule="auto"/>
        <w:ind w:firstLine="420" w:firstLineChars="200"/>
        <w:jc w:val="left"/>
        <w:rPr>
          <w:rFonts w:ascii="宋体" w:hAnsi="宋体" w:cs="宋体"/>
          <w:b/>
          <w:color w:val="auto"/>
          <w:kern w:val="0"/>
          <w:szCs w:val="21"/>
          <w:highlight w:val="none"/>
          <w:lang w:val="zh-CN"/>
        </w:rPr>
      </w:pPr>
      <w:r>
        <w:rPr>
          <w:rFonts w:hint="eastAsia" w:ascii="宋体" w:hAnsi="宋体" w:cs="宋体"/>
          <w:color w:val="auto"/>
          <w:kern w:val="0"/>
          <w:szCs w:val="21"/>
          <w:highlight w:val="none"/>
          <w:lang w:val="zh-CN"/>
        </w:rPr>
        <w:t>3、</w:t>
      </w:r>
      <w:r>
        <w:rPr>
          <w:rFonts w:hint="eastAsia" w:ascii="宋体" w:hAnsi="宋体" w:cs="宋体"/>
          <w:color w:val="auto"/>
          <w:kern w:val="0"/>
          <w:szCs w:val="21"/>
          <w:highlight w:val="none"/>
        </w:rPr>
        <w:t>报价包括实施和完成项目采购需求的服务要求所需的劳务费、技术服务费、交通、通讯、办公场地、管理费、税费和利润等费用和政策性文件规定及合同包含的所有风险、责任等各项所有的费用。</w:t>
      </w:r>
    </w:p>
    <w:p w14:paraId="156E0934">
      <w:pPr>
        <w:snapToGrid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4、不在有效报价范围内的竞标报价作无效竞标处理。</w:t>
      </w:r>
    </w:p>
    <w:p w14:paraId="21272429">
      <w:pPr>
        <w:snapToGrid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5、符合采购文件中列明的可享受中小企业扶持政策的供应商，请填写中小企业声明函。</w:t>
      </w:r>
    </w:p>
    <w:p w14:paraId="3F1847C6">
      <w:pPr>
        <w:snapToGrid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rPr>
        <w:t>6、</w:t>
      </w:r>
      <w:r>
        <w:rPr>
          <w:rFonts w:hint="eastAsia" w:ascii="宋体" w:hAnsi="宋体" w:cs="宋体"/>
          <w:color w:val="auto"/>
          <w:kern w:val="0"/>
          <w:szCs w:val="21"/>
          <w:highlight w:val="none"/>
          <w:lang w:val="zh-CN"/>
        </w:rPr>
        <w:t>供应商提供的中小企业声明函内容不实的，属于提供虚假材料谋取中标、成交，依照《中华人民共和国政府采购法》等国家有关规定追究相应责任。</w:t>
      </w:r>
    </w:p>
    <w:p w14:paraId="093D5211">
      <w:pPr>
        <w:autoSpaceDE w:val="0"/>
        <w:autoSpaceDN w:val="0"/>
        <w:spacing w:line="360" w:lineRule="auto"/>
        <w:ind w:left="4335" w:leftChars="1950" w:hanging="240" w:hangingChars="100"/>
        <w:rPr>
          <w:rFonts w:ascii="宋体" w:hAnsi="宋体" w:cs="宋体"/>
          <w:color w:val="auto"/>
          <w:kern w:val="0"/>
          <w:sz w:val="24"/>
          <w:highlight w:val="none"/>
        </w:rPr>
      </w:pPr>
    </w:p>
    <w:p w14:paraId="3B7B4798">
      <w:pPr>
        <w:spacing w:line="40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3944D756">
      <w:pPr>
        <w:spacing w:line="40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4E7849BB">
      <w:pPr>
        <w:spacing w:line="400" w:lineRule="exact"/>
        <w:ind w:right="-817" w:rightChars="-389" w:firstLine="4080" w:firstLineChars="1700"/>
        <w:contextualSpacing/>
        <w:rPr>
          <w:rFonts w:ascii="宋体" w:hAnsi="宋体" w:cs="仿宋_GB2312"/>
          <w:b/>
          <w:color w:val="auto"/>
          <w:sz w:val="24"/>
          <w:highlight w:val="none"/>
        </w:rPr>
      </w:pPr>
      <w:r>
        <w:rPr>
          <w:rFonts w:hint="eastAsia" w:ascii="宋体" w:hAnsi="宋体" w:cs="仿宋_GB2312"/>
          <w:color w:val="auto"/>
          <w:sz w:val="24"/>
          <w:highlight w:val="none"/>
        </w:rPr>
        <w:t>日期：   年   月   日</w:t>
      </w:r>
    </w:p>
    <w:p w14:paraId="27A3B9F2">
      <w:pPr>
        <w:spacing w:line="500" w:lineRule="exact"/>
        <w:rPr>
          <w:rFonts w:ascii="仿宋" w:hAnsi="仿宋" w:eastAsia="仿宋" w:cs="仿宋_GB2312"/>
          <w:b/>
          <w:color w:val="auto"/>
          <w:sz w:val="30"/>
          <w:szCs w:val="30"/>
          <w:highlight w:val="none"/>
          <w:lang w:val="zh-CN"/>
        </w:rPr>
      </w:pPr>
      <w:r>
        <w:rPr>
          <w:rFonts w:hint="eastAsia" w:ascii="宋体" w:hAnsi="宋体" w:cs="宋体"/>
          <w:color w:val="auto"/>
          <w:kern w:val="0"/>
          <w:sz w:val="24"/>
          <w:szCs w:val="21"/>
          <w:highlight w:val="none"/>
          <w:lang w:val="zh-CN"/>
        </w:rPr>
        <w:br w:type="page"/>
      </w:r>
      <w:r>
        <w:rPr>
          <w:rFonts w:hint="eastAsia" w:ascii="仿宋" w:hAnsi="仿宋" w:eastAsia="仿宋" w:cs="仿宋_GB2312"/>
          <w:b/>
          <w:color w:val="auto"/>
          <w:sz w:val="30"/>
          <w:szCs w:val="30"/>
          <w:highlight w:val="none"/>
          <w:lang w:val="zh-CN"/>
        </w:rPr>
        <w:t xml:space="preserve"> </w:t>
      </w:r>
    </w:p>
    <w:p w14:paraId="1C56690C">
      <w:pPr>
        <w:spacing w:line="520" w:lineRule="exact"/>
        <w:ind w:firstLine="420" w:firstLineChars="200"/>
        <w:rPr>
          <w:rFonts w:ascii="Calibri" w:hAnsi="Calibri"/>
          <w:color w:val="auto"/>
          <w:highlight w:val="none"/>
        </w:rPr>
      </w:pPr>
    </w:p>
    <w:p w14:paraId="746EBDE4">
      <w:pPr>
        <w:spacing w:line="520" w:lineRule="exact"/>
        <w:jc w:val="center"/>
        <w:rPr>
          <w:b/>
          <w:bCs/>
          <w:color w:val="auto"/>
          <w:sz w:val="32"/>
          <w:szCs w:val="32"/>
          <w:highlight w:val="none"/>
        </w:rPr>
      </w:pPr>
      <w:r>
        <w:rPr>
          <w:rFonts w:hint="eastAsia"/>
          <w:b/>
          <w:bCs/>
          <w:color w:val="auto"/>
          <w:sz w:val="32"/>
          <w:szCs w:val="32"/>
          <w:highlight w:val="none"/>
        </w:rPr>
        <w:t>响应报价表（2分标适用）</w:t>
      </w:r>
    </w:p>
    <w:p w14:paraId="7A16310D">
      <w:pPr>
        <w:snapToGrid w:val="0"/>
        <w:spacing w:before="50" w:after="50" w:line="360" w:lineRule="auto"/>
        <w:rPr>
          <w:color w:val="auto"/>
          <w:sz w:val="24"/>
          <w:highlight w:val="none"/>
        </w:rPr>
      </w:pPr>
    </w:p>
    <w:p w14:paraId="4643750D">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6B9A39B3">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1B63FABF">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所竞分标（如有则填写，无分标时填写“无”或者留空）：</w:t>
      </w:r>
      <w:r>
        <w:rPr>
          <w:rFonts w:hint="eastAsia" w:ascii="宋体" w:hAnsi="宋体" w:cs="宋体"/>
          <w:color w:val="auto"/>
          <w:sz w:val="24"/>
          <w:highlight w:val="none"/>
          <w:u w:val="single"/>
        </w:rPr>
        <w:t xml:space="preserve">    </w:t>
      </w:r>
      <w:r>
        <w:rPr>
          <w:rFonts w:hint="eastAsia" w:ascii="宋体" w:hAnsi="宋体" w:cs="宋体"/>
          <w:i/>
          <w:iCs/>
          <w:color w:val="auto"/>
          <w:sz w:val="24"/>
          <w:highlight w:val="none"/>
          <w:u w:val="single"/>
        </w:rPr>
        <w:t xml:space="preserve"> 标号及名称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tbl>
      <w:tblPr>
        <w:tblStyle w:val="31"/>
        <w:tblW w:w="0" w:type="auto"/>
        <w:tblInd w:w="113" w:type="dxa"/>
        <w:tblLayout w:type="fixed"/>
        <w:tblCellMar>
          <w:top w:w="0" w:type="dxa"/>
          <w:left w:w="108" w:type="dxa"/>
          <w:bottom w:w="0" w:type="dxa"/>
          <w:right w:w="108" w:type="dxa"/>
        </w:tblCellMar>
      </w:tblPr>
      <w:tblGrid>
        <w:gridCol w:w="1668"/>
        <w:gridCol w:w="1755"/>
        <w:gridCol w:w="2550"/>
        <w:gridCol w:w="2549"/>
      </w:tblGrid>
      <w:tr w14:paraId="743075FC">
        <w:tblPrEx>
          <w:tblCellMar>
            <w:top w:w="0" w:type="dxa"/>
            <w:left w:w="108" w:type="dxa"/>
            <w:bottom w:w="0" w:type="dxa"/>
            <w:right w:w="108" w:type="dxa"/>
          </w:tblCellMar>
        </w:tblPrEx>
        <w:trPr>
          <w:trHeight w:val="911" w:hRule="atLeast"/>
        </w:trPr>
        <w:tc>
          <w:tcPr>
            <w:tcW w:w="3423" w:type="dxa"/>
            <w:gridSpan w:val="2"/>
            <w:tcBorders>
              <w:top w:val="single" w:color="000000" w:sz="4" w:space="0"/>
              <w:left w:val="single" w:color="000000" w:sz="4" w:space="0"/>
              <w:bottom w:val="single" w:color="000000" w:sz="4" w:space="0"/>
              <w:right w:val="single" w:color="000000" w:sz="4" w:space="0"/>
            </w:tcBorders>
            <w:noWrap/>
            <w:vAlign w:val="center"/>
          </w:tcPr>
          <w:p w14:paraId="4E821C69">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类别</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1C94A357">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有效报价范围</w:t>
            </w:r>
          </w:p>
        </w:tc>
        <w:tc>
          <w:tcPr>
            <w:tcW w:w="2549" w:type="dxa"/>
            <w:tcBorders>
              <w:top w:val="single" w:color="000000" w:sz="4" w:space="0"/>
              <w:left w:val="single" w:color="000000" w:sz="4" w:space="0"/>
              <w:bottom w:val="single" w:color="000000" w:sz="4" w:space="0"/>
              <w:right w:val="single" w:color="000000" w:sz="4" w:space="0"/>
            </w:tcBorders>
            <w:noWrap/>
            <w:vAlign w:val="center"/>
          </w:tcPr>
          <w:p w14:paraId="2810A69B">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竞标报价</w:t>
            </w:r>
          </w:p>
        </w:tc>
      </w:tr>
      <w:tr w14:paraId="36522A0F">
        <w:tblPrEx>
          <w:tblCellMar>
            <w:top w:w="0" w:type="dxa"/>
            <w:left w:w="108" w:type="dxa"/>
            <w:bottom w:w="0" w:type="dxa"/>
            <w:right w:w="108" w:type="dxa"/>
          </w:tblCellMar>
        </w:tblPrEx>
        <w:trPr>
          <w:trHeight w:val="838" w:hRule="exact"/>
        </w:trPr>
        <w:tc>
          <w:tcPr>
            <w:tcW w:w="1668" w:type="dxa"/>
            <w:tcBorders>
              <w:top w:val="single" w:color="000000" w:sz="4" w:space="0"/>
              <w:left w:val="single" w:color="000000" w:sz="4" w:space="0"/>
              <w:bottom w:val="single" w:color="000000" w:sz="4" w:space="0"/>
              <w:right w:val="single" w:color="000000" w:sz="4" w:space="0"/>
            </w:tcBorders>
            <w:noWrap w:val="0"/>
            <w:vAlign w:val="center"/>
          </w:tcPr>
          <w:p w14:paraId="04E65CFA">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跟踪审计费</w:t>
            </w:r>
          </w:p>
        </w:tc>
        <w:tc>
          <w:tcPr>
            <w:tcW w:w="1755" w:type="dxa"/>
            <w:tcBorders>
              <w:top w:val="single" w:color="000000" w:sz="4" w:space="0"/>
              <w:left w:val="single" w:color="000000" w:sz="4" w:space="0"/>
              <w:bottom w:val="single" w:color="000000" w:sz="4" w:space="0"/>
              <w:right w:val="single" w:color="000000" w:sz="4" w:space="0"/>
            </w:tcBorders>
            <w:noWrap/>
            <w:vAlign w:val="center"/>
          </w:tcPr>
          <w:p w14:paraId="088DF22A">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费用</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17CF1D1E">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≤10000.00元/月</w:t>
            </w:r>
          </w:p>
        </w:tc>
        <w:tc>
          <w:tcPr>
            <w:tcW w:w="2549" w:type="dxa"/>
            <w:tcBorders>
              <w:top w:val="single" w:color="000000" w:sz="4" w:space="0"/>
              <w:left w:val="single" w:color="000000" w:sz="4" w:space="0"/>
              <w:bottom w:val="single" w:color="000000" w:sz="4" w:space="0"/>
              <w:right w:val="single" w:color="000000" w:sz="4" w:space="0"/>
            </w:tcBorders>
            <w:noWrap/>
            <w:vAlign w:val="center"/>
          </w:tcPr>
          <w:p w14:paraId="298BA8E1">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元/月</w:t>
            </w:r>
          </w:p>
        </w:tc>
      </w:tr>
      <w:tr w14:paraId="27B118DF">
        <w:tblPrEx>
          <w:tblCellMar>
            <w:top w:w="0" w:type="dxa"/>
            <w:left w:w="108" w:type="dxa"/>
            <w:bottom w:w="0" w:type="dxa"/>
            <w:right w:w="108" w:type="dxa"/>
          </w:tblCellMar>
        </w:tblPrEx>
        <w:trPr>
          <w:trHeight w:val="680" w:hRule="exact"/>
        </w:trPr>
        <w:tc>
          <w:tcPr>
            <w:tcW w:w="1668" w:type="dxa"/>
            <w:tcBorders>
              <w:top w:val="single" w:color="000000" w:sz="4" w:space="0"/>
              <w:left w:val="single" w:color="000000" w:sz="4" w:space="0"/>
              <w:bottom w:val="single" w:color="000000" w:sz="4" w:space="0"/>
              <w:right w:val="single" w:color="000000" w:sz="4" w:space="0"/>
            </w:tcBorders>
            <w:noWrap w:val="0"/>
            <w:vAlign w:val="center"/>
          </w:tcPr>
          <w:p w14:paraId="7F3D8B62">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结算审核费</w:t>
            </w:r>
          </w:p>
        </w:tc>
        <w:tc>
          <w:tcPr>
            <w:tcW w:w="1755" w:type="dxa"/>
            <w:tcBorders>
              <w:top w:val="single" w:color="000000" w:sz="4" w:space="0"/>
              <w:left w:val="single" w:color="000000" w:sz="4" w:space="0"/>
              <w:bottom w:val="single" w:color="000000" w:sz="4" w:space="0"/>
              <w:right w:val="single" w:color="000000" w:sz="4" w:space="0"/>
            </w:tcBorders>
            <w:noWrap/>
            <w:vAlign w:val="center"/>
          </w:tcPr>
          <w:p w14:paraId="2DF1F15A">
            <w:pPr>
              <w:widowControl/>
              <w:spacing w:line="400" w:lineRule="exact"/>
              <w:jc w:val="center"/>
              <w:textAlignment w:val="center"/>
              <w:rPr>
                <w:rFonts w:ascii="宋体" w:hAnsi="宋体" w:cs="宋体"/>
                <w:color w:val="auto"/>
                <w:szCs w:val="21"/>
                <w:highlight w:val="none"/>
              </w:rPr>
            </w:pPr>
            <w:r>
              <w:rPr>
                <w:rFonts w:hint="eastAsia" w:ascii="宋体" w:hAnsi="宋体" w:cs="宋体"/>
                <w:color w:val="auto"/>
                <w:kern w:val="0"/>
                <w:szCs w:val="21"/>
                <w:highlight w:val="none"/>
              </w:rPr>
              <w:t>价格优惠率</w:t>
            </w:r>
          </w:p>
        </w:tc>
        <w:tc>
          <w:tcPr>
            <w:tcW w:w="2550" w:type="dxa"/>
            <w:tcBorders>
              <w:top w:val="single" w:color="000000" w:sz="4" w:space="0"/>
              <w:left w:val="single" w:color="000000" w:sz="4" w:space="0"/>
              <w:bottom w:val="single" w:color="000000" w:sz="4" w:space="0"/>
              <w:right w:val="single" w:color="000000" w:sz="4" w:space="0"/>
            </w:tcBorders>
            <w:noWrap/>
            <w:vAlign w:val="center"/>
          </w:tcPr>
          <w:p w14:paraId="6F4552C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≥25.00%</w:t>
            </w:r>
          </w:p>
        </w:tc>
        <w:tc>
          <w:tcPr>
            <w:tcW w:w="2549" w:type="dxa"/>
            <w:tcBorders>
              <w:top w:val="single" w:color="000000" w:sz="4" w:space="0"/>
              <w:left w:val="single" w:color="000000" w:sz="4" w:space="0"/>
              <w:bottom w:val="single" w:color="000000" w:sz="4" w:space="0"/>
              <w:right w:val="single" w:color="000000" w:sz="4" w:space="0"/>
            </w:tcBorders>
            <w:noWrap/>
            <w:vAlign w:val="center"/>
          </w:tcPr>
          <w:p w14:paraId="035247E7">
            <w:pPr>
              <w:spacing w:line="400" w:lineRule="exact"/>
              <w:ind w:firstLine="420" w:firstLineChars="200"/>
              <w:jc w:val="center"/>
              <w:rPr>
                <w:rFonts w:ascii="宋体" w:hAnsi="宋体" w:cs="宋体"/>
                <w:color w:val="auto"/>
                <w:szCs w:val="21"/>
                <w:highlight w:val="none"/>
              </w:rPr>
            </w:pPr>
            <w:r>
              <w:rPr>
                <w:rFonts w:hint="eastAsia" w:ascii="宋体" w:hAnsi="宋体" w:cs="宋体"/>
                <w:color w:val="auto"/>
                <w:kern w:val="0"/>
                <w:szCs w:val="21"/>
                <w:highlight w:val="none"/>
                <w:u w:val="single"/>
              </w:rPr>
              <w:t xml:space="preserve">     </w:t>
            </w:r>
            <w:r>
              <w:rPr>
                <w:rFonts w:hint="eastAsia" w:ascii="宋体" w:hAnsi="宋体" w:cs="宋体"/>
                <w:color w:val="auto"/>
                <w:szCs w:val="21"/>
                <w:highlight w:val="none"/>
              </w:rPr>
              <w:t>%</w:t>
            </w:r>
          </w:p>
        </w:tc>
      </w:tr>
      <w:tr w14:paraId="3B86377D">
        <w:tblPrEx>
          <w:tblCellMar>
            <w:top w:w="0" w:type="dxa"/>
            <w:left w:w="108" w:type="dxa"/>
            <w:bottom w:w="0" w:type="dxa"/>
            <w:right w:w="108" w:type="dxa"/>
          </w:tblCellMar>
        </w:tblPrEx>
        <w:trPr>
          <w:trHeight w:val="680" w:hRule="exact"/>
        </w:trPr>
        <w:tc>
          <w:tcPr>
            <w:tcW w:w="8522" w:type="dxa"/>
            <w:gridSpan w:val="4"/>
            <w:tcBorders>
              <w:top w:val="single" w:color="000000" w:sz="4" w:space="0"/>
              <w:left w:val="single" w:color="000000" w:sz="4" w:space="0"/>
              <w:bottom w:val="single" w:color="000000" w:sz="4" w:space="0"/>
              <w:right w:val="single" w:color="000000" w:sz="4" w:space="0"/>
            </w:tcBorders>
            <w:noWrap w:val="0"/>
            <w:vAlign w:val="center"/>
          </w:tcPr>
          <w:p w14:paraId="28ABF8DE">
            <w:pPr>
              <w:spacing w:line="400" w:lineRule="exact"/>
              <w:ind w:firstLine="420" w:firstLineChars="200"/>
              <w:jc w:val="left"/>
              <w:rPr>
                <w:rFonts w:ascii="宋体" w:hAnsi="宋体" w:cs="宋体"/>
                <w:color w:val="auto"/>
                <w:kern w:val="0"/>
                <w:szCs w:val="21"/>
                <w:highlight w:val="none"/>
                <w:u w:val="single"/>
              </w:rPr>
            </w:pPr>
            <w:r>
              <w:rPr>
                <w:rFonts w:hint="eastAsia" w:ascii="宋体" w:hAnsi="宋体" w:cs="宋体"/>
                <w:color w:val="auto"/>
                <w:kern w:val="0"/>
                <w:szCs w:val="21"/>
                <w:highlight w:val="none"/>
                <w:u w:val="single"/>
              </w:rPr>
              <w:t>注：报价四舍五入保留小数点后2位。</w:t>
            </w:r>
          </w:p>
        </w:tc>
      </w:tr>
    </w:tbl>
    <w:p w14:paraId="5CA4AC4F">
      <w:pPr>
        <w:snapToGrid w:val="0"/>
        <w:spacing w:before="50" w:after="50"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注： </w:t>
      </w:r>
    </w:p>
    <w:p w14:paraId="502DE592">
      <w:pPr>
        <w:snapToGrid w:val="0"/>
        <w:spacing w:before="50" w:after="50"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1、供应商需按本表格式填写，不得自行更改，也不得留空（</w:t>
      </w:r>
      <w:r>
        <w:rPr>
          <w:rFonts w:hint="eastAsia" w:ascii="宋体" w:hAnsi="宋体" w:cs="宋体"/>
          <w:color w:val="auto"/>
          <w:szCs w:val="21"/>
          <w:highlight w:val="none"/>
        </w:rPr>
        <w:t>备注除外</w:t>
      </w:r>
      <w:r>
        <w:rPr>
          <w:rFonts w:hint="eastAsia" w:ascii="宋体" w:hAnsi="宋体" w:cs="宋体"/>
          <w:color w:val="auto"/>
          <w:kern w:val="0"/>
          <w:szCs w:val="21"/>
          <w:highlight w:val="none"/>
          <w:lang w:val="zh-CN"/>
        </w:rPr>
        <w:t>），如有多分标，按分标分别提供响应报价表，</w:t>
      </w:r>
      <w:r>
        <w:rPr>
          <w:rFonts w:hint="eastAsia" w:ascii="宋体" w:hAnsi="宋体" w:cs="宋体"/>
          <w:b/>
          <w:color w:val="auto"/>
          <w:kern w:val="0"/>
          <w:szCs w:val="21"/>
          <w:highlight w:val="none"/>
          <w:lang w:val="zh-CN"/>
        </w:rPr>
        <w:t>否则其响应按无效响应处理。</w:t>
      </w:r>
    </w:p>
    <w:p w14:paraId="6EE921E0">
      <w:pPr>
        <w:snapToGrid w:val="0"/>
        <w:spacing w:before="50" w:after="50" w:line="360" w:lineRule="auto"/>
        <w:ind w:firstLine="420" w:firstLineChars="200"/>
        <w:jc w:val="left"/>
        <w:rPr>
          <w:rFonts w:ascii="宋体" w:hAnsi="宋体" w:cs="宋体"/>
          <w:b/>
          <w:color w:val="auto"/>
          <w:kern w:val="0"/>
          <w:szCs w:val="21"/>
          <w:highlight w:val="none"/>
          <w:lang w:val="zh-CN"/>
        </w:rPr>
      </w:pPr>
      <w:r>
        <w:rPr>
          <w:rFonts w:hint="eastAsia" w:ascii="宋体" w:hAnsi="宋体" w:cs="宋体"/>
          <w:color w:val="auto"/>
          <w:kern w:val="0"/>
          <w:szCs w:val="21"/>
          <w:highlight w:val="none"/>
          <w:lang w:val="zh-CN"/>
        </w:rPr>
        <w:t>2、供应商的报价表必须加盖供应商电子签章并由法定代表人或者委托代理人签字或者电子签名，</w:t>
      </w:r>
      <w:r>
        <w:rPr>
          <w:rFonts w:hint="eastAsia" w:ascii="宋体" w:hAnsi="宋体" w:cs="宋体"/>
          <w:b/>
          <w:bCs/>
          <w:color w:val="auto"/>
          <w:kern w:val="0"/>
          <w:szCs w:val="21"/>
          <w:highlight w:val="none"/>
          <w:lang w:val="zh-CN"/>
        </w:rPr>
        <w:t>否则其响应文件按无效处理</w:t>
      </w:r>
      <w:r>
        <w:rPr>
          <w:rFonts w:hint="eastAsia" w:ascii="宋体" w:hAnsi="宋体" w:cs="宋体"/>
          <w:b/>
          <w:color w:val="auto"/>
          <w:kern w:val="0"/>
          <w:szCs w:val="21"/>
          <w:highlight w:val="none"/>
          <w:lang w:val="zh-CN"/>
        </w:rPr>
        <w:t>。</w:t>
      </w:r>
    </w:p>
    <w:p w14:paraId="2948E18F">
      <w:pPr>
        <w:snapToGrid w:val="0"/>
        <w:spacing w:before="50" w:after="50" w:line="360" w:lineRule="auto"/>
        <w:ind w:firstLine="420" w:firstLineChars="200"/>
        <w:jc w:val="left"/>
        <w:rPr>
          <w:rFonts w:ascii="宋体" w:hAnsi="宋体" w:cs="宋体"/>
          <w:b/>
          <w:color w:val="auto"/>
          <w:kern w:val="0"/>
          <w:szCs w:val="21"/>
          <w:highlight w:val="none"/>
          <w:lang w:val="zh-CN"/>
        </w:rPr>
      </w:pPr>
      <w:r>
        <w:rPr>
          <w:rFonts w:hint="eastAsia" w:ascii="宋体" w:hAnsi="宋体" w:cs="宋体"/>
          <w:color w:val="auto"/>
          <w:kern w:val="0"/>
          <w:szCs w:val="21"/>
          <w:highlight w:val="none"/>
          <w:lang w:val="zh-CN"/>
        </w:rPr>
        <w:t>3、</w:t>
      </w:r>
      <w:r>
        <w:rPr>
          <w:rFonts w:hint="eastAsia" w:ascii="宋体" w:hAnsi="宋体" w:cs="宋体"/>
          <w:color w:val="auto"/>
          <w:kern w:val="0"/>
          <w:szCs w:val="21"/>
          <w:highlight w:val="none"/>
        </w:rPr>
        <w:t>报价包括实施和完成项目采购需求的服务要求所需的劳务费、技术服务费、交通、通讯、办公场地、管理费、税费和利润等费用和政策性文件规定及合同包含的所有风险、责任等各项所有的费用。</w:t>
      </w:r>
    </w:p>
    <w:p w14:paraId="65F4F7DE">
      <w:pPr>
        <w:snapToGrid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4、不在有效报价范围内的竞标报价作无效竞标处理。</w:t>
      </w:r>
    </w:p>
    <w:p w14:paraId="582A0751">
      <w:pPr>
        <w:snapToGrid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5、符合采购文件中列明的可享受中小企业扶持政策的供应商，请填写中小企业声明函。</w:t>
      </w:r>
    </w:p>
    <w:p w14:paraId="214F7E38">
      <w:pPr>
        <w:snapToGrid w:val="0"/>
        <w:spacing w:line="360" w:lineRule="auto"/>
        <w:ind w:firstLine="420" w:firstLineChars="200"/>
        <w:jc w:val="left"/>
        <w:rPr>
          <w:rFonts w:ascii="宋体" w:hAnsi="宋体" w:cs="宋体"/>
          <w:color w:val="auto"/>
          <w:kern w:val="0"/>
          <w:szCs w:val="21"/>
          <w:highlight w:val="none"/>
          <w:lang w:val="zh-CN"/>
        </w:rPr>
      </w:pPr>
      <w:r>
        <w:rPr>
          <w:rFonts w:hint="eastAsia" w:ascii="宋体" w:hAnsi="宋体" w:cs="宋体"/>
          <w:color w:val="auto"/>
          <w:kern w:val="0"/>
          <w:szCs w:val="21"/>
          <w:highlight w:val="none"/>
        </w:rPr>
        <w:t>6、</w:t>
      </w:r>
      <w:r>
        <w:rPr>
          <w:rFonts w:hint="eastAsia" w:ascii="宋体" w:hAnsi="宋体" w:cs="宋体"/>
          <w:color w:val="auto"/>
          <w:kern w:val="0"/>
          <w:szCs w:val="21"/>
          <w:highlight w:val="none"/>
          <w:lang w:val="zh-CN"/>
        </w:rPr>
        <w:t>供应商提供的中小企业声明函内容不实的，属于提供虚假材料谋取中标、成交，依照《中华人民共和国政府采购法》等国家有关规定追究相应责任。</w:t>
      </w:r>
    </w:p>
    <w:p w14:paraId="4301D2DD">
      <w:pPr>
        <w:autoSpaceDE w:val="0"/>
        <w:autoSpaceDN w:val="0"/>
        <w:spacing w:line="360" w:lineRule="auto"/>
        <w:ind w:left="4335" w:leftChars="1950" w:hanging="240" w:hangingChars="100"/>
        <w:rPr>
          <w:rFonts w:ascii="宋体" w:hAnsi="宋体" w:cs="宋体"/>
          <w:color w:val="auto"/>
          <w:kern w:val="0"/>
          <w:sz w:val="24"/>
          <w:highlight w:val="none"/>
        </w:rPr>
      </w:pPr>
    </w:p>
    <w:p w14:paraId="2A944A8A">
      <w:pPr>
        <w:spacing w:line="40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2A8A2635">
      <w:pPr>
        <w:spacing w:line="400" w:lineRule="exact"/>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5075EE3B">
      <w:pPr>
        <w:spacing w:line="500" w:lineRule="exact"/>
        <w:ind w:firstLine="6360" w:firstLineChars="2650"/>
        <w:rPr>
          <w:rFonts w:ascii="宋体" w:hAnsi="宋体" w:cs="宋体"/>
          <w:color w:val="auto"/>
          <w:kern w:val="0"/>
          <w:sz w:val="24"/>
          <w:szCs w:val="21"/>
          <w:highlight w:val="none"/>
          <w:lang w:val="zh-CN"/>
        </w:rPr>
      </w:pPr>
      <w:r>
        <w:rPr>
          <w:rFonts w:hint="eastAsia" w:ascii="宋体" w:hAnsi="宋体" w:cs="仿宋_GB2312"/>
          <w:color w:val="auto"/>
          <w:sz w:val="24"/>
          <w:highlight w:val="none"/>
        </w:rPr>
        <w:t>日期：   年   月   日</w:t>
      </w:r>
    </w:p>
    <w:p w14:paraId="15204EE5">
      <w:pPr>
        <w:spacing w:line="500" w:lineRule="exact"/>
        <w:ind w:firstLine="6360" w:firstLineChars="2650"/>
        <w:rPr>
          <w:rFonts w:ascii="宋体" w:hAnsi="宋体" w:cs="宋体"/>
          <w:color w:val="auto"/>
          <w:kern w:val="0"/>
          <w:sz w:val="24"/>
          <w:szCs w:val="21"/>
          <w:highlight w:val="none"/>
          <w:lang w:val="zh-CN"/>
        </w:rPr>
      </w:pPr>
    </w:p>
    <w:p w14:paraId="6A2FAAEE">
      <w:pPr>
        <w:spacing w:line="500" w:lineRule="exact"/>
        <w:rPr>
          <w:rFonts w:ascii="宋体" w:hAnsi="宋体" w:cs="宋体"/>
          <w:color w:val="auto"/>
          <w:kern w:val="0"/>
          <w:sz w:val="24"/>
          <w:szCs w:val="21"/>
          <w:highlight w:val="none"/>
          <w:lang w:val="zh-CN"/>
        </w:rPr>
        <w:sectPr>
          <w:pgSz w:w="11911" w:h="16838"/>
          <w:pgMar w:top="1134" w:right="1134" w:bottom="1134" w:left="1134" w:header="720" w:footer="720" w:gutter="0"/>
          <w:cols w:space="720" w:num="1"/>
        </w:sectPr>
      </w:pPr>
    </w:p>
    <w:p w14:paraId="7C8B92A8">
      <w:pPr>
        <w:pStyle w:val="4"/>
        <w:jc w:val="center"/>
        <w:rPr>
          <w:rFonts w:ascii="宋体" w:hAnsi="宋体"/>
          <w:b w:val="0"/>
          <w:color w:val="auto"/>
          <w:highlight w:val="none"/>
        </w:rPr>
      </w:pPr>
      <w:bookmarkStart w:id="147" w:name="_Toc80205942"/>
      <w:bookmarkStart w:id="148" w:name="_Toc80886946"/>
      <w:bookmarkStart w:id="149" w:name="_Toc13936"/>
      <w:bookmarkStart w:id="150" w:name="_Toc18482"/>
      <w:r>
        <w:rPr>
          <w:rFonts w:hint="eastAsia" w:ascii="宋体" w:hAnsi="宋体"/>
          <w:color w:val="auto"/>
          <w:highlight w:val="none"/>
        </w:rPr>
        <w:t>第四节 其他文书、文件格式</w:t>
      </w:r>
      <w:bookmarkEnd w:id="147"/>
      <w:bookmarkEnd w:id="148"/>
      <w:bookmarkEnd w:id="149"/>
      <w:bookmarkEnd w:id="150"/>
    </w:p>
    <w:p w14:paraId="5C0806F4">
      <w:pPr>
        <w:spacing w:line="500" w:lineRule="exact"/>
        <w:rPr>
          <w:rFonts w:ascii="宋体" w:hAnsi="宋体" w:cs="宋体"/>
          <w:b/>
          <w:color w:val="auto"/>
          <w:sz w:val="30"/>
          <w:szCs w:val="30"/>
          <w:highlight w:val="none"/>
          <w:lang w:val="zh-CN"/>
        </w:rPr>
      </w:pPr>
      <w:r>
        <w:rPr>
          <w:rFonts w:hint="eastAsia" w:ascii="宋体" w:hAnsi="宋体" w:cs="宋体"/>
          <w:b/>
          <w:color w:val="auto"/>
          <w:sz w:val="30"/>
          <w:szCs w:val="30"/>
          <w:highlight w:val="none"/>
        </w:rPr>
        <w:t>1.</w:t>
      </w:r>
      <w:r>
        <w:rPr>
          <w:rFonts w:hint="eastAsia" w:ascii="宋体" w:hAnsi="宋体" w:cs="宋体"/>
          <w:b/>
          <w:color w:val="auto"/>
          <w:sz w:val="30"/>
          <w:szCs w:val="30"/>
          <w:highlight w:val="none"/>
          <w:lang w:val="zh-CN"/>
        </w:rPr>
        <w:t>中小企业声明函的格式：</w:t>
      </w:r>
    </w:p>
    <w:p w14:paraId="35541F6A">
      <w:pPr>
        <w:pStyle w:val="2"/>
        <w:rPr>
          <w:rFonts w:ascii="宋体" w:hAnsi="宋体" w:cs="宋体"/>
          <w:color w:val="auto"/>
          <w:highlight w:val="none"/>
        </w:rPr>
      </w:pPr>
    </w:p>
    <w:p w14:paraId="06AFF23A">
      <w:pPr>
        <w:spacing w:line="300" w:lineRule="auto"/>
        <w:ind w:firstLine="3520" w:firstLineChars="800"/>
        <w:rPr>
          <w:rFonts w:ascii="宋体" w:hAnsi="宋体" w:cs="宋体"/>
          <w:color w:val="auto"/>
          <w:sz w:val="44"/>
          <w:szCs w:val="44"/>
          <w:highlight w:val="none"/>
        </w:rPr>
      </w:pPr>
      <w:r>
        <w:rPr>
          <w:rFonts w:hint="eastAsia" w:ascii="宋体" w:hAnsi="宋体" w:cs="宋体"/>
          <w:color w:val="auto"/>
          <w:sz w:val="44"/>
          <w:szCs w:val="44"/>
          <w:highlight w:val="none"/>
        </w:rPr>
        <w:t>中小企业声明函</w:t>
      </w:r>
    </w:p>
    <w:p w14:paraId="6584F49D">
      <w:pPr>
        <w:pStyle w:val="14"/>
        <w:spacing w:after="0" w:line="360" w:lineRule="auto"/>
        <w:ind w:left="-426" w:right="142" w:firstLine="640"/>
        <w:contextualSpacing/>
        <w:rPr>
          <w:rFonts w:ascii="宋体" w:hAnsi="宋体" w:cs="宋体"/>
          <w:color w:val="auto"/>
          <w:sz w:val="24"/>
          <w:highlight w:val="none"/>
        </w:rPr>
      </w:pPr>
    </w:p>
    <w:p w14:paraId="409FC991">
      <w:pPr>
        <w:pStyle w:val="14"/>
        <w:spacing w:after="0" w:line="360" w:lineRule="auto"/>
        <w:ind w:left="-426" w:right="142" w:firstLine="640"/>
        <w:contextualSpacing/>
        <w:rPr>
          <w:rFonts w:ascii="宋体" w:hAnsi="宋体" w:cs="宋体"/>
          <w:color w:val="auto"/>
          <w:sz w:val="24"/>
          <w:highlight w:val="none"/>
        </w:rPr>
      </w:pPr>
      <w:r>
        <w:rPr>
          <w:rFonts w:hint="eastAsia" w:ascii="宋体" w:hAnsi="宋体" w:cs="宋体"/>
          <w:color w:val="auto"/>
          <w:sz w:val="24"/>
          <w:highlight w:val="none"/>
        </w:rPr>
        <w:t>本公司（联合体）郑重声明，根据《政府采购促进中小企业发展管理办法》（财库﹝2020﹞46号）的规定，本公司（联合体）参加</w:t>
      </w:r>
      <w:r>
        <w:rPr>
          <w:rFonts w:hint="eastAsia" w:ascii="宋体" w:hAnsi="宋体" w:cs="宋体"/>
          <w:i/>
          <w:iCs/>
          <w:color w:val="auto"/>
          <w:sz w:val="24"/>
          <w:highlight w:val="none"/>
          <w:u w:val="single"/>
        </w:rPr>
        <w:t>（单位名称）</w:t>
      </w:r>
      <w:r>
        <w:rPr>
          <w:rFonts w:hint="eastAsia" w:ascii="宋体" w:hAnsi="宋体" w:cs="宋体"/>
          <w:color w:val="auto"/>
          <w:sz w:val="24"/>
          <w:highlight w:val="none"/>
        </w:rPr>
        <w:t>的</w:t>
      </w:r>
      <w:r>
        <w:rPr>
          <w:rFonts w:hint="eastAsia" w:ascii="宋体" w:hAnsi="宋体" w:cs="宋体"/>
          <w:i/>
          <w:iCs/>
          <w:color w:val="auto"/>
          <w:sz w:val="24"/>
          <w:highlight w:val="none"/>
          <w:u w:val="single"/>
        </w:rPr>
        <w:t>（项目名称）</w:t>
      </w:r>
      <w:r>
        <w:rPr>
          <w:rFonts w:hint="eastAsia" w:ascii="宋体" w:hAnsi="宋体" w:cs="宋体"/>
          <w:color w:val="auto"/>
          <w:sz w:val="24"/>
          <w:highlight w:val="none"/>
        </w:rPr>
        <w:t>采购活动，</w:t>
      </w:r>
      <w:r>
        <w:rPr>
          <w:rFonts w:hint="eastAsia" w:ascii="宋体" w:hAnsi="宋体" w:cs="宋体"/>
          <w:color w:val="auto"/>
          <w:kern w:val="0"/>
          <w:sz w:val="24"/>
          <w:highlight w:val="none"/>
        </w:rPr>
        <w:t>服务全部由符合政策要求的中小企业承接</w:t>
      </w:r>
      <w:r>
        <w:rPr>
          <w:rFonts w:hint="eastAsia" w:ascii="宋体" w:hAnsi="宋体" w:cs="宋体"/>
          <w:color w:val="auto"/>
          <w:sz w:val="24"/>
          <w:highlight w:val="none"/>
        </w:rPr>
        <w:t>。相关企业（含联合体中的中小企业、签订分包意向协议的中小企业）的具体情况如下：</w:t>
      </w:r>
    </w:p>
    <w:p w14:paraId="4C242F31">
      <w:pPr>
        <w:tabs>
          <w:tab w:val="left" w:pos="1384"/>
          <w:tab w:val="left" w:pos="4562"/>
          <w:tab w:val="left" w:pos="6803"/>
        </w:tabs>
        <w:spacing w:line="360" w:lineRule="auto"/>
        <w:ind w:left="-426" w:right="-58" w:firstLine="655"/>
        <w:contextualSpacing/>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标的名称</w:t>
      </w:r>
      <w:r>
        <w:rPr>
          <w:rFonts w:hint="eastAsia" w:ascii="宋体" w:hAnsi="宋体" w:cs="宋体"/>
          <w:color w:val="auto"/>
          <w:sz w:val="24"/>
          <w:highlight w:val="none"/>
          <w:u w:val="single"/>
        </w:rPr>
        <w:t>）</w:t>
      </w:r>
      <w:r>
        <w:rPr>
          <w:rFonts w:hint="eastAsia" w:ascii="宋体" w:hAnsi="宋体" w:cs="宋体"/>
          <w:color w:val="auto"/>
          <w:sz w:val="24"/>
          <w:highlight w:val="none"/>
        </w:rPr>
        <w:t>，属于</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采购文件中明确的所属行业</w:t>
      </w:r>
      <w:r>
        <w:rPr>
          <w:rFonts w:hint="eastAsia" w:ascii="宋体" w:hAnsi="宋体" w:cs="宋体"/>
          <w:color w:val="auto"/>
          <w:sz w:val="24"/>
          <w:highlight w:val="none"/>
          <w:u w:val="single"/>
        </w:rPr>
        <w:t>）</w:t>
      </w:r>
      <w:r>
        <w:rPr>
          <w:rFonts w:hint="eastAsia" w:ascii="宋体" w:hAnsi="宋体" w:cs="宋体"/>
          <w:color w:val="auto"/>
          <w:sz w:val="24"/>
          <w:highlight w:val="none"/>
        </w:rPr>
        <w:t>；</w:t>
      </w:r>
      <w:r>
        <w:rPr>
          <w:rFonts w:hint="eastAsia" w:ascii="宋体" w:hAnsi="宋体" w:cs="宋体"/>
          <w:color w:val="auto"/>
          <w:kern w:val="0"/>
          <w:sz w:val="24"/>
          <w:highlight w:val="none"/>
        </w:rPr>
        <w:t>承建（承接）企业</w:t>
      </w:r>
      <w:r>
        <w:rPr>
          <w:rFonts w:hint="eastAsia" w:ascii="宋体" w:hAnsi="宋体" w:cs="宋体"/>
          <w:color w:val="auto"/>
          <w:sz w:val="24"/>
          <w:highlight w:val="none"/>
        </w:rPr>
        <w:t>为</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企业名称</w:t>
      </w:r>
      <w:r>
        <w:rPr>
          <w:rFonts w:hint="eastAsia" w:ascii="宋体" w:hAnsi="宋体" w:cs="宋体"/>
          <w:color w:val="auto"/>
          <w:sz w:val="24"/>
          <w:highlight w:val="none"/>
          <w:u w:val="single"/>
        </w:rPr>
        <w:t>）</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中型企业、小型企业、微型企业</w:t>
      </w:r>
      <w:r>
        <w:rPr>
          <w:rFonts w:hint="eastAsia" w:ascii="宋体" w:hAnsi="宋体" w:cs="宋体"/>
          <w:color w:val="auto"/>
          <w:sz w:val="24"/>
          <w:highlight w:val="none"/>
          <w:u w:val="single"/>
        </w:rPr>
        <w:t>）</w:t>
      </w:r>
      <w:r>
        <w:rPr>
          <w:rFonts w:hint="eastAsia" w:ascii="宋体" w:hAnsi="宋体" w:cs="宋体"/>
          <w:color w:val="auto"/>
          <w:sz w:val="24"/>
          <w:highlight w:val="none"/>
        </w:rPr>
        <w:t>；</w:t>
      </w:r>
    </w:p>
    <w:p w14:paraId="216AFBF1">
      <w:pPr>
        <w:tabs>
          <w:tab w:val="left" w:pos="1065"/>
          <w:tab w:val="left" w:pos="6477"/>
        </w:tabs>
        <w:spacing w:line="360" w:lineRule="auto"/>
        <w:ind w:left="-426" w:right="-58" w:firstLine="655"/>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标的名称</w:t>
      </w:r>
      <w:r>
        <w:rPr>
          <w:rFonts w:hint="eastAsia" w:ascii="宋体" w:hAnsi="宋体" w:cs="宋体"/>
          <w:color w:val="auto"/>
          <w:sz w:val="24"/>
          <w:highlight w:val="none"/>
          <w:u w:val="single"/>
        </w:rPr>
        <w:t>）</w:t>
      </w:r>
      <w:r>
        <w:rPr>
          <w:rFonts w:hint="eastAsia" w:ascii="宋体" w:hAnsi="宋体" w:cs="宋体"/>
          <w:color w:val="auto"/>
          <w:sz w:val="24"/>
          <w:highlight w:val="none"/>
        </w:rPr>
        <w:t>，属于</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采购文件中明确的所属行业</w:t>
      </w:r>
      <w:r>
        <w:rPr>
          <w:rFonts w:hint="eastAsia" w:ascii="宋体" w:hAnsi="宋体" w:cs="宋体"/>
          <w:color w:val="auto"/>
          <w:sz w:val="24"/>
          <w:highlight w:val="none"/>
          <w:u w:val="single"/>
        </w:rPr>
        <w:t>）</w:t>
      </w:r>
      <w:r>
        <w:rPr>
          <w:rFonts w:hint="eastAsia" w:ascii="宋体" w:hAnsi="宋体" w:cs="宋体"/>
          <w:color w:val="auto"/>
          <w:sz w:val="24"/>
          <w:highlight w:val="none"/>
        </w:rPr>
        <w:t>；</w:t>
      </w:r>
      <w:r>
        <w:rPr>
          <w:rFonts w:hint="eastAsia" w:ascii="宋体" w:hAnsi="宋体" w:cs="宋体"/>
          <w:color w:val="auto"/>
          <w:kern w:val="0"/>
          <w:sz w:val="24"/>
          <w:highlight w:val="none"/>
        </w:rPr>
        <w:t>承建（承接）企业</w:t>
      </w:r>
      <w:r>
        <w:rPr>
          <w:rFonts w:hint="eastAsia" w:ascii="宋体" w:hAnsi="宋体" w:cs="宋体"/>
          <w:color w:val="auto"/>
          <w:sz w:val="24"/>
          <w:highlight w:val="none"/>
        </w:rPr>
        <w:t>为</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企业名称</w:t>
      </w:r>
      <w:r>
        <w:rPr>
          <w:rFonts w:hint="eastAsia" w:ascii="宋体" w:hAnsi="宋体" w:cs="宋体"/>
          <w:color w:val="auto"/>
          <w:sz w:val="24"/>
          <w:highlight w:val="none"/>
          <w:u w:val="single"/>
        </w:rPr>
        <w:t>）</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w:t>
      </w:r>
      <w:r>
        <w:rPr>
          <w:rFonts w:hint="eastAsia" w:ascii="宋体" w:hAnsi="宋体" w:cs="宋体"/>
          <w:i/>
          <w:iCs/>
          <w:color w:val="auto"/>
          <w:sz w:val="24"/>
          <w:highlight w:val="none"/>
          <w:u w:val="single"/>
        </w:rPr>
        <w:t>中型企业、小型企业、微型企业</w:t>
      </w:r>
      <w:r>
        <w:rPr>
          <w:rFonts w:hint="eastAsia" w:ascii="宋体" w:hAnsi="宋体" w:cs="宋体"/>
          <w:color w:val="auto"/>
          <w:sz w:val="24"/>
          <w:highlight w:val="none"/>
          <w:u w:val="single"/>
        </w:rPr>
        <w:t>）</w:t>
      </w:r>
      <w:r>
        <w:rPr>
          <w:rFonts w:hint="eastAsia" w:ascii="宋体" w:hAnsi="宋体" w:cs="宋体"/>
          <w:color w:val="auto"/>
          <w:sz w:val="24"/>
          <w:highlight w:val="none"/>
        </w:rPr>
        <w:t>；</w:t>
      </w:r>
    </w:p>
    <w:p w14:paraId="1F772CD2">
      <w:pPr>
        <w:pStyle w:val="14"/>
        <w:spacing w:after="0" w:line="360" w:lineRule="auto"/>
        <w:ind w:left="142" w:right="142"/>
        <w:contextualSpacing/>
        <w:rPr>
          <w:rFonts w:ascii="宋体" w:hAnsi="宋体" w:cs="宋体"/>
          <w:color w:val="auto"/>
          <w:sz w:val="24"/>
          <w:highlight w:val="none"/>
        </w:rPr>
      </w:pPr>
      <w:r>
        <w:rPr>
          <w:rFonts w:hint="eastAsia" w:ascii="宋体" w:hAnsi="宋体" w:cs="宋体"/>
          <w:color w:val="auto"/>
          <w:sz w:val="24"/>
          <w:highlight w:val="none"/>
        </w:rPr>
        <w:t xml:space="preserve">…… </w:t>
      </w:r>
    </w:p>
    <w:p w14:paraId="3305B63B">
      <w:pPr>
        <w:pStyle w:val="14"/>
        <w:spacing w:after="0" w:line="360" w:lineRule="auto"/>
        <w:ind w:left="-405" w:leftChars="-193" w:right="142" w:firstLine="453" w:firstLineChars="189"/>
        <w:contextualSpacing/>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41304C87">
      <w:pPr>
        <w:pStyle w:val="14"/>
        <w:spacing w:after="0" w:line="360" w:lineRule="auto"/>
        <w:ind w:left="-426" w:right="142" w:firstLine="567"/>
        <w:contextualSpacing/>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7B845F5A">
      <w:pPr>
        <w:pStyle w:val="14"/>
        <w:spacing w:after="0" w:line="360" w:lineRule="auto"/>
        <w:ind w:left="3960" w:right="1808"/>
        <w:contextualSpacing/>
        <w:rPr>
          <w:rFonts w:ascii="宋体" w:hAnsi="宋体" w:cs="宋体"/>
          <w:color w:val="auto"/>
          <w:sz w:val="24"/>
          <w:highlight w:val="none"/>
        </w:rPr>
      </w:pPr>
    </w:p>
    <w:p w14:paraId="4B351CFD">
      <w:pPr>
        <w:autoSpaceDE w:val="0"/>
        <w:autoSpaceDN w:val="0"/>
        <w:spacing w:line="360" w:lineRule="auto"/>
        <w:ind w:left="4335" w:leftChars="1950" w:hanging="240" w:hangingChars="100"/>
        <w:rPr>
          <w:rFonts w:ascii="宋体" w:hAnsi="宋体" w:cs="宋体"/>
          <w:color w:val="auto"/>
          <w:kern w:val="0"/>
          <w:sz w:val="24"/>
          <w:highlight w:val="none"/>
        </w:rPr>
      </w:pPr>
      <w:r>
        <w:rPr>
          <w:rFonts w:hint="eastAsia" w:ascii="宋体" w:hAnsi="宋体" w:cs="宋体"/>
          <w:color w:val="auto"/>
          <w:kern w:val="0"/>
          <w:sz w:val="24"/>
          <w:highlight w:val="none"/>
        </w:rPr>
        <w:t>供应商名称（盖公章）：</w:t>
      </w:r>
    </w:p>
    <w:p w14:paraId="7F213043">
      <w:pPr>
        <w:autoSpaceDE w:val="0"/>
        <w:autoSpaceDN w:val="0"/>
        <w:spacing w:line="360" w:lineRule="auto"/>
        <w:ind w:firstLine="6480" w:firstLineChars="27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1566D7F4">
      <w:pPr>
        <w:pStyle w:val="14"/>
        <w:spacing w:after="0" w:line="360" w:lineRule="auto"/>
        <w:ind w:left="3960" w:right="1808"/>
        <w:contextualSpacing/>
        <w:rPr>
          <w:rFonts w:ascii="宋体" w:hAnsi="宋体" w:cs="宋体"/>
          <w:color w:val="auto"/>
          <w:highlight w:val="none"/>
        </w:rPr>
      </w:pPr>
    </w:p>
    <w:p w14:paraId="42E40AD5">
      <w:pPr>
        <w:spacing w:line="360" w:lineRule="auto"/>
        <w:ind w:firstLine="480" w:firstLineChars="200"/>
        <w:contextualSpacing/>
        <w:jc w:val="left"/>
        <w:rPr>
          <w:rFonts w:ascii="宋体" w:hAnsi="宋体" w:cs="宋体"/>
          <w:color w:val="auto"/>
          <w:kern w:val="0"/>
          <w:sz w:val="24"/>
          <w:highlight w:val="none"/>
        </w:rPr>
      </w:pPr>
      <w:r>
        <w:rPr>
          <w:rFonts w:hint="eastAsia" w:ascii="宋体" w:hAnsi="宋体" w:cs="宋体"/>
          <w:color w:val="auto"/>
          <w:sz w:val="24"/>
          <w:highlight w:val="none"/>
        </w:rPr>
        <w:t>注：享受《政府采购促进中小企业发展管理办法》（财库〔2020〕46号）规定的中小企业扶持政策的，采购人或者采购代理机构应当随成交结果公开成交供应商的《中小企业声明函》，接受社会监督。从业人员、营业收入、资产总额填报上一年度数据，无上一年度数据的新成立企业可不填报。</w:t>
      </w:r>
    </w:p>
    <w:p w14:paraId="77BEEF46">
      <w:pPr>
        <w:snapToGrid w:val="0"/>
        <w:spacing w:before="120" w:beforeLines="50" w:after="50" w:line="360" w:lineRule="auto"/>
        <w:outlineLvl w:val="1"/>
        <w:rPr>
          <w:rFonts w:ascii="宋体" w:hAnsi="宋体" w:cs="宋体"/>
          <w:b/>
          <w:bCs/>
          <w:color w:val="auto"/>
          <w:sz w:val="32"/>
          <w:szCs w:val="32"/>
          <w:highlight w:val="none"/>
        </w:rPr>
        <w:sectPr>
          <w:pgSz w:w="11911" w:h="16838"/>
          <w:pgMar w:top="1134" w:right="1134" w:bottom="1134" w:left="1134" w:header="720" w:footer="720" w:gutter="0"/>
          <w:cols w:space="720" w:num="1"/>
        </w:sectPr>
      </w:pPr>
    </w:p>
    <w:p w14:paraId="6C1433DC">
      <w:pPr>
        <w:spacing w:line="520" w:lineRule="exact"/>
        <w:rPr>
          <w:rFonts w:hAnsi="宋体" w:cs="宋体"/>
          <w:b/>
          <w:color w:val="auto"/>
          <w:sz w:val="28"/>
          <w:szCs w:val="28"/>
          <w:highlight w:val="none"/>
        </w:rPr>
      </w:pPr>
      <w:r>
        <w:rPr>
          <w:rFonts w:hint="eastAsia" w:ascii="宋体" w:hAnsi="宋体" w:cs="宋体"/>
          <w:b/>
          <w:color w:val="auto"/>
          <w:sz w:val="28"/>
          <w:szCs w:val="28"/>
          <w:highlight w:val="none"/>
        </w:rPr>
        <w:t>2.</w:t>
      </w:r>
      <w:r>
        <w:rPr>
          <w:rFonts w:hint="eastAsia" w:hAnsi="宋体" w:cs="宋体"/>
          <w:b/>
          <w:color w:val="auto"/>
          <w:sz w:val="28"/>
          <w:szCs w:val="28"/>
          <w:highlight w:val="none"/>
        </w:rPr>
        <w:t>残疾人福利性单位声明函的格式：</w:t>
      </w:r>
    </w:p>
    <w:p w14:paraId="33F4B162">
      <w:pPr>
        <w:pStyle w:val="2"/>
        <w:rPr>
          <w:color w:val="auto"/>
          <w:highlight w:val="none"/>
        </w:rPr>
      </w:pPr>
    </w:p>
    <w:p w14:paraId="262B7965">
      <w:pPr>
        <w:spacing w:line="520" w:lineRule="exact"/>
        <w:jc w:val="center"/>
        <w:rPr>
          <w:rFonts w:ascii="方正小标宋简体" w:hAnsi="方正小标宋简体" w:eastAsia="方正小标宋简体" w:cs="方正小标宋简体"/>
          <w:color w:val="auto"/>
          <w:sz w:val="44"/>
          <w:szCs w:val="44"/>
          <w:highlight w:val="none"/>
        </w:rPr>
      </w:pPr>
    </w:p>
    <w:p w14:paraId="3B2B451C">
      <w:pPr>
        <w:spacing w:line="520" w:lineRule="exact"/>
        <w:jc w:val="center"/>
        <w:rPr>
          <w:rFonts w:ascii="方正小标宋简体" w:hAnsi="方正小标宋简体" w:eastAsia="方正小标宋简体" w:cs="方正小标宋简体"/>
          <w:color w:val="auto"/>
          <w:sz w:val="44"/>
          <w:szCs w:val="44"/>
          <w:highlight w:val="none"/>
        </w:rPr>
      </w:pPr>
    </w:p>
    <w:p w14:paraId="4C01D711">
      <w:pPr>
        <w:spacing w:line="520" w:lineRule="exact"/>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残疾人福利性单位声明函</w:t>
      </w:r>
    </w:p>
    <w:p w14:paraId="340C1EEF">
      <w:pPr>
        <w:spacing w:line="520" w:lineRule="exact"/>
        <w:rPr>
          <w:rFonts w:ascii="宋体" w:hAnsi="宋体" w:cs="宋体"/>
          <w:color w:val="auto"/>
          <w:sz w:val="32"/>
          <w:szCs w:val="32"/>
          <w:highlight w:val="none"/>
        </w:rPr>
      </w:pPr>
    </w:p>
    <w:p w14:paraId="54A84EEF">
      <w:pPr>
        <w:spacing w:line="360" w:lineRule="auto"/>
        <w:ind w:firstLine="480" w:firstLineChars="200"/>
        <w:contextualSpacing/>
        <w:rPr>
          <w:rFonts w:ascii="宋体" w:hAnsi="宋体" w:cs="宋体"/>
          <w:color w:val="auto"/>
          <w:sz w:val="24"/>
          <w:highlight w:val="none"/>
        </w:rPr>
      </w:pPr>
    </w:p>
    <w:p w14:paraId="257E237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单位的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46F07EDF">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6C82099C">
      <w:pPr>
        <w:spacing w:line="360" w:lineRule="auto"/>
        <w:contextualSpacing/>
        <w:rPr>
          <w:rFonts w:ascii="宋体" w:hAnsi="宋体" w:cs="宋体"/>
          <w:color w:val="auto"/>
          <w:sz w:val="24"/>
          <w:highlight w:val="none"/>
        </w:rPr>
      </w:pPr>
    </w:p>
    <w:p w14:paraId="2F9D8DBE">
      <w:pPr>
        <w:spacing w:line="360" w:lineRule="auto"/>
        <w:contextualSpacing/>
        <w:rPr>
          <w:rFonts w:ascii="宋体" w:hAnsi="宋体" w:cs="宋体"/>
          <w:color w:val="auto"/>
          <w:sz w:val="24"/>
          <w:highlight w:val="none"/>
        </w:rPr>
      </w:pPr>
    </w:p>
    <w:p w14:paraId="3BC9799B">
      <w:pPr>
        <w:spacing w:line="360" w:lineRule="auto"/>
        <w:contextualSpacing/>
        <w:rPr>
          <w:rFonts w:ascii="宋体" w:hAnsi="宋体" w:cs="宋体"/>
          <w:color w:val="auto"/>
          <w:sz w:val="24"/>
          <w:highlight w:val="none"/>
        </w:rPr>
      </w:pPr>
    </w:p>
    <w:p w14:paraId="45E6006D">
      <w:pPr>
        <w:spacing w:line="360" w:lineRule="auto"/>
        <w:ind w:firstLine="2400" w:firstLineChars="1000"/>
        <w:contextualSpacing/>
        <w:rPr>
          <w:rFonts w:ascii="宋体" w:hAnsi="宋体" w:cs="宋体"/>
          <w:color w:val="auto"/>
          <w:sz w:val="24"/>
          <w:highlight w:val="none"/>
        </w:rPr>
      </w:pPr>
      <w:r>
        <w:rPr>
          <w:rFonts w:hint="eastAsia" w:ascii="宋体" w:hAnsi="宋体" w:cs="宋体"/>
          <w:color w:val="auto"/>
          <w:sz w:val="24"/>
          <w:highlight w:val="none"/>
        </w:rPr>
        <w:t>供应商名称（盖公章）：</w:t>
      </w:r>
    </w:p>
    <w:p w14:paraId="0C1DAA77">
      <w:pPr>
        <w:spacing w:line="360" w:lineRule="auto"/>
        <w:ind w:firstLine="4320" w:firstLineChars="1800"/>
        <w:contextualSpacing/>
        <w:rPr>
          <w:rFonts w:ascii="宋体" w:hAnsi="宋体" w:cs="宋体"/>
          <w:color w:val="auto"/>
          <w:sz w:val="24"/>
          <w:highlight w:val="none"/>
        </w:rPr>
      </w:pPr>
      <w:r>
        <w:rPr>
          <w:rFonts w:hint="eastAsia" w:ascii="宋体" w:hAnsi="宋体" w:cs="宋体"/>
          <w:color w:val="auto"/>
          <w:sz w:val="24"/>
          <w:highlight w:val="none"/>
        </w:rPr>
        <w:t>日  期：     年   月   日</w:t>
      </w:r>
    </w:p>
    <w:p w14:paraId="50076038">
      <w:pPr>
        <w:spacing w:line="360" w:lineRule="auto"/>
        <w:contextualSpacing/>
        <w:rPr>
          <w:rFonts w:ascii="宋体" w:hAnsi="宋体" w:cs="宋体"/>
          <w:color w:val="auto"/>
          <w:sz w:val="24"/>
          <w:highlight w:val="none"/>
        </w:rPr>
      </w:pPr>
    </w:p>
    <w:p w14:paraId="5FA76A82">
      <w:pPr>
        <w:spacing w:line="360" w:lineRule="auto"/>
        <w:contextualSpacing/>
        <w:rPr>
          <w:rFonts w:ascii="宋体" w:hAnsi="宋体" w:cs="宋体"/>
          <w:color w:val="auto"/>
          <w:sz w:val="24"/>
          <w:highlight w:val="none"/>
        </w:rPr>
      </w:pPr>
    </w:p>
    <w:p w14:paraId="147C375B">
      <w:pPr>
        <w:spacing w:line="360" w:lineRule="auto"/>
        <w:contextualSpacing/>
        <w:rPr>
          <w:rFonts w:ascii="宋体" w:hAnsi="宋体" w:cs="宋体"/>
          <w:color w:val="auto"/>
          <w:sz w:val="24"/>
          <w:highlight w:val="none"/>
        </w:rPr>
      </w:pPr>
    </w:p>
    <w:p w14:paraId="78558C7C">
      <w:pPr>
        <w:spacing w:line="360" w:lineRule="auto"/>
        <w:ind w:firstLine="480" w:firstLineChars="200"/>
        <w:contextualSpacing/>
        <w:rPr>
          <w:rFonts w:hint="eastAsia" w:ascii="宋体" w:hAnsi="宋体" w:cs="宋体"/>
          <w:color w:val="auto"/>
          <w:sz w:val="24"/>
          <w:highlight w:val="none"/>
        </w:rPr>
      </w:pPr>
      <w:r>
        <w:rPr>
          <w:rFonts w:hint="eastAsia" w:ascii="宋体" w:hAnsi="宋体" w:cs="宋体"/>
          <w:color w:val="auto"/>
          <w:sz w:val="24"/>
          <w:highlight w:val="none"/>
        </w:rPr>
        <w:t>注：请根据自己的真实情况出具《残疾人福利性单位声明函》。依法享受中小企业扶持政策的，采购人或者采购代理机构在公告成交结果时，同时公告其《残疾人福利性单位声明函》，接受社会监督。</w:t>
      </w:r>
    </w:p>
    <w:p w14:paraId="2552A365">
      <w:pPr>
        <w:widowControl/>
        <w:shd w:val="clear" w:color="auto" w:fill="FFFFFF"/>
        <w:spacing w:line="480" w:lineRule="atLeast"/>
        <w:rPr>
          <w:rFonts w:ascii="宋体" w:hAnsi="宋体" w:cs="宋体"/>
          <w:color w:val="auto"/>
          <w:kern w:val="0"/>
          <w:sz w:val="28"/>
          <w:szCs w:val="28"/>
          <w:highlight w:val="none"/>
        </w:rPr>
      </w:pPr>
      <w:r>
        <w:rPr>
          <w:rFonts w:hint="eastAsia" w:ascii="宋体" w:hAnsi="宋体" w:cs="宋体"/>
          <w:color w:val="auto"/>
          <w:sz w:val="24"/>
          <w:highlight w:val="none"/>
        </w:rPr>
        <w:br w:type="page"/>
      </w:r>
      <w:r>
        <w:rPr>
          <w:rFonts w:hint="eastAsia" w:ascii="宋体" w:hAnsi="宋体" w:cs="宋体"/>
          <w:color w:val="auto"/>
          <w:sz w:val="28"/>
          <w:szCs w:val="28"/>
          <w:highlight w:val="none"/>
        </w:rPr>
        <w:t>3.</w:t>
      </w:r>
      <w:r>
        <w:rPr>
          <w:rFonts w:hint="eastAsia" w:ascii="宋体" w:hAnsi="宋体" w:cs="宋体"/>
          <w:color w:val="auto"/>
          <w:kern w:val="0"/>
          <w:sz w:val="28"/>
          <w:szCs w:val="28"/>
          <w:highlight w:val="none"/>
        </w:rPr>
        <w:t>广西壮族自治区政府采购项目合同验收书的格式：</w:t>
      </w:r>
    </w:p>
    <w:p w14:paraId="1F4B2576">
      <w:pPr>
        <w:spacing w:line="360" w:lineRule="auto"/>
        <w:ind w:firstLine="480" w:firstLineChars="200"/>
        <w:contextualSpacing/>
        <w:rPr>
          <w:rFonts w:cs="仿宋_GB2312"/>
          <w:color w:val="auto"/>
          <w:sz w:val="24"/>
          <w:highlight w:val="none"/>
        </w:rPr>
      </w:pPr>
    </w:p>
    <w:p w14:paraId="30C926E8">
      <w:pPr>
        <w:widowControl/>
        <w:shd w:val="clear" w:color="auto" w:fill="FFFFFF"/>
        <w:spacing w:line="480" w:lineRule="atLeast"/>
        <w:jc w:val="center"/>
        <w:rPr>
          <w:rFonts w:ascii="仿宋" w:hAnsi="仿宋" w:eastAsia="仿宋"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w:t>
      </w:r>
    </w:p>
    <w:p w14:paraId="2BAC46AD">
      <w:pPr>
        <w:widowControl/>
        <w:shd w:val="clear" w:color="auto" w:fill="FFFFFF"/>
        <w:spacing w:line="480" w:lineRule="atLeast"/>
        <w:jc w:val="center"/>
        <w:rPr>
          <w:rFonts w:ascii="仿宋" w:hAnsi="仿宋" w:eastAsia="仿宋" w:cs="宋体"/>
          <w:color w:val="auto"/>
          <w:kern w:val="0"/>
          <w:sz w:val="32"/>
          <w:szCs w:val="32"/>
          <w:highlight w:val="none"/>
        </w:rPr>
      </w:pPr>
    </w:p>
    <w:p w14:paraId="5BD21E3A">
      <w:pPr>
        <w:widowControl/>
        <w:shd w:val="clear" w:color="auto" w:fill="FFFFFF"/>
        <w:snapToGrid w:val="0"/>
        <w:spacing w:line="32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政府采购项目成交供应商（</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31"/>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348275B2">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noWrap w:val="0"/>
            <w:vAlign w:val="center"/>
          </w:tcPr>
          <w:p w14:paraId="23F70780">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noWrap w:val="0"/>
            <w:vAlign w:val="center"/>
          </w:tcPr>
          <w:p w14:paraId="35BA1513">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hint="eastAsia" w:ascii="宋体" w:hAnsi="宋体" w:cs="宋体"/>
                <w:color w:val="auto"/>
                <w:kern w:val="0"/>
                <w:szCs w:val="21"/>
                <w:highlight w:val="none"/>
              </w:rPr>
              <w:t>□</w:t>
            </w:r>
            <w:r>
              <w:rPr>
                <w:rFonts w:ascii="Verdana" w:hAnsi="Verdana" w:cs="宋体"/>
                <w:color w:val="auto"/>
                <w:kern w:val="0"/>
                <w:szCs w:val="21"/>
                <w:highlight w:val="none"/>
              </w:rPr>
              <w:t xml:space="preserve">自行验收 </w:t>
            </w:r>
            <w:r>
              <w:rPr>
                <w:rFonts w:hint="eastAsia" w:ascii="宋体" w:hAnsi="宋体" w:cs="宋体"/>
                <w:color w:val="auto"/>
                <w:kern w:val="0"/>
                <w:szCs w:val="21"/>
                <w:highlight w:val="none"/>
              </w:rPr>
              <w:t>□</w:t>
            </w:r>
            <w:r>
              <w:rPr>
                <w:rFonts w:ascii="Verdana" w:hAnsi="Verdana" w:cs="宋体"/>
                <w:color w:val="auto"/>
                <w:kern w:val="0"/>
                <w:szCs w:val="21"/>
                <w:highlight w:val="none"/>
              </w:rPr>
              <w:t>委托验收</w:t>
            </w:r>
          </w:p>
        </w:tc>
      </w:tr>
      <w:tr w14:paraId="5E5CED76">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noWrap w:val="0"/>
            <w:vAlign w:val="center"/>
          </w:tcPr>
          <w:p w14:paraId="14023CC9">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noWrap w:val="0"/>
            <w:vAlign w:val="center"/>
          </w:tcPr>
          <w:p w14:paraId="469126B1">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noWrap w:val="0"/>
            <w:vAlign w:val="center"/>
          </w:tcPr>
          <w:p w14:paraId="2B088FED">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196ADD60">
            <w:pPr>
              <w:widowControl/>
              <w:snapToGrid w:val="0"/>
              <w:spacing w:before="100" w:beforeAutospacing="1" w:after="100" w:afterAutospacing="1" w:line="320" w:lineRule="atLeast"/>
              <w:jc w:val="center"/>
              <w:rPr>
                <w:rFonts w:ascii="Verdana" w:hAnsi="Verdana" w:cs="宋体"/>
                <w:color w:val="auto"/>
                <w:kern w:val="0"/>
                <w:szCs w:val="21"/>
                <w:highlight w:val="none"/>
              </w:rPr>
            </w:pPr>
            <w:r>
              <w:rPr>
                <w:rFonts w:ascii="Verdana" w:hAnsi="Verdana" w:cs="宋体"/>
                <w:color w:val="auto"/>
                <w:kern w:val="0"/>
                <w:szCs w:val="21"/>
                <w:highlight w:val="none"/>
              </w:rPr>
              <w:t>数量</w:t>
            </w:r>
          </w:p>
        </w:tc>
        <w:tc>
          <w:tcPr>
            <w:tcW w:w="1428" w:type="dxa"/>
            <w:tcBorders>
              <w:top w:val="nil"/>
              <w:left w:val="nil"/>
              <w:bottom w:val="single" w:color="auto" w:sz="8" w:space="0"/>
              <w:right w:val="single" w:color="auto" w:sz="8" w:space="0"/>
            </w:tcBorders>
            <w:noWrap w:val="0"/>
            <w:vAlign w:val="center"/>
          </w:tcPr>
          <w:p w14:paraId="372EBFC8">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金额</w:t>
            </w:r>
          </w:p>
        </w:tc>
      </w:tr>
      <w:tr w14:paraId="4C11CB86">
        <w:tblPrEx>
          <w:tblCellMar>
            <w:top w:w="0" w:type="dxa"/>
            <w:left w:w="0" w:type="dxa"/>
            <w:bottom w:w="0" w:type="dxa"/>
            <w:right w:w="0" w:type="dxa"/>
          </w:tblCellMar>
        </w:tblPrEx>
        <w:trPr>
          <w:trHeight w:val="185" w:hRule="atLeast"/>
          <w:jc w:val="center"/>
        </w:trPr>
        <w:tc>
          <w:tcPr>
            <w:tcW w:w="804" w:type="dxa"/>
            <w:tcBorders>
              <w:top w:val="nil"/>
              <w:left w:val="single" w:color="auto" w:sz="8" w:space="0"/>
              <w:bottom w:val="single" w:color="auto" w:sz="8" w:space="0"/>
              <w:right w:val="single" w:color="auto" w:sz="8" w:space="0"/>
            </w:tcBorders>
            <w:noWrap w:val="0"/>
            <w:vAlign w:val="center"/>
          </w:tcPr>
          <w:p w14:paraId="0EEF1DE1">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6D15DF34">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03DBA9BF">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066DCC78">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0102CC64">
            <w:pPr>
              <w:widowControl/>
              <w:spacing w:before="100" w:beforeAutospacing="1" w:after="100" w:afterAutospacing="1" w:line="240" w:lineRule="atLeast"/>
              <w:jc w:val="center"/>
              <w:rPr>
                <w:rFonts w:ascii="Verdana" w:hAnsi="Verdana" w:cs="宋体"/>
                <w:color w:val="auto"/>
                <w:kern w:val="0"/>
                <w:szCs w:val="21"/>
                <w:highlight w:val="none"/>
              </w:rPr>
            </w:pPr>
          </w:p>
        </w:tc>
      </w:tr>
      <w:tr w14:paraId="049393E4">
        <w:tblPrEx>
          <w:tblCellMar>
            <w:top w:w="0" w:type="dxa"/>
            <w:left w:w="0" w:type="dxa"/>
            <w:bottom w:w="0" w:type="dxa"/>
            <w:right w:w="0" w:type="dxa"/>
          </w:tblCellMar>
        </w:tblPrEx>
        <w:trPr>
          <w:trHeight w:val="249" w:hRule="atLeast"/>
          <w:jc w:val="center"/>
        </w:trPr>
        <w:tc>
          <w:tcPr>
            <w:tcW w:w="804" w:type="dxa"/>
            <w:tcBorders>
              <w:top w:val="nil"/>
              <w:left w:val="single" w:color="auto" w:sz="8" w:space="0"/>
              <w:bottom w:val="single" w:color="auto" w:sz="8" w:space="0"/>
              <w:right w:val="single" w:color="auto" w:sz="8" w:space="0"/>
            </w:tcBorders>
            <w:noWrap w:val="0"/>
            <w:vAlign w:val="center"/>
          </w:tcPr>
          <w:p w14:paraId="52493288">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2421392D">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5DFE4911">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30414C55">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64AE9E5F">
            <w:pPr>
              <w:widowControl/>
              <w:spacing w:before="100" w:beforeAutospacing="1" w:after="100" w:afterAutospacing="1" w:line="240" w:lineRule="atLeast"/>
              <w:jc w:val="center"/>
              <w:rPr>
                <w:rFonts w:ascii="Verdana" w:hAnsi="Verdana" w:cs="宋体"/>
                <w:color w:val="auto"/>
                <w:kern w:val="0"/>
                <w:szCs w:val="21"/>
                <w:highlight w:val="none"/>
              </w:rPr>
            </w:pPr>
          </w:p>
        </w:tc>
      </w:tr>
      <w:tr w14:paraId="0CB3B7DC">
        <w:tblPrEx>
          <w:tblCellMar>
            <w:top w:w="0" w:type="dxa"/>
            <w:left w:w="0" w:type="dxa"/>
            <w:bottom w:w="0" w:type="dxa"/>
            <w:right w:w="0" w:type="dxa"/>
          </w:tblCellMar>
        </w:tblPrEx>
        <w:trPr>
          <w:trHeight w:val="223" w:hRule="atLeast"/>
          <w:jc w:val="center"/>
        </w:trPr>
        <w:tc>
          <w:tcPr>
            <w:tcW w:w="804" w:type="dxa"/>
            <w:tcBorders>
              <w:top w:val="nil"/>
              <w:left w:val="single" w:color="auto" w:sz="8" w:space="0"/>
              <w:bottom w:val="single" w:color="auto" w:sz="8" w:space="0"/>
              <w:right w:val="single" w:color="auto" w:sz="8" w:space="0"/>
            </w:tcBorders>
            <w:noWrap w:val="0"/>
            <w:vAlign w:val="center"/>
          </w:tcPr>
          <w:p w14:paraId="756A767D">
            <w:pPr>
              <w:widowControl/>
              <w:spacing w:before="100" w:beforeAutospacing="1" w:after="100" w:afterAutospacing="1" w:line="240" w:lineRule="atLeast"/>
              <w:jc w:val="center"/>
              <w:rPr>
                <w:rFonts w:ascii="Verdana" w:hAnsi="Verdana"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2B92A2F7">
            <w:pPr>
              <w:widowControl/>
              <w:spacing w:before="100" w:beforeAutospacing="1" w:after="100" w:afterAutospacing="1" w:line="240" w:lineRule="atLeast"/>
              <w:jc w:val="center"/>
              <w:rPr>
                <w:rFonts w:ascii="Verdana" w:hAnsi="Verdana"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310AE436">
            <w:pPr>
              <w:widowControl/>
              <w:spacing w:before="100" w:beforeAutospacing="1" w:after="100" w:afterAutospacing="1" w:line="240" w:lineRule="atLeast"/>
              <w:jc w:val="center"/>
              <w:rPr>
                <w:rFonts w:ascii="Verdana" w:hAnsi="Verdana"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38058747">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6558C65A">
            <w:pPr>
              <w:widowControl/>
              <w:spacing w:before="100" w:beforeAutospacing="1" w:after="100" w:afterAutospacing="1" w:line="240" w:lineRule="atLeast"/>
              <w:jc w:val="center"/>
              <w:rPr>
                <w:rFonts w:ascii="Verdana" w:hAnsi="Verdana" w:cs="宋体"/>
                <w:color w:val="auto"/>
                <w:kern w:val="0"/>
                <w:szCs w:val="21"/>
                <w:highlight w:val="none"/>
              </w:rPr>
            </w:pPr>
          </w:p>
        </w:tc>
      </w:tr>
      <w:tr w14:paraId="114E9951">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noWrap w:val="0"/>
            <w:vAlign w:val="center"/>
          </w:tcPr>
          <w:p w14:paraId="5DA055B2">
            <w:pPr>
              <w:widowControl/>
              <w:snapToGrid w:val="0"/>
              <w:spacing w:before="100" w:beforeAutospacing="1" w:after="100" w:afterAutospacing="1" w:line="320" w:lineRule="atLeast"/>
              <w:ind w:firstLine="5"/>
              <w:jc w:val="center"/>
              <w:rPr>
                <w:rFonts w:ascii="Verdana" w:hAnsi="Verdana" w:cs="宋体"/>
                <w:color w:val="auto"/>
                <w:kern w:val="0"/>
                <w:szCs w:val="21"/>
                <w:highlight w:val="none"/>
              </w:rPr>
            </w:pPr>
            <w:r>
              <w:rPr>
                <w:rFonts w:ascii="Verdana" w:hAnsi="Verdana"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noWrap w:val="0"/>
            <w:vAlign w:val="center"/>
          </w:tcPr>
          <w:p w14:paraId="33C29D7E">
            <w:pPr>
              <w:widowControl/>
              <w:spacing w:before="100" w:beforeAutospacing="1" w:after="100" w:afterAutospacing="1" w:line="240" w:lineRule="atLeast"/>
              <w:jc w:val="center"/>
              <w:rPr>
                <w:rFonts w:ascii="Verdana" w:hAnsi="Verdana"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7394CB97">
            <w:pPr>
              <w:widowControl/>
              <w:spacing w:before="100" w:beforeAutospacing="1" w:after="100" w:afterAutospacing="1" w:line="240" w:lineRule="atLeast"/>
              <w:jc w:val="center"/>
              <w:rPr>
                <w:rFonts w:ascii="Verdana" w:hAnsi="Verdana" w:cs="宋体"/>
                <w:color w:val="auto"/>
                <w:kern w:val="0"/>
                <w:szCs w:val="21"/>
                <w:highlight w:val="none"/>
              </w:rPr>
            </w:pPr>
          </w:p>
        </w:tc>
      </w:tr>
      <w:tr w14:paraId="5EC76347">
        <w:tblPrEx>
          <w:tblCellMar>
            <w:top w:w="0" w:type="dxa"/>
            <w:left w:w="0" w:type="dxa"/>
            <w:bottom w:w="0" w:type="dxa"/>
            <w:right w:w="0" w:type="dxa"/>
          </w:tblCellMar>
        </w:tblPrEx>
        <w:trPr>
          <w:trHeight w:val="519" w:hRule="atLeast"/>
          <w:jc w:val="center"/>
        </w:trPr>
        <w:tc>
          <w:tcPr>
            <w:tcW w:w="8445" w:type="dxa"/>
            <w:gridSpan w:val="9"/>
            <w:tcBorders>
              <w:top w:val="nil"/>
              <w:left w:val="single" w:color="auto" w:sz="8" w:space="0"/>
              <w:bottom w:val="single" w:color="auto" w:sz="8" w:space="0"/>
              <w:right w:val="single" w:color="auto" w:sz="8" w:space="0"/>
            </w:tcBorders>
            <w:noWrap w:val="0"/>
            <w:vAlign w:val="center"/>
          </w:tcPr>
          <w:p w14:paraId="67CCB665">
            <w:pPr>
              <w:widowControl/>
              <w:snapToGrid w:val="0"/>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 xml:space="preserve">合计大写金额：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万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仟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佰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拾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元</w:t>
            </w:r>
          </w:p>
        </w:tc>
      </w:tr>
      <w:tr w14:paraId="52F94F43">
        <w:tblPrEx>
          <w:tblCellMar>
            <w:top w:w="0" w:type="dxa"/>
            <w:left w:w="0" w:type="dxa"/>
            <w:bottom w:w="0" w:type="dxa"/>
            <w:right w:w="0" w:type="dxa"/>
          </w:tblCellMar>
        </w:tblPrEx>
        <w:trPr>
          <w:trHeight w:val="543" w:hRule="atLeast"/>
          <w:jc w:val="center"/>
        </w:trPr>
        <w:tc>
          <w:tcPr>
            <w:tcW w:w="1629" w:type="dxa"/>
            <w:gridSpan w:val="2"/>
            <w:tcBorders>
              <w:top w:val="nil"/>
              <w:left w:val="single" w:color="auto" w:sz="8" w:space="0"/>
              <w:bottom w:val="single" w:color="auto" w:sz="8" w:space="0"/>
              <w:right w:val="single" w:color="auto" w:sz="8" w:space="0"/>
            </w:tcBorders>
            <w:noWrap w:val="0"/>
            <w:vAlign w:val="center"/>
          </w:tcPr>
          <w:p w14:paraId="407B23AC">
            <w:pPr>
              <w:widowControl/>
              <w:snapToGrid w:val="0"/>
              <w:spacing w:before="100" w:beforeAutospacing="1" w:after="100" w:afterAutospacing="1" w:line="320" w:lineRule="atLeast"/>
              <w:ind w:firstLine="2"/>
              <w:jc w:val="center"/>
              <w:rPr>
                <w:rFonts w:ascii="Verdana" w:hAnsi="Verdana" w:cs="宋体"/>
                <w:color w:val="auto"/>
                <w:kern w:val="0"/>
                <w:szCs w:val="21"/>
                <w:highlight w:val="none"/>
              </w:rPr>
            </w:pPr>
            <w:r>
              <w:rPr>
                <w:rFonts w:ascii="Verdana" w:hAnsi="Verdana"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noWrap w:val="0"/>
            <w:vAlign w:val="center"/>
          </w:tcPr>
          <w:p w14:paraId="566BB923">
            <w:pPr>
              <w:widowControl/>
              <w:spacing w:before="100" w:beforeAutospacing="1" w:after="100" w:afterAutospacing="1" w:line="240" w:lineRule="atLeast"/>
              <w:jc w:val="center"/>
              <w:rPr>
                <w:rFonts w:ascii="Verdana" w:hAnsi="Verdana"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27C5D71B">
            <w:pPr>
              <w:widowControl/>
              <w:snapToGrid w:val="0"/>
              <w:spacing w:before="100" w:beforeAutospacing="1" w:after="100" w:afterAutospacing="1" w:line="320" w:lineRule="atLeast"/>
              <w:ind w:firstLine="46"/>
              <w:jc w:val="center"/>
              <w:rPr>
                <w:rFonts w:ascii="Verdana" w:hAnsi="Verdana" w:cs="宋体"/>
                <w:color w:val="auto"/>
                <w:kern w:val="0"/>
                <w:szCs w:val="21"/>
                <w:highlight w:val="none"/>
              </w:rPr>
            </w:pPr>
            <w:r>
              <w:rPr>
                <w:rFonts w:ascii="Verdana" w:hAnsi="Verdana"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noWrap w:val="0"/>
            <w:vAlign w:val="center"/>
          </w:tcPr>
          <w:p w14:paraId="76F866A3">
            <w:pPr>
              <w:widowControl/>
              <w:spacing w:before="100" w:beforeAutospacing="1" w:after="100" w:afterAutospacing="1" w:line="240" w:lineRule="atLeast"/>
              <w:jc w:val="center"/>
              <w:rPr>
                <w:rFonts w:ascii="Verdana" w:hAnsi="Verdana" w:cs="宋体"/>
                <w:color w:val="auto"/>
                <w:kern w:val="0"/>
                <w:szCs w:val="21"/>
                <w:highlight w:val="none"/>
              </w:rPr>
            </w:pPr>
          </w:p>
        </w:tc>
      </w:tr>
      <w:tr w14:paraId="2E8E67F7">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2FA6A39">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2B0029B8">
            <w:pPr>
              <w:widowControl/>
              <w:snapToGrid w:val="0"/>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1778BA8C">
        <w:tblPrEx>
          <w:tblCellMar>
            <w:top w:w="0" w:type="dxa"/>
            <w:left w:w="0" w:type="dxa"/>
            <w:bottom w:w="0" w:type="dxa"/>
            <w:right w:w="0" w:type="dxa"/>
          </w:tblCellMar>
        </w:tblPrEx>
        <w:trPr>
          <w:trHeight w:val="634" w:hRule="atLeast"/>
          <w:jc w:val="center"/>
        </w:trPr>
        <w:tc>
          <w:tcPr>
            <w:tcW w:w="1629" w:type="dxa"/>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9580C0E">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noWrap w:val="0"/>
            <w:vAlign w:val="center"/>
          </w:tcPr>
          <w:p w14:paraId="30DD6E8C">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验收结论性意见：</w:t>
            </w:r>
          </w:p>
        </w:tc>
      </w:tr>
      <w:tr w14:paraId="3490B6A8">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noWrap w:val="0"/>
            <w:vAlign w:val="center"/>
          </w:tcPr>
          <w:p w14:paraId="1DEEA97E">
            <w:pPr>
              <w:widowControl/>
              <w:jc w:val="left"/>
              <w:rPr>
                <w:rFonts w:ascii="Verdana" w:hAnsi="Verdana" w:cs="宋体"/>
                <w:color w:val="auto"/>
                <w:kern w:val="0"/>
                <w:szCs w:val="21"/>
                <w:highlight w:val="none"/>
              </w:rPr>
            </w:pPr>
          </w:p>
        </w:tc>
        <w:tc>
          <w:tcPr>
            <w:tcW w:w="6816" w:type="dxa"/>
            <w:gridSpan w:val="7"/>
            <w:tcBorders>
              <w:top w:val="nil"/>
              <w:left w:val="nil"/>
              <w:bottom w:val="single" w:color="auto" w:sz="8" w:space="0"/>
              <w:right w:val="single" w:color="auto" w:sz="8" w:space="0"/>
            </w:tcBorders>
            <w:noWrap w:val="0"/>
            <w:vAlign w:val="center"/>
          </w:tcPr>
          <w:p w14:paraId="088BA518">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有异议的意见和说明理由：</w:t>
            </w:r>
          </w:p>
          <w:p w14:paraId="1624BDBA">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签字：</w:t>
            </w:r>
          </w:p>
        </w:tc>
      </w:tr>
      <w:tr w14:paraId="5A9517B1">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2CB96942">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验收小组成员签字：</w:t>
            </w:r>
          </w:p>
        </w:tc>
      </w:tr>
      <w:tr w14:paraId="232E9889">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0F2D3F9">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监督人员或者</w:t>
            </w:r>
            <w:r>
              <w:rPr>
                <w:rFonts w:hint="eastAsia" w:ascii="Verdana" w:hAnsi="Verdana" w:cs="宋体"/>
                <w:color w:val="auto"/>
                <w:kern w:val="0"/>
                <w:szCs w:val="21"/>
                <w:highlight w:val="none"/>
              </w:rPr>
              <w:t>其他</w:t>
            </w:r>
            <w:r>
              <w:rPr>
                <w:rFonts w:ascii="Verdana" w:hAnsi="Verdana" w:cs="宋体"/>
                <w:color w:val="auto"/>
                <w:kern w:val="0"/>
                <w:szCs w:val="21"/>
                <w:highlight w:val="none"/>
              </w:rPr>
              <w:t>相关人员签字：</w:t>
            </w:r>
          </w:p>
          <w:p w14:paraId="247EFCFE">
            <w:pPr>
              <w:widowControl/>
              <w:spacing w:before="100" w:beforeAutospacing="1" w:after="100" w:afterAutospacing="1" w:line="320" w:lineRule="atLeast"/>
              <w:ind w:firstLine="74"/>
              <w:jc w:val="left"/>
              <w:rPr>
                <w:rFonts w:ascii="Verdana" w:hAnsi="Verdana" w:cs="宋体"/>
                <w:color w:val="auto"/>
                <w:kern w:val="0"/>
                <w:szCs w:val="21"/>
                <w:highlight w:val="none"/>
              </w:rPr>
            </w:pPr>
            <w:r>
              <w:rPr>
                <w:rFonts w:ascii="Verdana" w:hAnsi="Verdana" w:cs="宋体"/>
                <w:color w:val="auto"/>
                <w:kern w:val="0"/>
                <w:szCs w:val="21"/>
                <w:highlight w:val="none"/>
              </w:rPr>
              <w:t>或者受邀机构的意见（盖章）：</w:t>
            </w:r>
          </w:p>
        </w:tc>
      </w:tr>
      <w:tr w14:paraId="59FE84F4">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single" w:color="auto" w:sz="4" w:space="0"/>
            </w:tcBorders>
            <w:noWrap w:val="0"/>
            <w:tcMar>
              <w:top w:w="0" w:type="dxa"/>
              <w:left w:w="108" w:type="dxa"/>
              <w:bottom w:w="0" w:type="dxa"/>
              <w:right w:w="108" w:type="dxa"/>
            </w:tcMar>
            <w:vAlign w:val="center"/>
          </w:tcPr>
          <w:p w14:paraId="44C1D821">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成交供应商负责人签字或者盖章：</w:t>
            </w:r>
          </w:p>
          <w:p w14:paraId="3C37AF9A">
            <w:pPr>
              <w:widowControl/>
              <w:spacing w:before="100" w:beforeAutospacing="1" w:after="100" w:afterAutospacing="1" w:line="320" w:lineRule="atLeast"/>
              <w:jc w:val="left"/>
              <w:rPr>
                <w:rFonts w:ascii="Verdana" w:hAnsi="Verdana" w:cs="宋体"/>
                <w:color w:val="auto"/>
                <w:kern w:val="0"/>
                <w:szCs w:val="21"/>
                <w:highlight w:val="none"/>
              </w:rPr>
            </w:pPr>
          </w:p>
          <w:p w14:paraId="045877A3">
            <w:pPr>
              <w:widowControl/>
              <w:spacing w:before="100" w:beforeAutospacing="1" w:after="100" w:afterAutospacing="1" w:line="320" w:lineRule="atLeast"/>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w:t>
            </w:r>
          </w:p>
          <w:p w14:paraId="253A7310">
            <w:pPr>
              <w:widowControl/>
              <w:spacing w:before="100" w:beforeAutospacing="1" w:after="100" w:afterAutospacing="1" w:line="320" w:lineRule="atLeast"/>
              <w:ind w:firstLine="2730" w:firstLineChars="1300"/>
              <w:jc w:val="left"/>
              <w:rPr>
                <w:rFonts w:ascii="Verdana" w:hAnsi="Verdana" w:cs="宋体"/>
                <w:color w:val="auto"/>
                <w:kern w:val="0"/>
                <w:szCs w:val="21"/>
                <w:highlight w:val="none"/>
              </w:rPr>
            </w:pP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 </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日</w:t>
            </w:r>
          </w:p>
        </w:tc>
        <w:tc>
          <w:tcPr>
            <w:tcW w:w="4293" w:type="dxa"/>
            <w:gridSpan w:val="4"/>
            <w:tcBorders>
              <w:top w:val="nil"/>
              <w:left w:val="single" w:color="auto" w:sz="4" w:space="0"/>
              <w:bottom w:val="single" w:color="auto" w:sz="8" w:space="0"/>
              <w:right w:val="single" w:color="auto" w:sz="8" w:space="0"/>
            </w:tcBorders>
            <w:noWrap w:val="0"/>
            <w:vAlign w:val="center"/>
          </w:tcPr>
          <w:p w14:paraId="0EE3FB8A">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采购人或者受托机构的意见（盖章）：</w:t>
            </w:r>
          </w:p>
          <w:p w14:paraId="479FC4D2">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p>
          <w:p w14:paraId="3FCB1F05">
            <w:pPr>
              <w:widowControl/>
              <w:spacing w:before="100" w:beforeAutospacing="1" w:after="100" w:afterAutospacing="1" w:line="320" w:lineRule="atLeast"/>
              <w:ind w:firstLine="210" w:firstLineChars="100"/>
              <w:jc w:val="left"/>
              <w:rPr>
                <w:rFonts w:ascii="Verdana" w:hAnsi="Verdana" w:cs="宋体"/>
                <w:color w:val="auto"/>
                <w:kern w:val="0"/>
                <w:szCs w:val="21"/>
                <w:highlight w:val="none"/>
              </w:rPr>
            </w:pPr>
            <w:r>
              <w:rPr>
                <w:rFonts w:ascii="Verdana" w:hAnsi="Verdana" w:cs="宋体"/>
                <w:color w:val="auto"/>
                <w:kern w:val="0"/>
                <w:szCs w:val="21"/>
                <w:highlight w:val="none"/>
              </w:rPr>
              <w:t>联系电话：</w:t>
            </w:r>
            <w:r>
              <w:rPr>
                <w:rFonts w:hint="eastAsia" w:ascii="Verdana" w:hAnsi="Verdana" w:cs="宋体"/>
                <w:color w:val="auto"/>
                <w:kern w:val="0"/>
                <w:szCs w:val="21"/>
                <w:highlight w:val="none"/>
              </w:rPr>
              <w:t xml:space="preserve">               </w:t>
            </w:r>
          </w:p>
          <w:p w14:paraId="40E1D9D1">
            <w:pPr>
              <w:widowControl/>
              <w:spacing w:before="100" w:beforeAutospacing="1" w:after="100" w:afterAutospacing="1" w:line="320" w:lineRule="atLeast"/>
              <w:ind w:firstLine="2310" w:firstLineChars="1100"/>
              <w:jc w:val="left"/>
              <w:rPr>
                <w:rFonts w:ascii="Verdana" w:hAnsi="Verdana" w:cs="宋体"/>
                <w:color w:val="auto"/>
                <w:kern w:val="0"/>
                <w:szCs w:val="21"/>
                <w:highlight w:val="none"/>
              </w:rPr>
            </w:pP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年</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月</w:t>
            </w:r>
            <w:r>
              <w:rPr>
                <w:rFonts w:hint="eastAsia" w:ascii="Verdana" w:hAnsi="Verdana" w:cs="宋体"/>
                <w:color w:val="auto"/>
                <w:kern w:val="0"/>
                <w:szCs w:val="21"/>
                <w:highlight w:val="none"/>
              </w:rPr>
              <w:t xml:space="preserve"> </w:t>
            </w:r>
            <w:r>
              <w:rPr>
                <w:rFonts w:ascii="Verdana" w:hAnsi="Verdana" w:cs="宋体"/>
                <w:color w:val="auto"/>
                <w:kern w:val="0"/>
                <w:szCs w:val="21"/>
                <w:highlight w:val="none"/>
              </w:rPr>
              <w:t xml:space="preserve"> 日</w:t>
            </w:r>
          </w:p>
        </w:tc>
      </w:tr>
    </w:tbl>
    <w:p w14:paraId="0D36A685">
      <w:pPr>
        <w:rPr>
          <w:rFonts w:hint="eastAsia" w:ascii="宋体" w:hAnsi="宋体" w:cs="宋体"/>
          <w:color w:val="auto"/>
          <w:sz w:val="28"/>
          <w:szCs w:val="28"/>
          <w:highlight w:val="none"/>
        </w:rPr>
        <w:sectPr>
          <w:footerReference r:id="rId9" w:type="default"/>
          <w:pgSz w:w="11906" w:h="16838"/>
          <w:pgMar w:top="1440" w:right="1349" w:bottom="1440" w:left="1349" w:header="851" w:footer="992" w:gutter="0"/>
          <w:cols w:space="720" w:num="1"/>
          <w:docGrid w:linePitch="312" w:charSpace="0"/>
        </w:sectPr>
      </w:pPr>
    </w:p>
    <w:p w14:paraId="5693E6FF">
      <w:pPr>
        <w:rPr>
          <w:rFonts w:ascii="宋体" w:hAnsi="宋体" w:cs="宋体"/>
          <w:color w:val="auto"/>
          <w:sz w:val="28"/>
          <w:szCs w:val="28"/>
          <w:highlight w:val="none"/>
        </w:rPr>
      </w:pPr>
      <w:r>
        <w:rPr>
          <w:rFonts w:hint="eastAsia" w:ascii="宋体" w:hAnsi="宋体" w:cs="宋体"/>
          <w:color w:val="auto"/>
          <w:sz w:val="28"/>
          <w:szCs w:val="28"/>
          <w:highlight w:val="none"/>
        </w:rPr>
        <w:t>4.政府采购项目履约保证金退付意见书的格式：</w:t>
      </w:r>
    </w:p>
    <w:p w14:paraId="5C13E167">
      <w:pPr>
        <w:pStyle w:val="21"/>
        <w:snapToGrid w:val="0"/>
        <w:rPr>
          <w:rFonts w:ascii="黑体" w:hAnsi="黑体" w:eastAsia="黑体" w:cs="黑体"/>
          <w:color w:val="auto"/>
          <w:sz w:val="32"/>
          <w:szCs w:val="32"/>
          <w:highlight w:val="none"/>
        </w:rPr>
      </w:pPr>
    </w:p>
    <w:p w14:paraId="11AABD44">
      <w:pPr>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政府采购项目履约保证金退付意见书（参考）</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2E2A9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noWrap w:val="0"/>
            <w:vAlign w:val="center"/>
          </w:tcPr>
          <w:p w14:paraId="71D7A337">
            <w:pPr>
              <w:jc w:val="center"/>
              <w:rPr>
                <w:color w:val="auto"/>
                <w:sz w:val="24"/>
                <w:highlight w:val="none"/>
              </w:rPr>
            </w:pPr>
            <w:r>
              <w:rPr>
                <w:rFonts w:hint="eastAsia"/>
                <w:color w:val="auto"/>
                <w:sz w:val="24"/>
                <w:highlight w:val="none"/>
              </w:rPr>
              <w:t>供</w:t>
            </w:r>
          </w:p>
          <w:p w14:paraId="72C1820D">
            <w:pPr>
              <w:jc w:val="center"/>
              <w:rPr>
                <w:color w:val="auto"/>
                <w:sz w:val="24"/>
                <w:highlight w:val="none"/>
              </w:rPr>
            </w:pPr>
            <w:r>
              <w:rPr>
                <w:rFonts w:hint="eastAsia"/>
                <w:color w:val="auto"/>
                <w:sz w:val="24"/>
                <w:highlight w:val="none"/>
              </w:rPr>
              <w:t>应</w:t>
            </w:r>
          </w:p>
          <w:p w14:paraId="3F9951B5">
            <w:pPr>
              <w:jc w:val="center"/>
              <w:rPr>
                <w:color w:val="auto"/>
                <w:sz w:val="24"/>
                <w:highlight w:val="none"/>
              </w:rPr>
            </w:pPr>
            <w:r>
              <w:rPr>
                <w:rFonts w:hint="eastAsia"/>
                <w:color w:val="auto"/>
                <w:sz w:val="24"/>
                <w:highlight w:val="none"/>
              </w:rPr>
              <w:t>商</w:t>
            </w:r>
          </w:p>
          <w:p w14:paraId="779C31EF">
            <w:pPr>
              <w:jc w:val="center"/>
              <w:rPr>
                <w:color w:val="auto"/>
                <w:sz w:val="24"/>
                <w:highlight w:val="none"/>
              </w:rPr>
            </w:pPr>
            <w:r>
              <w:rPr>
                <w:rFonts w:hint="eastAsia"/>
                <w:color w:val="auto"/>
                <w:sz w:val="24"/>
                <w:highlight w:val="none"/>
              </w:rPr>
              <w:t>申</w:t>
            </w:r>
          </w:p>
          <w:p w14:paraId="4A3E8C1B">
            <w:pPr>
              <w:jc w:val="center"/>
              <w:rPr>
                <w:color w:val="auto"/>
                <w:sz w:val="24"/>
                <w:highlight w:val="none"/>
              </w:rPr>
            </w:pPr>
            <w:r>
              <w:rPr>
                <w:rFonts w:hint="eastAsia"/>
                <w:color w:val="auto"/>
                <w:sz w:val="24"/>
                <w:highlight w:val="none"/>
              </w:rPr>
              <w:t>请</w:t>
            </w:r>
          </w:p>
        </w:tc>
        <w:tc>
          <w:tcPr>
            <w:tcW w:w="8009" w:type="dxa"/>
            <w:noWrap w:val="0"/>
            <w:vAlign w:val="center"/>
          </w:tcPr>
          <w:p w14:paraId="6FA4E0C4">
            <w:pPr>
              <w:rPr>
                <w:color w:val="auto"/>
                <w:sz w:val="24"/>
                <w:highlight w:val="none"/>
              </w:rPr>
            </w:pPr>
            <w:r>
              <w:rPr>
                <w:rFonts w:hint="eastAsia"/>
                <w:color w:val="auto"/>
                <w:sz w:val="24"/>
                <w:highlight w:val="none"/>
              </w:rPr>
              <w:t>项目编号：</w:t>
            </w:r>
          </w:p>
        </w:tc>
      </w:tr>
      <w:tr w14:paraId="3D6BE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noWrap w:val="0"/>
            <w:vAlign w:val="center"/>
          </w:tcPr>
          <w:p w14:paraId="6DD9855D">
            <w:pPr>
              <w:rPr>
                <w:color w:val="auto"/>
                <w:sz w:val="24"/>
                <w:highlight w:val="none"/>
              </w:rPr>
            </w:pPr>
          </w:p>
        </w:tc>
        <w:tc>
          <w:tcPr>
            <w:tcW w:w="8009" w:type="dxa"/>
            <w:noWrap w:val="0"/>
            <w:vAlign w:val="center"/>
          </w:tcPr>
          <w:p w14:paraId="50E8BBB2">
            <w:pPr>
              <w:rPr>
                <w:color w:val="auto"/>
                <w:sz w:val="24"/>
                <w:highlight w:val="none"/>
              </w:rPr>
            </w:pPr>
            <w:r>
              <w:rPr>
                <w:rFonts w:hint="eastAsia"/>
                <w:color w:val="auto"/>
                <w:sz w:val="24"/>
                <w:highlight w:val="none"/>
              </w:rPr>
              <w:t>项目名称：</w:t>
            </w:r>
          </w:p>
        </w:tc>
      </w:tr>
      <w:tr w14:paraId="742B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noWrap w:val="0"/>
            <w:vAlign w:val="top"/>
          </w:tcPr>
          <w:p w14:paraId="40411C44">
            <w:pPr>
              <w:rPr>
                <w:color w:val="auto"/>
                <w:sz w:val="24"/>
                <w:highlight w:val="none"/>
              </w:rPr>
            </w:pPr>
          </w:p>
        </w:tc>
        <w:tc>
          <w:tcPr>
            <w:tcW w:w="8009" w:type="dxa"/>
            <w:noWrap w:val="0"/>
            <w:vAlign w:val="top"/>
          </w:tcPr>
          <w:p w14:paraId="519D96CD">
            <w:pPr>
              <w:rPr>
                <w:color w:val="auto"/>
                <w:sz w:val="24"/>
                <w:highlight w:val="none"/>
              </w:rPr>
            </w:pPr>
            <w:r>
              <w:rPr>
                <w:rFonts w:hint="eastAsia"/>
                <w:color w:val="auto"/>
                <w:sz w:val="24"/>
                <w:highlight w:val="none"/>
              </w:rPr>
              <w:t xml:space="preserve">  </w:t>
            </w:r>
          </w:p>
          <w:p w14:paraId="77DDFA86">
            <w:pPr>
              <w:ind w:firstLine="480" w:firstLineChars="200"/>
              <w:jc w:val="left"/>
              <w:rPr>
                <w:color w:val="auto"/>
                <w:sz w:val="24"/>
                <w:highlight w:val="none"/>
              </w:rPr>
            </w:pPr>
            <w:r>
              <w:rPr>
                <w:rFonts w:hint="eastAsia"/>
                <w:color w:val="auto"/>
                <w:sz w:val="24"/>
                <w:highlight w:val="none"/>
              </w:rPr>
              <w:t>根据合同要求，该项目已于</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月</w:t>
            </w:r>
            <w:r>
              <w:rPr>
                <w:rFonts w:hint="eastAsia"/>
                <w:color w:val="auto"/>
                <w:sz w:val="24"/>
                <w:highlight w:val="none"/>
                <w:u w:val="single"/>
              </w:rPr>
              <w:t xml:space="preserve">     </w:t>
            </w:r>
            <w:r>
              <w:rPr>
                <w:rFonts w:hint="eastAsia"/>
                <w:color w:val="auto"/>
                <w:sz w:val="24"/>
                <w:highlight w:val="none"/>
              </w:rPr>
              <w:t>日完成，并向采购人提交本项目定稿的、经相关单位签字盖章的跟踪审计报告（附跟踪审计日志）和结算审核报告。根据合同约定，该项目的履约保证金期限于</w:t>
            </w:r>
            <w:r>
              <w:rPr>
                <w:rFonts w:hint="eastAsia"/>
                <w:color w:val="auto"/>
                <w:sz w:val="24"/>
                <w:highlight w:val="none"/>
                <w:u w:val="single"/>
              </w:rPr>
              <w:t xml:space="preserve">     </w:t>
            </w:r>
            <w:r>
              <w:rPr>
                <w:rFonts w:hint="eastAsia"/>
                <w:color w:val="auto"/>
                <w:sz w:val="24"/>
                <w:highlight w:val="none"/>
              </w:rPr>
              <w:t xml:space="preserve">         </w:t>
            </w:r>
            <w:r>
              <w:rPr>
                <w:rFonts w:hint="eastAsia"/>
                <w:color w:val="auto"/>
                <w:sz w:val="24"/>
                <w:highlight w:val="none"/>
                <w:u w:val="single"/>
              </w:rPr>
              <w:t xml:space="preserve"> </w:t>
            </w:r>
            <w:r>
              <w:rPr>
                <w:rFonts w:hint="eastAsia"/>
                <w:color w:val="auto"/>
                <w:sz w:val="24"/>
                <w:highlight w:val="none"/>
              </w:rPr>
              <w:t>年</w:t>
            </w:r>
            <w:r>
              <w:rPr>
                <w:rFonts w:hint="eastAsia"/>
                <w:color w:val="auto"/>
                <w:sz w:val="24"/>
                <w:highlight w:val="none"/>
                <w:u w:val="single"/>
              </w:rPr>
              <w:t xml:space="preserve">       </w:t>
            </w:r>
            <w:r>
              <w:rPr>
                <w:rFonts w:hint="eastAsia"/>
                <w:color w:val="auto"/>
                <w:sz w:val="24"/>
                <w:highlight w:val="none"/>
              </w:rPr>
              <w:t xml:space="preserve"> 月 </w:t>
            </w:r>
            <w:r>
              <w:rPr>
                <w:rFonts w:hint="eastAsia"/>
                <w:color w:val="auto"/>
                <w:sz w:val="24"/>
                <w:highlight w:val="none"/>
                <w:u w:val="single"/>
              </w:rPr>
              <w:t xml:space="preserve">       </w:t>
            </w:r>
            <w:r>
              <w:rPr>
                <w:rFonts w:hint="eastAsia"/>
                <w:color w:val="auto"/>
                <w:sz w:val="24"/>
                <w:highlight w:val="none"/>
              </w:rPr>
              <w:t>日已满，请将履约保证金</w:t>
            </w:r>
          </w:p>
          <w:p w14:paraId="3237879E">
            <w:pPr>
              <w:rPr>
                <w:color w:val="auto"/>
                <w:sz w:val="24"/>
                <w:highlight w:val="none"/>
              </w:rPr>
            </w:pPr>
            <w:r>
              <w:rPr>
                <w:rFonts w:hint="eastAsia"/>
                <w:color w:val="auto"/>
                <w:sz w:val="24"/>
                <w:highlight w:val="none"/>
              </w:rPr>
              <w:t>（大写）</w:t>
            </w:r>
            <w:r>
              <w:rPr>
                <w:rFonts w:hint="eastAsia"/>
                <w:color w:val="auto"/>
                <w:sz w:val="24"/>
                <w:highlight w:val="none"/>
                <w:u w:val="single"/>
              </w:rPr>
              <w:t xml:space="preserve">人民币                            </w:t>
            </w:r>
            <w:r>
              <w:rPr>
                <w:rFonts w:hint="eastAsia"/>
                <w:color w:val="auto"/>
                <w:sz w:val="24"/>
                <w:highlight w:val="none"/>
              </w:rPr>
              <w:t>（小写）¥</w:t>
            </w:r>
            <w:r>
              <w:rPr>
                <w:rFonts w:hint="eastAsia"/>
                <w:color w:val="auto"/>
                <w:sz w:val="24"/>
                <w:highlight w:val="none"/>
                <w:u w:val="single"/>
              </w:rPr>
              <w:t xml:space="preserve">          </w:t>
            </w:r>
            <w:r>
              <w:rPr>
                <w:rFonts w:hint="eastAsia"/>
                <w:color w:val="auto"/>
                <w:sz w:val="24"/>
                <w:highlight w:val="none"/>
              </w:rPr>
              <w:t>退付到达以下账户。</w:t>
            </w:r>
          </w:p>
          <w:p w14:paraId="00B35822">
            <w:pPr>
              <w:rPr>
                <w:color w:val="auto"/>
                <w:sz w:val="24"/>
                <w:highlight w:val="none"/>
              </w:rPr>
            </w:pPr>
            <w:r>
              <w:rPr>
                <w:rFonts w:hint="eastAsia"/>
                <w:color w:val="auto"/>
                <w:sz w:val="24"/>
                <w:highlight w:val="none"/>
              </w:rPr>
              <w:t>单位名称：</w:t>
            </w:r>
          </w:p>
          <w:p w14:paraId="2886BA9C">
            <w:pPr>
              <w:rPr>
                <w:color w:val="auto"/>
                <w:sz w:val="24"/>
                <w:highlight w:val="none"/>
              </w:rPr>
            </w:pPr>
            <w:r>
              <w:rPr>
                <w:rFonts w:hint="eastAsia"/>
                <w:color w:val="auto"/>
                <w:sz w:val="24"/>
                <w:highlight w:val="none"/>
              </w:rPr>
              <w:t>开户银行：</w:t>
            </w:r>
          </w:p>
          <w:p w14:paraId="1AC65AE6">
            <w:pPr>
              <w:rPr>
                <w:color w:val="auto"/>
                <w:sz w:val="24"/>
                <w:highlight w:val="none"/>
              </w:rPr>
            </w:pPr>
            <w:r>
              <w:rPr>
                <w:rFonts w:hint="eastAsia"/>
                <w:color w:val="auto"/>
                <w:sz w:val="24"/>
                <w:highlight w:val="none"/>
              </w:rPr>
              <w:t>账    号：</w:t>
            </w:r>
          </w:p>
          <w:p w14:paraId="63FED1CD">
            <w:pPr>
              <w:rPr>
                <w:color w:val="auto"/>
                <w:sz w:val="24"/>
                <w:highlight w:val="none"/>
              </w:rPr>
            </w:pPr>
            <w:r>
              <w:rPr>
                <w:rFonts w:hint="eastAsia"/>
                <w:color w:val="auto"/>
                <w:sz w:val="24"/>
                <w:highlight w:val="none"/>
              </w:rPr>
              <w:t>联系人及电话：</w:t>
            </w:r>
          </w:p>
          <w:p w14:paraId="2B100253">
            <w:pPr>
              <w:rPr>
                <w:color w:val="auto"/>
                <w:sz w:val="24"/>
                <w:highlight w:val="none"/>
              </w:rPr>
            </w:pPr>
          </w:p>
          <w:p w14:paraId="3F13546A">
            <w:pPr>
              <w:jc w:val="center"/>
              <w:rPr>
                <w:color w:val="auto"/>
                <w:sz w:val="24"/>
                <w:highlight w:val="none"/>
              </w:rPr>
            </w:pPr>
            <w:r>
              <w:rPr>
                <w:rFonts w:hint="eastAsia"/>
                <w:color w:val="auto"/>
                <w:sz w:val="24"/>
                <w:highlight w:val="none"/>
              </w:rPr>
              <w:t xml:space="preserve">                           供应商签章：</w:t>
            </w:r>
          </w:p>
          <w:p w14:paraId="7CE7E4D8">
            <w:pPr>
              <w:jc w:val="center"/>
              <w:rPr>
                <w:color w:val="auto"/>
                <w:sz w:val="24"/>
                <w:highlight w:val="none"/>
              </w:rPr>
            </w:pPr>
            <w:r>
              <w:rPr>
                <w:rFonts w:hint="eastAsia"/>
                <w:color w:val="auto"/>
                <w:sz w:val="24"/>
                <w:highlight w:val="none"/>
              </w:rPr>
              <w:t xml:space="preserve">                                                年    月    日</w:t>
            </w:r>
          </w:p>
        </w:tc>
      </w:tr>
      <w:tr w14:paraId="225E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noWrap w:val="0"/>
            <w:vAlign w:val="center"/>
          </w:tcPr>
          <w:p w14:paraId="418B9FED">
            <w:pPr>
              <w:jc w:val="center"/>
              <w:rPr>
                <w:color w:val="auto"/>
                <w:sz w:val="24"/>
                <w:highlight w:val="none"/>
              </w:rPr>
            </w:pPr>
            <w:r>
              <w:rPr>
                <w:rFonts w:hint="eastAsia"/>
                <w:color w:val="auto"/>
                <w:sz w:val="24"/>
                <w:highlight w:val="none"/>
              </w:rPr>
              <w:t>采</w:t>
            </w:r>
          </w:p>
          <w:p w14:paraId="1B9293CC">
            <w:pPr>
              <w:jc w:val="center"/>
              <w:rPr>
                <w:color w:val="auto"/>
                <w:sz w:val="24"/>
                <w:highlight w:val="none"/>
              </w:rPr>
            </w:pPr>
            <w:r>
              <w:rPr>
                <w:rFonts w:hint="eastAsia"/>
                <w:color w:val="auto"/>
                <w:sz w:val="24"/>
                <w:highlight w:val="none"/>
              </w:rPr>
              <w:t>购</w:t>
            </w:r>
          </w:p>
          <w:p w14:paraId="76885833">
            <w:pPr>
              <w:jc w:val="center"/>
              <w:rPr>
                <w:color w:val="auto"/>
                <w:sz w:val="24"/>
                <w:highlight w:val="none"/>
              </w:rPr>
            </w:pPr>
            <w:r>
              <w:rPr>
                <w:rFonts w:hint="eastAsia"/>
                <w:color w:val="auto"/>
                <w:sz w:val="24"/>
                <w:highlight w:val="none"/>
              </w:rPr>
              <w:t>单</w:t>
            </w:r>
          </w:p>
          <w:p w14:paraId="4B4E75D0">
            <w:pPr>
              <w:jc w:val="center"/>
              <w:rPr>
                <w:color w:val="auto"/>
                <w:sz w:val="24"/>
                <w:highlight w:val="none"/>
              </w:rPr>
            </w:pPr>
            <w:r>
              <w:rPr>
                <w:rFonts w:hint="eastAsia"/>
                <w:color w:val="auto"/>
                <w:sz w:val="24"/>
                <w:highlight w:val="none"/>
              </w:rPr>
              <w:t>位</w:t>
            </w:r>
          </w:p>
          <w:p w14:paraId="7BE138E5">
            <w:pPr>
              <w:jc w:val="center"/>
              <w:rPr>
                <w:color w:val="auto"/>
                <w:sz w:val="24"/>
                <w:highlight w:val="none"/>
              </w:rPr>
            </w:pPr>
            <w:r>
              <w:rPr>
                <w:rFonts w:hint="eastAsia"/>
                <w:color w:val="auto"/>
                <w:sz w:val="24"/>
                <w:highlight w:val="none"/>
              </w:rPr>
              <w:t>意</w:t>
            </w:r>
          </w:p>
          <w:p w14:paraId="58D6D5ED">
            <w:pPr>
              <w:jc w:val="center"/>
              <w:rPr>
                <w:color w:val="auto"/>
                <w:sz w:val="24"/>
                <w:highlight w:val="none"/>
              </w:rPr>
            </w:pPr>
            <w:r>
              <w:rPr>
                <w:rFonts w:hint="eastAsia"/>
                <w:color w:val="auto"/>
                <w:sz w:val="24"/>
                <w:highlight w:val="none"/>
              </w:rPr>
              <w:t>见</w:t>
            </w:r>
          </w:p>
        </w:tc>
        <w:tc>
          <w:tcPr>
            <w:tcW w:w="8009" w:type="dxa"/>
            <w:noWrap w:val="0"/>
            <w:vAlign w:val="top"/>
          </w:tcPr>
          <w:p w14:paraId="7B6F222F">
            <w:pPr>
              <w:rPr>
                <w:color w:val="auto"/>
                <w:sz w:val="24"/>
                <w:highlight w:val="none"/>
              </w:rPr>
            </w:pPr>
          </w:p>
          <w:p w14:paraId="55A7E7F9">
            <w:pPr>
              <w:rPr>
                <w:color w:val="auto"/>
                <w:sz w:val="24"/>
                <w:highlight w:val="none"/>
              </w:rPr>
            </w:pPr>
            <w:r>
              <w:rPr>
                <w:rFonts w:hint="eastAsia"/>
                <w:color w:val="auto"/>
                <w:sz w:val="24"/>
                <w:highlight w:val="none"/>
              </w:rPr>
              <w:t>退付意见：是否同意退付履约保证金及退付金额：</w:t>
            </w:r>
          </w:p>
          <w:p w14:paraId="65BA4E37">
            <w:pPr>
              <w:rPr>
                <w:color w:val="auto"/>
                <w:sz w:val="24"/>
                <w:highlight w:val="none"/>
              </w:rPr>
            </w:pPr>
          </w:p>
          <w:p w14:paraId="02F1E6F3">
            <w:pPr>
              <w:rPr>
                <w:color w:val="auto"/>
                <w:sz w:val="24"/>
                <w:highlight w:val="none"/>
              </w:rPr>
            </w:pPr>
          </w:p>
          <w:p w14:paraId="03DC0704">
            <w:pPr>
              <w:rPr>
                <w:color w:val="auto"/>
                <w:sz w:val="24"/>
                <w:highlight w:val="none"/>
              </w:rPr>
            </w:pPr>
            <w:r>
              <w:rPr>
                <w:rFonts w:hint="eastAsia"/>
                <w:color w:val="auto"/>
                <w:sz w:val="24"/>
                <w:highlight w:val="none"/>
              </w:rPr>
              <w:t xml:space="preserve">联系人及电话：                                </w:t>
            </w:r>
          </w:p>
          <w:p w14:paraId="62EEA398">
            <w:pPr>
              <w:rPr>
                <w:color w:val="auto"/>
                <w:sz w:val="24"/>
                <w:highlight w:val="none"/>
              </w:rPr>
            </w:pPr>
          </w:p>
          <w:p w14:paraId="15C76FF8">
            <w:pPr>
              <w:ind w:firstLine="4560" w:firstLineChars="1900"/>
              <w:rPr>
                <w:color w:val="auto"/>
                <w:sz w:val="24"/>
                <w:highlight w:val="none"/>
              </w:rPr>
            </w:pPr>
            <w:r>
              <w:rPr>
                <w:rFonts w:hint="eastAsia"/>
                <w:color w:val="auto"/>
                <w:sz w:val="24"/>
                <w:highlight w:val="none"/>
              </w:rPr>
              <w:t xml:space="preserve"> 采购人签章：</w:t>
            </w:r>
          </w:p>
          <w:p w14:paraId="4F502041">
            <w:pPr>
              <w:jc w:val="center"/>
              <w:rPr>
                <w:color w:val="auto"/>
                <w:sz w:val="24"/>
                <w:highlight w:val="none"/>
              </w:rPr>
            </w:pPr>
            <w:r>
              <w:rPr>
                <w:rFonts w:hint="eastAsia"/>
                <w:color w:val="auto"/>
                <w:sz w:val="24"/>
                <w:highlight w:val="none"/>
              </w:rPr>
              <w:t xml:space="preserve">                                                年    月    日</w:t>
            </w:r>
          </w:p>
        </w:tc>
      </w:tr>
      <w:tr w14:paraId="4511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noWrap w:val="0"/>
            <w:vAlign w:val="center"/>
          </w:tcPr>
          <w:p w14:paraId="20B7A485">
            <w:pPr>
              <w:jc w:val="center"/>
              <w:rPr>
                <w:color w:val="auto"/>
                <w:sz w:val="24"/>
                <w:highlight w:val="none"/>
              </w:rPr>
            </w:pPr>
            <w:r>
              <w:rPr>
                <w:rFonts w:hint="eastAsia"/>
                <w:color w:val="auto"/>
                <w:sz w:val="24"/>
                <w:highlight w:val="none"/>
              </w:rPr>
              <w:t>备注</w:t>
            </w:r>
          </w:p>
        </w:tc>
        <w:tc>
          <w:tcPr>
            <w:tcW w:w="8009" w:type="dxa"/>
            <w:noWrap w:val="0"/>
            <w:vAlign w:val="top"/>
          </w:tcPr>
          <w:p w14:paraId="3D2436A8">
            <w:pPr>
              <w:rPr>
                <w:color w:val="auto"/>
                <w:sz w:val="24"/>
                <w:highlight w:val="none"/>
              </w:rPr>
            </w:pPr>
          </w:p>
        </w:tc>
      </w:tr>
    </w:tbl>
    <w:p w14:paraId="660DE72A">
      <w:pPr>
        <w:pStyle w:val="14"/>
        <w:ind w:left="1" w:firstLine="2" w:firstLineChars="1"/>
        <w:rPr>
          <w:rFonts w:ascii="宋体"/>
          <w:b/>
          <w:bCs/>
          <w:color w:val="auto"/>
          <w:sz w:val="18"/>
          <w:szCs w:val="18"/>
          <w:highlight w:val="none"/>
        </w:rPr>
      </w:pPr>
    </w:p>
    <w:p w14:paraId="653C1989">
      <w:pPr>
        <w:spacing w:line="360" w:lineRule="auto"/>
        <w:contextualSpacing/>
        <w:rPr>
          <w:rFonts w:ascii="宋体" w:hAnsi="宋体" w:cs="宋体"/>
          <w:color w:val="auto"/>
          <w:sz w:val="24"/>
          <w:highlight w:val="none"/>
        </w:rPr>
      </w:pPr>
      <w:r>
        <w:rPr>
          <w:rFonts w:hint="eastAsia" w:ascii="宋体"/>
          <w:b/>
          <w:bCs/>
          <w:color w:val="auto"/>
          <w:sz w:val="18"/>
          <w:szCs w:val="18"/>
          <w:highlight w:val="none"/>
        </w:rPr>
        <w:t>　　　注：供应商凭经采购人审批的退付意见书到履约保证金收取单位财务部门办理履约保证金退付事宜。</w:t>
      </w:r>
    </w:p>
    <w:p w14:paraId="38EA3696">
      <w:pPr>
        <w:pStyle w:val="14"/>
        <w:ind w:left="1" w:firstLine="2" w:firstLineChars="1"/>
        <w:rPr>
          <w:rFonts w:ascii="宋体"/>
          <w:b/>
          <w:bCs/>
          <w:color w:val="auto"/>
          <w:sz w:val="18"/>
          <w:szCs w:val="18"/>
          <w:highlight w:val="none"/>
        </w:rPr>
      </w:pPr>
      <w:r>
        <w:rPr>
          <w:rFonts w:hint="eastAsia" w:ascii="宋体" w:hAnsi="宋体" w:cs="宋体"/>
          <w:color w:val="auto"/>
          <w:sz w:val="24"/>
          <w:highlight w:val="none"/>
        </w:rPr>
        <w:br w:type="page"/>
      </w:r>
    </w:p>
    <w:p w14:paraId="19925E89">
      <w:pPr>
        <w:spacing w:line="520" w:lineRule="exact"/>
        <w:jc w:val="center"/>
        <w:rPr>
          <w:color w:val="auto"/>
          <w:sz w:val="24"/>
          <w:highlight w:val="none"/>
        </w:rPr>
      </w:pPr>
    </w:p>
    <w:p w14:paraId="5CB93F0E">
      <w:pPr>
        <w:spacing w:line="520" w:lineRule="exact"/>
        <w:jc w:val="center"/>
        <w:rPr>
          <w:color w:val="auto"/>
          <w:sz w:val="24"/>
          <w:highlight w:val="none"/>
        </w:rPr>
      </w:pPr>
    </w:p>
    <w:p w14:paraId="582EC2DF">
      <w:pPr>
        <w:spacing w:line="520" w:lineRule="exact"/>
        <w:jc w:val="center"/>
        <w:rPr>
          <w:color w:val="auto"/>
          <w:sz w:val="24"/>
          <w:highlight w:val="none"/>
        </w:rPr>
      </w:pPr>
    </w:p>
    <w:p w14:paraId="4B278098">
      <w:pPr>
        <w:spacing w:line="520" w:lineRule="exact"/>
        <w:jc w:val="center"/>
        <w:rPr>
          <w:color w:val="auto"/>
          <w:sz w:val="24"/>
          <w:highlight w:val="none"/>
        </w:rPr>
      </w:pPr>
    </w:p>
    <w:p w14:paraId="21B1E988">
      <w:pPr>
        <w:spacing w:line="520" w:lineRule="exact"/>
        <w:jc w:val="center"/>
        <w:rPr>
          <w:color w:val="auto"/>
          <w:sz w:val="24"/>
          <w:highlight w:val="none"/>
        </w:rPr>
      </w:pPr>
    </w:p>
    <w:p w14:paraId="2F36F3C5">
      <w:pPr>
        <w:spacing w:line="520" w:lineRule="exact"/>
        <w:jc w:val="center"/>
        <w:rPr>
          <w:color w:val="auto"/>
          <w:sz w:val="24"/>
          <w:highlight w:val="none"/>
        </w:rPr>
      </w:pPr>
    </w:p>
    <w:p w14:paraId="7325E189">
      <w:pPr>
        <w:spacing w:line="520" w:lineRule="exact"/>
        <w:jc w:val="center"/>
        <w:rPr>
          <w:color w:val="auto"/>
          <w:sz w:val="24"/>
          <w:highlight w:val="none"/>
        </w:rPr>
      </w:pPr>
    </w:p>
    <w:p w14:paraId="7F6AEE94">
      <w:pPr>
        <w:pStyle w:val="3"/>
        <w:jc w:val="center"/>
        <w:rPr>
          <w:b w:val="0"/>
          <w:bCs w:val="0"/>
          <w:color w:val="auto"/>
          <w:highlight w:val="none"/>
        </w:rPr>
      </w:pPr>
      <w:bookmarkStart w:id="151" w:name="_Toc15161"/>
      <w:bookmarkStart w:id="152" w:name="_Toc24786"/>
      <w:bookmarkStart w:id="153" w:name="_Toc4005"/>
      <w:bookmarkStart w:id="154" w:name="_Toc18676"/>
      <w:bookmarkStart w:id="155" w:name="_Toc80886947"/>
      <w:bookmarkStart w:id="156" w:name="_Toc9343"/>
      <w:bookmarkStart w:id="157" w:name="_Toc15154"/>
      <w:bookmarkStart w:id="158" w:name="_Toc12748"/>
      <w:r>
        <w:rPr>
          <w:rFonts w:hint="eastAsia"/>
          <w:b w:val="0"/>
          <w:bCs w:val="0"/>
          <w:color w:val="auto"/>
          <w:highlight w:val="none"/>
        </w:rPr>
        <w:t xml:space="preserve">第六章 </w:t>
      </w:r>
      <w:r>
        <w:rPr>
          <w:b w:val="0"/>
          <w:bCs w:val="0"/>
          <w:color w:val="auto"/>
          <w:highlight w:val="none"/>
        </w:rPr>
        <w:t xml:space="preserve"> </w:t>
      </w:r>
      <w:r>
        <w:rPr>
          <w:rFonts w:hint="eastAsia"/>
          <w:b w:val="0"/>
          <w:bCs w:val="0"/>
          <w:color w:val="auto"/>
          <w:highlight w:val="none"/>
        </w:rPr>
        <w:t>合同文本</w:t>
      </w:r>
      <w:bookmarkEnd w:id="151"/>
      <w:bookmarkEnd w:id="152"/>
      <w:bookmarkEnd w:id="153"/>
      <w:bookmarkEnd w:id="154"/>
      <w:bookmarkEnd w:id="155"/>
      <w:bookmarkEnd w:id="156"/>
      <w:bookmarkEnd w:id="157"/>
    </w:p>
    <w:p w14:paraId="4A1D9DC8">
      <w:pPr>
        <w:widowControl/>
        <w:jc w:val="left"/>
        <w:rPr>
          <w:rFonts w:eastAsia="华文中宋" w:cs="宋体"/>
          <w:b/>
          <w:color w:val="auto"/>
          <w:kern w:val="0"/>
          <w:sz w:val="52"/>
          <w:szCs w:val="52"/>
          <w:highlight w:val="none"/>
        </w:rPr>
      </w:pPr>
      <w:r>
        <w:rPr>
          <w:b/>
          <w:bCs/>
          <w:color w:val="auto"/>
          <w:highlight w:val="none"/>
        </w:rPr>
        <w:br w:type="page"/>
      </w:r>
      <w:bookmarkEnd w:id="158"/>
      <w:bookmarkStart w:id="159" w:name="_Toc178"/>
      <w:bookmarkStart w:id="160" w:name="_Toc28283"/>
      <w:bookmarkStart w:id="161" w:name="_Toc13011"/>
      <w:bookmarkStart w:id="162" w:name="_Toc80886951"/>
      <w:bookmarkStart w:id="163" w:name="_Toc610"/>
      <w:bookmarkStart w:id="164" w:name="_Toc20915"/>
      <w:bookmarkStart w:id="165" w:name="_Toc8963"/>
      <w:bookmarkStart w:id="166" w:name="_Toc29624"/>
      <w:r>
        <w:rPr>
          <w:rFonts w:hint="eastAsia" w:eastAsia="仿宋_GB2312" w:cs="宋体"/>
          <w:bCs/>
          <w:color w:val="auto"/>
          <w:kern w:val="0"/>
          <w:sz w:val="30"/>
          <w:szCs w:val="30"/>
          <w:highlight w:val="none"/>
        </w:rPr>
        <w:t>GF—2015—0212</w:t>
      </w:r>
    </w:p>
    <w:p w14:paraId="221BD27B">
      <w:pPr>
        <w:widowControl/>
        <w:wordWrap w:val="0"/>
        <w:jc w:val="right"/>
        <w:rPr>
          <w:rFonts w:eastAsia="华文中宋" w:cs="宋体"/>
          <w:b/>
          <w:color w:val="auto"/>
          <w:kern w:val="0"/>
          <w:sz w:val="30"/>
          <w:szCs w:val="30"/>
          <w:highlight w:val="none"/>
        </w:rPr>
      </w:pPr>
      <w:r>
        <w:rPr>
          <w:rFonts w:hint="eastAsia" w:eastAsia="华文中宋" w:cs="宋体"/>
          <w:b/>
          <w:color w:val="auto"/>
          <w:kern w:val="0"/>
          <w:sz w:val="30"/>
          <w:szCs w:val="30"/>
          <w:highlight w:val="none"/>
        </w:rPr>
        <w:t>合同编号：</w:t>
      </w:r>
      <w:r>
        <w:rPr>
          <w:rFonts w:eastAsia="华文中宋" w:cs="宋体"/>
          <w:b/>
          <w:color w:val="auto"/>
          <w:kern w:val="0"/>
          <w:sz w:val="30"/>
          <w:szCs w:val="30"/>
          <w:highlight w:val="none"/>
          <w:u w:val="single"/>
        </w:rPr>
        <w:t xml:space="preserve">         </w:t>
      </w:r>
      <w:r>
        <w:rPr>
          <w:rFonts w:hint="eastAsia" w:eastAsia="华文中宋" w:cs="宋体"/>
          <w:b/>
          <w:color w:val="auto"/>
          <w:kern w:val="0"/>
          <w:sz w:val="30"/>
          <w:szCs w:val="30"/>
          <w:highlight w:val="none"/>
          <w:u w:val="single"/>
        </w:rPr>
        <w:t xml:space="preserve">            </w:t>
      </w:r>
    </w:p>
    <w:p w14:paraId="5223522B">
      <w:pPr>
        <w:widowControl/>
        <w:jc w:val="left"/>
        <w:rPr>
          <w:rFonts w:ascii="宋体" w:hAnsi="宋体" w:cs="宋体"/>
          <w:color w:val="auto"/>
          <w:kern w:val="0"/>
          <w:sz w:val="24"/>
          <w:highlight w:val="none"/>
        </w:rPr>
      </w:pPr>
      <w:r>
        <w:rPr>
          <w:rFonts w:ascii="宋体" w:hAnsi="宋体" w:cs="宋体"/>
          <w:color w:val="auto"/>
          <w:kern w:val="0"/>
          <w:sz w:val="24"/>
          <w:highlight w:val="none"/>
        </w:rPr>
        <w:br w:type="textWrapping"/>
      </w:r>
      <w:r>
        <w:rPr>
          <w:rFonts w:ascii="宋体" w:hAnsi="宋体" w:cs="宋体"/>
          <w:color w:val="auto"/>
          <w:kern w:val="0"/>
          <w:sz w:val="24"/>
          <w:highlight w:val="none"/>
        </w:rPr>
        <w:br w:type="textWrapping"/>
      </w:r>
    </w:p>
    <w:p w14:paraId="11AA7210">
      <w:pPr>
        <w:widowControl/>
        <w:jc w:val="left"/>
        <w:rPr>
          <w:rFonts w:ascii="宋体" w:hAnsi="宋体" w:cs="宋体"/>
          <w:color w:val="auto"/>
          <w:kern w:val="0"/>
          <w:sz w:val="24"/>
          <w:highlight w:val="none"/>
        </w:rPr>
      </w:pPr>
    </w:p>
    <w:p w14:paraId="495E67F7">
      <w:pPr>
        <w:widowControl/>
        <w:jc w:val="left"/>
        <w:rPr>
          <w:rFonts w:ascii="宋体" w:hAnsi="宋体" w:cs="宋体"/>
          <w:color w:val="auto"/>
          <w:kern w:val="0"/>
          <w:sz w:val="24"/>
          <w:highlight w:val="none"/>
        </w:rPr>
      </w:pPr>
    </w:p>
    <w:p w14:paraId="428352BB">
      <w:pPr>
        <w:widowControl/>
        <w:jc w:val="left"/>
        <w:rPr>
          <w:rFonts w:ascii="宋体" w:hAnsi="宋体" w:cs="宋体"/>
          <w:color w:val="auto"/>
          <w:kern w:val="0"/>
          <w:sz w:val="24"/>
          <w:highlight w:val="none"/>
        </w:rPr>
      </w:pPr>
    </w:p>
    <w:p w14:paraId="43422A41">
      <w:pPr>
        <w:widowControl/>
        <w:jc w:val="left"/>
        <w:rPr>
          <w:rFonts w:ascii="宋体" w:hAnsi="宋体" w:cs="宋体"/>
          <w:color w:val="auto"/>
          <w:kern w:val="0"/>
          <w:sz w:val="24"/>
          <w:highlight w:val="none"/>
        </w:rPr>
      </w:pPr>
    </w:p>
    <w:p w14:paraId="3CBA2BB9">
      <w:pPr>
        <w:widowControl/>
        <w:spacing w:line="360" w:lineRule="auto"/>
        <w:jc w:val="center"/>
        <w:rPr>
          <w:rFonts w:ascii="华文中宋" w:hAnsi="华文中宋" w:eastAsia="华文中宋" w:cs="宋体"/>
          <w:b/>
          <w:color w:val="auto"/>
          <w:kern w:val="0"/>
          <w:sz w:val="60"/>
          <w:szCs w:val="60"/>
          <w:highlight w:val="none"/>
        </w:rPr>
      </w:pPr>
      <w:r>
        <w:rPr>
          <w:rFonts w:hint="eastAsia" w:ascii="华文中宋" w:hAnsi="华文中宋" w:eastAsia="华文中宋" w:cs="宋体"/>
          <w:b/>
          <w:color w:val="auto"/>
          <w:kern w:val="0"/>
          <w:sz w:val="60"/>
          <w:szCs w:val="60"/>
          <w:highlight w:val="none"/>
        </w:rPr>
        <w:t>建设工程</w:t>
      </w:r>
      <w:r>
        <w:rPr>
          <w:rFonts w:ascii="华文中宋" w:hAnsi="华文中宋" w:eastAsia="华文中宋" w:cs="宋体"/>
          <w:b/>
          <w:color w:val="auto"/>
          <w:kern w:val="0"/>
          <w:sz w:val="60"/>
          <w:szCs w:val="60"/>
          <w:highlight w:val="none"/>
        </w:rPr>
        <w:t>造价咨询合同</w:t>
      </w:r>
    </w:p>
    <w:p w14:paraId="1E02067B">
      <w:pPr>
        <w:widowControl/>
        <w:spacing w:line="360" w:lineRule="auto"/>
        <w:jc w:val="center"/>
        <w:rPr>
          <w:rFonts w:ascii="宋体" w:hAnsi="宋体" w:cs="宋体"/>
          <w:color w:val="auto"/>
          <w:kern w:val="0"/>
          <w:sz w:val="24"/>
          <w:highlight w:val="none"/>
        </w:rPr>
      </w:pPr>
      <w:r>
        <w:rPr>
          <w:rFonts w:ascii="华文中宋" w:hAnsi="华文中宋" w:eastAsia="华文中宋" w:cs="宋体"/>
          <w:color w:val="auto"/>
          <w:kern w:val="0"/>
          <w:sz w:val="24"/>
          <w:highlight w:val="none"/>
        </w:rPr>
        <w:br w:type="textWrapping"/>
      </w:r>
      <w:r>
        <w:rPr>
          <w:rFonts w:ascii="宋体" w:hAnsi="宋体" w:cs="宋体"/>
          <w:b/>
          <w:color w:val="auto"/>
          <w:kern w:val="0"/>
          <w:sz w:val="52"/>
          <w:szCs w:val="52"/>
          <w:highlight w:val="none"/>
        </w:rPr>
        <w:br w:type="textWrapping"/>
      </w:r>
    </w:p>
    <w:p w14:paraId="490B24F3">
      <w:pPr>
        <w:widowControl/>
        <w:jc w:val="left"/>
        <w:rPr>
          <w:rFonts w:ascii="宋体" w:hAnsi="宋体" w:cs="宋体"/>
          <w:color w:val="auto"/>
          <w:kern w:val="0"/>
          <w:sz w:val="24"/>
          <w:highlight w:val="none"/>
        </w:rPr>
      </w:pPr>
    </w:p>
    <w:p w14:paraId="425E493E">
      <w:pPr>
        <w:widowControl/>
        <w:spacing w:before="100" w:beforeAutospacing="1" w:after="100" w:afterAutospacing="1"/>
        <w:jc w:val="center"/>
        <w:rPr>
          <w:rFonts w:ascii="宋体" w:hAnsi="宋体" w:cs="宋体"/>
          <w:b/>
          <w:bCs/>
          <w:smallCaps/>
          <w:color w:val="auto"/>
          <w:kern w:val="0"/>
          <w:sz w:val="20"/>
          <w:szCs w:val="20"/>
          <w:highlight w:val="none"/>
        </w:rPr>
      </w:pPr>
      <w:r>
        <w:rPr>
          <w:rFonts w:hint="eastAsia" w:ascii="宋体" w:hAnsi="宋体" w:cs="宋体"/>
          <w:b/>
          <w:bCs/>
          <w:smallCaps/>
          <w:color w:val="auto"/>
          <w:kern w:val="0"/>
          <w:sz w:val="20"/>
          <w:szCs w:val="20"/>
          <w:highlight w:val="none"/>
        </w:rPr>
        <w:t xml:space="preserve">                                                                                                                                                                                                                                                                                                                                                                                                                                                                                                                                                                                                                                                                                                                                                                                                                                                                                    </w:t>
      </w:r>
    </w:p>
    <w:p w14:paraId="08C0C316">
      <w:pPr>
        <w:widowControl/>
        <w:spacing w:before="100" w:beforeAutospacing="1" w:after="100" w:afterAutospacing="1"/>
        <w:jc w:val="center"/>
        <w:rPr>
          <w:rFonts w:ascii="宋体" w:hAnsi="宋体" w:cs="宋体"/>
          <w:b/>
          <w:bCs/>
          <w:smallCaps/>
          <w:color w:val="auto"/>
          <w:kern w:val="0"/>
          <w:sz w:val="20"/>
          <w:szCs w:val="20"/>
          <w:highlight w:val="none"/>
        </w:rPr>
      </w:pPr>
    </w:p>
    <w:p w14:paraId="59E98D94">
      <w:pPr>
        <w:widowControl/>
        <w:spacing w:before="100" w:beforeAutospacing="1" w:after="100" w:afterAutospacing="1"/>
        <w:jc w:val="center"/>
        <w:rPr>
          <w:rFonts w:ascii="宋体" w:hAnsi="宋体" w:cs="宋体"/>
          <w:b/>
          <w:bCs/>
          <w:smallCaps/>
          <w:color w:val="auto"/>
          <w:kern w:val="0"/>
          <w:sz w:val="20"/>
          <w:szCs w:val="20"/>
          <w:highlight w:val="none"/>
        </w:rPr>
      </w:pPr>
    </w:p>
    <w:p w14:paraId="407EA49D">
      <w:pPr>
        <w:widowControl/>
        <w:spacing w:before="100" w:beforeAutospacing="1" w:after="100" w:afterAutospacing="1"/>
        <w:jc w:val="center"/>
        <w:rPr>
          <w:rFonts w:ascii="宋体" w:hAnsi="宋体" w:cs="宋体"/>
          <w:b/>
          <w:bCs/>
          <w:smallCaps/>
          <w:color w:val="auto"/>
          <w:kern w:val="0"/>
          <w:sz w:val="20"/>
          <w:szCs w:val="20"/>
          <w:highlight w:val="none"/>
        </w:rPr>
      </w:pPr>
    </w:p>
    <w:p w14:paraId="6094F72B">
      <w:pPr>
        <w:widowControl/>
        <w:spacing w:before="100" w:beforeAutospacing="1" w:after="100" w:afterAutospacing="1"/>
        <w:jc w:val="center"/>
        <w:rPr>
          <w:rFonts w:ascii="宋体" w:hAnsi="宋体" w:cs="宋体"/>
          <w:b/>
          <w:bCs/>
          <w:smallCaps/>
          <w:color w:val="auto"/>
          <w:kern w:val="0"/>
          <w:sz w:val="20"/>
          <w:szCs w:val="20"/>
          <w:highlight w:val="none"/>
        </w:rPr>
      </w:pPr>
    </w:p>
    <w:p w14:paraId="1DF50427">
      <w:pPr>
        <w:widowControl/>
        <w:spacing w:before="100" w:beforeAutospacing="1" w:after="100" w:afterAutospacing="1"/>
        <w:rPr>
          <w:rFonts w:ascii="宋体" w:hAnsi="宋体" w:cs="宋体"/>
          <w:b/>
          <w:bCs/>
          <w:smallCaps/>
          <w:color w:val="auto"/>
          <w:kern w:val="0"/>
          <w:sz w:val="20"/>
          <w:szCs w:val="20"/>
          <w:highlight w:val="none"/>
        </w:rPr>
      </w:pPr>
    </w:p>
    <w:p w14:paraId="521837AA">
      <w:pPr>
        <w:widowControl/>
        <w:spacing w:before="100" w:beforeAutospacing="1" w:after="100" w:afterAutospacing="1"/>
        <w:jc w:val="left"/>
        <w:rPr>
          <w:rFonts w:ascii="宋体" w:hAnsi="宋体" w:cs="宋体"/>
          <w:b/>
          <w:bCs/>
          <w:smallCaps/>
          <w:color w:val="auto"/>
          <w:kern w:val="0"/>
          <w:sz w:val="32"/>
          <w:szCs w:val="32"/>
          <w:highlight w:val="none"/>
        </w:rPr>
      </w:pPr>
      <w:r>
        <w:rPr>
          <w:rFonts w:ascii="宋体" w:hAnsi="宋体" w:cs="宋体"/>
          <w:b/>
          <w:bCs/>
          <w:smallCaps/>
          <w:color w:val="auto"/>
          <w:kern w:val="0"/>
          <w:sz w:val="32"/>
          <w:szCs w:val="32"/>
          <w:highlight w:val="none"/>
        </w:rPr>
        <mc:AlternateContent>
          <mc:Choice Requires="wps">
            <w:drawing>
              <wp:anchor distT="0" distB="0" distL="114300" distR="114300" simplePos="0" relativeHeight="251659264" behindDoc="0" locked="0" layoutInCell="1" allowOverlap="1">
                <wp:simplePos x="0" y="0"/>
                <wp:positionH relativeFrom="column">
                  <wp:posOffset>3670300</wp:posOffset>
                </wp:positionH>
                <wp:positionV relativeFrom="paragraph">
                  <wp:posOffset>172720</wp:posOffset>
                </wp:positionV>
                <wp:extent cx="886460" cy="354965"/>
                <wp:effectExtent l="4445" t="4445" r="23495" b="21590"/>
                <wp:wrapNone/>
                <wp:docPr id="10" name="文本框 10"/>
                <wp:cNvGraphicFramePr/>
                <a:graphic xmlns:a="http://schemas.openxmlformats.org/drawingml/2006/main">
                  <a:graphicData uri="http://schemas.microsoft.com/office/word/2010/wordprocessingShape">
                    <wps:wsp>
                      <wps:cNvSpPr txBox="1"/>
                      <wps:spPr>
                        <a:xfrm>
                          <a:off x="0" y="0"/>
                          <a:ext cx="886460" cy="354965"/>
                        </a:xfrm>
                        <a:prstGeom prst="rect">
                          <a:avLst/>
                        </a:prstGeom>
                        <a:solidFill>
                          <a:srgbClr val="FFFFFF"/>
                        </a:solidFill>
                        <a:ln w="0" cap="flat" cmpd="sng">
                          <a:solidFill>
                            <a:srgbClr val="FFFFFF"/>
                          </a:solidFill>
                          <a:prstDash val="solid"/>
                          <a:miter/>
                          <a:headEnd type="none" w="med" len="med"/>
                          <a:tailEnd type="none" w="med" len="med"/>
                        </a:ln>
                        <a:effectLst/>
                      </wps:spPr>
                      <wps:txbx>
                        <w:txbxContent>
                          <w:p w14:paraId="2090F551">
                            <w:pPr>
                              <w:rPr>
                                <w:b/>
                                <w:sz w:val="32"/>
                                <w:szCs w:val="32"/>
                              </w:rPr>
                            </w:pPr>
                            <w:r>
                              <w:rPr>
                                <w:rFonts w:hint="eastAsia"/>
                                <w:b/>
                                <w:sz w:val="32"/>
                                <w:szCs w:val="32"/>
                              </w:rPr>
                              <w:t>制定</w:t>
                            </w:r>
                          </w:p>
                        </w:txbxContent>
                      </wps:txbx>
                      <wps:bodyPr wrap="square" upright="1">
                        <a:spAutoFit/>
                      </wps:bodyPr>
                    </wps:wsp>
                  </a:graphicData>
                </a:graphic>
              </wp:anchor>
            </w:drawing>
          </mc:Choice>
          <mc:Fallback>
            <w:pict>
              <v:shape id="_x0000_s1026" o:spid="_x0000_s1026" o:spt="202" type="#_x0000_t202" style="position:absolute;left:0pt;margin-left:289pt;margin-top:13.6pt;height:27.95pt;width:69.8pt;z-index:251659264;mso-width-relative:page;mso-height-relative:page;" fillcolor="#FFFFFF" filled="t" stroked="t" coordsize="21600,21600" o:gfxdata="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ECumWHYAAAA&#10;CQEAAA8AAAAAAAAAAQAgAAAAIgAAAGRycy9kb3ducmV2LnhtbFBLAQIUABQAAAAIAIdO4kCV30iH&#10;HQIAAGoEAAAOAAAAAAAAAAEAIAAAACcBAABkcnMvZTJvRG9jLnhtbFBLBQYAAAAABgAGAFkBAAC2&#10;BQAAAAA=&#10;">
                <v:fill on="t" focussize="0,0"/>
                <v:stroke weight="0pt" color="#FFFFFF" joinstyle="miter"/>
                <v:imagedata o:title=""/>
                <o:lock v:ext="edit" aspectratio="f"/>
                <v:textbox style="mso-fit-shape-to-text:t;">
                  <w:txbxContent>
                    <w:p w14:paraId="2090F551">
                      <w:pPr>
                        <w:rPr>
                          <w:b/>
                          <w:sz w:val="32"/>
                          <w:szCs w:val="32"/>
                        </w:rPr>
                      </w:pPr>
                      <w:r>
                        <w:rPr>
                          <w:rFonts w:hint="eastAsia"/>
                          <w:b/>
                          <w:sz w:val="32"/>
                          <w:szCs w:val="32"/>
                        </w:rPr>
                        <w:t>制定</w:t>
                      </w:r>
                    </w:p>
                  </w:txbxContent>
                </v:textbox>
              </v:shape>
            </w:pict>
          </mc:Fallback>
        </mc:AlternateContent>
      </w:r>
      <w:r>
        <w:rPr>
          <w:rFonts w:hint="eastAsia" w:ascii="宋体" w:hAnsi="宋体" w:cs="宋体"/>
          <w:b/>
          <w:bCs/>
          <w:smallCaps/>
          <w:color w:val="auto"/>
          <w:kern w:val="0"/>
          <w:sz w:val="32"/>
          <w:szCs w:val="32"/>
          <w:highlight w:val="none"/>
        </w:rPr>
        <w:t xml:space="preserve">               </w:t>
      </w:r>
      <w:r>
        <w:rPr>
          <w:rFonts w:ascii="宋体" w:hAnsi="宋体" w:cs="宋体"/>
          <w:b/>
          <w:bCs/>
          <w:smallCaps/>
          <w:color w:val="auto"/>
          <w:kern w:val="0"/>
          <w:sz w:val="32"/>
          <w:szCs w:val="32"/>
          <w:highlight w:val="none"/>
        </w:rPr>
        <w:t xml:space="preserve">    </w:t>
      </w:r>
      <w:r>
        <w:rPr>
          <w:rFonts w:hint="eastAsia" w:ascii="宋体" w:hAnsi="宋体" w:cs="宋体"/>
          <w:b/>
          <w:bCs/>
          <w:smallCaps/>
          <w:color w:val="auto"/>
          <w:kern w:val="0"/>
          <w:sz w:val="32"/>
          <w:szCs w:val="32"/>
          <w:highlight w:val="none"/>
        </w:rPr>
        <w:t>住 房 城 乡 建 设 部</w:t>
      </w:r>
    </w:p>
    <w:p w14:paraId="5EDB756B">
      <w:pPr>
        <w:widowControl/>
        <w:spacing w:before="100" w:beforeAutospacing="1" w:after="100" w:afterAutospacing="1"/>
        <w:ind w:firstLine="2409" w:firstLineChars="750"/>
        <w:rPr>
          <w:rFonts w:ascii="宋体" w:hAnsi="宋体" w:cs="宋体"/>
          <w:b/>
          <w:bCs/>
          <w:smallCaps/>
          <w:color w:val="auto"/>
          <w:kern w:val="0"/>
          <w:sz w:val="32"/>
          <w:szCs w:val="32"/>
          <w:highlight w:val="none"/>
        </w:rPr>
      </w:pPr>
      <w:r>
        <w:rPr>
          <w:rFonts w:hint="eastAsia" w:ascii="宋体" w:hAnsi="宋体" w:cs="宋体"/>
          <w:b/>
          <w:bCs/>
          <w:smallCaps/>
          <w:color w:val="auto"/>
          <w:kern w:val="0"/>
          <w:sz w:val="32"/>
          <w:szCs w:val="32"/>
          <w:highlight w:val="none"/>
        </w:rPr>
        <w:t>国家工商行政管理总局</w:t>
      </w:r>
    </w:p>
    <w:p w14:paraId="43873248">
      <w:pPr>
        <w:keepNext/>
        <w:keepLines/>
        <w:tabs>
          <w:tab w:val="left" w:pos="1564"/>
          <w:tab w:val="center" w:pos="4153"/>
        </w:tabs>
        <w:spacing w:before="340" w:after="330" w:line="576" w:lineRule="auto"/>
        <w:jc w:val="left"/>
        <w:rPr>
          <w:rFonts w:ascii="Calibri" w:hAnsi="Calibri"/>
          <w:b/>
          <w:bCs/>
          <w:color w:val="auto"/>
          <w:kern w:val="44"/>
          <w:sz w:val="44"/>
          <w:szCs w:val="44"/>
          <w:highlight w:val="none"/>
        </w:rPr>
        <w:sectPr>
          <w:pgSz w:w="11906" w:h="16838"/>
          <w:pgMar w:top="1440" w:right="1349" w:bottom="1440" w:left="1349" w:header="851" w:footer="992" w:gutter="0"/>
          <w:cols w:space="720" w:num="1"/>
          <w:docGrid w:linePitch="312" w:charSpace="0"/>
        </w:sectPr>
      </w:pPr>
    </w:p>
    <w:p w14:paraId="39F28F54">
      <w:pPr>
        <w:keepNext/>
        <w:keepLines/>
        <w:widowControl/>
        <w:spacing w:before="120" w:after="120" w:line="578" w:lineRule="auto"/>
        <w:jc w:val="center"/>
        <w:outlineLvl w:val="0"/>
        <w:rPr>
          <w:rFonts w:ascii="宋体" w:hAnsi="宋体"/>
          <w:b/>
          <w:bCs/>
          <w:color w:val="auto"/>
          <w:kern w:val="44"/>
          <w:sz w:val="30"/>
          <w:szCs w:val="30"/>
          <w:highlight w:val="none"/>
        </w:rPr>
      </w:pPr>
      <w:bookmarkStart w:id="167" w:name="_Toc419045055"/>
      <w:bookmarkStart w:id="168" w:name="_Toc422322470"/>
      <w:r>
        <w:rPr>
          <w:rFonts w:hint="eastAsia" w:ascii="宋体" w:hAnsi="宋体"/>
          <w:b/>
          <w:bCs/>
          <w:color w:val="auto"/>
          <w:kern w:val="44"/>
          <w:sz w:val="30"/>
          <w:szCs w:val="30"/>
          <w:highlight w:val="none"/>
        </w:rPr>
        <w:t>第一部分　协议书</w:t>
      </w:r>
      <w:bookmarkEnd w:id="167"/>
      <w:bookmarkEnd w:id="168"/>
    </w:p>
    <w:p w14:paraId="07B7F633">
      <w:pPr>
        <w:widowControl/>
        <w:spacing w:line="360" w:lineRule="auto"/>
        <w:ind w:left="420" w:leftChars="200"/>
        <w:jc w:val="left"/>
        <w:rPr>
          <w:rFonts w:hint="eastAsia" w:ascii="宋体" w:hAnsi="宋体"/>
          <w:color w:val="auto"/>
          <w:kern w:val="0"/>
          <w:sz w:val="22"/>
          <w:szCs w:val="22"/>
          <w:highlight w:val="none"/>
        </w:rPr>
      </w:pPr>
      <w:bookmarkStart w:id="169" w:name="7"/>
      <w:r>
        <w:rPr>
          <w:rFonts w:hint="eastAsia" w:ascii="宋体" w:hAnsi="宋体"/>
          <w:color w:val="auto"/>
          <w:kern w:val="0"/>
          <w:sz w:val="22"/>
          <w:szCs w:val="22"/>
          <w:highlight w:val="none"/>
        </w:rPr>
        <w:t>委托人（全称）：</w:t>
      </w:r>
      <w:r>
        <w:rPr>
          <w:rFonts w:hint="eastAsia" w:ascii="宋体" w:hAnsi="宋体"/>
          <w:color w:val="auto"/>
          <w:kern w:val="0"/>
          <w:sz w:val="22"/>
          <w:szCs w:val="22"/>
          <w:highlight w:val="none"/>
          <w:u w:val="single"/>
        </w:rPr>
        <w:t>广西农业</w:t>
      </w:r>
      <w:r>
        <w:rPr>
          <w:rFonts w:ascii="宋体" w:hAnsi="宋体"/>
          <w:color w:val="auto"/>
          <w:kern w:val="0"/>
          <w:sz w:val="22"/>
          <w:szCs w:val="22"/>
          <w:highlight w:val="none"/>
          <w:u w:val="single"/>
        </w:rPr>
        <w:t>职业技术大学</w:t>
      </w:r>
      <w:r>
        <w:rPr>
          <w:rFonts w:hint="eastAsia" w:ascii="宋体" w:hAnsi="宋体"/>
          <w:color w:val="auto"/>
          <w:kern w:val="0"/>
          <w:sz w:val="22"/>
          <w:szCs w:val="22"/>
          <w:highlight w:val="none"/>
          <w:u w:val="single"/>
        </w:rPr>
        <w:t>（甲方）</w:t>
      </w:r>
    </w:p>
    <w:p w14:paraId="78172CAF">
      <w:pPr>
        <w:widowControl/>
        <w:spacing w:line="360" w:lineRule="auto"/>
        <w:ind w:left="420" w:leftChars="200"/>
        <w:jc w:val="left"/>
        <w:rPr>
          <w:rFonts w:ascii="宋体" w:hAnsi="宋体"/>
          <w:color w:val="auto"/>
          <w:kern w:val="0"/>
          <w:sz w:val="22"/>
          <w:szCs w:val="22"/>
          <w:highlight w:val="none"/>
        </w:rPr>
      </w:pPr>
      <w:r>
        <w:rPr>
          <w:rFonts w:hint="eastAsia" w:ascii="宋体" w:hAnsi="宋体"/>
          <w:color w:val="auto"/>
          <w:kern w:val="0"/>
          <w:sz w:val="22"/>
          <w:szCs w:val="22"/>
          <w:highlight w:val="none"/>
        </w:rPr>
        <w:t>咨询人（全称）：</w:t>
      </w:r>
      <w:r>
        <w:rPr>
          <w:rFonts w:hint="eastAsia" w:ascii="宋体" w:hAnsi="宋体"/>
          <w:color w:val="auto"/>
          <w:kern w:val="0"/>
          <w:sz w:val="22"/>
          <w:szCs w:val="22"/>
          <w:highlight w:val="none"/>
          <w:u w:val="single"/>
        </w:rPr>
        <w:t xml:space="preserve">                    （乙方）</w:t>
      </w:r>
    </w:p>
    <w:p w14:paraId="4F04AB41">
      <w:pPr>
        <w:widowControl/>
        <w:spacing w:line="360" w:lineRule="auto"/>
        <w:ind w:firstLine="440" w:firstLineChars="200"/>
        <w:jc w:val="left"/>
        <w:rPr>
          <w:rFonts w:ascii="宋体" w:hAnsi="宋体"/>
          <w:color w:val="auto"/>
          <w:kern w:val="0"/>
          <w:sz w:val="22"/>
          <w:szCs w:val="22"/>
          <w:highlight w:val="none"/>
        </w:rPr>
      </w:pPr>
      <w:r>
        <w:rPr>
          <w:rFonts w:hint="eastAsia" w:ascii="宋体" w:hAnsi="宋体"/>
          <w:color w:val="auto"/>
          <w:kern w:val="0"/>
          <w:sz w:val="22"/>
          <w:szCs w:val="22"/>
          <w:highlight w:val="none"/>
        </w:rPr>
        <w:t>根据《中华人民共和国民法典》及其他有关法律、法规，遵循平等、自愿、公平和诚实信用的原则，双方就下述建设工程委托造价咨询与其他服务事项协商一致，订立本合同。</w:t>
      </w:r>
    </w:p>
    <w:p w14:paraId="65FDF1D3">
      <w:pPr>
        <w:widowControl/>
        <w:ind w:firstLine="442" w:firstLineChars="200"/>
        <w:rPr>
          <w:rFonts w:hint="eastAsia"/>
          <w:color w:val="auto"/>
          <w:kern w:val="0"/>
          <w:sz w:val="22"/>
          <w:szCs w:val="22"/>
          <w:highlight w:val="none"/>
        </w:rPr>
      </w:pPr>
      <w:bookmarkStart w:id="170" w:name="_Toc419045056"/>
      <w:bookmarkStart w:id="171" w:name="_Toc422322471"/>
      <w:r>
        <w:rPr>
          <w:rFonts w:hint="eastAsia" w:ascii="Cambria" w:hAnsi="Cambria"/>
          <w:b/>
          <w:bCs/>
          <w:color w:val="auto"/>
          <w:kern w:val="0"/>
          <w:sz w:val="22"/>
          <w:szCs w:val="22"/>
          <w:highlight w:val="none"/>
        </w:rPr>
        <w:t>一、</w:t>
      </w:r>
      <w:bookmarkEnd w:id="169"/>
      <w:bookmarkEnd w:id="170"/>
      <w:bookmarkEnd w:id="171"/>
      <w:r>
        <w:rPr>
          <w:rFonts w:hint="eastAsia" w:ascii="Cambria" w:hAnsi="Cambria"/>
          <w:b/>
          <w:bCs/>
          <w:color w:val="auto"/>
          <w:kern w:val="0"/>
          <w:sz w:val="22"/>
          <w:szCs w:val="22"/>
          <w:highlight w:val="none"/>
        </w:rPr>
        <w:t>合同标的</w:t>
      </w:r>
    </w:p>
    <w:p w14:paraId="41CEF3F1">
      <w:pPr>
        <w:spacing w:line="360" w:lineRule="auto"/>
        <w:ind w:firstLine="420" w:firstLineChars="200"/>
        <w:rPr>
          <w:color w:val="auto"/>
          <w:highlight w:val="none"/>
        </w:rPr>
      </w:pPr>
      <w:r>
        <w:rPr>
          <w:rFonts w:hint="eastAsia"/>
          <w:color w:val="auto"/>
          <w:highlight w:val="none"/>
        </w:rPr>
        <w:t>（</w:t>
      </w:r>
      <w:r>
        <w:rPr>
          <w:rFonts w:hint="eastAsia"/>
          <w:color w:val="auto"/>
          <w:highlight w:val="none"/>
          <w:u w:val="single"/>
        </w:rPr>
        <w:t xml:space="preserve">  </w:t>
      </w:r>
      <w:r>
        <w:rPr>
          <w:rFonts w:hint="eastAsia"/>
          <w:color w:val="auto"/>
          <w:highlight w:val="none"/>
        </w:rPr>
        <w:t>）分标：</w:t>
      </w:r>
      <w:r>
        <w:rPr>
          <w:rFonts w:hint="eastAsia"/>
          <w:color w:val="auto"/>
          <w:highlight w:val="none"/>
          <w:u w:val="single"/>
        </w:rPr>
        <w:t xml:space="preserve">        </w:t>
      </w:r>
      <w:r>
        <w:rPr>
          <w:rFonts w:hint="eastAsia"/>
          <w:color w:val="auto"/>
          <w:highlight w:val="none"/>
        </w:rPr>
        <w:t xml:space="preserve"> </w:t>
      </w:r>
    </w:p>
    <w:tbl>
      <w:tblPr>
        <w:tblStyle w:val="31"/>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242"/>
        <w:gridCol w:w="2332"/>
        <w:gridCol w:w="3250"/>
      </w:tblGrid>
      <w:tr w14:paraId="46B2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95" w:hRule="atLeast"/>
          <w:jc w:val="center"/>
        </w:trPr>
        <w:tc>
          <w:tcPr>
            <w:tcW w:w="720" w:type="dxa"/>
            <w:tcBorders>
              <w:top w:val="single" w:color="auto" w:sz="4" w:space="0"/>
              <w:left w:val="single" w:color="auto" w:sz="4" w:space="0"/>
              <w:bottom w:val="single" w:color="auto" w:sz="4" w:space="0"/>
              <w:right w:val="single" w:color="auto" w:sz="4" w:space="0"/>
            </w:tcBorders>
            <w:noWrap w:val="0"/>
            <w:vAlign w:val="center"/>
          </w:tcPr>
          <w:p w14:paraId="3794431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2242" w:type="dxa"/>
            <w:tcBorders>
              <w:top w:val="single" w:color="auto" w:sz="4" w:space="0"/>
              <w:left w:val="single" w:color="auto" w:sz="4" w:space="0"/>
              <w:bottom w:val="single" w:color="auto" w:sz="4" w:space="0"/>
              <w:right w:val="single" w:color="auto" w:sz="4" w:space="0"/>
            </w:tcBorders>
            <w:noWrap w:val="0"/>
            <w:vAlign w:val="center"/>
          </w:tcPr>
          <w:p w14:paraId="3F73FEA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标的名称</w:t>
            </w:r>
          </w:p>
        </w:tc>
        <w:tc>
          <w:tcPr>
            <w:tcW w:w="2332" w:type="dxa"/>
            <w:tcBorders>
              <w:top w:val="single" w:color="auto" w:sz="4" w:space="0"/>
              <w:left w:val="single" w:color="auto" w:sz="4" w:space="0"/>
              <w:bottom w:val="single" w:color="auto" w:sz="4" w:space="0"/>
              <w:right w:val="single" w:color="auto" w:sz="4" w:space="0"/>
            </w:tcBorders>
            <w:noWrap w:val="0"/>
            <w:vAlign w:val="center"/>
          </w:tcPr>
          <w:p w14:paraId="2889313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服务内容及要求</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58A65BC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成交价格</w:t>
            </w:r>
          </w:p>
        </w:tc>
      </w:tr>
      <w:tr w14:paraId="5AA8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20" w:type="dxa"/>
            <w:tcBorders>
              <w:top w:val="single" w:color="auto" w:sz="4" w:space="0"/>
              <w:left w:val="single" w:color="auto" w:sz="4" w:space="0"/>
              <w:right w:val="single" w:color="auto" w:sz="4" w:space="0"/>
            </w:tcBorders>
            <w:noWrap w:val="0"/>
            <w:vAlign w:val="center"/>
          </w:tcPr>
          <w:p w14:paraId="1E0FA84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1</w:t>
            </w:r>
          </w:p>
        </w:tc>
        <w:tc>
          <w:tcPr>
            <w:tcW w:w="2242" w:type="dxa"/>
            <w:tcBorders>
              <w:top w:val="single" w:color="auto" w:sz="4" w:space="0"/>
              <w:left w:val="single" w:color="auto" w:sz="4" w:space="0"/>
              <w:right w:val="single" w:color="auto" w:sz="4" w:space="0"/>
            </w:tcBorders>
            <w:noWrap w:val="0"/>
            <w:vAlign w:val="center"/>
          </w:tcPr>
          <w:p w14:paraId="44D8B958">
            <w:pPr>
              <w:spacing w:line="360" w:lineRule="auto"/>
              <w:jc w:val="center"/>
              <w:rPr>
                <w:rFonts w:ascii="宋体" w:hAnsi="宋体" w:cs="宋体"/>
                <w:color w:val="auto"/>
                <w:szCs w:val="21"/>
                <w:highlight w:val="none"/>
              </w:rPr>
            </w:pPr>
          </w:p>
        </w:tc>
        <w:tc>
          <w:tcPr>
            <w:tcW w:w="2332" w:type="dxa"/>
            <w:tcBorders>
              <w:top w:val="single" w:color="auto" w:sz="4" w:space="0"/>
              <w:left w:val="single" w:color="auto" w:sz="4" w:space="0"/>
              <w:bottom w:val="single" w:color="auto" w:sz="4" w:space="0"/>
              <w:right w:val="single" w:color="auto" w:sz="4" w:space="0"/>
            </w:tcBorders>
            <w:noWrap w:val="0"/>
            <w:vAlign w:val="center"/>
          </w:tcPr>
          <w:p w14:paraId="21631FB1">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按采购文件要求及供应商响应文件承诺，具体详见合同附件</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73DE1381">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跟踪审计服务费：</w:t>
            </w:r>
            <w:r>
              <w:rPr>
                <w:rFonts w:hint="eastAsia" w:ascii="宋体" w:hAnsi="宋体" w:cs="宋体"/>
                <w:color w:val="auto"/>
                <w:szCs w:val="21"/>
                <w:highlight w:val="none"/>
                <w:u w:val="single"/>
              </w:rPr>
              <w:t xml:space="preserve">    </w:t>
            </w:r>
            <w:r>
              <w:rPr>
                <w:rFonts w:hint="eastAsia" w:ascii="宋体" w:hAnsi="宋体" w:cs="宋体"/>
                <w:color w:val="auto"/>
                <w:kern w:val="0"/>
                <w:szCs w:val="21"/>
                <w:highlight w:val="none"/>
              </w:rPr>
              <w:t>元/月</w:t>
            </w:r>
          </w:p>
        </w:tc>
      </w:tr>
      <w:tr w14:paraId="5C363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jc w:val="center"/>
        </w:trPr>
        <w:tc>
          <w:tcPr>
            <w:tcW w:w="720" w:type="dxa"/>
            <w:tcBorders>
              <w:left w:val="single" w:color="auto" w:sz="4" w:space="0"/>
              <w:right w:val="single" w:color="auto" w:sz="4" w:space="0"/>
            </w:tcBorders>
            <w:noWrap w:val="0"/>
            <w:vAlign w:val="center"/>
          </w:tcPr>
          <w:p w14:paraId="0249EA67">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2</w:t>
            </w:r>
          </w:p>
        </w:tc>
        <w:tc>
          <w:tcPr>
            <w:tcW w:w="2242" w:type="dxa"/>
            <w:tcBorders>
              <w:left w:val="single" w:color="auto" w:sz="4" w:space="0"/>
              <w:right w:val="single" w:color="auto" w:sz="4" w:space="0"/>
            </w:tcBorders>
            <w:noWrap w:val="0"/>
            <w:vAlign w:val="center"/>
          </w:tcPr>
          <w:p w14:paraId="5C8B165A">
            <w:pPr>
              <w:spacing w:line="360" w:lineRule="auto"/>
              <w:jc w:val="center"/>
              <w:rPr>
                <w:rFonts w:ascii="宋体" w:hAnsi="宋体" w:cs="宋体"/>
                <w:color w:val="auto"/>
                <w:szCs w:val="21"/>
                <w:highlight w:val="none"/>
              </w:rPr>
            </w:pPr>
          </w:p>
        </w:tc>
        <w:tc>
          <w:tcPr>
            <w:tcW w:w="2332" w:type="dxa"/>
            <w:tcBorders>
              <w:top w:val="single" w:color="auto" w:sz="4" w:space="0"/>
              <w:left w:val="single" w:color="auto" w:sz="4" w:space="0"/>
              <w:bottom w:val="single" w:color="auto" w:sz="4" w:space="0"/>
              <w:right w:val="single" w:color="auto" w:sz="4" w:space="0"/>
            </w:tcBorders>
            <w:noWrap w:val="0"/>
            <w:vAlign w:val="center"/>
          </w:tcPr>
          <w:p w14:paraId="1D6CD937">
            <w:pPr>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按采购文件要求及供应商响应文件承诺，具体详见合同附件</w:t>
            </w:r>
          </w:p>
        </w:tc>
        <w:tc>
          <w:tcPr>
            <w:tcW w:w="3250" w:type="dxa"/>
            <w:tcBorders>
              <w:top w:val="single" w:color="auto" w:sz="4" w:space="0"/>
              <w:left w:val="single" w:color="auto" w:sz="4" w:space="0"/>
              <w:bottom w:val="single" w:color="auto" w:sz="4" w:space="0"/>
              <w:right w:val="single" w:color="auto" w:sz="4" w:space="0"/>
            </w:tcBorders>
            <w:noWrap w:val="0"/>
            <w:vAlign w:val="center"/>
          </w:tcPr>
          <w:p w14:paraId="35C53236">
            <w:pPr>
              <w:spacing w:line="360" w:lineRule="auto"/>
              <w:jc w:val="center"/>
              <w:rPr>
                <w:rFonts w:ascii="宋体" w:hAnsi="宋体" w:cs="宋体"/>
                <w:color w:val="auto"/>
                <w:szCs w:val="21"/>
                <w:highlight w:val="none"/>
              </w:rPr>
            </w:pPr>
            <w:r>
              <w:rPr>
                <w:rFonts w:hint="eastAsia" w:ascii="宋体" w:hAnsi="宋体" w:cs="宋体"/>
                <w:color w:val="auto"/>
                <w:kern w:val="0"/>
                <w:szCs w:val="21"/>
                <w:highlight w:val="none"/>
              </w:rPr>
              <w:t>结算审核价格优惠率：</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w:t>
            </w:r>
          </w:p>
        </w:tc>
      </w:tr>
      <w:tr w14:paraId="4168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8544" w:type="dxa"/>
            <w:gridSpan w:val="4"/>
            <w:tcBorders>
              <w:left w:val="single" w:color="auto" w:sz="4" w:space="0"/>
              <w:right w:val="single" w:color="auto" w:sz="4" w:space="0"/>
            </w:tcBorders>
            <w:noWrap w:val="0"/>
            <w:vAlign w:val="center"/>
          </w:tcPr>
          <w:p w14:paraId="2AE386F2">
            <w:pPr>
              <w:spacing w:line="360" w:lineRule="auto"/>
              <w:rPr>
                <w:rFonts w:hint="eastAsia" w:ascii="宋体" w:hAnsi="宋体" w:cs="宋体"/>
                <w:color w:val="auto"/>
                <w:kern w:val="0"/>
                <w:szCs w:val="21"/>
                <w:highlight w:val="none"/>
              </w:rPr>
            </w:pPr>
            <w:r>
              <w:rPr>
                <w:rFonts w:hint="eastAsia" w:ascii="宋体" w:hAnsi="宋体" w:cs="宋体"/>
                <w:color w:val="auto"/>
                <w:kern w:val="0"/>
                <w:szCs w:val="21"/>
                <w:highlight w:val="none"/>
              </w:rPr>
              <w:t>采购预算金额（元）：</w:t>
            </w:r>
          </w:p>
        </w:tc>
      </w:tr>
    </w:tbl>
    <w:p w14:paraId="48B3FD75">
      <w:pPr>
        <w:widowControl/>
        <w:spacing w:line="360" w:lineRule="auto"/>
        <w:ind w:left="482"/>
        <w:jc w:val="left"/>
        <w:rPr>
          <w:rFonts w:ascii="宋体" w:hAnsi="宋体"/>
          <w:color w:val="auto"/>
          <w:kern w:val="0"/>
          <w:sz w:val="24"/>
          <w:highlight w:val="none"/>
        </w:rPr>
      </w:pPr>
      <w:bookmarkStart w:id="172" w:name="_Toc422322476"/>
      <w:bookmarkStart w:id="173" w:name="_Toc419045058"/>
      <w:bookmarkStart w:id="174" w:name="12"/>
      <w:r>
        <w:rPr>
          <w:rFonts w:hint="eastAsia" w:ascii="Cambria" w:hAnsi="Cambria"/>
          <w:b/>
          <w:bCs/>
          <w:color w:val="auto"/>
          <w:kern w:val="0"/>
          <w:sz w:val="24"/>
          <w:highlight w:val="none"/>
        </w:rPr>
        <w:t>二、合同文件的</w:t>
      </w:r>
      <w:bookmarkEnd w:id="172"/>
      <w:bookmarkEnd w:id="173"/>
      <w:r>
        <w:rPr>
          <w:rFonts w:hint="eastAsia" w:ascii="Cambria" w:hAnsi="Cambria"/>
          <w:b/>
          <w:bCs/>
          <w:color w:val="auto"/>
          <w:kern w:val="0"/>
          <w:sz w:val="24"/>
          <w:highlight w:val="none"/>
        </w:rPr>
        <w:t>附件</w:t>
      </w:r>
      <w:r>
        <w:rPr>
          <w:rFonts w:ascii="宋体" w:hAnsi="宋体"/>
          <w:color w:val="auto"/>
          <w:kern w:val="0"/>
          <w:sz w:val="24"/>
          <w:highlight w:val="none"/>
        </w:rPr>
        <w:br w:type="textWrapping"/>
      </w:r>
      <w:r>
        <w:rPr>
          <w:rFonts w:hint="eastAsia" w:ascii="宋体" w:hAnsi="宋体"/>
          <w:color w:val="auto"/>
          <w:kern w:val="0"/>
          <w:sz w:val="24"/>
          <w:highlight w:val="none"/>
        </w:rPr>
        <w:t>本协议书与下列文件一起构成合同文件:</w:t>
      </w:r>
    </w:p>
    <w:p w14:paraId="08108BA5">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1.成交通知书；</w:t>
      </w:r>
    </w:p>
    <w:p w14:paraId="2F8D5AF4">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2.响应报价表（最后报价）；</w:t>
      </w:r>
    </w:p>
    <w:p w14:paraId="75188772">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3.响应函；</w:t>
      </w:r>
    </w:p>
    <w:p w14:paraId="38CCC7A9">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4.采购需求；</w:t>
      </w:r>
    </w:p>
    <w:p w14:paraId="2C093946">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5.商务要求偏离表和技术要求偏离表；</w:t>
      </w:r>
    </w:p>
    <w:p w14:paraId="5B881E05">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6.服务承诺（如有）；</w:t>
      </w:r>
    </w:p>
    <w:p w14:paraId="1A921338">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7.双方约定的其他合同文件。</w:t>
      </w:r>
    </w:p>
    <w:p w14:paraId="095B0DC3">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8.上述合同文件互相补充和解释。如果合同文件之间存在矛盾或者不一致之处，以上述文件的排列顺序在先者为准。</w:t>
      </w:r>
    </w:p>
    <w:p w14:paraId="11A431F4">
      <w:pPr>
        <w:widowControl/>
        <w:spacing w:line="360" w:lineRule="auto"/>
        <w:ind w:firstLine="480" w:firstLineChars="200"/>
        <w:jc w:val="left"/>
        <w:rPr>
          <w:rFonts w:ascii="宋体" w:hAnsi="宋体" w:cs="宋体"/>
          <w:bCs/>
          <w:smallCaps/>
          <w:color w:val="auto"/>
          <w:kern w:val="0"/>
          <w:sz w:val="24"/>
          <w:highlight w:val="none"/>
        </w:rPr>
      </w:pPr>
      <w:r>
        <w:rPr>
          <w:rFonts w:hint="eastAsia" w:ascii="宋体" w:hAnsi="宋体"/>
          <w:color w:val="auto"/>
          <w:kern w:val="0"/>
          <w:sz w:val="24"/>
          <w:highlight w:val="none"/>
        </w:rPr>
        <w:t>在合同订立及履行过程中形成的与合同有关的文件（包括补充协议）均构</w:t>
      </w:r>
      <w:r>
        <w:rPr>
          <w:rFonts w:hint="eastAsia" w:ascii="宋体" w:hAnsi="宋体" w:cs="宋体"/>
          <w:color w:val="auto"/>
          <w:kern w:val="0"/>
          <w:sz w:val="24"/>
          <w:highlight w:val="none"/>
        </w:rPr>
        <w:t>成合同文件的组成部分。</w:t>
      </w:r>
    </w:p>
    <w:p w14:paraId="504E383F">
      <w:pPr>
        <w:widowControl/>
        <w:spacing w:line="360" w:lineRule="auto"/>
        <w:ind w:firstLine="482" w:firstLineChars="200"/>
        <w:jc w:val="left"/>
        <w:outlineLvl w:val="0"/>
        <w:rPr>
          <w:rFonts w:ascii="Cambria" w:hAnsi="Cambria"/>
          <w:b/>
          <w:color w:val="auto"/>
          <w:kern w:val="0"/>
          <w:sz w:val="24"/>
          <w:highlight w:val="none"/>
        </w:rPr>
      </w:pPr>
      <w:bookmarkStart w:id="175" w:name="_Toc419045057"/>
      <w:bookmarkStart w:id="176" w:name="_Toc422322477"/>
      <w:r>
        <w:rPr>
          <w:rFonts w:hint="eastAsia" w:ascii="Cambria" w:hAnsi="Cambria"/>
          <w:b/>
          <w:color w:val="auto"/>
          <w:kern w:val="0"/>
          <w:sz w:val="24"/>
          <w:highlight w:val="none"/>
        </w:rPr>
        <w:t>三、</w:t>
      </w:r>
      <w:bookmarkStart w:id="177" w:name="8"/>
      <w:r>
        <w:rPr>
          <w:rFonts w:hint="eastAsia" w:ascii="Cambria" w:hAnsi="Cambria"/>
          <w:b/>
          <w:color w:val="auto"/>
          <w:kern w:val="0"/>
          <w:sz w:val="24"/>
          <w:highlight w:val="none"/>
        </w:rPr>
        <w:t>词语</w:t>
      </w:r>
      <w:bookmarkEnd w:id="175"/>
      <w:r>
        <w:rPr>
          <w:rFonts w:hint="eastAsia" w:ascii="Cambria" w:hAnsi="Cambria"/>
          <w:b/>
          <w:color w:val="auto"/>
          <w:kern w:val="0"/>
          <w:sz w:val="24"/>
          <w:highlight w:val="none"/>
        </w:rPr>
        <w:t>定义</w:t>
      </w:r>
      <w:bookmarkEnd w:id="176"/>
    </w:p>
    <w:p w14:paraId="5F623D03">
      <w:pPr>
        <w:widowControl/>
        <w:spacing w:line="360" w:lineRule="auto"/>
        <w:ind w:firstLine="480" w:firstLineChars="200"/>
        <w:jc w:val="left"/>
        <w:rPr>
          <w:rFonts w:ascii="宋体" w:hAnsi="宋体" w:cs="宋体"/>
          <w:color w:val="auto"/>
          <w:kern w:val="0"/>
          <w:sz w:val="24"/>
          <w:highlight w:val="none"/>
        </w:rPr>
      </w:pPr>
      <w:r>
        <w:rPr>
          <w:rFonts w:hint="eastAsia" w:ascii="宋体" w:hAnsi="宋体"/>
          <w:color w:val="auto"/>
          <w:kern w:val="0"/>
          <w:sz w:val="24"/>
          <w:highlight w:val="none"/>
        </w:rPr>
        <w:t>协议书中相关词语的含义与通用条件中的定义与解释相同。</w:t>
      </w:r>
      <w:bookmarkEnd w:id="177"/>
    </w:p>
    <w:p w14:paraId="54AAB7C5">
      <w:pPr>
        <w:widowControl/>
        <w:spacing w:line="360" w:lineRule="auto"/>
        <w:ind w:firstLine="482" w:firstLineChars="200"/>
        <w:jc w:val="left"/>
        <w:outlineLvl w:val="0"/>
        <w:rPr>
          <w:rFonts w:ascii="Cambria" w:hAnsi="Cambria"/>
          <w:b/>
          <w:bCs/>
          <w:color w:val="auto"/>
          <w:kern w:val="0"/>
          <w:sz w:val="24"/>
          <w:highlight w:val="none"/>
        </w:rPr>
      </w:pPr>
      <w:bookmarkStart w:id="178" w:name="_Toc422322478"/>
      <w:bookmarkStart w:id="179" w:name="_Toc419045063"/>
      <w:r>
        <w:rPr>
          <w:rFonts w:hint="eastAsia" w:ascii="Cambria" w:hAnsi="Cambria"/>
          <w:b/>
          <w:bCs/>
          <w:color w:val="auto"/>
          <w:kern w:val="0"/>
          <w:sz w:val="24"/>
          <w:highlight w:val="none"/>
        </w:rPr>
        <w:t>四、合同订立</w:t>
      </w:r>
      <w:bookmarkEnd w:id="178"/>
      <w:bookmarkEnd w:id="179"/>
    </w:p>
    <w:p w14:paraId="7E515383">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1.订立时间：</w:t>
      </w:r>
      <w:r>
        <w:rPr>
          <w:rFonts w:ascii="宋体" w:hAnsi="宋体"/>
          <w:color w:val="auto"/>
          <w:kern w:val="0"/>
          <w:sz w:val="24"/>
          <w:highlight w:val="none"/>
          <w:u w:val="single"/>
        </w:rPr>
        <w:t>202</w:t>
      </w:r>
      <w:r>
        <w:rPr>
          <w:rFonts w:hint="eastAsia" w:ascii="宋体" w:hAnsi="宋体"/>
          <w:color w:val="auto"/>
          <w:kern w:val="0"/>
          <w:sz w:val="24"/>
          <w:highlight w:val="none"/>
          <w:u w:val="single"/>
        </w:rPr>
        <w:t>5</w:t>
      </w:r>
      <w:r>
        <w:rPr>
          <w:rFonts w:hint="eastAsia" w:ascii="宋体" w:hAnsi="宋体"/>
          <w:color w:val="auto"/>
          <w:kern w:val="0"/>
          <w:sz w:val="24"/>
          <w:highlight w:val="none"/>
        </w:rPr>
        <w:t>年</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月</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日。</w:t>
      </w:r>
    </w:p>
    <w:p w14:paraId="42BF76F4">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2.订立地点：</w:t>
      </w:r>
      <w:r>
        <w:rPr>
          <w:rFonts w:hint="eastAsia" w:ascii="宋体" w:hAnsi="宋体"/>
          <w:color w:val="auto"/>
          <w:kern w:val="0"/>
          <w:sz w:val="24"/>
          <w:highlight w:val="none"/>
          <w:u w:val="single"/>
        </w:rPr>
        <w:t>广西农业</w:t>
      </w:r>
      <w:r>
        <w:rPr>
          <w:rFonts w:ascii="宋体" w:hAnsi="宋体"/>
          <w:color w:val="auto"/>
          <w:kern w:val="0"/>
          <w:sz w:val="24"/>
          <w:highlight w:val="none"/>
          <w:u w:val="single"/>
        </w:rPr>
        <w:t>职业</w:t>
      </w:r>
      <w:r>
        <w:rPr>
          <w:rFonts w:hint="eastAsia" w:ascii="宋体" w:hAnsi="宋体"/>
          <w:color w:val="auto"/>
          <w:kern w:val="0"/>
          <w:sz w:val="24"/>
          <w:highlight w:val="none"/>
          <w:u w:val="single"/>
        </w:rPr>
        <w:t>技术</w:t>
      </w:r>
      <w:r>
        <w:rPr>
          <w:rFonts w:ascii="宋体" w:hAnsi="宋体"/>
          <w:color w:val="auto"/>
          <w:kern w:val="0"/>
          <w:sz w:val="24"/>
          <w:highlight w:val="none"/>
          <w:u w:val="single"/>
        </w:rPr>
        <w:t>大学</w:t>
      </w:r>
      <w:r>
        <w:rPr>
          <w:rFonts w:hint="eastAsia" w:ascii="宋体" w:hAnsi="宋体"/>
          <w:color w:val="auto"/>
          <w:kern w:val="0"/>
          <w:sz w:val="24"/>
          <w:highlight w:val="none"/>
        </w:rPr>
        <w:t>。</w:t>
      </w:r>
    </w:p>
    <w:p w14:paraId="786847E5">
      <w:pPr>
        <w:widowControl/>
        <w:spacing w:line="360" w:lineRule="auto"/>
        <w:ind w:firstLine="482" w:firstLineChars="200"/>
        <w:jc w:val="left"/>
        <w:outlineLvl w:val="0"/>
        <w:rPr>
          <w:rFonts w:ascii="Cambria" w:hAnsi="Cambria"/>
          <w:b/>
          <w:bCs/>
          <w:color w:val="auto"/>
          <w:kern w:val="0"/>
          <w:sz w:val="24"/>
          <w:highlight w:val="none"/>
        </w:rPr>
      </w:pPr>
      <w:bookmarkStart w:id="180" w:name="_Toc419045064"/>
      <w:bookmarkStart w:id="181" w:name="_Toc422322479"/>
      <w:r>
        <w:rPr>
          <w:rFonts w:hint="eastAsia" w:ascii="Cambria" w:hAnsi="Cambria"/>
          <w:b/>
          <w:bCs/>
          <w:color w:val="auto"/>
          <w:kern w:val="0"/>
          <w:sz w:val="24"/>
          <w:highlight w:val="none"/>
        </w:rPr>
        <w:t>五、合同生效</w:t>
      </w:r>
      <w:bookmarkEnd w:id="180"/>
      <w:bookmarkEnd w:id="181"/>
    </w:p>
    <w:p w14:paraId="7295ADD4">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本合同自</w:t>
      </w:r>
      <w:r>
        <w:rPr>
          <w:rFonts w:hint="eastAsia" w:ascii="宋体" w:hAnsi="宋体"/>
          <w:color w:val="auto"/>
          <w:kern w:val="0"/>
          <w:sz w:val="24"/>
          <w:highlight w:val="none"/>
          <w:u w:val="single"/>
        </w:rPr>
        <w:t>双方签字</w:t>
      </w:r>
      <w:r>
        <w:rPr>
          <w:rFonts w:ascii="宋体" w:hAnsi="宋体"/>
          <w:color w:val="auto"/>
          <w:kern w:val="0"/>
          <w:sz w:val="24"/>
          <w:highlight w:val="none"/>
          <w:u w:val="single"/>
        </w:rPr>
        <w:t>盖章之日起</w:t>
      </w:r>
      <w:r>
        <w:rPr>
          <w:rFonts w:hint="eastAsia" w:ascii="宋体" w:hAnsi="宋体"/>
          <w:color w:val="auto"/>
          <w:kern w:val="0"/>
          <w:sz w:val="24"/>
          <w:highlight w:val="none"/>
        </w:rPr>
        <w:t>生效。</w:t>
      </w:r>
    </w:p>
    <w:p w14:paraId="537CCD9E">
      <w:pPr>
        <w:widowControl/>
        <w:spacing w:line="360" w:lineRule="auto"/>
        <w:ind w:firstLine="482" w:firstLineChars="200"/>
        <w:jc w:val="left"/>
        <w:outlineLvl w:val="0"/>
        <w:rPr>
          <w:rFonts w:ascii="Cambria" w:hAnsi="Cambria"/>
          <w:b/>
          <w:bCs/>
          <w:color w:val="auto"/>
          <w:kern w:val="0"/>
          <w:sz w:val="24"/>
          <w:highlight w:val="none"/>
        </w:rPr>
      </w:pPr>
      <w:bookmarkStart w:id="182" w:name="_Toc419045065"/>
      <w:bookmarkStart w:id="183" w:name="_Toc422322480"/>
      <w:r>
        <w:rPr>
          <w:rFonts w:hint="eastAsia" w:ascii="Cambria" w:hAnsi="Cambria"/>
          <w:b/>
          <w:bCs/>
          <w:color w:val="auto"/>
          <w:kern w:val="0"/>
          <w:sz w:val="24"/>
          <w:highlight w:val="none"/>
        </w:rPr>
        <w:t>六、合同份数</w:t>
      </w:r>
      <w:bookmarkEnd w:id="182"/>
      <w:bookmarkEnd w:id="183"/>
    </w:p>
    <w:p w14:paraId="6EFB9991">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本合同一式</w:t>
      </w:r>
      <w:r>
        <w:rPr>
          <w:rFonts w:hint="eastAsia" w:ascii="宋体" w:hAnsi="宋体"/>
          <w:color w:val="auto"/>
          <w:kern w:val="0"/>
          <w:sz w:val="24"/>
          <w:highlight w:val="none"/>
          <w:lang w:eastAsia="zh-CN"/>
        </w:rPr>
        <w:t>捌</w:t>
      </w:r>
      <w:r>
        <w:rPr>
          <w:rFonts w:hint="eastAsia" w:ascii="宋体" w:hAnsi="宋体"/>
          <w:color w:val="auto"/>
          <w:kern w:val="0"/>
          <w:sz w:val="24"/>
          <w:highlight w:val="none"/>
        </w:rPr>
        <w:t>份，具有同等法律效力，委托人执肆份，咨询人执贰份，财政部门（政府采购监管部门）、采购代理机构各壹份（可根据需要另行增加）。</w:t>
      </w:r>
    </w:p>
    <w:p w14:paraId="08547CE4">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本合同在甲乙双方签字盖章后生效，自签订之日起七个工作日内，委托人应当将合同副本报同级财政部门备案。</w:t>
      </w:r>
    </w:p>
    <w:p w14:paraId="162B5A25">
      <w:pPr>
        <w:widowControl/>
        <w:spacing w:line="360" w:lineRule="auto"/>
        <w:ind w:firstLine="480" w:firstLineChars="200"/>
        <w:jc w:val="left"/>
        <w:rPr>
          <w:rFonts w:hint="eastAsia" w:ascii="宋体" w:hAnsi="宋体"/>
          <w:color w:val="auto"/>
          <w:kern w:val="0"/>
          <w:sz w:val="24"/>
          <w:highlight w:val="none"/>
        </w:rPr>
      </w:pPr>
      <w:r>
        <w:rPr>
          <w:rFonts w:hint="eastAsia" w:ascii="宋体" w:hAnsi="宋体"/>
          <w:color w:val="auto"/>
          <w:kern w:val="0"/>
          <w:sz w:val="24"/>
          <w:highlight w:val="none"/>
        </w:rPr>
        <w:t>本合同自签订之日起2个工作日内，委托人应当将采购合同在广西壮族自治区财政厅指定的媒体上公告。</w:t>
      </w:r>
    </w:p>
    <w:p w14:paraId="578858B0">
      <w:pPr>
        <w:widowControl/>
        <w:spacing w:line="360" w:lineRule="auto"/>
        <w:ind w:firstLine="480" w:firstLineChars="200"/>
        <w:jc w:val="left"/>
        <w:rPr>
          <w:rFonts w:hint="eastAsia" w:ascii="宋体" w:hAnsi="宋体"/>
          <w:color w:val="auto"/>
          <w:kern w:val="0"/>
          <w:sz w:val="24"/>
          <w:highlight w:val="none"/>
        </w:rPr>
      </w:pPr>
    </w:p>
    <w:p w14:paraId="5FC791D5">
      <w:pPr>
        <w:rPr>
          <w:color w:val="auto"/>
          <w:highlight w:val="none"/>
        </w:rPr>
      </w:pPr>
    </w:p>
    <w:tbl>
      <w:tblPr>
        <w:tblStyle w:val="31"/>
        <w:tblW w:w="960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3"/>
        <w:gridCol w:w="4803"/>
      </w:tblGrid>
      <w:tr w14:paraId="0FEFC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7E3ECB3A">
            <w:pPr>
              <w:snapToGrid w:val="0"/>
              <w:rPr>
                <w:rFonts w:ascii="宋体" w:hAnsi="宋体"/>
                <w:color w:val="auto"/>
                <w:szCs w:val="21"/>
                <w:highlight w:val="none"/>
              </w:rPr>
            </w:pPr>
            <w:r>
              <w:rPr>
                <w:rFonts w:hint="eastAsia" w:ascii="宋体" w:hAnsi="宋体"/>
                <w:color w:val="auto"/>
                <w:highlight w:val="none"/>
              </w:rPr>
              <w:t xml:space="preserve">甲方（章）     </w:t>
            </w:r>
          </w:p>
          <w:p w14:paraId="23FAB833">
            <w:pPr>
              <w:snapToGrid w:val="0"/>
              <w:rPr>
                <w:rFonts w:ascii="宋体" w:hAnsi="宋体"/>
                <w:color w:val="auto"/>
                <w:highlight w:val="none"/>
              </w:rPr>
            </w:pPr>
            <w:r>
              <w:rPr>
                <w:rFonts w:hint="eastAsia" w:ascii="宋体" w:hAnsi="宋体"/>
                <w:color w:val="auto"/>
                <w:highlight w:val="none"/>
              </w:rPr>
              <w:t>广西农业职业技术大学</w:t>
            </w:r>
          </w:p>
          <w:p w14:paraId="2AEB618B">
            <w:pPr>
              <w:snapToGrid w:val="0"/>
              <w:jc w:val="left"/>
              <w:rPr>
                <w:rFonts w:ascii="宋体" w:hAnsi="宋体" w:eastAsia="黑体"/>
                <w:color w:val="auto"/>
                <w:sz w:val="24"/>
                <w:highlight w:val="none"/>
              </w:rPr>
            </w:pPr>
          </w:p>
          <w:p w14:paraId="22374B33">
            <w:pPr>
              <w:snapToGrid w:val="0"/>
              <w:jc w:val="left"/>
              <w:rPr>
                <w:rFonts w:ascii="宋体" w:hAnsi="宋体" w:eastAsia="黑体"/>
                <w:color w:val="auto"/>
                <w:sz w:val="24"/>
                <w:highlight w:val="none"/>
              </w:rPr>
            </w:pPr>
          </w:p>
          <w:p w14:paraId="6767A6A9">
            <w:pPr>
              <w:snapToGrid w:val="0"/>
              <w:jc w:val="left"/>
              <w:rPr>
                <w:rFonts w:ascii="宋体" w:hAnsi="宋体" w:eastAsia="黑体"/>
                <w:color w:val="auto"/>
                <w:sz w:val="24"/>
                <w:highlight w:val="none"/>
              </w:rPr>
            </w:pPr>
          </w:p>
          <w:p w14:paraId="231D68A8">
            <w:pPr>
              <w:snapToGrid w:val="0"/>
              <w:rPr>
                <w:color w:val="auto"/>
                <w:szCs w:val="21"/>
                <w:highlight w:val="none"/>
              </w:rPr>
            </w:pPr>
          </w:p>
          <w:p w14:paraId="0871A6B0">
            <w:pPr>
              <w:snapToGrid w:val="0"/>
              <w:jc w:val="right"/>
              <w:rPr>
                <w:rFonts w:ascii="宋体" w:hAnsi="宋体"/>
                <w:color w:val="auto"/>
                <w:szCs w:val="21"/>
                <w:highlight w:val="none"/>
              </w:rPr>
            </w:pPr>
            <w:r>
              <w:rPr>
                <w:rFonts w:hint="eastAsia" w:ascii="宋体" w:hAnsi="宋体"/>
                <w:color w:val="auto"/>
                <w:highlight w:val="none"/>
              </w:rPr>
              <w:t>2025年   月   日</w:t>
            </w:r>
          </w:p>
        </w:tc>
        <w:tc>
          <w:tcPr>
            <w:tcW w:w="4749" w:type="dxa"/>
            <w:tcBorders>
              <w:top w:val="single" w:color="auto" w:sz="4" w:space="0"/>
              <w:left w:val="nil"/>
              <w:bottom w:val="single" w:color="auto" w:sz="4" w:space="0"/>
              <w:right w:val="single" w:color="auto" w:sz="4" w:space="0"/>
            </w:tcBorders>
            <w:noWrap/>
            <w:vAlign w:val="center"/>
          </w:tcPr>
          <w:p w14:paraId="35F9C7C8">
            <w:pPr>
              <w:snapToGrid w:val="0"/>
              <w:rPr>
                <w:rFonts w:ascii="宋体" w:hAnsi="宋体"/>
                <w:color w:val="auto"/>
                <w:highlight w:val="none"/>
              </w:rPr>
            </w:pPr>
            <w:r>
              <w:rPr>
                <w:rFonts w:hint="eastAsia" w:ascii="宋体" w:hAnsi="宋体"/>
                <w:color w:val="auto"/>
                <w:highlight w:val="none"/>
              </w:rPr>
              <w:t>乙方（章）</w:t>
            </w:r>
          </w:p>
          <w:p w14:paraId="0FCB58EE">
            <w:pPr>
              <w:snapToGrid w:val="0"/>
              <w:rPr>
                <w:rFonts w:ascii="宋体" w:hAnsi="宋体"/>
                <w:color w:val="auto"/>
                <w:szCs w:val="21"/>
                <w:highlight w:val="none"/>
              </w:rPr>
            </w:pPr>
          </w:p>
          <w:p w14:paraId="6CF772A7">
            <w:pPr>
              <w:snapToGrid w:val="0"/>
              <w:rPr>
                <w:rFonts w:ascii="宋体" w:hAnsi="宋体"/>
                <w:color w:val="auto"/>
                <w:highlight w:val="none"/>
              </w:rPr>
            </w:pPr>
          </w:p>
          <w:p w14:paraId="301D2E70">
            <w:pPr>
              <w:snapToGrid w:val="0"/>
              <w:rPr>
                <w:color w:val="auto"/>
                <w:szCs w:val="21"/>
                <w:highlight w:val="none"/>
              </w:rPr>
            </w:pPr>
          </w:p>
          <w:p w14:paraId="66356415">
            <w:pPr>
              <w:snapToGrid w:val="0"/>
              <w:rPr>
                <w:color w:val="auto"/>
                <w:szCs w:val="21"/>
                <w:highlight w:val="none"/>
              </w:rPr>
            </w:pPr>
          </w:p>
          <w:p w14:paraId="0B6DB610">
            <w:pPr>
              <w:snapToGrid w:val="0"/>
              <w:jc w:val="left"/>
              <w:rPr>
                <w:rFonts w:ascii="宋体" w:hAnsi="宋体" w:eastAsia="黑体"/>
                <w:color w:val="auto"/>
                <w:sz w:val="24"/>
                <w:highlight w:val="none"/>
              </w:rPr>
            </w:pPr>
          </w:p>
          <w:p w14:paraId="25FF3F6D">
            <w:pPr>
              <w:snapToGrid w:val="0"/>
              <w:jc w:val="right"/>
              <w:rPr>
                <w:rFonts w:ascii="宋体" w:hAnsi="宋体"/>
                <w:color w:val="auto"/>
                <w:szCs w:val="21"/>
                <w:highlight w:val="none"/>
              </w:rPr>
            </w:pPr>
            <w:r>
              <w:rPr>
                <w:rFonts w:hint="eastAsia" w:ascii="宋体" w:hAnsi="宋体"/>
                <w:color w:val="auto"/>
                <w:highlight w:val="none"/>
              </w:rPr>
              <w:t>2025年   月   日</w:t>
            </w:r>
          </w:p>
        </w:tc>
      </w:tr>
      <w:tr w14:paraId="3096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500D284D">
            <w:pPr>
              <w:snapToGrid w:val="0"/>
              <w:rPr>
                <w:rFonts w:ascii="宋体" w:hAnsi="宋体"/>
                <w:color w:val="auto"/>
                <w:szCs w:val="21"/>
                <w:highlight w:val="none"/>
              </w:rPr>
            </w:pPr>
            <w:r>
              <w:rPr>
                <w:rFonts w:hint="eastAsia" w:ascii="宋体" w:hAnsi="宋体"/>
                <w:color w:val="auto"/>
                <w:highlight w:val="none"/>
              </w:rPr>
              <w:t>单位地址：广西南宁市西乡塘区大学东路176号</w:t>
            </w:r>
          </w:p>
        </w:tc>
        <w:tc>
          <w:tcPr>
            <w:tcW w:w="4749" w:type="dxa"/>
            <w:tcBorders>
              <w:top w:val="single" w:color="auto" w:sz="4" w:space="0"/>
              <w:left w:val="nil"/>
              <w:bottom w:val="single" w:color="auto" w:sz="4" w:space="0"/>
              <w:right w:val="single" w:color="auto" w:sz="4" w:space="0"/>
            </w:tcBorders>
            <w:noWrap/>
            <w:vAlign w:val="center"/>
          </w:tcPr>
          <w:p w14:paraId="4595069B">
            <w:pPr>
              <w:snapToGrid w:val="0"/>
              <w:rPr>
                <w:rFonts w:ascii="宋体" w:hAnsi="宋体"/>
                <w:color w:val="auto"/>
                <w:szCs w:val="21"/>
                <w:highlight w:val="none"/>
              </w:rPr>
            </w:pPr>
            <w:r>
              <w:rPr>
                <w:rFonts w:hint="eastAsia" w:ascii="宋体" w:hAnsi="宋体"/>
                <w:color w:val="auto"/>
                <w:highlight w:val="none"/>
              </w:rPr>
              <w:t>单位地址：</w:t>
            </w:r>
          </w:p>
        </w:tc>
      </w:tr>
      <w:tr w14:paraId="593C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7CCB3A93">
            <w:pPr>
              <w:snapToGrid w:val="0"/>
              <w:rPr>
                <w:rFonts w:ascii="宋体" w:hAnsi="宋体"/>
                <w:color w:val="auto"/>
                <w:szCs w:val="21"/>
                <w:highlight w:val="none"/>
              </w:rPr>
            </w:pPr>
            <w:r>
              <w:rPr>
                <w:rFonts w:hint="eastAsia" w:ascii="宋体" w:hAnsi="宋体"/>
                <w:color w:val="auto"/>
                <w:highlight w:val="none"/>
              </w:rPr>
              <w:t>法定代表人：</w:t>
            </w:r>
          </w:p>
        </w:tc>
        <w:tc>
          <w:tcPr>
            <w:tcW w:w="4749" w:type="dxa"/>
            <w:tcBorders>
              <w:top w:val="single" w:color="auto" w:sz="4" w:space="0"/>
              <w:left w:val="nil"/>
              <w:bottom w:val="single" w:color="auto" w:sz="4" w:space="0"/>
              <w:right w:val="single" w:color="auto" w:sz="4" w:space="0"/>
            </w:tcBorders>
            <w:noWrap/>
            <w:vAlign w:val="center"/>
          </w:tcPr>
          <w:p w14:paraId="5C2678C8">
            <w:pPr>
              <w:snapToGrid w:val="0"/>
              <w:rPr>
                <w:rFonts w:ascii="宋体" w:hAnsi="宋体"/>
                <w:color w:val="auto"/>
                <w:szCs w:val="21"/>
                <w:highlight w:val="none"/>
              </w:rPr>
            </w:pPr>
            <w:r>
              <w:rPr>
                <w:rFonts w:hint="eastAsia" w:ascii="宋体" w:hAnsi="宋体"/>
                <w:color w:val="auto"/>
                <w:highlight w:val="none"/>
              </w:rPr>
              <w:t>法定代表人：</w:t>
            </w:r>
          </w:p>
        </w:tc>
      </w:tr>
      <w:tr w14:paraId="7B80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7E526EB7">
            <w:pPr>
              <w:snapToGrid w:val="0"/>
              <w:rPr>
                <w:rFonts w:ascii="宋体" w:hAnsi="宋体"/>
                <w:color w:val="auto"/>
                <w:szCs w:val="21"/>
                <w:highlight w:val="none"/>
              </w:rPr>
            </w:pPr>
            <w:r>
              <w:rPr>
                <w:rFonts w:hint="eastAsia" w:ascii="宋体" w:hAnsi="宋体"/>
                <w:color w:val="auto"/>
                <w:highlight w:val="none"/>
              </w:rPr>
              <w:t>或委托代理人：</w:t>
            </w:r>
          </w:p>
        </w:tc>
        <w:tc>
          <w:tcPr>
            <w:tcW w:w="4749" w:type="dxa"/>
            <w:tcBorders>
              <w:top w:val="single" w:color="auto" w:sz="4" w:space="0"/>
              <w:left w:val="nil"/>
              <w:bottom w:val="single" w:color="auto" w:sz="4" w:space="0"/>
              <w:right w:val="single" w:color="auto" w:sz="4" w:space="0"/>
            </w:tcBorders>
            <w:noWrap/>
            <w:vAlign w:val="center"/>
          </w:tcPr>
          <w:p w14:paraId="53507E8A">
            <w:pPr>
              <w:snapToGrid w:val="0"/>
              <w:rPr>
                <w:rFonts w:ascii="宋体" w:hAnsi="宋体"/>
                <w:color w:val="auto"/>
                <w:szCs w:val="21"/>
                <w:highlight w:val="none"/>
              </w:rPr>
            </w:pPr>
            <w:r>
              <w:rPr>
                <w:rFonts w:hint="eastAsia" w:ascii="宋体" w:hAnsi="宋体"/>
                <w:color w:val="auto"/>
                <w:highlight w:val="none"/>
              </w:rPr>
              <w:t>或委托代理人：</w:t>
            </w:r>
          </w:p>
        </w:tc>
      </w:tr>
      <w:tr w14:paraId="3E48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391F9C86">
            <w:pPr>
              <w:snapToGrid w:val="0"/>
              <w:rPr>
                <w:rFonts w:ascii="宋体" w:hAnsi="宋体"/>
                <w:color w:val="auto"/>
                <w:szCs w:val="21"/>
                <w:highlight w:val="none"/>
              </w:rPr>
            </w:pPr>
            <w:r>
              <w:rPr>
                <w:rFonts w:hint="eastAsia" w:ascii="宋体" w:hAnsi="宋体"/>
                <w:color w:val="auto"/>
                <w:highlight w:val="none"/>
              </w:rPr>
              <w:t>电话：</w:t>
            </w:r>
            <w:r>
              <w:rPr>
                <w:rFonts w:hint="eastAsia" w:ascii="宋体" w:hAnsi="宋体" w:cs="Calibri"/>
                <w:color w:val="auto"/>
                <w:szCs w:val="21"/>
                <w:highlight w:val="none"/>
              </w:rPr>
              <w:t>0771-4714671</w:t>
            </w:r>
          </w:p>
        </w:tc>
        <w:tc>
          <w:tcPr>
            <w:tcW w:w="4749" w:type="dxa"/>
            <w:tcBorders>
              <w:top w:val="single" w:color="auto" w:sz="4" w:space="0"/>
              <w:left w:val="nil"/>
              <w:bottom w:val="single" w:color="auto" w:sz="4" w:space="0"/>
              <w:right w:val="single" w:color="auto" w:sz="4" w:space="0"/>
            </w:tcBorders>
            <w:noWrap/>
            <w:vAlign w:val="center"/>
          </w:tcPr>
          <w:p w14:paraId="038D2C37">
            <w:pPr>
              <w:snapToGrid w:val="0"/>
              <w:rPr>
                <w:rFonts w:ascii="宋体" w:hAnsi="宋体"/>
                <w:color w:val="auto"/>
                <w:szCs w:val="21"/>
                <w:highlight w:val="none"/>
              </w:rPr>
            </w:pPr>
            <w:r>
              <w:rPr>
                <w:rFonts w:hint="eastAsia" w:ascii="宋体" w:hAnsi="宋体"/>
                <w:color w:val="auto"/>
                <w:highlight w:val="none"/>
              </w:rPr>
              <w:t>电话：</w:t>
            </w:r>
          </w:p>
        </w:tc>
      </w:tr>
      <w:tr w14:paraId="33C5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307DC8D0">
            <w:pPr>
              <w:snapToGrid w:val="0"/>
              <w:rPr>
                <w:rFonts w:ascii="宋体" w:hAnsi="宋体"/>
                <w:color w:val="auto"/>
                <w:szCs w:val="21"/>
                <w:highlight w:val="none"/>
              </w:rPr>
            </w:pPr>
            <w:r>
              <w:rPr>
                <w:rFonts w:hint="eastAsia" w:ascii="宋体" w:hAnsi="宋体"/>
                <w:color w:val="auto"/>
                <w:highlight w:val="none"/>
              </w:rPr>
              <w:t>开户银行：交通银行南宁大学路支行</w:t>
            </w:r>
          </w:p>
        </w:tc>
        <w:tc>
          <w:tcPr>
            <w:tcW w:w="4749" w:type="dxa"/>
            <w:tcBorders>
              <w:top w:val="single" w:color="auto" w:sz="4" w:space="0"/>
              <w:left w:val="nil"/>
              <w:bottom w:val="single" w:color="auto" w:sz="4" w:space="0"/>
              <w:right w:val="single" w:color="auto" w:sz="4" w:space="0"/>
            </w:tcBorders>
            <w:noWrap/>
            <w:vAlign w:val="center"/>
          </w:tcPr>
          <w:p w14:paraId="471A9AA3">
            <w:pPr>
              <w:snapToGrid w:val="0"/>
              <w:rPr>
                <w:rFonts w:ascii="宋体" w:hAnsi="宋体"/>
                <w:color w:val="auto"/>
                <w:szCs w:val="21"/>
                <w:highlight w:val="none"/>
              </w:rPr>
            </w:pPr>
            <w:r>
              <w:rPr>
                <w:rFonts w:hint="eastAsia" w:ascii="宋体" w:hAnsi="宋体"/>
                <w:color w:val="auto"/>
                <w:highlight w:val="none"/>
              </w:rPr>
              <w:t>开户银行：</w:t>
            </w:r>
          </w:p>
        </w:tc>
      </w:tr>
      <w:tr w14:paraId="5078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255B46E1">
            <w:pPr>
              <w:snapToGrid w:val="0"/>
              <w:rPr>
                <w:rFonts w:ascii="宋体" w:hAnsi="宋体"/>
                <w:color w:val="auto"/>
                <w:szCs w:val="21"/>
                <w:highlight w:val="none"/>
              </w:rPr>
            </w:pPr>
            <w:r>
              <w:rPr>
                <w:rFonts w:hint="eastAsia" w:ascii="宋体" w:hAnsi="宋体"/>
                <w:color w:val="auto"/>
                <w:highlight w:val="none"/>
              </w:rPr>
              <w:t>账号：451060605013002182351</w:t>
            </w:r>
          </w:p>
        </w:tc>
        <w:tc>
          <w:tcPr>
            <w:tcW w:w="4749" w:type="dxa"/>
            <w:tcBorders>
              <w:top w:val="single" w:color="auto" w:sz="4" w:space="0"/>
              <w:left w:val="nil"/>
              <w:bottom w:val="single" w:color="auto" w:sz="4" w:space="0"/>
              <w:right w:val="single" w:color="auto" w:sz="4" w:space="0"/>
            </w:tcBorders>
            <w:noWrap/>
            <w:vAlign w:val="center"/>
          </w:tcPr>
          <w:p w14:paraId="46685DB6">
            <w:pPr>
              <w:snapToGrid w:val="0"/>
              <w:rPr>
                <w:rFonts w:ascii="宋体" w:hAnsi="宋体"/>
                <w:color w:val="auto"/>
                <w:szCs w:val="21"/>
                <w:highlight w:val="none"/>
              </w:rPr>
            </w:pPr>
            <w:r>
              <w:rPr>
                <w:rFonts w:hint="eastAsia" w:ascii="宋体" w:hAnsi="宋体"/>
                <w:color w:val="auto"/>
                <w:highlight w:val="none"/>
              </w:rPr>
              <w:t>账号：</w:t>
            </w:r>
          </w:p>
        </w:tc>
      </w:tr>
      <w:tr w14:paraId="5AD4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32F7BA79">
            <w:pPr>
              <w:snapToGrid w:val="0"/>
              <w:rPr>
                <w:rFonts w:ascii="宋体" w:hAnsi="宋体"/>
                <w:color w:val="auto"/>
                <w:szCs w:val="21"/>
                <w:highlight w:val="none"/>
              </w:rPr>
            </w:pPr>
            <w:r>
              <w:rPr>
                <w:rFonts w:hint="eastAsia" w:ascii="宋体" w:hAnsi="宋体"/>
                <w:color w:val="auto"/>
                <w:highlight w:val="none"/>
              </w:rPr>
              <w:t>统一社会信用代码：12450000MB1K85825M</w:t>
            </w:r>
          </w:p>
        </w:tc>
        <w:tc>
          <w:tcPr>
            <w:tcW w:w="4749" w:type="dxa"/>
            <w:tcBorders>
              <w:top w:val="single" w:color="auto" w:sz="4" w:space="0"/>
              <w:left w:val="nil"/>
              <w:bottom w:val="single" w:color="auto" w:sz="4" w:space="0"/>
              <w:right w:val="single" w:color="auto" w:sz="4" w:space="0"/>
            </w:tcBorders>
            <w:noWrap/>
            <w:vAlign w:val="center"/>
          </w:tcPr>
          <w:p w14:paraId="5E886A7C">
            <w:pPr>
              <w:snapToGrid w:val="0"/>
              <w:rPr>
                <w:rFonts w:ascii="宋体" w:hAnsi="宋体"/>
                <w:color w:val="auto"/>
                <w:szCs w:val="21"/>
                <w:highlight w:val="none"/>
              </w:rPr>
            </w:pPr>
            <w:r>
              <w:rPr>
                <w:rFonts w:hint="eastAsia" w:ascii="宋体" w:hAnsi="宋体"/>
                <w:color w:val="auto"/>
                <w:highlight w:val="none"/>
              </w:rPr>
              <w:t>统一社会信用代码：</w:t>
            </w:r>
          </w:p>
        </w:tc>
      </w:tr>
      <w:tr w14:paraId="322E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tc>
          <w:tcPr>
            <w:tcW w:w="4749" w:type="dxa"/>
            <w:tcBorders>
              <w:top w:val="single" w:color="auto" w:sz="4" w:space="0"/>
              <w:left w:val="single" w:color="auto" w:sz="4" w:space="0"/>
              <w:bottom w:val="single" w:color="auto" w:sz="4" w:space="0"/>
              <w:right w:val="single" w:color="auto" w:sz="4" w:space="0"/>
            </w:tcBorders>
            <w:noWrap/>
            <w:vAlign w:val="center"/>
          </w:tcPr>
          <w:p w14:paraId="062F24AD">
            <w:pPr>
              <w:snapToGrid w:val="0"/>
              <w:rPr>
                <w:rFonts w:ascii="宋体" w:hAnsi="宋体"/>
                <w:color w:val="auto"/>
                <w:szCs w:val="21"/>
                <w:highlight w:val="none"/>
              </w:rPr>
            </w:pPr>
            <w:r>
              <w:rPr>
                <w:rFonts w:hint="eastAsia" w:ascii="宋体" w:hAnsi="宋体"/>
                <w:color w:val="auto"/>
                <w:highlight w:val="none"/>
              </w:rPr>
              <w:t>邮政编码：530007</w:t>
            </w:r>
          </w:p>
        </w:tc>
        <w:tc>
          <w:tcPr>
            <w:tcW w:w="4749" w:type="dxa"/>
            <w:tcBorders>
              <w:top w:val="single" w:color="auto" w:sz="4" w:space="0"/>
              <w:left w:val="nil"/>
              <w:bottom w:val="single" w:color="auto" w:sz="4" w:space="0"/>
              <w:right w:val="single" w:color="auto" w:sz="4" w:space="0"/>
            </w:tcBorders>
            <w:noWrap/>
            <w:vAlign w:val="center"/>
          </w:tcPr>
          <w:p w14:paraId="62A2E05E">
            <w:pPr>
              <w:snapToGrid w:val="0"/>
              <w:rPr>
                <w:rFonts w:ascii="宋体" w:hAnsi="宋体"/>
                <w:color w:val="auto"/>
                <w:szCs w:val="21"/>
                <w:highlight w:val="none"/>
              </w:rPr>
            </w:pPr>
            <w:r>
              <w:rPr>
                <w:rFonts w:hint="eastAsia" w:ascii="宋体" w:hAnsi="宋体"/>
                <w:color w:val="auto"/>
                <w:highlight w:val="none"/>
              </w:rPr>
              <w:t>邮政编码：</w:t>
            </w:r>
          </w:p>
        </w:tc>
      </w:tr>
    </w:tbl>
    <w:p w14:paraId="41D60E54">
      <w:pPr>
        <w:widowControl/>
        <w:spacing w:line="360" w:lineRule="auto"/>
        <w:ind w:firstLine="4515" w:firstLineChars="2150"/>
        <w:jc w:val="left"/>
        <w:rPr>
          <w:color w:val="auto"/>
          <w:highlight w:val="none"/>
        </w:rPr>
      </w:pPr>
    </w:p>
    <w:bookmarkEnd w:id="174"/>
    <w:p w14:paraId="3FA8BFA8">
      <w:pPr>
        <w:keepNext/>
        <w:keepLines/>
        <w:widowControl/>
        <w:spacing w:before="340" w:after="120" w:line="578" w:lineRule="auto"/>
        <w:jc w:val="center"/>
        <w:outlineLvl w:val="0"/>
        <w:rPr>
          <w:rFonts w:ascii="宋体" w:hAnsi="宋体"/>
          <w:b/>
          <w:bCs/>
          <w:color w:val="auto"/>
          <w:kern w:val="44"/>
          <w:sz w:val="30"/>
          <w:szCs w:val="30"/>
          <w:highlight w:val="none"/>
        </w:rPr>
      </w:pPr>
      <w:bookmarkStart w:id="184" w:name="_Toc419045066"/>
      <w:bookmarkStart w:id="185" w:name="_Toc422322481"/>
      <w:r>
        <w:rPr>
          <w:rFonts w:hint="eastAsia" w:ascii="宋体" w:hAnsi="宋体"/>
          <w:b/>
          <w:bCs/>
          <w:color w:val="auto"/>
          <w:kern w:val="44"/>
          <w:sz w:val="30"/>
          <w:szCs w:val="30"/>
          <w:highlight w:val="none"/>
        </w:rPr>
        <w:t>第二部分　通用条件</w:t>
      </w:r>
      <w:bookmarkEnd w:id="184"/>
      <w:bookmarkEnd w:id="185"/>
    </w:p>
    <w:p w14:paraId="4ADB125E">
      <w:pPr>
        <w:widowControl/>
        <w:spacing w:line="360" w:lineRule="auto"/>
        <w:jc w:val="left"/>
        <w:outlineLvl w:val="0"/>
        <w:rPr>
          <w:rFonts w:ascii="Cambria" w:hAnsi="Cambria"/>
          <w:b/>
          <w:bCs/>
          <w:color w:val="auto"/>
          <w:kern w:val="0"/>
          <w:sz w:val="24"/>
          <w:highlight w:val="none"/>
        </w:rPr>
      </w:pPr>
      <w:r>
        <w:rPr>
          <w:rFonts w:hint="eastAsia" w:ascii="Cambria" w:hAnsi="Cambria"/>
          <w:b/>
          <w:bCs/>
          <w:color w:val="auto"/>
          <w:kern w:val="0"/>
          <w:sz w:val="24"/>
          <w:highlight w:val="none"/>
        </w:rPr>
        <w:t xml:space="preserve">    </w:t>
      </w:r>
      <w:bookmarkStart w:id="186" w:name="_Toc422322482"/>
      <w:bookmarkStart w:id="187" w:name="_Toc419045067"/>
      <w:r>
        <w:rPr>
          <w:rFonts w:hint="eastAsia" w:ascii="Cambria" w:hAnsi="Cambria"/>
          <w:b/>
          <w:bCs/>
          <w:color w:val="auto"/>
          <w:kern w:val="0"/>
          <w:sz w:val="24"/>
          <w:highlight w:val="none"/>
        </w:rPr>
        <w:t>1.词语定义、语言、解释顺序与适用法律</w:t>
      </w:r>
      <w:bookmarkEnd w:id="186"/>
      <w:bookmarkEnd w:id="187"/>
    </w:p>
    <w:p w14:paraId="4E14BDE6">
      <w:pPr>
        <w:widowControl/>
        <w:spacing w:before="240" w:after="60" w:line="312" w:lineRule="auto"/>
        <w:ind w:firstLine="480" w:firstLineChars="200"/>
        <w:jc w:val="left"/>
        <w:outlineLvl w:val="1"/>
        <w:rPr>
          <w:rFonts w:ascii="宋体" w:hAnsi="宋体"/>
          <w:bCs/>
          <w:color w:val="auto"/>
          <w:kern w:val="28"/>
          <w:sz w:val="24"/>
          <w:highlight w:val="none"/>
        </w:rPr>
      </w:pPr>
      <w:bookmarkStart w:id="188" w:name="_Toc422322483"/>
      <w:bookmarkStart w:id="189" w:name="_Toc419045068"/>
      <w:r>
        <w:rPr>
          <w:rFonts w:hint="eastAsia" w:ascii="宋体" w:hAnsi="宋体"/>
          <w:bCs/>
          <w:color w:val="auto"/>
          <w:kern w:val="28"/>
          <w:sz w:val="24"/>
          <w:highlight w:val="none"/>
        </w:rPr>
        <w:t>1.1词语定义</w:t>
      </w:r>
      <w:bookmarkEnd w:id="188"/>
      <w:bookmarkEnd w:id="189"/>
    </w:p>
    <w:p w14:paraId="73643518">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组成本合同的全部文件中的下列名词和用语应具有本款所赋予的含义：</w:t>
      </w:r>
    </w:p>
    <w:p w14:paraId="56C4AA3D">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 xml:space="preserve">1.1.1“工程”是指按照本合同约定实施造价咨询与其他服务的建设工程。    </w:t>
      </w:r>
    </w:p>
    <w:p w14:paraId="7C302590">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1.1.2“工程造价”是指工程项目建设过程中预计或实际支出的全部费用。</w:t>
      </w:r>
    </w:p>
    <w:p w14:paraId="6478A168">
      <w:pPr>
        <w:widowControl/>
        <w:spacing w:line="360" w:lineRule="auto"/>
        <w:ind w:firstLine="480" w:firstLineChars="200"/>
        <w:jc w:val="left"/>
        <w:rPr>
          <w:rFonts w:ascii="宋体" w:hAnsi="宋体"/>
          <w:color w:val="auto"/>
          <w:kern w:val="0"/>
          <w:sz w:val="24"/>
          <w:highlight w:val="none"/>
        </w:rPr>
      </w:pPr>
      <w:r>
        <w:rPr>
          <w:rFonts w:ascii="宋体" w:hAnsi="宋体"/>
          <w:color w:val="auto"/>
          <w:kern w:val="0"/>
          <w:sz w:val="24"/>
          <w:highlight w:val="none"/>
        </w:rPr>
        <w:t>1</w:t>
      </w:r>
      <w:r>
        <w:rPr>
          <w:rFonts w:hint="eastAsia" w:ascii="宋体" w:hAnsi="宋体"/>
          <w:color w:val="auto"/>
          <w:kern w:val="0"/>
          <w:sz w:val="24"/>
          <w:highlight w:val="none"/>
        </w:rPr>
        <w:t>.1.3“委托人”是指本合同中委托造价咨询与其他服务的一方，及其合法的继承人或受让人。</w:t>
      </w:r>
    </w:p>
    <w:p w14:paraId="335C2BD0">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1.1.4</w:t>
      </w:r>
      <w:r>
        <w:rPr>
          <w:rFonts w:ascii="宋体" w:hAnsi="宋体"/>
          <w:color w:val="auto"/>
          <w:kern w:val="0"/>
          <w:sz w:val="24"/>
          <w:highlight w:val="none"/>
        </w:rPr>
        <w:t>“咨询人”是指</w:t>
      </w:r>
      <w:r>
        <w:rPr>
          <w:rFonts w:hint="eastAsia" w:ascii="宋体" w:hAnsi="宋体"/>
          <w:color w:val="auto"/>
          <w:kern w:val="0"/>
          <w:sz w:val="24"/>
          <w:highlight w:val="none"/>
        </w:rPr>
        <w:t>本合同中提供造价咨询与其他服务的一方</w:t>
      </w:r>
      <w:r>
        <w:rPr>
          <w:rFonts w:hint="eastAsia" w:ascii="宋体" w:hAnsi="宋体"/>
          <w:b/>
          <w:bCs/>
          <w:color w:val="auto"/>
          <w:kern w:val="0"/>
          <w:sz w:val="24"/>
          <w:highlight w:val="none"/>
        </w:rPr>
        <w:t>，</w:t>
      </w:r>
      <w:r>
        <w:rPr>
          <w:rFonts w:hint="eastAsia" w:ascii="宋体" w:hAnsi="宋体"/>
          <w:color w:val="auto"/>
          <w:kern w:val="0"/>
          <w:sz w:val="24"/>
          <w:highlight w:val="none"/>
        </w:rPr>
        <w:t>及其合法的继承人。</w:t>
      </w:r>
      <w:r>
        <w:rPr>
          <w:rFonts w:ascii="宋体" w:hAnsi="宋体"/>
          <w:color w:val="auto"/>
          <w:kern w:val="0"/>
          <w:sz w:val="24"/>
          <w:highlight w:val="none"/>
        </w:rPr>
        <w:br w:type="textWrapping"/>
      </w:r>
      <w:r>
        <w:rPr>
          <w:rFonts w:hint="eastAsia" w:ascii="宋体" w:hAnsi="宋体"/>
          <w:color w:val="auto"/>
          <w:kern w:val="0"/>
          <w:sz w:val="24"/>
          <w:highlight w:val="none"/>
        </w:rPr>
        <w:t xml:space="preserve">    1.1.5</w:t>
      </w:r>
      <w:r>
        <w:rPr>
          <w:rFonts w:ascii="宋体" w:hAnsi="宋体"/>
          <w:color w:val="auto"/>
          <w:kern w:val="0"/>
          <w:sz w:val="24"/>
          <w:highlight w:val="none"/>
        </w:rPr>
        <w:t>“第三人”是指除委托人、咨询人以外与本咨询业务有关的当事人。</w:t>
      </w:r>
    </w:p>
    <w:p w14:paraId="1D5F6E6A">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1.1.6“正常工作”是指本合同订立时通用条件和专用条件中约定的咨询人的工作。</w:t>
      </w:r>
    </w:p>
    <w:p w14:paraId="048F29A0">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1.1.7“附加工作”是指咨询人根据合同条件完成的正常工作以外的工作。</w:t>
      </w:r>
    </w:p>
    <w:p w14:paraId="5FBCF9AC">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1.1.8“项目咨询团队”是指咨询人指派负责履行本合同的团队，其团队成员为本合同的项目咨询人员。</w:t>
      </w:r>
    </w:p>
    <w:p w14:paraId="4C5A48A9">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1.1.9“项目负责人”是指由咨询人的法定代表人书面授权，在授权范围内负责履行本合同、主持项目咨询团队工作的负责人。</w:t>
      </w:r>
    </w:p>
    <w:p w14:paraId="19478D1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1.1.10“委托人代表”是指由委托人的法定代表人书面授权，在授权范围内行使委托人权利的人。</w:t>
      </w:r>
    </w:p>
    <w:p w14:paraId="4EBDA3E4">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1.1.11“酬金”是指咨询人履行本合同义务，委托人按照本合同约定给付咨询人的金额。</w:t>
      </w:r>
    </w:p>
    <w:p w14:paraId="4E23BAAC">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1.1.12“正常工作酬金”是指在协议书中载明的，咨询人完成正常工作，委托人应给付咨询人的酬金。</w:t>
      </w:r>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1.1.13“附加工作酬金”是指咨询人完成附加工作，委托人应给付咨询人的酬金。</w:t>
      </w:r>
    </w:p>
    <w:p w14:paraId="5A0518BA">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1.1.14 “书面形式”是指合同书、信件和数据电文（包括电报、电传、传真、电子数据交换和电子邮件）等可以有形地表现所载内容的形式。</w:t>
      </w:r>
    </w:p>
    <w:p w14:paraId="6D3AA2AC">
      <w:pPr>
        <w:widowControl/>
        <w:spacing w:line="360" w:lineRule="auto"/>
        <w:ind w:firstLine="480" w:firstLineChars="200"/>
        <w:jc w:val="left"/>
        <w:rPr>
          <w:rFonts w:ascii="宋体" w:hAnsi="宋体"/>
          <w:color w:val="auto"/>
          <w:kern w:val="0"/>
          <w:sz w:val="24"/>
          <w:highlight w:val="none"/>
        </w:rPr>
      </w:pPr>
      <w:r>
        <w:rPr>
          <w:rFonts w:hint="eastAsia" w:ascii="宋体" w:hAnsi="宋体" w:cs="宋体"/>
          <w:color w:val="auto"/>
          <w:kern w:val="0"/>
          <w:sz w:val="24"/>
          <w:szCs w:val="21"/>
          <w:highlight w:val="none"/>
        </w:rPr>
        <w:t>1.1.15 “不可抗力”是指委托人和咨询人在订立本合同时不可预见，在合同履行过程中不可避免并不能克服的自然灾害和社会性突发事件，如地震、海啸、瘟疫、水灾、骚乱、暴动、战争等情形。</w:t>
      </w:r>
    </w:p>
    <w:p w14:paraId="11A881A6">
      <w:pPr>
        <w:widowControl/>
        <w:spacing w:before="60" w:after="60" w:line="312" w:lineRule="auto"/>
        <w:ind w:firstLine="480" w:firstLineChars="200"/>
        <w:jc w:val="left"/>
        <w:outlineLvl w:val="1"/>
        <w:rPr>
          <w:rFonts w:ascii="宋体" w:hAnsi="宋体"/>
          <w:bCs/>
          <w:color w:val="auto"/>
          <w:kern w:val="28"/>
          <w:sz w:val="24"/>
          <w:highlight w:val="none"/>
        </w:rPr>
      </w:pPr>
      <w:bookmarkStart w:id="190" w:name="_Toc422322484"/>
      <w:bookmarkStart w:id="191" w:name="_Toc419045069"/>
      <w:r>
        <w:rPr>
          <w:rFonts w:hint="eastAsia" w:ascii="宋体" w:hAnsi="宋体"/>
          <w:bCs/>
          <w:color w:val="auto"/>
          <w:kern w:val="28"/>
          <w:sz w:val="24"/>
          <w:highlight w:val="none"/>
        </w:rPr>
        <w:t>1.2语言</w:t>
      </w:r>
      <w:bookmarkEnd w:id="190"/>
      <w:bookmarkEnd w:id="191"/>
    </w:p>
    <w:p w14:paraId="69D083AC">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本合同使用中文书写、解释和说明。如专用条件约定使用两种及以上语言文字时，应以中文为准。</w:t>
      </w:r>
    </w:p>
    <w:p w14:paraId="157A7807">
      <w:pPr>
        <w:widowControl/>
        <w:spacing w:before="60" w:after="60" w:line="312" w:lineRule="auto"/>
        <w:ind w:firstLine="480" w:firstLineChars="200"/>
        <w:jc w:val="left"/>
        <w:outlineLvl w:val="1"/>
        <w:rPr>
          <w:rFonts w:ascii="宋体" w:hAnsi="宋体"/>
          <w:bCs/>
          <w:color w:val="auto"/>
          <w:kern w:val="28"/>
          <w:sz w:val="24"/>
          <w:highlight w:val="none"/>
        </w:rPr>
      </w:pPr>
      <w:bookmarkStart w:id="192" w:name="_Toc422322485"/>
      <w:bookmarkStart w:id="193" w:name="_Toc419045070"/>
      <w:r>
        <w:rPr>
          <w:rFonts w:hint="eastAsia" w:ascii="宋体" w:hAnsi="宋体"/>
          <w:bCs/>
          <w:color w:val="auto"/>
          <w:kern w:val="28"/>
          <w:sz w:val="24"/>
          <w:highlight w:val="none"/>
        </w:rPr>
        <w:t>1.3合同文件的优先顺序</w:t>
      </w:r>
      <w:bookmarkEnd w:id="192"/>
      <w:bookmarkEnd w:id="193"/>
    </w:p>
    <w:p w14:paraId="70768B33">
      <w:pPr>
        <w:widowControl/>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组成本合同的下列文件彼此应能相互解释、互为说明。除专用条件另有约定外，本合同文件的解释顺序如下：</w:t>
      </w:r>
    </w:p>
    <w:p w14:paraId="599B18D6">
      <w:pPr>
        <w:widowControl/>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1.协议书</w:t>
      </w:r>
    </w:p>
    <w:p w14:paraId="112B6FB1">
      <w:pPr>
        <w:widowControl/>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2.成交通知书或委托书（如果有）；</w:t>
      </w:r>
    </w:p>
    <w:p w14:paraId="51F12969">
      <w:pPr>
        <w:widowControl/>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3.专用条件；</w:t>
      </w:r>
    </w:p>
    <w:p w14:paraId="1370ADFD">
      <w:pPr>
        <w:widowControl/>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4.通用条件；</w:t>
      </w:r>
    </w:p>
    <w:p w14:paraId="586E8D0D">
      <w:pPr>
        <w:widowControl/>
        <w:spacing w:line="360" w:lineRule="auto"/>
        <w:ind w:firstLine="480" w:firstLineChars="200"/>
        <w:jc w:val="left"/>
        <w:rPr>
          <w:rFonts w:ascii="宋体" w:hAnsi="宋体" w:cs="宋体"/>
          <w:bCs/>
          <w:color w:val="auto"/>
          <w:kern w:val="0"/>
          <w:sz w:val="24"/>
          <w:highlight w:val="none"/>
        </w:rPr>
      </w:pPr>
      <w:r>
        <w:rPr>
          <w:rFonts w:hint="eastAsia" w:ascii="宋体" w:hAnsi="宋体" w:cs="宋体"/>
          <w:bCs/>
          <w:color w:val="auto"/>
          <w:kern w:val="0"/>
          <w:sz w:val="24"/>
          <w:highlight w:val="none"/>
        </w:rPr>
        <w:t>5.竞标报价表；</w:t>
      </w:r>
    </w:p>
    <w:p w14:paraId="5C6D471A">
      <w:pPr>
        <w:widowControl/>
        <w:spacing w:line="360" w:lineRule="auto"/>
        <w:ind w:firstLine="468"/>
        <w:jc w:val="left"/>
        <w:rPr>
          <w:rFonts w:ascii="宋体" w:hAnsi="宋体" w:cs="宋体"/>
          <w:bCs/>
          <w:color w:val="auto"/>
          <w:kern w:val="0"/>
          <w:sz w:val="24"/>
          <w:highlight w:val="none"/>
        </w:rPr>
      </w:pPr>
      <w:r>
        <w:rPr>
          <w:rFonts w:hint="eastAsia" w:ascii="宋体" w:hAnsi="宋体" w:cs="宋体"/>
          <w:bCs/>
          <w:color w:val="auto"/>
          <w:kern w:val="0"/>
          <w:sz w:val="24"/>
          <w:highlight w:val="none"/>
        </w:rPr>
        <w:t>6.其他合同文件。</w:t>
      </w:r>
    </w:p>
    <w:p w14:paraId="4AA4027D">
      <w:pPr>
        <w:widowControl/>
        <w:spacing w:line="360" w:lineRule="auto"/>
        <w:ind w:firstLine="480" w:firstLineChars="200"/>
        <w:jc w:val="left"/>
        <w:rPr>
          <w:rFonts w:ascii="宋体" w:hAnsi="宋体" w:cs="宋体"/>
          <w:bCs/>
          <w:color w:val="auto"/>
          <w:kern w:val="0"/>
          <w:sz w:val="24"/>
          <w:highlight w:val="none"/>
        </w:rPr>
      </w:pPr>
      <w:r>
        <w:rPr>
          <w:rFonts w:ascii="宋体" w:hAnsi="宋体" w:cs="宋体"/>
          <w:bCs/>
          <w:color w:val="auto"/>
          <w:kern w:val="0"/>
          <w:sz w:val="24"/>
          <w:highlight w:val="none"/>
        </w:rPr>
        <w:t>上述各项合同文件包括合同当事人就该项合同文件所作出的补充和修改</w:t>
      </w:r>
      <w:r>
        <w:rPr>
          <w:rFonts w:hint="eastAsia" w:ascii="宋体" w:hAnsi="宋体" w:cs="宋体"/>
          <w:bCs/>
          <w:color w:val="auto"/>
          <w:kern w:val="0"/>
          <w:sz w:val="24"/>
          <w:highlight w:val="none"/>
        </w:rPr>
        <w:t>，</w:t>
      </w:r>
      <w:r>
        <w:rPr>
          <w:rFonts w:ascii="宋体" w:hAnsi="宋体" w:cs="宋体"/>
          <w:bCs/>
          <w:color w:val="auto"/>
          <w:kern w:val="0"/>
          <w:sz w:val="24"/>
          <w:highlight w:val="none"/>
        </w:rPr>
        <w:t>属于同一类内容的文件，应以最新签署的为准。</w:t>
      </w:r>
    </w:p>
    <w:p w14:paraId="3E072F3D">
      <w:pPr>
        <w:widowControl/>
        <w:spacing w:line="360" w:lineRule="auto"/>
        <w:ind w:firstLine="468"/>
        <w:jc w:val="left"/>
        <w:rPr>
          <w:rFonts w:ascii="宋体" w:hAnsi="宋体" w:cs="宋体"/>
          <w:bCs/>
          <w:color w:val="auto"/>
          <w:kern w:val="0"/>
          <w:sz w:val="24"/>
          <w:highlight w:val="none"/>
        </w:rPr>
      </w:pPr>
      <w:r>
        <w:rPr>
          <w:rFonts w:hint="eastAsia" w:ascii="宋体" w:hAnsi="宋体" w:cs="宋体"/>
          <w:bCs/>
          <w:color w:val="auto"/>
          <w:kern w:val="0"/>
          <w:sz w:val="24"/>
          <w:highlight w:val="none"/>
        </w:rPr>
        <w:t>在合同订立及履行过程中形成的与合同有关的文件均构成合同文件的组成部分。</w:t>
      </w:r>
    </w:p>
    <w:p w14:paraId="4EDCC067">
      <w:pPr>
        <w:widowControl/>
        <w:spacing w:before="60" w:after="60" w:line="312" w:lineRule="auto"/>
        <w:ind w:firstLine="480" w:firstLineChars="200"/>
        <w:jc w:val="left"/>
        <w:outlineLvl w:val="1"/>
        <w:rPr>
          <w:rFonts w:ascii="宋体" w:hAnsi="宋体"/>
          <w:bCs/>
          <w:color w:val="auto"/>
          <w:kern w:val="28"/>
          <w:sz w:val="24"/>
          <w:highlight w:val="none"/>
        </w:rPr>
      </w:pPr>
      <w:bookmarkStart w:id="194" w:name="_Toc419045071"/>
      <w:bookmarkStart w:id="195" w:name="_Toc422322486"/>
      <w:r>
        <w:rPr>
          <w:rFonts w:hint="eastAsia" w:ascii="宋体" w:hAnsi="宋体"/>
          <w:bCs/>
          <w:color w:val="auto"/>
          <w:kern w:val="28"/>
          <w:sz w:val="24"/>
          <w:highlight w:val="none"/>
        </w:rPr>
        <w:t>1.4适用法律</w:t>
      </w:r>
      <w:bookmarkEnd w:id="194"/>
      <w:bookmarkEnd w:id="195"/>
    </w:p>
    <w:p w14:paraId="2471117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本合同适用中华人民共和国法律、行政法规、部门规章以及工程所在地的地方性法规、自治条例、单行条例和地方政府规章等。</w:t>
      </w:r>
    </w:p>
    <w:p w14:paraId="779C45A0">
      <w:pPr>
        <w:widowControl/>
        <w:spacing w:line="360" w:lineRule="auto"/>
        <w:ind w:firstLine="480" w:firstLineChars="200"/>
        <w:jc w:val="left"/>
        <w:rPr>
          <w:rFonts w:ascii="Cambria" w:hAnsi="Cambria" w:cs="宋体"/>
          <w:b/>
          <w:bCs/>
          <w:color w:val="auto"/>
          <w:kern w:val="0"/>
          <w:sz w:val="24"/>
          <w:szCs w:val="32"/>
          <w:highlight w:val="none"/>
        </w:rPr>
      </w:pPr>
      <w:r>
        <w:rPr>
          <w:rFonts w:hint="eastAsia" w:ascii="宋体" w:hAnsi="宋体" w:cs="宋体"/>
          <w:color w:val="auto"/>
          <w:kern w:val="0"/>
          <w:sz w:val="24"/>
          <w:highlight w:val="none"/>
        </w:rPr>
        <w:t>合同当事人可以在专用条件中约定本合同适用的其他规范、规程、定额、技术标准等规范性文件。</w:t>
      </w:r>
    </w:p>
    <w:p w14:paraId="385C5C79">
      <w:pPr>
        <w:widowControl/>
        <w:spacing w:line="360" w:lineRule="auto"/>
        <w:ind w:firstLine="482" w:firstLineChars="200"/>
        <w:jc w:val="left"/>
        <w:outlineLvl w:val="0"/>
        <w:rPr>
          <w:rFonts w:ascii="Cambria" w:hAnsi="Cambria"/>
          <w:b/>
          <w:bCs/>
          <w:color w:val="auto"/>
          <w:kern w:val="0"/>
          <w:sz w:val="24"/>
          <w:highlight w:val="none"/>
        </w:rPr>
      </w:pPr>
      <w:bookmarkStart w:id="196" w:name="_Toc422322487"/>
      <w:r>
        <w:rPr>
          <w:rFonts w:hint="eastAsia" w:ascii="Cambria" w:hAnsi="Cambria"/>
          <w:b/>
          <w:bCs/>
          <w:color w:val="auto"/>
          <w:kern w:val="0"/>
          <w:sz w:val="24"/>
          <w:highlight w:val="none"/>
        </w:rPr>
        <w:t>2.委托人</w:t>
      </w:r>
      <w:r>
        <w:rPr>
          <w:rFonts w:ascii="Cambria" w:hAnsi="Cambria"/>
          <w:b/>
          <w:bCs/>
          <w:color w:val="auto"/>
          <w:kern w:val="0"/>
          <w:sz w:val="24"/>
          <w:highlight w:val="none"/>
        </w:rPr>
        <w:t>的义务</w:t>
      </w:r>
      <w:bookmarkEnd w:id="196"/>
    </w:p>
    <w:p w14:paraId="57196D60">
      <w:pPr>
        <w:widowControl/>
        <w:spacing w:before="60" w:after="60" w:line="312" w:lineRule="auto"/>
        <w:ind w:firstLine="480" w:firstLineChars="200"/>
        <w:jc w:val="left"/>
        <w:outlineLvl w:val="1"/>
        <w:rPr>
          <w:rFonts w:ascii="宋体" w:hAnsi="宋体"/>
          <w:bCs/>
          <w:color w:val="auto"/>
          <w:kern w:val="28"/>
          <w:sz w:val="24"/>
          <w:highlight w:val="none"/>
        </w:rPr>
      </w:pPr>
      <w:bookmarkStart w:id="197" w:name="_Toc419045072"/>
      <w:bookmarkStart w:id="198" w:name="_Toc422322488"/>
      <w:r>
        <w:rPr>
          <w:rFonts w:hint="eastAsia" w:ascii="宋体" w:hAnsi="宋体"/>
          <w:bCs/>
          <w:color w:val="auto"/>
          <w:kern w:val="28"/>
          <w:sz w:val="24"/>
          <w:highlight w:val="none"/>
        </w:rPr>
        <w:t>2.1提供资料</w:t>
      </w:r>
      <w:bookmarkEnd w:id="197"/>
      <w:bookmarkEnd w:id="198"/>
    </w:p>
    <w:p w14:paraId="6E084D1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委托人应当在专用条件约定的时间内，按照约定无偿向咨询人提供与本合同咨询业务有关的资料。在本合同履行过程中，委托人应及时向咨询人提供最新的与本合同咨询业务有关的资料。委托人应对所提供资料的真实性、准确性、合法性与完整性负责。</w:t>
      </w:r>
    </w:p>
    <w:p w14:paraId="70F2A360">
      <w:pPr>
        <w:widowControl/>
        <w:spacing w:before="60" w:after="60" w:line="312" w:lineRule="auto"/>
        <w:ind w:firstLine="480" w:firstLineChars="200"/>
        <w:jc w:val="left"/>
        <w:outlineLvl w:val="1"/>
        <w:rPr>
          <w:rFonts w:ascii="宋体" w:hAnsi="宋体"/>
          <w:bCs/>
          <w:color w:val="auto"/>
          <w:kern w:val="28"/>
          <w:sz w:val="24"/>
          <w:highlight w:val="none"/>
        </w:rPr>
      </w:pPr>
      <w:bookmarkStart w:id="199" w:name="_Toc422322489"/>
      <w:bookmarkStart w:id="200" w:name="_Toc419045073"/>
      <w:r>
        <w:rPr>
          <w:rFonts w:hint="eastAsia" w:ascii="宋体" w:hAnsi="宋体"/>
          <w:bCs/>
          <w:color w:val="auto"/>
          <w:kern w:val="28"/>
          <w:sz w:val="24"/>
          <w:highlight w:val="none"/>
        </w:rPr>
        <w:t>2.2提供工作条件</w:t>
      </w:r>
      <w:bookmarkEnd w:id="199"/>
      <w:bookmarkEnd w:id="200"/>
    </w:p>
    <w:p w14:paraId="56F1E7A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委托人应为咨询人完成造价咨询提供必要的条件。</w:t>
      </w:r>
    </w:p>
    <w:p w14:paraId="1EF24D58">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2.2.1委托人需要咨询人派驻项目现场咨询人员的，除专用条件另有约定外，项目咨询人员有权无偿使用由委托人提供的房屋及设备。</w:t>
      </w:r>
    </w:p>
    <w:p w14:paraId="20B6B2A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2.2.2委托人应负责与本工程造价咨询业务有关的所有外部关系的协调，为咨询人履行本合同提供必要的外部条件。</w:t>
      </w:r>
    </w:p>
    <w:p w14:paraId="38F6F90A">
      <w:pPr>
        <w:widowControl/>
        <w:spacing w:before="60" w:after="60" w:line="312" w:lineRule="auto"/>
        <w:ind w:firstLine="480" w:firstLineChars="200"/>
        <w:jc w:val="left"/>
        <w:outlineLvl w:val="1"/>
        <w:rPr>
          <w:rFonts w:ascii="宋体" w:hAnsi="宋体"/>
          <w:bCs/>
          <w:color w:val="auto"/>
          <w:kern w:val="28"/>
          <w:sz w:val="24"/>
          <w:highlight w:val="none"/>
        </w:rPr>
      </w:pPr>
      <w:bookmarkStart w:id="201" w:name="_Toc422322490"/>
      <w:bookmarkStart w:id="202" w:name="_Toc419045074"/>
      <w:r>
        <w:rPr>
          <w:rFonts w:hint="eastAsia" w:ascii="宋体" w:hAnsi="宋体"/>
          <w:bCs/>
          <w:color w:val="auto"/>
          <w:kern w:val="28"/>
          <w:sz w:val="24"/>
          <w:highlight w:val="none"/>
        </w:rPr>
        <w:t>2.3合理工作时限</w:t>
      </w:r>
      <w:bookmarkEnd w:id="201"/>
      <w:bookmarkEnd w:id="202"/>
    </w:p>
    <w:p w14:paraId="0818D40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委托人应当为咨询人完成其咨询工作，设定合理的工作时限。</w:t>
      </w:r>
    </w:p>
    <w:p w14:paraId="6C752D6B">
      <w:pPr>
        <w:widowControl/>
        <w:spacing w:before="60" w:after="60" w:line="312" w:lineRule="auto"/>
        <w:ind w:firstLine="480" w:firstLineChars="200"/>
        <w:jc w:val="left"/>
        <w:outlineLvl w:val="1"/>
        <w:rPr>
          <w:rFonts w:ascii="宋体" w:hAnsi="宋体"/>
          <w:bCs/>
          <w:color w:val="auto"/>
          <w:kern w:val="28"/>
          <w:sz w:val="24"/>
          <w:highlight w:val="none"/>
        </w:rPr>
      </w:pPr>
      <w:bookmarkStart w:id="203" w:name="_Toc422322491"/>
      <w:bookmarkStart w:id="204" w:name="_Toc419045075"/>
      <w:r>
        <w:rPr>
          <w:rFonts w:hint="eastAsia" w:ascii="宋体" w:hAnsi="宋体"/>
          <w:bCs/>
          <w:color w:val="auto"/>
          <w:kern w:val="28"/>
          <w:sz w:val="24"/>
          <w:highlight w:val="none"/>
        </w:rPr>
        <w:t>2.4委托人代表</w:t>
      </w:r>
      <w:bookmarkEnd w:id="203"/>
      <w:bookmarkEnd w:id="204"/>
    </w:p>
    <w:p w14:paraId="09F6E22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委托人应授权一名代表负责本合同的履行。委托人应在双方签订本合同7日内，将委托人代表的姓名和权限范围书面告知咨询人。委托人更换委托人代表时，应提前7日书面通知咨询人。</w:t>
      </w:r>
    </w:p>
    <w:p w14:paraId="67601463">
      <w:pPr>
        <w:widowControl/>
        <w:spacing w:before="60" w:after="60" w:line="312" w:lineRule="auto"/>
        <w:ind w:firstLine="480" w:firstLineChars="200"/>
        <w:jc w:val="left"/>
        <w:outlineLvl w:val="1"/>
        <w:rPr>
          <w:rFonts w:ascii="宋体" w:hAnsi="宋体"/>
          <w:bCs/>
          <w:color w:val="auto"/>
          <w:kern w:val="28"/>
          <w:sz w:val="24"/>
          <w:highlight w:val="none"/>
        </w:rPr>
      </w:pPr>
      <w:bookmarkStart w:id="205" w:name="_Toc419045076"/>
      <w:bookmarkStart w:id="206" w:name="_Toc422322492"/>
      <w:r>
        <w:rPr>
          <w:rFonts w:hint="eastAsia" w:ascii="宋体" w:hAnsi="宋体"/>
          <w:bCs/>
          <w:color w:val="auto"/>
          <w:kern w:val="28"/>
          <w:sz w:val="24"/>
          <w:highlight w:val="none"/>
        </w:rPr>
        <w:t>2.5答复</w:t>
      </w:r>
      <w:bookmarkEnd w:id="205"/>
      <w:bookmarkEnd w:id="206"/>
    </w:p>
    <w:p w14:paraId="3026C1E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委托人应当在专用条件约定的时间内就咨询人以书面形式提交并要求做出答复的事宜给予书面答复。逾期未答复的，由此造成的工作延误和损失由委托人承担。</w:t>
      </w:r>
    </w:p>
    <w:p w14:paraId="269B4759">
      <w:pPr>
        <w:widowControl/>
        <w:spacing w:before="60" w:after="60" w:line="312" w:lineRule="auto"/>
        <w:ind w:firstLine="480" w:firstLineChars="200"/>
        <w:jc w:val="left"/>
        <w:outlineLvl w:val="1"/>
        <w:rPr>
          <w:rFonts w:ascii="宋体" w:hAnsi="宋体"/>
          <w:bCs/>
          <w:color w:val="auto"/>
          <w:kern w:val="28"/>
          <w:sz w:val="24"/>
          <w:highlight w:val="none"/>
        </w:rPr>
      </w:pPr>
      <w:bookmarkStart w:id="207" w:name="_Toc422322493"/>
      <w:bookmarkStart w:id="208" w:name="_Toc419045077"/>
      <w:r>
        <w:rPr>
          <w:rFonts w:hint="eastAsia" w:ascii="宋体" w:hAnsi="宋体"/>
          <w:bCs/>
          <w:color w:val="auto"/>
          <w:kern w:val="28"/>
          <w:sz w:val="24"/>
          <w:highlight w:val="none"/>
        </w:rPr>
        <w:t>2.6支付</w:t>
      </w:r>
      <w:bookmarkEnd w:id="207"/>
      <w:bookmarkEnd w:id="208"/>
    </w:p>
    <w:p w14:paraId="41069BE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委托人应当按照合同的约定，向咨询人支付酬金。</w:t>
      </w:r>
    </w:p>
    <w:p w14:paraId="6EA98FFD">
      <w:pPr>
        <w:widowControl/>
        <w:spacing w:line="360" w:lineRule="auto"/>
        <w:ind w:firstLine="482" w:firstLineChars="200"/>
        <w:jc w:val="left"/>
        <w:outlineLvl w:val="0"/>
        <w:rPr>
          <w:rFonts w:ascii="Cambria" w:hAnsi="Cambria"/>
          <w:b/>
          <w:bCs/>
          <w:color w:val="auto"/>
          <w:kern w:val="0"/>
          <w:sz w:val="24"/>
          <w:highlight w:val="none"/>
        </w:rPr>
      </w:pPr>
      <w:bookmarkStart w:id="209" w:name="_Toc419045078"/>
      <w:bookmarkStart w:id="210" w:name="_Toc422322494"/>
      <w:r>
        <w:rPr>
          <w:rFonts w:hint="eastAsia" w:ascii="Cambria" w:hAnsi="Cambria"/>
          <w:b/>
          <w:bCs/>
          <w:color w:val="auto"/>
          <w:kern w:val="0"/>
          <w:sz w:val="24"/>
          <w:highlight w:val="none"/>
        </w:rPr>
        <w:t>3.咨询人的义务</w:t>
      </w:r>
      <w:bookmarkEnd w:id="209"/>
      <w:bookmarkEnd w:id="210"/>
    </w:p>
    <w:p w14:paraId="79AFAE13">
      <w:pPr>
        <w:widowControl/>
        <w:spacing w:before="60" w:after="60" w:line="312" w:lineRule="auto"/>
        <w:ind w:firstLine="480" w:firstLineChars="200"/>
        <w:jc w:val="left"/>
        <w:outlineLvl w:val="1"/>
        <w:rPr>
          <w:rFonts w:ascii="宋体" w:hAnsi="宋体"/>
          <w:bCs/>
          <w:color w:val="auto"/>
          <w:kern w:val="28"/>
          <w:sz w:val="24"/>
          <w:highlight w:val="none"/>
        </w:rPr>
      </w:pPr>
      <w:bookmarkStart w:id="211" w:name="_Toc419045080"/>
      <w:bookmarkStart w:id="212" w:name="_Toc422322495"/>
      <w:bookmarkStart w:id="213" w:name="16"/>
      <w:r>
        <w:rPr>
          <w:rFonts w:hint="eastAsia" w:ascii="宋体" w:hAnsi="宋体"/>
          <w:bCs/>
          <w:color w:val="auto"/>
          <w:kern w:val="28"/>
          <w:sz w:val="24"/>
          <w:highlight w:val="none"/>
        </w:rPr>
        <w:t>3.1 项目咨询团队及人员</w:t>
      </w:r>
      <w:bookmarkEnd w:id="211"/>
      <w:bookmarkEnd w:id="212"/>
    </w:p>
    <w:p w14:paraId="6CAB09F5">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3.1.1项目咨询团队的主要人员应具有专用条件约定的资格条件，团队人员的数量应符合专用条件的约定。</w:t>
      </w:r>
    </w:p>
    <w:p w14:paraId="1CEAF53B">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3.1.2项目负责人</w:t>
      </w:r>
    </w:p>
    <w:p w14:paraId="67DA4602">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咨询人应以书面形式授权一名项目负责人负责履行本合同、主持项目咨询团队工作。采用招标程序签署本合同的，项目负责人应当与投标文件载明的一致。</w:t>
      </w:r>
    </w:p>
    <w:p w14:paraId="23BC589C">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3.1.3在本合同履行过程中，咨询人员应保持相对稳定，以保证咨询工作正常进行。</w:t>
      </w:r>
    </w:p>
    <w:p w14:paraId="78BB0BAA">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咨询人可根据工程进展和工作需要等情形调整项目咨询团队人员。咨询人更换项目负责人时，应提前7日向委托人书面报告，经委托人同意后方可更换。除专用条件另有约定外，咨询人更换项目咨询团队其他咨询人员，应提前3日向委托人书面报告，经委托人同意后以相当资格与能力的人员替换。</w:t>
      </w:r>
    </w:p>
    <w:p w14:paraId="66A2C901">
      <w:pPr>
        <w:widowControl/>
        <w:spacing w:line="360" w:lineRule="auto"/>
        <w:ind w:firstLine="480" w:firstLineChars="200"/>
        <w:rPr>
          <w:rFonts w:ascii="宋体" w:hAnsi="宋体"/>
          <w:color w:val="auto"/>
          <w:kern w:val="0"/>
          <w:sz w:val="24"/>
          <w:highlight w:val="none"/>
        </w:rPr>
      </w:pPr>
      <w:r>
        <w:rPr>
          <w:rFonts w:hint="eastAsia" w:ascii="宋体" w:hAnsi="宋体"/>
          <w:color w:val="auto"/>
          <w:kern w:val="0"/>
          <w:sz w:val="24"/>
          <w:highlight w:val="none"/>
        </w:rPr>
        <w:t>3.1.4咨询人员有下列情形之一，委托人要求咨询人更换的，咨询人应当更换：</w:t>
      </w:r>
    </w:p>
    <w:p w14:paraId="00430978">
      <w:pPr>
        <w:widowControl/>
        <w:spacing w:line="360" w:lineRule="auto"/>
        <w:ind w:firstLine="336"/>
        <w:jc w:val="left"/>
        <w:rPr>
          <w:rFonts w:ascii="宋体" w:hAnsi="宋体"/>
          <w:color w:val="auto"/>
          <w:kern w:val="0"/>
          <w:sz w:val="24"/>
          <w:highlight w:val="none"/>
        </w:rPr>
      </w:pPr>
      <w:r>
        <w:rPr>
          <w:rFonts w:hint="eastAsia" w:ascii="宋体" w:hAnsi="宋体"/>
          <w:color w:val="auto"/>
          <w:kern w:val="0"/>
          <w:sz w:val="24"/>
          <w:highlight w:val="none"/>
        </w:rPr>
        <w:t>（1）存在严重过失行为的；</w:t>
      </w:r>
    </w:p>
    <w:p w14:paraId="02873A4D">
      <w:pPr>
        <w:widowControl/>
        <w:spacing w:line="360" w:lineRule="auto"/>
        <w:ind w:firstLine="336"/>
        <w:jc w:val="left"/>
        <w:rPr>
          <w:rFonts w:ascii="宋体" w:hAnsi="宋体"/>
          <w:color w:val="auto"/>
          <w:kern w:val="0"/>
          <w:sz w:val="24"/>
          <w:highlight w:val="none"/>
        </w:rPr>
      </w:pPr>
      <w:r>
        <w:rPr>
          <w:rFonts w:hint="eastAsia" w:ascii="宋体" w:hAnsi="宋体"/>
          <w:color w:val="auto"/>
          <w:kern w:val="0"/>
          <w:sz w:val="24"/>
          <w:highlight w:val="none"/>
        </w:rPr>
        <w:t>（2）存在违法行为不能履行职责的；</w:t>
      </w:r>
    </w:p>
    <w:p w14:paraId="4E35FE6A">
      <w:pPr>
        <w:widowControl/>
        <w:spacing w:line="360" w:lineRule="auto"/>
        <w:ind w:firstLine="336"/>
        <w:jc w:val="left"/>
        <w:rPr>
          <w:rFonts w:ascii="宋体" w:hAnsi="宋体"/>
          <w:color w:val="auto"/>
          <w:kern w:val="0"/>
          <w:sz w:val="24"/>
          <w:highlight w:val="none"/>
        </w:rPr>
      </w:pPr>
      <w:r>
        <w:rPr>
          <w:rFonts w:hint="eastAsia" w:ascii="宋体" w:hAnsi="宋体"/>
          <w:color w:val="auto"/>
          <w:kern w:val="0"/>
          <w:sz w:val="24"/>
          <w:highlight w:val="none"/>
        </w:rPr>
        <w:t>（3）涉嫌犯罪的；</w:t>
      </w:r>
    </w:p>
    <w:p w14:paraId="7FDE9C81">
      <w:pPr>
        <w:widowControl/>
        <w:spacing w:line="360" w:lineRule="auto"/>
        <w:ind w:firstLine="336"/>
        <w:jc w:val="left"/>
        <w:rPr>
          <w:rFonts w:ascii="宋体" w:hAnsi="宋体"/>
          <w:color w:val="auto"/>
          <w:kern w:val="0"/>
          <w:sz w:val="24"/>
          <w:highlight w:val="none"/>
        </w:rPr>
      </w:pPr>
      <w:r>
        <w:rPr>
          <w:rFonts w:hint="eastAsia" w:ascii="宋体" w:hAnsi="宋体"/>
          <w:color w:val="auto"/>
          <w:kern w:val="0"/>
          <w:sz w:val="24"/>
          <w:highlight w:val="none"/>
        </w:rPr>
        <w:t>（4）不能胜任岗位职责的；</w:t>
      </w:r>
    </w:p>
    <w:p w14:paraId="030970B3">
      <w:pPr>
        <w:widowControl/>
        <w:spacing w:line="360" w:lineRule="auto"/>
        <w:ind w:firstLine="336"/>
        <w:jc w:val="left"/>
        <w:rPr>
          <w:rFonts w:ascii="宋体" w:hAnsi="宋体"/>
          <w:color w:val="auto"/>
          <w:kern w:val="0"/>
          <w:sz w:val="24"/>
          <w:highlight w:val="none"/>
        </w:rPr>
      </w:pPr>
      <w:r>
        <w:rPr>
          <w:rFonts w:hint="eastAsia" w:ascii="宋体" w:hAnsi="宋体"/>
          <w:color w:val="auto"/>
          <w:kern w:val="0"/>
          <w:sz w:val="24"/>
          <w:highlight w:val="none"/>
        </w:rPr>
        <w:t>（5）严重违反职业道德的；</w:t>
      </w:r>
    </w:p>
    <w:p w14:paraId="3297ECFC">
      <w:pPr>
        <w:widowControl/>
        <w:spacing w:line="360" w:lineRule="auto"/>
        <w:ind w:firstLine="336"/>
        <w:jc w:val="left"/>
        <w:rPr>
          <w:rFonts w:ascii="宋体" w:hAnsi="宋体"/>
          <w:bCs/>
          <w:color w:val="auto"/>
          <w:kern w:val="28"/>
          <w:sz w:val="24"/>
          <w:highlight w:val="none"/>
        </w:rPr>
      </w:pPr>
      <w:r>
        <w:rPr>
          <w:rFonts w:hint="eastAsia" w:ascii="宋体" w:hAnsi="宋体"/>
          <w:color w:val="auto"/>
          <w:kern w:val="0"/>
          <w:sz w:val="24"/>
          <w:highlight w:val="none"/>
        </w:rPr>
        <w:t>（6）专用条件约定的其他情形。</w:t>
      </w:r>
    </w:p>
    <w:p w14:paraId="71BD035D">
      <w:pPr>
        <w:widowControl/>
        <w:spacing w:before="60" w:after="60" w:line="312" w:lineRule="auto"/>
        <w:ind w:firstLine="480" w:firstLineChars="200"/>
        <w:jc w:val="left"/>
        <w:outlineLvl w:val="1"/>
        <w:rPr>
          <w:rFonts w:ascii="宋体" w:hAnsi="宋体"/>
          <w:bCs/>
          <w:color w:val="auto"/>
          <w:kern w:val="28"/>
          <w:sz w:val="24"/>
          <w:highlight w:val="none"/>
        </w:rPr>
      </w:pPr>
      <w:bookmarkStart w:id="214" w:name="_Toc422322496"/>
      <w:r>
        <w:rPr>
          <w:rFonts w:hint="eastAsia" w:ascii="宋体" w:hAnsi="宋体"/>
          <w:bCs/>
          <w:color w:val="auto"/>
          <w:kern w:val="28"/>
          <w:sz w:val="24"/>
          <w:highlight w:val="none"/>
        </w:rPr>
        <w:t>3.2 咨询人</w:t>
      </w:r>
      <w:r>
        <w:rPr>
          <w:rFonts w:ascii="宋体" w:hAnsi="宋体"/>
          <w:bCs/>
          <w:color w:val="auto"/>
          <w:kern w:val="28"/>
          <w:sz w:val="24"/>
          <w:highlight w:val="none"/>
        </w:rPr>
        <w:t>的工作要求</w:t>
      </w:r>
      <w:bookmarkEnd w:id="214"/>
    </w:p>
    <w:p w14:paraId="372CA53A">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3.2.1咨询人应当按照专用条件约定的时间等要求向委托人提供与工程造价咨询业务有关的资料，包括工程造价咨询企业的资质证书及承担本合同业务的团队人员名单及执业（从业）资格证书、咨询工作大纲等，并按合同约定的服务范围和工作内容实施咨询业务。</w:t>
      </w:r>
    </w:p>
    <w:p w14:paraId="40AF8ADF">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3.2.2咨询人应当在专用条件约定的时间内，按照专用条件约定的份数、组成向委托人提交咨询成果文件。</w:t>
      </w:r>
    </w:p>
    <w:p w14:paraId="0FB6A2AD">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咨询人提供造价咨询服务以及出具工程造价咨询成果文件应符合现行国家或行业有关规定、标准、规范的要求。委托人要求的工程造价咨询成果文件质量标准高于现行国家或行业标准的，应在专用条件中约定具体的质量标准，并相应增加服务酬金。</w:t>
      </w:r>
    </w:p>
    <w:p w14:paraId="67335C63">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3.2.3咨询人提交的工程造价咨询成果文件，除加盖咨询人单位公章、工程造价咨询企业执业印章外，还必须按要求加盖参加咨询工作人员的执业（从业）资格印章。</w:t>
      </w:r>
    </w:p>
    <w:p w14:paraId="202366E0">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3.2.4咨询人应在专用条件约定的时间内，对委托人以书面形式提出的建议或者异议给予书面答复。</w:t>
      </w:r>
    </w:p>
    <w:p w14:paraId="026B5711">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3.2.5咨询人从事工程造价咨询活动，应当遵循独立、客观、公正、诚实信用的原则，不得损害社会公共利益和他人的合法权益。</w:t>
      </w:r>
    </w:p>
    <w:p w14:paraId="691DC8BB">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3.2.6咨询人承诺按照法律规定及合同约定，完成合同范围内的建设工程造价咨询服务，不转包承接的造价咨询服务业务。</w:t>
      </w:r>
    </w:p>
    <w:p w14:paraId="5300825C">
      <w:pPr>
        <w:widowControl/>
        <w:spacing w:before="60" w:after="60" w:line="312" w:lineRule="auto"/>
        <w:ind w:firstLine="480" w:firstLineChars="200"/>
        <w:jc w:val="left"/>
        <w:outlineLvl w:val="1"/>
        <w:rPr>
          <w:rFonts w:ascii="宋体" w:hAnsi="宋体"/>
          <w:bCs/>
          <w:color w:val="auto"/>
          <w:kern w:val="28"/>
          <w:sz w:val="24"/>
          <w:highlight w:val="none"/>
        </w:rPr>
      </w:pPr>
      <w:bookmarkStart w:id="215" w:name="_Toc419045081"/>
      <w:bookmarkStart w:id="216" w:name="_Toc422322497"/>
      <w:r>
        <w:rPr>
          <w:rFonts w:hint="eastAsia" w:ascii="宋体" w:hAnsi="宋体"/>
          <w:bCs/>
          <w:color w:val="auto"/>
          <w:kern w:val="28"/>
          <w:sz w:val="24"/>
          <w:highlight w:val="none"/>
        </w:rPr>
        <w:t>3.3咨询人的工作依据</w:t>
      </w:r>
      <w:bookmarkEnd w:id="215"/>
      <w:bookmarkEnd w:id="216"/>
    </w:p>
    <w:p w14:paraId="6DD67794">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咨询人应在专用条件内与委托人协商明确履行本合同约定的咨询服务需要适用的技术标准、规范、定额等工作依据，但不得违反国家及工程所在地的强制性标准、规范。</w:t>
      </w:r>
    </w:p>
    <w:p w14:paraId="4736D5C9">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咨询人应自行配备本条所述的技术标准、规范、定额等相关资料。需要委托人协助才能获得的资料，委托人应予以协助。</w:t>
      </w:r>
    </w:p>
    <w:p w14:paraId="5A17A2B2">
      <w:pPr>
        <w:widowControl/>
        <w:spacing w:before="60" w:after="60" w:line="312" w:lineRule="auto"/>
        <w:ind w:firstLine="480" w:firstLineChars="200"/>
        <w:jc w:val="left"/>
        <w:outlineLvl w:val="1"/>
        <w:rPr>
          <w:rFonts w:ascii="宋体" w:hAnsi="宋体"/>
          <w:bCs/>
          <w:color w:val="auto"/>
          <w:kern w:val="28"/>
          <w:sz w:val="24"/>
          <w:highlight w:val="none"/>
        </w:rPr>
      </w:pPr>
      <w:bookmarkStart w:id="217" w:name="_Toc422322498"/>
      <w:bookmarkStart w:id="218" w:name="_Toc419045082"/>
      <w:r>
        <w:rPr>
          <w:rFonts w:hint="eastAsia" w:ascii="宋体" w:hAnsi="宋体"/>
          <w:bCs/>
          <w:color w:val="auto"/>
          <w:kern w:val="28"/>
          <w:sz w:val="24"/>
          <w:highlight w:val="none"/>
        </w:rPr>
        <w:t>3.4使用委托人房屋及设备的返还</w:t>
      </w:r>
      <w:bookmarkEnd w:id="217"/>
      <w:bookmarkEnd w:id="218"/>
    </w:p>
    <w:p w14:paraId="21E8EDD0">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项目咨询人员使用委托人提供的房屋及设备的，咨询人应妥善使用和保管，在本合同终止时将上述房屋及设备按专用条件约定的时间和方式返还委托人。</w:t>
      </w:r>
    </w:p>
    <w:bookmarkEnd w:id="213"/>
    <w:p w14:paraId="610110A8">
      <w:pPr>
        <w:widowControl/>
        <w:spacing w:line="360" w:lineRule="auto"/>
        <w:ind w:firstLine="482" w:firstLineChars="200"/>
        <w:jc w:val="left"/>
        <w:rPr>
          <w:rFonts w:ascii="Cambria" w:hAnsi="Cambria" w:cs="宋体"/>
          <w:b/>
          <w:bCs/>
          <w:color w:val="auto"/>
          <w:kern w:val="0"/>
          <w:sz w:val="24"/>
          <w:highlight w:val="none"/>
        </w:rPr>
      </w:pPr>
      <w:bookmarkStart w:id="219" w:name="_Toc419045083"/>
      <w:bookmarkStart w:id="220" w:name="_Toc422322499"/>
      <w:bookmarkStart w:id="221" w:name="19"/>
      <w:r>
        <w:rPr>
          <w:rFonts w:hint="eastAsia" w:ascii="Cambria" w:hAnsi="Cambria" w:cs="宋体"/>
          <w:b/>
          <w:bCs/>
          <w:color w:val="auto"/>
          <w:kern w:val="0"/>
          <w:sz w:val="24"/>
          <w:highlight w:val="none"/>
        </w:rPr>
        <w:t>4.违约责任</w:t>
      </w:r>
      <w:bookmarkEnd w:id="219"/>
      <w:bookmarkEnd w:id="220"/>
    </w:p>
    <w:p w14:paraId="441740A8">
      <w:pPr>
        <w:widowControl/>
        <w:spacing w:before="60" w:after="60" w:line="312" w:lineRule="auto"/>
        <w:ind w:firstLine="480" w:firstLineChars="200"/>
        <w:jc w:val="left"/>
        <w:outlineLvl w:val="1"/>
        <w:rPr>
          <w:rFonts w:ascii="宋体" w:hAnsi="宋体"/>
          <w:bCs/>
          <w:color w:val="auto"/>
          <w:kern w:val="28"/>
          <w:sz w:val="24"/>
          <w:highlight w:val="none"/>
        </w:rPr>
      </w:pPr>
      <w:bookmarkStart w:id="222" w:name="_Toc422322500"/>
      <w:r>
        <w:rPr>
          <w:rFonts w:hint="eastAsia" w:ascii="宋体" w:hAnsi="宋体"/>
          <w:bCs/>
          <w:color w:val="auto"/>
          <w:kern w:val="28"/>
          <w:sz w:val="24"/>
          <w:highlight w:val="none"/>
        </w:rPr>
        <w:t>4.1委托人的违约责任</w:t>
      </w:r>
      <w:bookmarkEnd w:id="222"/>
    </w:p>
    <w:p w14:paraId="7589DAC6">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4.1.1委托人不履行本合同义务或者履行义务不符合本合同约定的，应承担违约责任。双方可</w:t>
      </w:r>
      <w:r>
        <w:rPr>
          <w:rFonts w:ascii="宋体" w:hAnsi="宋体"/>
          <w:color w:val="auto"/>
          <w:kern w:val="0"/>
          <w:sz w:val="24"/>
          <w:highlight w:val="none"/>
        </w:rPr>
        <w:t>在专用条件中约定</w:t>
      </w:r>
      <w:r>
        <w:rPr>
          <w:rFonts w:hint="eastAsia" w:ascii="宋体" w:hAnsi="宋体"/>
          <w:color w:val="auto"/>
          <w:kern w:val="0"/>
          <w:sz w:val="24"/>
          <w:highlight w:val="none"/>
        </w:rPr>
        <w:t>违约金</w:t>
      </w:r>
      <w:r>
        <w:rPr>
          <w:rFonts w:ascii="宋体" w:hAnsi="宋体"/>
          <w:color w:val="auto"/>
          <w:kern w:val="0"/>
          <w:sz w:val="24"/>
          <w:highlight w:val="none"/>
        </w:rPr>
        <w:t>的</w:t>
      </w:r>
      <w:r>
        <w:rPr>
          <w:rFonts w:hint="eastAsia" w:ascii="宋体" w:hAnsi="宋体"/>
          <w:color w:val="auto"/>
          <w:kern w:val="0"/>
          <w:sz w:val="24"/>
          <w:highlight w:val="none"/>
        </w:rPr>
        <w:t>计算及支付</w:t>
      </w:r>
      <w:r>
        <w:rPr>
          <w:rFonts w:ascii="宋体" w:hAnsi="宋体"/>
          <w:color w:val="auto"/>
          <w:kern w:val="0"/>
          <w:sz w:val="24"/>
          <w:highlight w:val="none"/>
        </w:rPr>
        <w:t>方法。</w:t>
      </w:r>
    </w:p>
    <w:p w14:paraId="46DA0B57">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4.1.2委托人违反本合同约定造成咨询人损失的，委托人应予以赔偿。双方可</w:t>
      </w:r>
      <w:r>
        <w:rPr>
          <w:rFonts w:ascii="宋体" w:hAnsi="宋体"/>
          <w:color w:val="auto"/>
          <w:kern w:val="0"/>
          <w:sz w:val="24"/>
          <w:highlight w:val="none"/>
        </w:rPr>
        <w:t>在专用条件中约定赔偿金额的确定</w:t>
      </w:r>
      <w:r>
        <w:rPr>
          <w:rFonts w:hint="eastAsia" w:ascii="宋体" w:hAnsi="宋体"/>
          <w:color w:val="auto"/>
          <w:kern w:val="0"/>
          <w:sz w:val="24"/>
          <w:highlight w:val="none"/>
        </w:rPr>
        <w:t>及支付</w:t>
      </w:r>
      <w:r>
        <w:rPr>
          <w:rFonts w:ascii="宋体" w:hAnsi="宋体"/>
          <w:color w:val="auto"/>
          <w:kern w:val="0"/>
          <w:sz w:val="24"/>
          <w:highlight w:val="none"/>
        </w:rPr>
        <w:t>方法。</w:t>
      </w:r>
    </w:p>
    <w:p w14:paraId="66B5CB39">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4.1.3委托人未能按期支付酬金超过14天，应按下列方法计算并支付逾期付款利息。逾期付款利息=当期应付款总额×中国人民银行发布的同期贷款基准利率×逾期支付天数（自逾期之日起计算）。双方也可在专用条件中另行约定逾期付款利息的计算及支付方法。</w:t>
      </w:r>
    </w:p>
    <w:p w14:paraId="41850EE3">
      <w:pPr>
        <w:widowControl/>
        <w:spacing w:before="60" w:after="60" w:line="312" w:lineRule="auto"/>
        <w:ind w:firstLine="480" w:firstLineChars="200"/>
        <w:jc w:val="left"/>
        <w:outlineLvl w:val="1"/>
        <w:rPr>
          <w:rFonts w:ascii="宋体" w:hAnsi="宋体"/>
          <w:bCs/>
          <w:color w:val="auto"/>
          <w:kern w:val="28"/>
          <w:sz w:val="24"/>
          <w:highlight w:val="none"/>
        </w:rPr>
      </w:pPr>
      <w:bookmarkStart w:id="223" w:name="_Toc419045084"/>
      <w:bookmarkStart w:id="224" w:name="_Toc422322501"/>
      <w:r>
        <w:rPr>
          <w:rFonts w:hint="eastAsia" w:ascii="宋体" w:hAnsi="宋体"/>
          <w:bCs/>
          <w:color w:val="auto"/>
          <w:kern w:val="28"/>
          <w:sz w:val="24"/>
          <w:highlight w:val="none"/>
        </w:rPr>
        <w:t>4.2咨询人的违约责任</w:t>
      </w:r>
      <w:bookmarkEnd w:id="223"/>
      <w:bookmarkEnd w:id="224"/>
    </w:p>
    <w:p w14:paraId="5F84D61C">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4.2.1咨询人不履行本合同义务或者履行义务不符合本合同约定的，应承担违约责任。双方可</w:t>
      </w:r>
      <w:r>
        <w:rPr>
          <w:rFonts w:ascii="宋体" w:hAnsi="宋体"/>
          <w:color w:val="auto"/>
          <w:kern w:val="0"/>
          <w:sz w:val="24"/>
          <w:highlight w:val="none"/>
        </w:rPr>
        <w:t>在专用条件中约定</w:t>
      </w:r>
      <w:r>
        <w:rPr>
          <w:rFonts w:hint="eastAsia" w:ascii="宋体" w:hAnsi="宋体"/>
          <w:color w:val="auto"/>
          <w:kern w:val="0"/>
          <w:sz w:val="24"/>
          <w:highlight w:val="none"/>
        </w:rPr>
        <w:t>违约金</w:t>
      </w:r>
      <w:r>
        <w:rPr>
          <w:rFonts w:ascii="宋体" w:hAnsi="宋体"/>
          <w:color w:val="auto"/>
          <w:kern w:val="0"/>
          <w:sz w:val="24"/>
          <w:highlight w:val="none"/>
        </w:rPr>
        <w:t>的</w:t>
      </w:r>
      <w:r>
        <w:rPr>
          <w:rFonts w:hint="eastAsia" w:ascii="宋体" w:hAnsi="宋体"/>
          <w:color w:val="auto"/>
          <w:kern w:val="0"/>
          <w:sz w:val="24"/>
          <w:highlight w:val="none"/>
        </w:rPr>
        <w:t>计算及支付</w:t>
      </w:r>
      <w:r>
        <w:rPr>
          <w:rFonts w:ascii="宋体" w:hAnsi="宋体"/>
          <w:color w:val="auto"/>
          <w:kern w:val="0"/>
          <w:sz w:val="24"/>
          <w:highlight w:val="none"/>
        </w:rPr>
        <w:t>方法。</w:t>
      </w:r>
    </w:p>
    <w:p w14:paraId="15B117A6">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4.2.2</w:t>
      </w:r>
      <w:r>
        <w:rPr>
          <w:rFonts w:ascii="宋体" w:hAnsi="宋体"/>
          <w:color w:val="auto"/>
          <w:kern w:val="0"/>
          <w:sz w:val="24"/>
          <w:highlight w:val="none"/>
        </w:rPr>
        <w:t>因</w:t>
      </w:r>
      <w:r>
        <w:rPr>
          <w:rFonts w:hint="eastAsia" w:ascii="宋体" w:hAnsi="宋体"/>
          <w:color w:val="auto"/>
          <w:kern w:val="0"/>
          <w:sz w:val="24"/>
          <w:highlight w:val="none"/>
        </w:rPr>
        <w:t>咨询</w:t>
      </w:r>
      <w:r>
        <w:rPr>
          <w:rFonts w:ascii="宋体" w:hAnsi="宋体"/>
          <w:color w:val="auto"/>
          <w:kern w:val="0"/>
          <w:sz w:val="24"/>
          <w:highlight w:val="none"/>
        </w:rPr>
        <w:t>人违反本合同约定给委托人造成损失的，</w:t>
      </w:r>
      <w:r>
        <w:rPr>
          <w:rFonts w:hint="eastAsia" w:ascii="宋体" w:hAnsi="宋体"/>
          <w:color w:val="auto"/>
          <w:kern w:val="0"/>
          <w:sz w:val="24"/>
          <w:highlight w:val="none"/>
        </w:rPr>
        <w:t>咨询</w:t>
      </w:r>
      <w:r>
        <w:rPr>
          <w:rFonts w:ascii="宋体" w:hAnsi="宋体"/>
          <w:color w:val="auto"/>
          <w:kern w:val="0"/>
          <w:sz w:val="24"/>
          <w:highlight w:val="none"/>
        </w:rPr>
        <w:t>人应当赔偿委托人损失。</w:t>
      </w:r>
      <w:r>
        <w:rPr>
          <w:rFonts w:hint="eastAsia" w:ascii="宋体" w:hAnsi="宋体"/>
          <w:color w:val="auto"/>
          <w:kern w:val="0"/>
          <w:sz w:val="24"/>
          <w:highlight w:val="none"/>
        </w:rPr>
        <w:t>双方可</w:t>
      </w:r>
      <w:r>
        <w:rPr>
          <w:rFonts w:ascii="宋体" w:hAnsi="宋体"/>
          <w:color w:val="auto"/>
          <w:kern w:val="0"/>
          <w:sz w:val="24"/>
          <w:highlight w:val="none"/>
        </w:rPr>
        <w:t>在专用条件中约定赔偿金额的确定</w:t>
      </w:r>
      <w:r>
        <w:rPr>
          <w:rFonts w:hint="eastAsia" w:ascii="宋体" w:hAnsi="宋体"/>
          <w:color w:val="auto"/>
          <w:kern w:val="0"/>
          <w:sz w:val="24"/>
          <w:highlight w:val="none"/>
        </w:rPr>
        <w:t>及支付</w:t>
      </w:r>
      <w:r>
        <w:rPr>
          <w:rFonts w:ascii="宋体" w:hAnsi="宋体"/>
          <w:color w:val="auto"/>
          <w:kern w:val="0"/>
          <w:sz w:val="24"/>
          <w:highlight w:val="none"/>
        </w:rPr>
        <w:t>方法</w:t>
      </w:r>
      <w:r>
        <w:rPr>
          <w:rFonts w:hint="eastAsia" w:ascii="宋体" w:hAnsi="宋体"/>
          <w:color w:val="auto"/>
          <w:kern w:val="0"/>
          <w:sz w:val="24"/>
          <w:highlight w:val="none"/>
        </w:rPr>
        <w:t>。</w:t>
      </w:r>
    </w:p>
    <w:p w14:paraId="140B4534">
      <w:pPr>
        <w:widowControl/>
        <w:spacing w:line="360" w:lineRule="auto"/>
        <w:ind w:firstLine="482" w:firstLineChars="200"/>
        <w:jc w:val="left"/>
        <w:rPr>
          <w:rFonts w:ascii="Cambria" w:hAnsi="Cambria" w:cs="宋体"/>
          <w:b/>
          <w:color w:val="auto"/>
          <w:kern w:val="0"/>
          <w:sz w:val="24"/>
          <w:highlight w:val="none"/>
        </w:rPr>
      </w:pPr>
      <w:bookmarkStart w:id="225" w:name="_Toc422322502"/>
      <w:bookmarkStart w:id="226" w:name="_Toc419045086"/>
      <w:r>
        <w:rPr>
          <w:rFonts w:hint="eastAsia" w:ascii="Cambria" w:hAnsi="Cambria" w:cs="宋体"/>
          <w:b/>
          <w:color w:val="auto"/>
          <w:kern w:val="0"/>
          <w:sz w:val="24"/>
          <w:highlight w:val="none"/>
        </w:rPr>
        <w:t>5.支付</w:t>
      </w:r>
      <w:bookmarkEnd w:id="225"/>
      <w:bookmarkEnd w:id="226"/>
    </w:p>
    <w:p w14:paraId="77B69C1F">
      <w:pPr>
        <w:widowControl/>
        <w:spacing w:before="60" w:after="60" w:line="312" w:lineRule="auto"/>
        <w:ind w:firstLine="480" w:firstLineChars="200"/>
        <w:jc w:val="left"/>
        <w:outlineLvl w:val="1"/>
        <w:rPr>
          <w:rFonts w:ascii="宋体" w:hAnsi="宋体"/>
          <w:b/>
          <w:bCs/>
          <w:color w:val="auto"/>
          <w:kern w:val="28"/>
          <w:sz w:val="24"/>
          <w:highlight w:val="none"/>
        </w:rPr>
      </w:pPr>
      <w:bookmarkStart w:id="227" w:name="_Toc422322503"/>
      <w:bookmarkStart w:id="228" w:name="_Toc419045087"/>
      <w:r>
        <w:rPr>
          <w:rFonts w:hint="eastAsia" w:ascii="宋体" w:hAnsi="宋体"/>
          <w:color w:val="auto"/>
          <w:kern w:val="28"/>
          <w:sz w:val="24"/>
          <w:highlight w:val="none"/>
        </w:rPr>
        <w:t>5.1支</w:t>
      </w:r>
      <w:r>
        <w:rPr>
          <w:rFonts w:ascii="Calibri Light" w:hAnsi="Calibri Light"/>
          <w:color w:val="auto"/>
          <w:kern w:val="28"/>
          <w:sz w:val="24"/>
          <w:highlight w:val="none"/>
        </w:rPr>
        <w:t>付货币</w:t>
      </w:r>
      <w:bookmarkEnd w:id="227"/>
      <w:bookmarkEnd w:id="228"/>
    </w:p>
    <w:p w14:paraId="08D52FDF">
      <w:pPr>
        <w:widowControl/>
        <w:spacing w:line="360" w:lineRule="auto"/>
        <w:jc w:val="left"/>
        <w:rPr>
          <w:rFonts w:ascii="宋体" w:hAnsi="宋体"/>
          <w:bCs/>
          <w:color w:val="auto"/>
          <w:kern w:val="28"/>
          <w:sz w:val="24"/>
          <w:highlight w:val="none"/>
        </w:rPr>
      </w:pPr>
      <w:r>
        <w:rPr>
          <w:rFonts w:ascii="宋体" w:hAnsi="宋体" w:cs="宋体"/>
          <w:color w:val="auto"/>
          <w:kern w:val="0"/>
          <w:sz w:val="24"/>
          <w:highlight w:val="none"/>
        </w:rPr>
        <w:t>　　除专用条件另有约定外，酬金均以人民币支付。涉及外币支付的，所采用的货币种类和汇率</w:t>
      </w:r>
      <w:r>
        <w:rPr>
          <w:rFonts w:hint="eastAsia" w:ascii="宋体" w:hAnsi="宋体" w:cs="宋体"/>
          <w:color w:val="auto"/>
          <w:kern w:val="0"/>
          <w:sz w:val="24"/>
          <w:highlight w:val="none"/>
        </w:rPr>
        <w:t>等</w:t>
      </w:r>
      <w:r>
        <w:rPr>
          <w:rFonts w:ascii="宋体" w:hAnsi="宋体" w:cs="宋体"/>
          <w:color w:val="auto"/>
          <w:kern w:val="0"/>
          <w:sz w:val="24"/>
          <w:highlight w:val="none"/>
        </w:rPr>
        <w:t>在专用条件中约定。</w:t>
      </w:r>
    </w:p>
    <w:p w14:paraId="067AD5E9">
      <w:pPr>
        <w:widowControl/>
        <w:spacing w:before="60" w:after="60" w:line="312" w:lineRule="auto"/>
        <w:ind w:firstLine="480" w:firstLineChars="200"/>
        <w:jc w:val="left"/>
        <w:outlineLvl w:val="1"/>
        <w:rPr>
          <w:rFonts w:ascii="宋体" w:hAnsi="宋体"/>
          <w:bCs/>
          <w:color w:val="auto"/>
          <w:kern w:val="28"/>
          <w:sz w:val="24"/>
          <w:highlight w:val="none"/>
        </w:rPr>
      </w:pPr>
      <w:bookmarkStart w:id="229" w:name="_Toc422322504"/>
      <w:r>
        <w:rPr>
          <w:rFonts w:hint="eastAsia" w:ascii="宋体" w:hAnsi="宋体"/>
          <w:bCs/>
          <w:color w:val="auto"/>
          <w:kern w:val="28"/>
          <w:sz w:val="24"/>
          <w:highlight w:val="none"/>
        </w:rPr>
        <w:t>5.2支付</w:t>
      </w:r>
      <w:r>
        <w:rPr>
          <w:rFonts w:ascii="宋体" w:hAnsi="宋体"/>
          <w:bCs/>
          <w:color w:val="auto"/>
          <w:kern w:val="28"/>
          <w:sz w:val="24"/>
          <w:highlight w:val="none"/>
        </w:rPr>
        <w:t>申请</w:t>
      </w:r>
      <w:bookmarkEnd w:id="229"/>
    </w:p>
    <w:p w14:paraId="3DAE8105">
      <w:pPr>
        <w:widowControl/>
        <w:spacing w:line="360" w:lineRule="auto"/>
        <w:jc w:val="left"/>
        <w:rPr>
          <w:rFonts w:ascii="宋体" w:hAnsi="宋体"/>
          <w:bCs/>
          <w:color w:val="auto"/>
          <w:kern w:val="28"/>
          <w:sz w:val="24"/>
          <w:highlight w:val="none"/>
        </w:rPr>
      </w:pPr>
      <w:r>
        <w:rPr>
          <w:rFonts w:ascii="宋体" w:hAnsi="宋体" w:cs="宋体"/>
          <w:color w:val="auto"/>
          <w:kern w:val="0"/>
          <w:sz w:val="24"/>
          <w:highlight w:val="none"/>
        </w:rPr>
        <w:t>　　</w:t>
      </w:r>
      <w:r>
        <w:rPr>
          <w:rFonts w:hint="eastAsia" w:ascii="宋体" w:hAnsi="宋体" w:cs="宋体"/>
          <w:color w:val="auto"/>
          <w:kern w:val="0"/>
          <w:sz w:val="24"/>
          <w:highlight w:val="none"/>
        </w:rPr>
        <w:t>咨询</w:t>
      </w:r>
      <w:r>
        <w:rPr>
          <w:rFonts w:ascii="宋体" w:hAnsi="宋体" w:cs="宋体"/>
          <w:color w:val="auto"/>
          <w:kern w:val="0"/>
          <w:sz w:val="24"/>
          <w:highlight w:val="none"/>
        </w:rPr>
        <w:t>人应在本合同约定的每次应付款</w:t>
      </w:r>
      <w:r>
        <w:rPr>
          <w:rFonts w:hint="eastAsia" w:ascii="宋体" w:hAnsi="宋体" w:cs="宋体"/>
          <w:color w:val="auto"/>
          <w:kern w:val="0"/>
          <w:sz w:val="24"/>
          <w:highlight w:val="none"/>
        </w:rPr>
        <w:t>日期前</w:t>
      </w:r>
      <w:r>
        <w:rPr>
          <w:rFonts w:ascii="宋体" w:hAnsi="宋体" w:cs="宋体"/>
          <w:color w:val="auto"/>
          <w:kern w:val="0"/>
          <w:sz w:val="24"/>
          <w:highlight w:val="none"/>
        </w:rPr>
        <w:t>，向委托人提交支付申请书</w:t>
      </w:r>
      <w:r>
        <w:rPr>
          <w:rFonts w:hint="eastAsia" w:ascii="宋体" w:hAnsi="宋体" w:cs="宋体"/>
          <w:color w:val="auto"/>
          <w:kern w:val="0"/>
          <w:sz w:val="24"/>
          <w:highlight w:val="none"/>
        </w:rPr>
        <w:t>，支付申请书的提交日期由双方在专用条件中约定</w:t>
      </w:r>
      <w:r>
        <w:rPr>
          <w:rFonts w:ascii="宋体" w:hAnsi="宋体" w:cs="宋体"/>
          <w:color w:val="auto"/>
          <w:kern w:val="0"/>
          <w:sz w:val="24"/>
          <w:highlight w:val="none"/>
        </w:rPr>
        <w:t>。支付申请书应当说明当期应付款总额，并列出当期应支付的款项及其金额。</w:t>
      </w:r>
    </w:p>
    <w:p w14:paraId="214A2EE6">
      <w:pPr>
        <w:widowControl/>
        <w:spacing w:before="60" w:after="60" w:line="312" w:lineRule="auto"/>
        <w:ind w:firstLine="480" w:firstLineChars="200"/>
        <w:jc w:val="left"/>
        <w:outlineLvl w:val="1"/>
        <w:rPr>
          <w:rFonts w:ascii="宋体" w:hAnsi="宋体"/>
          <w:bCs/>
          <w:color w:val="auto"/>
          <w:kern w:val="28"/>
          <w:sz w:val="24"/>
          <w:highlight w:val="none"/>
        </w:rPr>
      </w:pPr>
      <w:bookmarkStart w:id="230" w:name="_Toc422322505"/>
      <w:r>
        <w:rPr>
          <w:rFonts w:hint="eastAsia" w:ascii="宋体" w:hAnsi="宋体"/>
          <w:bCs/>
          <w:color w:val="auto"/>
          <w:kern w:val="28"/>
          <w:sz w:val="24"/>
          <w:highlight w:val="none"/>
        </w:rPr>
        <w:t>5.3 支付酬金</w:t>
      </w:r>
      <w:bookmarkEnd w:id="230"/>
    </w:p>
    <w:p w14:paraId="529A619F">
      <w:pPr>
        <w:widowControl/>
        <w:spacing w:line="360" w:lineRule="auto"/>
        <w:jc w:val="left"/>
        <w:rPr>
          <w:rFonts w:ascii="宋体" w:hAnsi="宋体"/>
          <w:bCs/>
          <w:color w:val="auto"/>
          <w:kern w:val="28"/>
          <w:sz w:val="24"/>
          <w:highlight w:val="none"/>
        </w:rPr>
      </w:pPr>
      <w:r>
        <w:rPr>
          <w:rFonts w:ascii="宋体" w:hAnsi="宋体" w:cs="宋体"/>
          <w:color w:val="auto"/>
          <w:kern w:val="0"/>
          <w:sz w:val="24"/>
          <w:highlight w:val="none"/>
        </w:rPr>
        <w:t>　　支付酬金包括正常工作酬金、附加工作酬金、合理化建议奖励金额及费用。</w:t>
      </w:r>
    </w:p>
    <w:p w14:paraId="3C60BD2D">
      <w:pPr>
        <w:widowControl/>
        <w:spacing w:before="60" w:after="60" w:line="312" w:lineRule="auto"/>
        <w:ind w:firstLine="480" w:firstLineChars="200"/>
        <w:jc w:val="left"/>
        <w:outlineLvl w:val="1"/>
        <w:rPr>
          <w:rFonts w:ascii="宋体" w:hAnsi="宋体"/>
          <w:bCs/>
          <w:color w:val="auto"/>
          <w:kern w:val="28"/>
          <w:sz w:val="24"/>
          <w:highlight w:val="none"/>
        </w:rPr>
      </w:pPr>
      <w:bookmarkStart w:id="231" w:name="_Toc422322506"/>
      <w:r>
        <w:rPr>
          <w:rFonts w:hint="eastAsia" w:ascii="宋体" w:hAnsi="宋体"/>
          <w:bCs/>
          <w:color w:val="auto"/>
          <w:kern w:val="28"/>
          <w:sz w:val="24"/>
          <w:highlight w:val="none"/>
        </w:rPr>
        <w:t>5.4有异议</w:t>
      </w:r>
      <w:r>
        <w:rPr>
          <w:rFonts w:ascii="宋体" w:hAnsi="宋体"/>
          <w:bCs/>
          <w:color w:val="auto"/>
          <w:kern w:val="28"/>
          <w:sz w:val="24"/>
          <w:highlight w:val="none"/>
        </w:rPr>
        <w:t>部分的</w:t>
      </w:r>
      <w:r>
        <w:rPr>
          <w:rFonts w:hint="eastAsia" w:ascii="宋体" w:hAnsi="宋体"/>
          <w:bCs/>
          <w:color w:val="auto"/>
          <w:kern w:val="28"/>
          <w:sz w:val="24"/>
          <w:highlight w:val="none"/>
        </w:rPr>
        <w:t>支付</w:t>
      </w:r>
      <w:bookmarkEnd w:id="231"/>
    </w:p>
    <w:p w14:paraId="0F87A48A">
      <w:pPr>
        <w:widowControl/>
        <w:spacing w:line="360" w:lineRule="auto"/>
        <w:jc w:val="left"/>
        <w:rPr>
          <w:rFonts w:ascii="宋体" w:hAnsi="宋体" w:cs="宋体"/>
          <w:color w:val="auto"/>
          <w:kern w:val="0"/>
          <w:sz w:val="24"/>
          <w:highlight w:val="none"/>
        </w:rPr>
      </w:pPr>
      <w:r>
        <w:rPr>
          <w:rFonts w:ascii="宋体" w:hAnsi="宋体" w:cs="宋体"/>
          <w:color w:val="auto"/>
          <w:kern w:val="0"/>
          <w:sz w:val="24"/>
          <w:highlight w:val="none"/>
        </w:rPr>
        <w:t>　　委托人对</w:t>
      </w:r>
      <w:r>
        <w:rPr>
          <w:rFonts w:hint="eastAsia" w:ascii="宋体" w:hAnsi="宋体" w:cs="宋体"/>
          <w:color w:val="auto"/>
          <w:kern w:val="0"/>
          <w:sz w:val="24"/>
          <w:highlight w:val="none"/>
        </w:rPr>
        <w:t>咨询</w:t>
      </w:r>
      <w:r>
        <w:rPr>
          <w:rFonts w:ascii="宋体" w:hAnsi="宋体" w:cs="宋体"/>
          <w:color w:val="auto"/>
          <w:kern w:val="0"/>
          <w:sz w:val="24"/>
          <w:highlight w:val="none"/>
        </w:rPr>
        <w:t>人提交的支付申请书有异议时，应当在收到</w:t>
      </w:r>
      <w:r>
        <w:rPr>
          <w:rFonts w:hint="eastAsia" w:ascii="宋体" w:hAnsi="宋体" w:cs="宋体"/>
          <w:color w:val="auto"/>
          <w:kern w:val="0"/>
          <w:sz w:val="24"/>
          <w:highlight w:val="none"/>
        </w:rPr>
        <w:t>咨询</w:t>
      </w:r>
      <w:r>
        <w:rPr>
          <w:rFonts w:ascii="宋体" w:hAnsi="宋体" w:cs="宋体"/>
          <w:color w:val="auto"/>
          <w:kern w:val="0"/>
          <w:sz w:val="24"/>
          <w:highlight w:val="none"/>
        </w:rPr>
        <w:t>人提交的支付申请书后7</w:t>
      </w:r>
      <w:r>
        <w:rPr>
          <w:rFonts w:hint="eastAsia" w:ascii="宋体" w:hAnsi="宋体" w:cs="宋体"/>
          <w:color w:val="auto"/>
          <w:kern w:val="0"/>
          <w:sz w:val="24"/>
          <w:highlight w:val="none"/>
        </w:rPr>
        <w:t>日</w:t>
      </w:r>
      <w:r>
        <w:rPr>
          <w:rFonts w:ascii="宋体" w:hAnsi="宋体" w:cs="宋体"/>
          <w:color w:val="auto"/>
          <w:kern w:val="0"/>
          <w:sz w:val="24"/>
          <w:highlight w:val="none"/>
        </w:rPr>
        <w:t>内，以书面形式向</w:t>
      </w:r>
      <w:r>
        <w:rPr>
          <w:rFonts w:hint="eastAsia" w:ascii="宋体" w:hAnsi="宋体" w:cs="宋体"/>
          <w:color w:val="auto"/>
          <w:kern w:val="0"/>
          <w:sz w:val="24"/>
          <w:highlight w:val="none"/>
        </w:rPr>
        <w:t>咨询</w:t>
      </w:r>
      <w:r>
        <w:rPr>
          <w:rFonts w:ascii="宋体" w:hAnsi="宋体" w:cs="宋体"/>
          <w:color w:val="auto"/>
          <w:kern w:val="0"/>
          <w:sz w:val="24"/>
          <w:highlight w:val="none"/>
        </w:rPr>
        <w:t>人发出异议通知。无异议部分的款项应按期支付，有异议部分的款项按第7条约定办理。</w:t>
      </w:r>
    </w:p>
    <w:p w14:paraId="3309036A">
      <w:pPr>
        <w:widowControl/>
        <w:spacing w:line="360" w:lineRule="auto"/>
        <w:ind w:firstLine="482" w:firstLineChars="200"/>
        <w:jc w:val="left"/>
        <w:rPr>
          <w:rFonts w:ascii="宋体" w:hAnsi="宋体" w:cs="宋体"/>
          <w:b/>
          <w:bCs/>
          <w:color w:val="auto"/>
          <w:kern w:val="0"/>
          <w:sz w:val="24"/>
          <w:highlight w:val="none"/>
        </w:rPr>
      </w:pPr>
      <w:bookmarkStart w:id="232" w:name="_Toc419045088"/>
      <w:bookmarkStart w:id="233" w:name="_Toc422322507"/>
      <w:r>
        <w:rPr>
          <w:rFonts w:hint="eastAsia" w:ascii="宋体" w:hAnsi="宋体" w:cs="宋体"/>
          <w:b/>
          <w:bCs/>
          <w:color w:val="auto"/>
          <w:kern w:val="0"/>
          <w:sz w:val="24"/>
          <w:highlight w:val="none"/>
        </w:rPr>
        <w:t>6.合同变更、解除与终止</w:t>
      </w:r>
      <w:bookmarkEnd w:id="232"/>
      <w:bookmarkEnd w:id="233"/>
    </w:p>
    <w:p w14:paraId="221BCD0D">
      <w:pPr>
        <w:widowControl/>
        <w:spacing w:line="360" w:lineRule="auto"/>
        <w:ind w:firstLine="480" w:firstLineChars="200"/>
        <w:jc w:val="left"/>
        <w:rPr>
          <w:rFonts w:ascii="宋体" w:hAnsi="宋体" w:cs="宋体"/>
          <w:color w:val="auto"/>
          <w:kern w:val="0"/>
          <w:sz w:val="24"/>
          <w:highlight w:val="none"/>
        </w:rPr>
      </w:pPr>
      <w:bookmarkStart w:id="234" w:name="_Toc419045089"/>
      <w:bookmarkStart w:id="235" w:name="_Toc422322508"/>
      <w:r>
        <w:rPr>
          <w:rFonts w:hint="eastAsia" w:ascii="宋体" w:hAnsi="宋体"/>
          <w:bCs/>
          <w:color w:val="auto"/>
          <w:kern w:val="28"/>
          <w:sz w:val="24"/>
          <w:highlight w:val="none"/>
        </w:rPr>
        <w:t>6.1合同</w:t>
      </w:r>
      <w:r>
        <w:rPr>
          <w:rFonts w:ascii="宋体" w:hAnsi="宋体"/>
          <w:bCs/>
          <w:color w:val="auto"/>
          <w:kern w:val="28"/>
          <w:sz w:val="24"/>
          <w:highlight w:val="none"/>
        </w:rPr>
        <w:t>变更</w:t>
      </w:r>
      <w:bookmarkEnd w:id="234"/>
      <w:bookmarkEnd w:id="235"/>
      <w:r>
        <w:rPr>
          <w:rFonts w:hint="eastAsia" w:ascii="宋体" w:hAnsi="宋体"/>
          <w:color w:val="auto"/>
          <w:kern w:val="0"/>
          <w:sz w:val="24"/>
          <w:highlight w:val="none"/>
        </w:rPr>
        <w:t xml:space="preserve"> </w:t>
      </w:r>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w:t>
      </w:r>
      <w:r>
        <w:rPr>
          <w:rFonts w:ascii="宋体" w:hAnsi="宋体" w:cs="宋体"/>
          <w:color w:val="auto"/>
          <w:kern w:val="0"/>
          <w:sz w:val="24"/>
          <w:highlight w:val="none"/>
        </w:rPr>
        <w:t>　6.</w:t>
      </w:r>
      <w:r>
        <w:rPr>
          <w:rFonts w:hint="eastAsia" w:ascii="宋体" w:hAnsi="宋体" w:cs="宋体"/>
          <w:color w:val="auto"/>
          <w:kern w:val="0"/>
          <w:sz w:val="24"/>
          <w:highlight w:val="none"/>
        </w:rPr>
        <w:t>1</w:t>
      </w:r>
      <w:r>
        <w:rPr>
          <w:rFonts w:ascii="宋体" w:hAnsi="宋体" w:cs="宋体"/>
          <w:color w:val="auto"/>
          <w:kern w:val="0"/>
          <w:sz w:val="24"/>
          <w:highlight w:val="none"/>
        </w:rPr>
        <w:t>.1 任何一方</w:t>
      </w:r>
      <w:r>
        <w:rPr>
          <w:rFonts w:hint="eastAsia" w:ascii="宋体" w:hAnsi="宋体" w:cs="宋体"/>
          <w:color w:val="auto"/>
          <w:kern w:val="0"/>
          <w:sz w:val="24"/>
          <w:highlight w:val="none"/>
        </w:rPr>
        <w:t>以书面形式</w:t>
      </w:r>
      <w:r>
        <w:rPr>
          <w:rFonts w:ascii="宋体" w:hAnsi="宋体" w:cs="宋体"/>
          <w:color w:val="auto"/>
          <w:kern w:val="0"/>
          <w:sz w:val="24"/>
          <w:highlight w:val="none"/>
        </w:rPr>
        <w:t>提出变更请求时，双方经协商一致后可进行变更。</w:t>
      </w:r>
      <w:r>
        <w:rPr>
          <w:rFonts w:ascii="宋体" w:hAnsi="宋体" w:cs="宋体"/>
          <w:color w:val="auto"/>
          <w:kern w:val="0"/>
          <w:sz w:val="24"/>
          <w:highlight w:val="none"/>
        </w:rPr>
        <w:br w:type="textWrapping"/>
      </w:r>
      <w:r>
        <w:rPr>
          <w:rFonts w:ascii="宋体" w:hAnsi="宋体" w:cs="宋体"/>
          <w:color w:val="auto"/>
          <w:kern w:val="0"/>
          <w:sz w:val="24"/>
          <w:highlight w:val="none"/>
        </w:rPr>
        <w:t>　　6.</w:t>
      </w:r>
      <w:r>
        <w:rPr>
          <w:rFonts w:hint="eastAsia" w:ascii="宋体" w:hAnsi="宋体" w:cs="宋体"/>
          <w:color w:val="auto"/>
          <w:kern w:val="0"/>
          <w:sz w:val="24"/>
          <w:highlight w:val="none"/>
        </w:rPr>
        <w:t>1</w:t>
      </w:r>
      <w:r>
        <w:rPr>
          <w:rFonts w:ascii="宋体" w:hAnsi="宋体" w:cs="宋体"/>
          <w:color w:val="auto"/>
          <w:kern w:val="0"/>
          <w:sz w:val="24"/>
          <w:highlight w:val="none"/>
        </w:rPr>
        <w:t>.2除不可抗力外，因非</w:t>
      </w:r>
      <w:r>
        <w:rPr>
          <w:rFonts w:hint="eastAsia" w:ascii="宋体" w:hAnsi="宋体" w:cs="宋体"/>
          <w:color w:val="auto"/>
          <w:kern w:val="0"/>
          <w:sz w:val="24"/>
          <w:highlight w:val="none"/>
        </w:rPr>
        <w:t>咨询</w:t>
      </w:r>
      <w:r>
        <w:rPr>
          <w:rFonts w:ascii="宋体" w:hAnsi="宋体" w:cs="宋体"/>
          <w:color w:val="auto"/>
          <w:kern w:val="0"/>
          <w:sz w:val="24"/>
          <w:highlight w:val="none"/>
        </w:rPr>
        <w:t>人原因导致</w:t>
      </w:r>
      <w:r>
        <w:rPr>
          <w:rFonts w:hint="eastAsia" w:ascii="宋体" w:hAnsi="宋体" w:cs="宋体"/>
          <w:color w:val="auto"/>
          <w:kern w:val="0"/>
          <w:sz w:val="24"/>
          <w:highlight w:val="none"/>
        </w:rPr>
        <w:t>咨询</w:t>
      </w:r>
      <w:r>
        <w:rPr>
          <w:rFonts w:ascii="宋体" w:hAnsi="宋体" w:cs="宋体"/>
          <w:color w:val="auto"/>
          <w:kern w:val="0"/>
          <w:sz w:val="24"/>
          <w:highlight w:val="none"/>
        </w:rPr>
        <w:t>人履行合同期限延长、内容增加时，</w:t>
      </w:r>
      <w:r>
        <w:rPr>
          <w:rFonts w:hint="eastAsia" w:ascii="宋体" w:hAnsi="宋体" w:cs="宋体"/>
          <w:color w:val="auto"/>
          <w:kern w:val="0"/>
          <w:sz w:val="24"/>
          <w:highlight w:val="none"/>
        </w:rPr>
        <w:t>咨询</w:t>
      </w:r>
      <w:r>
        <w:rPr>
          <w:rFonts w:ascii="宋体" w:hAnsi="宋体" w:cs="宋体"/>
          <w:color w:val="auto"/>
          <w:kern w:val="0"/>
          <w:sz w:val="24"/>
          <w:highlight w:val="none"/>
        </w:rPr>
        <w:t>人应当将此情况与可能产生的影响及时通知委托人。增加的工作时间</w:t>
      </w:r>
      <w:r>
        <w:rPr>
          <w:rFonts w:hint="eastAsia" w:ascii="宋体" w:hAnsi="宋体" w:cs="宋体"/>
          <w:color w:val="auto"/>
          <w:kern w:val="0"/>
          <w:sz w:val="24"/>
          <w:highlight w:val="none"/>
        </w:rPr>
        <w:t>或</w:t>
      </w:r>
      <w:r>
        <w:rPr>
          <w:rFonts w:ascii="宋体" w:hAnsi="宋体" w:cs="宋体"/>
          <w:color w:val="auto"/>
          <w:kern w:val="0"/>
          <w:sz w:val="24"/>
          <w:highlight w:val="none"/>
        </w:rPr>
        <w:t>工作内容应视为附加工作。</w:t>
      </w:r>
      <w:r>
        <w:rPr>
          <w:rFonts w:hint="eastAsia" w:ascii="宋体" w:hAnsi="宋体"/>
          <w:color w:val="auto"/>
          <w:kern w:val="0"/>
          <w:sz w:val="24"/>
          <w:highlight w:val="none"/>
        </w:rPr>
        <w:t>附加工作酬金的确定方法由双方根据委托的</w:t>
      </w:r>
      <w:r>
        <w:rPr>
          <w:rFonts w:hint="eastAsia" w:ascii="宋体" w:hAnsi="宋体" w:cs="宋体"/>
          <w:color w:val="auto"/>
          <w:kern w:val="0"/>
          <w:sz w:val="24"/>
          <w:highlight w:val="none"/>
        </w:rPr>
        <w:t>服务范围及工作内容</w:t>
      </w:r>
      <w:r>
        <w:rPr>
          <w:rFonts w:hint="eastAsia" w:ascii="宋体" w:hAnsi="宋体"/>
          <w:color w:val="auto"/>
          <w:kern w:val="0"/>
          <w:sz w:val="24"/>
          <w:highlight w:val="none"/>
        </w:rPr>
        <w:t>在专用条件中约定。</w:t>
      </w:r>
    </w:p>
    <w:p w14:paraId="4CB6CE03">
      <w:pPr>
        <w:widowControl/>
        <w:spacing w:line="360" w:lineRule="auto"/>
        <w:ind w:firstLine="480" w:firstLineChars="200"/>
        <w:jc w:val="left"/>
        <w:rPr>
          <w:rFonts w:ascii="宋体" w:hAnsi="宋体" w:cs="宋体"/>
          <w:b/>
          <w:bCs/>
          <w:color w:val="auto"/>
          <w:kern w:val="0"/>
          <w:sz w:val="24"/>
          <w:highlight w:val="none"/>
        </w:rPr>
      </w:pPr>
      <w:r>
        <w:rPr>
          <w:rFonts w:ascii="宋体" w:hAnsi="宋体" w:cs="宋体"/>
          <w:color w:val="auto"/>
          <w:kern w:val="0"/>
          <w:sz w:val="24"/>
          <w:highlight w:val="none"/>
        </w:rPr>
        <w:t>6.</w:t>
      </w:r>
      <w:r>
        <w:rPr>
          <w:rFonts w:hint="eastAsia" w:ascii="宋体" w:hAnsi="宋体" w:cs="宋体"/>
          <w:color w:val="auto"/>
          <w:kern w:val="0"/>
          <w:sz w:val="24"/>
          <w:highlight w:val="none"/>
        </w:rPr>
        <w:t>1</w:t>
      </w:r>
      <w:r>
        <w:rPr>
          <w:rFonts w:ascii="宋体" w:hAnsi="宋体" w:cs="宋体"/>
          <w:color w:val="auto"/>
          <w:kern w:val="0"/>
          <w:sz w:val="24"/>
          <w:highlight w:val="none"/>
        </w:rPr>
        <w:t>.</w:t>
      </w:r>
      <w:r>
        <w:rPr>
          <w:rFonts w:hint="eastAsia" w:ascii="宋体" w:hAnsi="宋体" w:cs="宋体"/>
          <w:color w:val="auto"/>
          <w:kern w:val="0"/>
          <w:sz w:val="24"/>
          <w:highlight w:val="none"/>
        </w:rPr>
        <w:t>3</w:t>
      </w:r>
      <w:r>
        <w:rPr>
          <w:rFonts w:ascii="宋体" w:hAnsi="宋体" w:cs="宋体"/>
          <w:color w:val="auto"/>
          <w:kern w:val="0"/>
          <w:sz w:val="24"/>
          <w:highlight w:val="none"/>
        </w:rPr>
        <w:t>合同</w:t>
      </w:r>
      <w:r>
        <w:rPr>
          <w:rFonts w:hint="eastAsia" w:ascii="宋体" w:hAnsi="宋体" w:cs="宋体"/>
          <w:color w:val="auto"/>
          <w:kern w:val="0"/>
          <w:sz w:val="24"/>
          <w:highlight w:val="none"/>
        </w:rPr>
        <w:t>履行过程中</w:t>
      </w:r>
      <w:r>
        <w:rPr>
          <w:rFonts w:ascii="宋体" w:hAnsi="宋体" w:cs="宋体"/>
          <w:color w:val="auto"/>
          <w:kern w:val="0"/>
          <w:sz w:val="24"/>
          <w:highlight w:val="none"/>
        </w:rPr>
        <w:t>，遇有与工程相关的法律法规、</w:t>
      </w:r>
      <w:r>
        <w:rPr>
          <w:rFonts w:hint="eastAsia" w:ascii="宋体" w:hAnsi="宋体" w:cs="宋体"/>
          <w:color w:val="auto"/>
          <w:kern w:val="0"/>
          <w:sz w:val="24"/>
          <w:highlight w:val="none"/>
        </w:rPr>
        <w:t>强制性</w:t>
      </w:r>
      <w:r>
        <w:rPr>
          <w:rFonts w:ascii="宋体" w:hAnsi="宋体" w:cs="宋体"/>
          <w:color w:val="auto"/>
          <w:kern w:val="0"/>
          <w:sz w:val="24"/>
          <w:highlight w:val="none"/>
        </w:rPr>
        <w:t>标准颁布或修订的，双方应遵照执行。</w:t>
      </w:r>
      <w:r>
        <w:rPr>
          <w:rFonts w:hint="eastAsia" w:ascii="宋体" w:hAnsi="宋体" w:cs="宋体"/>
          <w:color w:val="auto"/>
          <w:kern w:val="0"/>
          <w:sz w:val="24"/>
          <w:highlight w:val="none"/>
        </w:rPr>
        <w:t>非强制性标准、规范、定额等发生变化的，双方协商确定执行依据。</w:t>
      </w:r>
      <w:r>
        <w:rPr>
          <w:rFonts w:ascii="宋体" w:hAnsi="宋体" w:cs="宋体"/>
          <w:color w:val="auto"/>
          <w:kern w:val="0"/>
          <w:sz w:val="24"/>
          <w:highlight w:val="none"/>
        </w:rPr>
        <w:t>由此引起</w:t>
      </w:r>
      <w:r>
        <w:rPr>
          <w:rFonts w:hint="eastAsia" w:ascii="宋体" w:hAnsi="宋体" w:cs="宋体"/>
          <w:color w:val="auto"/>
          <w:kern w:val="0"/>
          <w:sz w:val="24"/>
          <w:highlight w:val="none"/>
        </w:rPr>
        <w:t>造价咨询</w:t>
      </w:r>
      <w:r>
        <w:rPr>
          <w:rFonts w:ascii="宋体" w:hAnsi="宋体" w:cs="宋体"/>
          <w:color w:val="auto"/>
          <w:kern w:val="0"/>
          <w:sz w:val="24"/>
          <w:highlight w:val="none"/>
        </w:rPr>
        <w:t>的</w:t>
      </w:r>
      <w:r>
        <w:rPr>
          <w:rFonts w:hint="eastAsia" w:ascii="宋体" w:hAnsi="宋体" w:cs="宋体"/>
          <w:color w:val="auto"/>
          <w:kern w:val="0"/>
          <w:sz w:val="24"/>
          <w:highlight w:val="none"/>
        </w:rPr>
        <w:t>服务</w:t>
      </w:r>
      <w:r>
        <w:rPr>
          <w:rFonts w:ascii="宋体" w:hAnsi="宋体" w:cs="宋体"/>
          <w:color w:val="auto"/>
          <w:kern w:val="0"/>
          <w:sz w:val="24"/>
          <w:highlight w:val="none"/>
        </w:rPr>
        <w:t>范围</w:t>
      </w:r>
      <w:r>
        <w:rPr>
          <w:rFonts w:hint="eastAsia" w:ascii="宋体" w:hAnsi="宋体" w:cs="宋体"/>
          <w:color w:val="auto"/>
          <w:kern w:val="0"/>
          <w:sz w:val="24"/>
          <w:highlight w:val="none"/>
        </w:rPr>
        <w:t>及内容</w:t>
      </w:r>
      <w:r>
        <w:rPr>
          <w:rFonts w:ascii="宋体" w:hAnsi="宋体" w:cs="宋体"/>
          <w:color w:val="auto"/>
          <w:kern w:val="0"/>
          <w:sz w:val="24"/>
          <w:highlight w:val="none"/>
        </w:rPr>
        <w:t>、</w:t>
      </w:r>
      <w:r>
        <w:rPr>
          <w:rFonts w:hint="eastAsia" w:ascii="宋体" w:hAnsi="宋体" w:cs="宋体"/>
          <w:color w:val="auto"/>
          <w:kern w:val="0"/>
          <w:sz w:val="24"/>
          <w:highlight w:val="none"/>
        </w:rPr>
        <w:t>服务期限</w:t>
      </w:r>
      <w:r>
        <w:rPr>
          <w:rFonts w:ascii="宋体" w:hAnsi="宋体" w:cs="宋体"/>
          <w:color w:val="auto"/>
          <w:kern w:val="0"/>
          <w:sz w:val="24"/>
          <w:highlight w:val="none"/>
        </w:rPr>
        <w:t>、酬金变化的，双方应通过协商</w:t>
      </w:r>
      <w:r>
        <w:rPr>
          <w:rFonts w:hint="eastAsia" w:ascii="宋体" w:hAnsi="宋体" w:cs="宋体"/>
          <w:color w:val="auto"/>
          <w:kern w:val="0"/>
          <w:sz w:val="24"/>
          <w:highlight w:val="none"/>
        </w:rPr>
        <w:t>确定</w:t>
      </w:r>
      <w:r>
        <w:rPr>
          <w:rFonts w:ascii="宋体" w:hAnsi="宋体" w:cs="宋体"/>
          <w:color w:val="auto"/>
          <w:kern w:val="0"/>
          <w:sz w:val="24"/>
          <w:highlight w:val="none"/>
        </w:rPr>
        <w:t>。</w:t>
      </w:r>
      <w:r>
        <w:rPr>
          <w:rFonts w:ascii="宋体" w:hAnsi="宋体" w:cs="宋体"/>
          <w:color w:val="auto"/>
          <w:kern w:val="0"/>
          <w:sz w:val="24"/>
          <w:highlight w:val="none"/>
        </w:rPr>
        <w:br w:type="textWrapping"/>
      </w:r>
      <w:r>
        <w:rPr>
          <w:rFonts w:ascii="宋体" w:hAnsi="宋体" w:cs="宋体"/>
          <w:color w:val="auto"/>
          <w:kern w:val="0"/>
          <w:sz w:val="24"/>
          <w:highlight w:val="none"/>
        </w:rPr>
        <w:t>　　6.</w:t>
      </w:r>
      <w:r>
        <w:rPr>
          <w:rFonts w:hint="eastAsia" w:ascii="宋体" w:hAnsi="宋体" w:cs="宋体"/>
          <w:color w:val="auto"/>
          <w:kern w:val="0"/>
          <w:sz w:val="24"/>
          <w:highlight w:val="none"/>
        </w:rPr>
        <w:t>1</w:t>
      </w:r>
      <w:r>
        <w:rPr>
          <w:rFonts w:ascii="宋体" w:hAnsi="宋体" w:cs="宋体"/>
          <w:color w:val="auto"/>
          <w:kern w:val="0"/>
          <w:sz w:val="24"/>
          <w:highlight w:val="none"/>
        </w:rPr>
        <w:t>.</w:t>
      </w:r>
      <w:r>
        <w:rPr>
          <w:rFonts w:hint="eastAsia" w:ascii="宋体" w:hAnsi="宋体" w:cs="宋体"/>
          <w:color w:val="auto"/>
          <w:kern w:val="0"/>
          <w:sz w:val="24"/>
          <w:highlight w:val="none"/>
        </w:rPr>
        <w:t>4</w:t>
      </w:r>
      <w:r>
        <w:rPr>
          <w:rFonts w:ascii="宋体" w:hAnsi="宋体" w:cs="宋体"/>
          <w:color w:val="auto"/>
          <w:kern w:val="0"/>
          <w:sz w:val="24"/>
          <w:highlight w:val="none"/>
        </w:rPr>
        <w:t xml:space="preserve"> 因工程规模、</w:t>
      </w:r>
      <w:r>
        <w:rPr>
          <w:rFonts w:hint="eastAsia" w:ascii="宋体" w:hAnsi="宋体" w:cs="宋体"/>
          <w:color w:val="auto"/>
          <w:kern w:val="0"/>
          <w:sz w:val="24"/>
          <w:highlight w:val="none"/>
        </w:rPr>
        <w:t>服务</w:t>
      </w:r>
      <w:r>
        <w:rPr>
          <w:rFonts w:ascii="宋体" w:hAnsi="宋体" w:cs="宋体"/>
          <w:color w:val="auto"/>
          <w:kern w:val="0"/>
          <w:sz w:val="24"/>
          <w:highlight w:val="none"/>
        </w:rPr>
        <w:t>范围</w:t>
      </w:r>
      <w:r>
        <w:rPr>
          <w:rFonts w:hint="eastAsia" w:ascii="宋体" w:hAnsi="宋体" w:cs="宋体"/>
          <w:color w:val="auto"/>
          <w:kern w:val="0"/>
          <w:sz w:val="24"/>
          <w:highlight w:val="none"/>
        </w:rPr>
        <w:t>及工作内容</w:t>
      </w:r>
      <w:r>
        <w:rPr>
          <w:rFonts w:ascii="宋体" w:hAnsi="宋体" w:cs="宋体"/>
          <w:color w:val="auto"/>
          <w:kern w:val="0"/>
          <w:sz w:val="24"/>
          <w:highlight w:val="none"/>
        </w:rPr>
        <w:t>的变化</w:t>
      </w:r>
      <w:r>
        <w:rPr>
          <w:rFonts w:hint="eastAsia" w:ascii="宋体" w:hAnsi="宋体" w:cs="宋体"/>
          <w:color w:val="auto"/>
          <w:kern w:val="0"/>
          <w:sz w:val="24"/>
          <w:highlight w:val="none"/>
        </w:rPr>
        <w:t>等</w:t>
      </w:r>
      <w:r>
        <w:rPr>
          <w:rFonts w:ascii="宋体" w:hAnsi="宋体" w:cs="宋体"/>
          <w:color w:val="auto"/>
          <w:kern w:val="0"/>
          <w:sz w:val="24"/>
          <w:highlight w:val="none"/>
        </w:rPr>
        <w:t>导致</w:t>
      </w:r>
      <w:r>
        <w:rPr>
          <w:rFonts w:hint="eastAsia" w:ascii="宋体" w:hAnsi="宋体" w:cs="宋体"/>
          <w:color w:val="auto"/>
          <w:kern w:val="0"/>
          <w:sz w:val="24"/>
          <w:highlight w:val="none"/>
        </w:rPr>
        <w:t>咨询</w:t>
      </w:r>
      <w:r>
        <w:rPr>
          <w:rFonts w:ascii="宋体" w:hAnsi="宋体" w:cs="宋体"/>
          <w:color w:val="auto"/>
          <w:kern w:val="0"/>
          <w:sz w:val="24"/>
          <w:highlight w:val="none"/>
        </w:rPr>
        <w:t>人的工作量</w:t>
      </w:r>
      <w:r>
        <w:rPr>
          <w:rFonts w:hint="eastAsia" w:ascii="宋体" w:hAnsi="宋体" w:cs="宋体"/>
          <w:color w:val="auto"/>
          <w:kern w:val="0"/>
          <w:sz w:val="24"/>
          <w:highlight w:val="none"/>
        </w:rPr>
        <w:t>增减</w:t>
      </w:r>
      <w:r>
        <w:rPr>
          <w:rFonts w:ascii="宋体" w:hAnsi="宋体" w:cs="宋体"/>
          <w:color w:val="auto"/>
          <w:kern w:val="0"/>
          <w:sz w:val="24"/>
          <w:highlight w:val="none"/>
        </w:rPr>
        <w:t>时，</w:t>
      </w:r>
      <w:r>
        <w:rPr>
          <w:rFonts w:hint="eastAsia" w:ascii="宋体" w:hAnsi="宋体" w:cs="宋体"/>
          <w:color w:val="auto"/>
          <w:kern w:val="0"/>
          <w:sz w:val="24"/>
          <w:highlight w:val="none"/>
        </w:rPr>
        <w:t>服务</w:t>
      </w:r>
      <w:r>
        <w:rPr>
          <w:rFonts w:ascii="宋体" w:hAnsi="宋体" w:cs="宋体"/>
          <w:color w:val="auto"/>
          <w:kern w:val="0"/>
          <w:sz w:val="24"/>
          <w:highlight w:val="none"/>
        </w:rPr>
        <w:t>酬金应作相应调整</w:t>
      </w:r>
      <w:r>
        <w:rPr>
          <w:rFonts w:hint="eastAsia" w:ascii="宋体" w:hAnsi="宋体" w:cs="宋体"/>
          <w:color w:val="auto"/>
          <w:kern w:val="0"/>
          <w:sz w:val="24"/>
          <w:highlight w:val="none"/>
        </w:rPr>
        <w:t>，</w:t>
      </w:r>
      <w:r>
        <w:rPr>
          <w:rFonts w:ascii="宋体" w:hAnsi="宋体" w:cs="宋体"/>
          <w:color w:val="auto"/>
          <w:kern w:val="0"/>
          <w:sz w:val="24"/>
          <w:highlight w:val="none"/>
        </w:rPr>
        <w:t>调整方法</w:t>
      </w:r>
      <w:r>
        <w:rPr>
          <w:rFonts w:hint="eastAsia" w:ascii="宋体" w:hAnsi="宋体" w:cs="宋体"/>
          <w:color w:val="auto"/>
          <w:kern w:val="0"/>
          <w:sz w:val="24"/>
          <w:highlight w:val="none"/>
        </w:rPr>
        <w:t>由双方在专用条件中约定。</w:t>
      </w:r>
    </w:p>
    <w:p w14:paraId="25A0EF3A">
      <w:pPr>
        <w:widowControl/>
        <w:spacing w:line="360" w:lineRule="auto"/>
        <w:ind w:firstLine="480" w:firstLineChars="200"/>
        <w:jc w:val="left"/>
        <w:rPr>
          <w:rFonts w:ascii="宋体" w:hAnsi="宋体"/>
          <w:bCs/>
          <w:color w:val="auto"/>
          <w:kern w:val="28"/>
          <w:sz w:val="24"/>
          <w:highlight w:val="none"/>
        </w:rPr>
      </w:pPr>
      <w:bookmarkStart w:id="236" w:name="_Toc422322509"/>
      <w:bookmarkStart w:id="237" w:name="_Toc419045090"/>
      <w:r>
        <w:rPr>
          <w:rFonts w:hint="eastAsia" w:ascii="宋体" w:hAnsi="宋体"/>
          <w:color w:val="auto"/>
          <w:kern w:val="28"/>
          <w:sz w:val="24"/>
          <w:highlight w:val="none"/>
        </w:rPr>
        <w:t>6.2合同</w:t>
      </w:r>
      <w:r>
        <w:rPr>
          <w:rFonts w:ascii="宋体" w:hAnsi="宋体"/>
          <w:bCs/>
          <w:color w:val="auto"/>
          <w:kern w:val="28"/>
          <w:sz w:val="24"/>
          <w:highlight w:val="none"/>
        </w:rPr>
        <w:t>解除</w:t>
      </w:r>
      <w:bookmarkEnd w:id="236"/>
      <w:bookmarkEnd w:id="237"/>
    </w:p>
    <w:p w14:paraId="25E357F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w:t>
      </w:r>
      <w:r>
        <w:rPr>
          <w:rFonts w:ascii="宋体" w:hAnsi="宋体" w:cs="宋体"/>
          <w:color w:val="auto"/>
          <w:kern w:val="0"/>
          <w:sz w:val="24"/>
          <w:highlight w:val="none"/>
        </w:rPr>
        <w:t>.</w:t>
      </w:r>
      <w:r>
        <w:rPr>
          <w:rFonts w:hint="eastAsia" w:ascii="宋体" w:hAnsi="宋体" w:cs="宋体"/>
          <w:color w:val="auto"/>
          <w:kern w:val="0"/>
          <w:sz w:val="24"/>
          <w:highlight w:val="none"/>
        </w:rPr>
        <w:t>2.1 委托人与咨询人协商一致，可以解除合同。</w:t>
      </w:r>
    </w:p>
    <w:p w14:paraId="7A943AE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w:t>
      </w:r>
      <w:r>
        <w:rPr>
          <w:rFonts w:ascii="宋体" w:hAnsi="宋体" w:cs="宋体"/>
          <w:color w:val="auto"/>
          <w:kern w:val="0"/>
          <w:sz w:val="24"/>
          <w:highlight w:val="none"/>
        </w:rPr>
        <w:t>.2</w:t>
      </w:r>
      <w:r>
        <w:rPr>
          <w:rFonts w:hint="eastAsia" w:ascii="宋体" w:hAnsi="宋体" w:cs="宋体"/>
          <w:color w:val="auto"/>
          <w:kern w:val="0"/>
          <w:sz w:val="24"/>
          <w:highlight w:val="none"/>
        </w:rPr>
        <w:t>.2 有下列情形之一的，合同当事人一方或双方可以解除合同：</w:t>
      </w:r>
    </w:p>
    <w:p w14:paraId="2D25F94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（1）咨询人将本合同约定的工程造价咨询服务工作全部或部分转包给他人，委托人可以解除合同；</w:t>
      </w:r>
      <w:r>
        <w:rPr>
          <w:rFonts w:ascii="宋体" w:hAnsi="宋体" w:cs="宋体"/>
          <w:color w:val="auto"/>
          <w:kern w:val="0"/>
          <w:sz w:val="24"/>
          <w:highlight w:val="none"/>
        </w:rPr>
        <w:br w:type="textWrapping"/>
      </w:r>
      <w:r>
        <w:rPr>
          <w:rFonts w:hint="eastAsia" w:ascii="宋体" w:hAnsi="宋体" w:cs="宋体"/>
          <w:color w:val="auto"/>
          <w:kern w:val="0"/>
          <w:sz w:val="24"/>
          <w:highlight w:val="none"/>
        </w:rPr>
        <w:t xml:space="preserve">    （2）咨询人提供的造价咨询服务不符合合同约定的要求，经委托人催告仍不能达到合同约定要求的，委托人可以解除合同；</w:t>
      </w:r>
    </w:p>
    <w:p w14:paraId="59C7CF53">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（3）委托人未按合同约定支付服务酬金，经咨询人催告后，在28天内仍未支付的，咨询人可以解除合同；</w:t>
      </w:r>
    </w:p>
    <w:p w14:paraId="3F085CEC">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（4）因不可抗力致使合同无法履行；</w:t>
      </w:r>
    </w:p>
    <w:p w14:paraId="7F6BFA9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（5）因一方违约致使合同无法实际履行或实际履行已无必要。</w:t>
      </w:r>
    </w:p>
    <w:p w14:paraId="550E5CD0">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除上述情形外，双方可以根据委托的服务范围及工作内容，在专用条件中约定解除合同的其他条件。</w:t>
      </w:r>
    </w:p>
    <w:p w14:paraId="759BEC2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6</w:t>
      </w:r>
      <w:r>
        <w:rPr>
          <w:rFonts w:ascii="宋体" w:hAnsi="宋体" w:cs="宋体"/>
          <w:color w:val="auto"/>
          <w:kern w:val="0"/>
          <w:sz w:val="24"/>
          <w:highlight w:val="none"/>
        </w:rPr>
        <w:t>.</w:t>
      </w:r>
      <w:r>
        <w:rPr>
          <w:rFonts w:hint="eastAsia" w:ascii="宋体" w:hAnsi="宋体" w:cs="宋体"/>
          <w:color w:val="auto"/>
          <w:kern w:val="0"/>
          <w:sz w:val="24"/>
          <w:highlight w:val="none"/>
        </w:rPr>
        <w:t>2.3 任何一方提出解除合同的，应提前30天书面通知对方。</w:t>
      </w:r>
    </w:p>
    <w:p w14:paraId="34E0EC29">
      <w:pPr>
        <w:widowControl/>
        <w:spacing w:line="360" w:lineRule="auto"/>
        <w:ind w:firstLine="465"/>
        <w:jc w:val="left"/>
        <w:rPr>
          <w:rFonts w:ascii="宋体" w:hAnsi="宋体" w:cs="宋体"/>
          <w:color w:val="auto"/>
          <w:kern w:val="0"/>
          <w:sz w:val="24"/>
          <w:highlight w:val="none"/>
        </w:rPr>
      </w:pPr>
      <w:r>
        <w:rPr>
          <w:rFonts w:hint="eastAsia" w:ascii="宋体" w:hAnsi="宋体" w:cs="宋体"/>
          <w:color w:val="auto"/>
          <w:kern w:val="0"/>
          <w:sz w:val="24"/>
          <w:highlight w:val="none"/>
        </w:rPr>
        <w:t>6.2.4合同解除后，委托人应按照合同约定向咨询人支付已完成部分的咨询服务酬金。</w:t>
      </w:r>
    </w:p>
    <w:p w14:paraId="2E32036F">
      <w:pPr>
        <w:widowControl/>
        <w:spacing w:line="360" w:lineRule="auto"/>
        <w:ind w:firstLine="465"/>
        <w:jc w:val="left"/>
        <w:rPr>
          <w:rFonts w:ascii="宋体" w:hAnsi="宋体" w:cs="宋体"/>
          <w:color w:val="auto"/>
          <w:kern w:val="0"/>
          <w:sz w:val="24"/>
          <w:highlight w:val="none"/>
        </w:rPr>
      </w:pPr>
      <w:r>
        <w:rPr>
          <w:rFonts w:hint="eastAsia" w:ascii="宋体" w:hAnsi="宋体" w:cs="宋体"/>
          <w:color w:val="auto"/>
          <w:kern w:val="0"/>
          <w:sz w:val="24"/>
          <w:highlight w:val="none"/>
        </w:rPr>
        <w:t>因不可抗力导致的合同解除，其损失的分担按照合理分担的原则由合同当事人在专用条件中自行约定。除不可抗力外因非咨询人原因导致的合同解除，其损失由委托人承担。因咨询人自身原因导致的合同解除，按照违约责任处理。</w:t>
      </w:r>
    </w:p>
    <w:p w14:paraId="446AD21F">
      <w:pPr>
        <w:widowControl/>
        <w:spacing w:line="360" w:lineRule="auto"/>
        <w:ind w:firstLine="480" w:firstLineChars="200"/>
        <w:jc w:val="left"/>
        <w:rPr>
          <w:rFonts w:ascii="宋体" w:hAnsi="宋体" w:cs="宋体"/>
          <w:smallCaps/>
          <w:color w:val="auto"/>
          <w:kern w:val="0"/>
          <w:sz w:val="24"/>
          <w:highlight w:val="none"/>
        </w:rPr>
      </w:pPr>
      <w:r>
        <w:rPr>
          <w:rFonts w:hint="eastAsia" w:ascii="宋体" w:hAnsi="宋体" w:cs="宋体"/>
          <w:color w:val="auto"/>
          <w:kern w:val="0"/>
          <w:sz w:val="24"/>
          <w:highlight w:val="none"/>
        </w:rPr>
        <w:t>6.2.5</w:t>
      </w:r>
      <w:r>
        <w:rPr>
          <w:rFonts w:ascii="宋体" w:hAnsi="宋体" w:cs="宋体"/>
          <w:color w:val="auto"/>
          <w:kern w:val="0"/>
          <w:sz w:val="24"/>
          <w:highlight w:val="none"/>
        </w:rPr>
        <w:t>本合同解除后，本合同约定的有关结算、争议解决方式的条</w:t>
      </w:r>
      <w:r>
        <w:rPr>
          <w:rFonts w:hint="eastAsia" w:ascii="宋体" w:hAnsi="宋体" w:cs="宋体"/>
          <w:color w:val="auto"/>
          <w:kern w:val="0"/>
          <w:sz w:val="24"/>
          <w:highlight w:val="none"/>
        </w:rPr>
        <w:t>款</w:t>
      </w:r>
      <w:r>
        <w:rPr>
          <w:rFonts w:ascii="宋体" w:hAnsi="宋体" w:cs="宋体"/>
          <w:color w:val="auto"/>
          <w:kern w:val="0"/>
          <w:sz w:val="24"/>
          <w:highlight w:val="none"/>
        </w:rPr>
        <w:t>仍然有效。</w:t>
      </w:r>
    </w:p>
    <w:p w14:paraId="72289FE7">
      <w:pPr>
        <w:widowControl/>
        <w:spacing w:line="360" w:lineRule="auto"/>
        <w:ind w:firstLine="480" w:firstLineChars="200"/>
        <w:jc w:val="left"/>
        <w:rPr>
          <w:rFonts w:ascii="宋体" w:hAnsi="宋体" w:cs="宋体"/>
          <w:color w:val="auto"/>
          <w:kern w:val="0"/>
          <w:sz w:val="24"/>
          <w:highlight w:val="none"/>
        </w:rPr>
      </w:pPr>
      <w:bookmarkStart w:id="238" w:name="_Toc422322510"/>
      <w:r>
        <w:rPr>
          <w:rFonts w:hint="eastAsia" w:ascii="宋体" w:hAnsi="宋体"/>
          <w:bCs/>
          <w:color w:val="auto"/>
          <w:kern w:val="28"/>
          <w:sz w:val="24"/>
          <w:highlight w:val="none"/>
        </w:rPr>
        <w:t>6.</w:t>
      </w:r>
      <w:r>
        <w:rPr>
          <w:rFonts w:ascii="宋体" w:hAnsi="宋体"/>
          <w:bCs/>
          <w:color w:val="auto"/>
          <w:kern w:val="28"/>
          <w:sz w:val="24"/>
          <w:highlight w:val="none"/>
        </w:rPr>
        <w:t xml:space="preserve">3 </w:t>
      </w:r>
      <w:r>
        <w:rPr>
          <w:rFonts w:hint="eastAsia" w:ascii="宋体" w:hAnsi="宋体"/>
          <w:bCs/>
          <w:color w:val="auto"/>
          <w:kern w:val="28"/>
          <w:sz w:val="24"/>
          <w:highlight w:val="none"/>
        </w:rPr>
        <w:t>合同终止</w:t>
      </w:r>
      <w:bookmarkEnd w:id="238"/>
      <w:r>
        <w:rPr>
          <w:rFonts w:hint="eastAsia" w:ascii="宋体" w:hAnsi="宋体" w:cs="宋体"/>
          <w:b/>
          <w:bCs/>
          <w:smallCaps/>
          <w:color w:val="auto"/>
          <w:kern w:val="0"/>
          <w:sz w:val="24"/>
          <w:highlight w:val="none"/>
        </w:rPr>
        <w:br w:type="textWrapping"/>
      </w:r>
      <w:r>
        <w:rPr>
          <w:rFonts w:hint="eastAsia" w:ascii="宋体" w:hAnsi="宋体" w:cs="宋体"/>
          <w:b/>
          <w:bCs/>
          <w:smallCaps/>
          <w:color w:val="auto"/>
          <w:kern w:val="0"/>
          <w:sz w:val="24"/>
          <w:highlight w:val="none"/>
        </w:rPr>
        <w:t>　　</w:t>
      </w:r>
      <w:r>
        <w:rPr>
          <w:rFonts w:hint="eastAsia" w:ascii="宋体" w:hAnsi="宋体" w:cs="宋体"/>
          <w:bCs/>
          <w:smallCaps/>
          <w:color w:val="auto"/>
          <w:kern w:val="0"/>
          <w:sz w:val="24"/>
          <w:highlight w:val="none"/>
        </w:rPr>
        <w:t>除合同解除外，以下条</w:t>
      </w:r>
      <w:r>
        <w:rPr>
          <w:rFonts w:ascii="宋体" w:hAnsi="宋体" w:cs="宋体"/>
          <w:color w:val="auto"/>
          <w:kern w:val="0"/>
          <w:sz w:val="24"/>
          <w:highlight w:val="none"/>
        </w:rPr>
        <w:t>件全部满足时，本合同终止：</w:t>
      </w:r>
      <w:r>
        <w:rPr>
          <w:rFonts w:ascii="宋体" w:hAnsi="宋体" w:cs="宋体"/>
          <w:color w:val="auto"/>
          <w:kern w:val="0"/>
          <w:sz w:val="24"/>
          <w:highlight w:val="none"/>
        </w:rPr>
        <w:br w:type="textWrapping"/>
      </w:r>
      <w:r>
        <w:rPr>
          <w:rFonts w:ascii="宋体" w:hAnsi="宋体" w:cs="宋体"/>
          <w:color w:val="auto"/>
          <w:kern w:val="0"/>
          <w:sz w:val="24"/>
          <w:highlight w:val="none"/>
        </w:rPr>
        <w:t>　</w:t>
      </w:r>
      <w:r>
        <w:rPr>
          <w:rFonts w:hint="eastAsia" w:ascii="宋体" w:hAnsi="宋体" w:cs="宋体"/>
          <w:color w:val="auto"/>
          <w:kern w:val="0"/>
          <w:sz w:val="24"/>
          <w:highlight w:val="none"/>
        </w:rPr>
        <w:t xml:space="preserve"> </w:t>
      </w:r>
      <w:r>
        <w:rPr>
          <w:rFonts w:ascii="宋体" w:hAnsi="宋体" w:cs="宋体"/>
          <w:color w:val="auto"/>
          <w:kern w:val="0"/>
          <w:sz w:val="24"/>
          <w:highlight w:val="none"/>
        </w:rPr>
        <w:t>（1）</w:t>
      </w:r>
      <w:r>
        <w:rPr>
          <w:rFonts w:hint="eastAsia" w:ascii="宋体" w:hAnsi="宋体" w:cs="宋体"/>
          <w:color w:val="auto"/>
          <w:kern w:val="0"/>
          <w:sz w:val="24"/>
          <w:highlight w:val="none"/>
        </w:rPr>
        <w:t>咨询</w:t>
      </w:r>
      <w:r>
        <w:rPr>
          <w:rFonts w:ascii="宋体" w:hAnsi="宋体" w:cs="宋体"/>
          <w:color w:val="auto"/>
          <w:kern w:val="0"/>
          <w:sz w:val="24"/>
          <w:highlight w:val="none"/>
        </w:rPr>
        <w:t>人完成本合同约定的全部工作；</w:t>
      </w:r>
      <w:r>
        <w:rPr>
          <w:rFonts w:ascii="宋体" w:hAnsi="宋体" w:cs="宋体"/>
          <w:color w:val="auto"/>
          <w:kern w:val="0"/>
          <w:sz w:val="24"/>
          <w:highlight w:val="none"/>
        </w:rPr>
        <w:br w:type="textWrapping"/>
      </w:r>
      <w:r>
        <w:rPr>
          <w:rFonts w:ascii="宋体" w:hAnsi="宋体" w:cs="宋体"/>
          <w:color w:val="auto"/>
          <w:kern w:val="0"/>
          <w:sz w:val="24"/>
          <w:highlight w:val="none"/>
        </w:rPr>
        <w:t>　</w:t>
      </w:r>
      <w:r>
        <w:rPr>
          <w:rFonts w:hint="eastAsia" w:ascii="宋体" w:hAnsi="宋体" w:cs="宋体"/>
          <w:color w:val="auto"/>
          <w:kern w:val="0"/>
          <w:sz w:val="24"/>
          <w:highlight w:val="none"/>
        </w:rPr>
        <w:t xml:space="preserve"> </w:t>
      </w:r>
      <w:r>
        <w:rPr>
          <w:rFonts w:ascii="宋体" w:hAnsi="宋体" w:cs="宋体"/>
          <w:color w:val="auto"/>
          <w:kern w:val="0"/>
          <w:sz w:val="24"/>
          <w:highlight w:val="none"/>
        </w:rPr>
        <w:t>（2）委托人与</w:t>
      </w:r>
      <w:r>
        <w:rPr>
          <w:rFonts w:hint="eastAsia" w:ascii="宋体" w:hAnsi="宋体" w:cs="宋体"/>
          <w:color w:val="auto"/>
          <w:kern w:val="0"/>
          <w:sz w:val="24"/>
          <w:highlight w:val="none"/>
        </w:rPr>
        <w:t>咨询</w:t>
      </w:r>
      <w:r>
        <w:rPr>
          <w:rFonts w:ascii="宋体" w:hAnsi="宋体" w:cs="宋体"/>
          <w:color w:val="auto"/>
          <w:kern w:val="0"/>
          <w:sz w:val="24"/>
          <w:highlight w:val="none"/>
        </w:rPr>
        <w:t>人结清并支付酬金</w:t>
      </w:r>
      <w:r>
        <w:rPr>
          <w:rFonts w:hint="eastAsia" w:ascii="宋体" w:hAnsi="宋体" w:cs="宋体"/>
          <w:color w:val="auto"/>
          <w:kern w:val="0"/>
          <w:sz w:val="24"/>
          <w:highlight w:val="none"/>
        </w:rPr>
        <w:t>；</w:t>
      </w:r>
    </w:p>
    <w:p w14:paraId="74D676E8">
      <w:pPr>
        <w:widowControl/>
        <w:spacing w:line="360" w:lineRule="auto"/>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（3）咨询人将委托人提供的资料交还。</w:t>
      </w:r>
    </w:p>
    <w:p w14:paraId="4DDDBC2D">
      <w:pPr>
        <w:widowControl/>
        <w:spacing w:line="360" w:lineRule="auto"/>
        <w:ind w:firstLine="482" w:firstLineChars="200"/>
        <w:jc w:val="left"/>
        <w:rPr>
          <w:rFonts w:ascii="宋体" w:hAnsi="宋体" w:cs="宋体"/>
          <w:b/>
          <w:color w:val="auto"/>
          <w:kern w:val="0"/>
          <w:sz w:val="24"/>
          <w:highlight w:val="none"/>
        </w:rPr>
      </w:pPr>
      <w:bookmarkStart w:id="239" w:name="_Toc419045091"/>
      <w:bookmarkStart w:id="240" w:name="_Toc422322511"/>
      <w:r>
        <w:rPr>
          <w:rFonts w:hint="eastAsia" w:ascii="宋体" w:hAnsi="宋体" w:cs="宋体"/>
          <w:b/>
          <w:color w:val="auto"/>
          <w:kern w:val="0"/>
          <w:sz w:val="24"/>
          <w:highlight w:val="none"/>
        </w:rPr>
        <w:t>7.争议解决</w:t>
      </w:r>
      <w:bookmarkEnd w:id="221"/>
      <w:bookmarkEnd w:id="239"/>
      <w:bookmarkEnd w:id="240"/>
    </w:p>
    <w:p w14:paraId="68626EAD">
      <w:pPr>
        <w:widowControl/>
        <w:spacing w:line="360" w:lineRule="auto"/>
        <w:ind w:firstLine="480" w:firstLineChars="200"/>
        <w:jc w:val="left"/>
        <w:rPr>
          <w:color w:val="auto"/>
          <w:kern w:val="0"/>
          <w:szCs w:val="21"/>
          <w:highlight w:val="none"/>
        </w:rPr>
      </w:pPr>
      <w:bookmarkStart w:id="241" w:name="_Toc422322512"/>
      <w:bookmarkStart w:id="242" w:name="_Toc419045092"/>
      <w:r>
        <w:rPr>
          <w:rFonts w:ascii="宋体" w:hAnsi="宋体" w:cs="宋体"/>
          <w:bCs/>
          <w:smallCaps/>
          <w:color w:val="auto"/>
          <w:kern w:val="28"/>
          <w:sz w:val="24"/>
          <w:highlight w:val="none"/>
        </w:rPr>
        <w:t>7.1协商</w:t>
      </w:r>
      <w:bookmarkEnd w:id="241"/>
      <w:bookmarkEnd w:id="242"/>
      <w:r>
        <w:rPr>
          <w:color w:val="auto"/>
          <w:kern w:val="0"/>
          <w:sz w:val="24"/>
          <w:highlight w:val="none"/>
        </w:rPr>
        <w:br w:type="textWrapping"/>
      </w:r>
      <w:r>
        <w:rPr>
          <w:color w:val="auto"/>
          <w:kern w:val="0"/>
          <w:sz w:val="24"/>
          <w:highlight w:val="none"/>
        </w:rPr>
        <w:t>　　双方应本着诚</w:t>
      </w:r>
      <w:r>
        <w:rPr>
          <w:rFonts w:hint="eastAsia"/>
          <w:color w:val="auto"/>
          <w:kern w:val="0"/>
          <w:sz w:val="24"/>
          <w:highlight w:val="none"/>
        </w:rPr>
        <w:t>实</w:t>
      </w:r>
      <w:r>
        <w:rPr>
          <w:color w:val="auto"/>
          <w:kern w:val="0"/>
          <w:sz w:val="24"/>
          <w:highlight w:val="none"/>
        </w:rPr>
        <w:t>信</w:t>
      </w:r>
      <w:r>
        <w:rPr>
          <w:rFonts w:hint="eastAsia"/>
          <w:color w:val="auto"/>
          <w:kern w:val="0"/>
          <w:sz w:val="24"/>
          <w:highlight w:val="none"/>
        </w:rPr>
        <w:t>用的</w:t>
      </w:r>
      <w:r>
        <w:rPr>
          <w:color w:val="auto"/>
          <w:kern w:val="0"/>
          <w:sz w:val="24"/>
          <w:highlight w:val="none"/>
        </w:rPr>
        <w:t>原则协商解决</w:t>
      </w:r>
      <w:r>
        <w:rPr>
          <w:rFonts w:hint="eastAsia"/>
          <w:color w:val="auto"/>
          <w:kern w:val="0"/>
          <w:sz w:val="24"/>
          <w:highlight w:val="none"/>
        </w:rPr>
        <w:t>本合同履行过程中发生</w:t>
      </w:r>
      <w:r>
        <w:rPr>
          <w:color w:val="auto"/>
          <w:kern w:val="0"/>
          <w:sz w:val="24"/>
          <w:highlight w:val="none"/>
        </w:rPr>
        <w:t>的争议。</w:t>
      </w:r>
      <w:bookmarkStart w:id="243" w:name="37"/>
    </w:p>
    <w:p w14:paraId="3592075A">
      <w:pPr>
        <w:widowControl/>
        <w:spacing w:line="360" w:lineRule="auto"/>
        <w:ind w:firstLine="480" w:firstLineChars="200"/>
        <w:jc w:val="left"/>
        <w:rPr>
          <w:rFonts w:ascii="宋体" w:hAnsi="宋体"/>
          <w:b/>
          <w:bCs/>
          <w:color w:val="auto"/>
          <w:kern w:val="0"/>
          <w:sz w:val="24"/>
          <w:highlight w:val="none"/>
        </w:rPr>
      </w:pPr>
      <w:bookmarkStart w:id="244" w:name="_Toc419045093"/>
      <w:bookmarkStart w:id="245" w:name="_Toc422322513"/>
      <w:r>
        <w:rPr>
          <w:rFonts w:ascii="宋体" w:hAnsi="宋体" w:cs="宋体"/>
          <w:bCs/>
          <w:smallCaps/>
          <w:color w:val="auto"/>
          <w:kern w:val="28"/>
          <w:sz w:val="24"/>
          <w:highlight w:val="none"/>
        </w:rPr>
        <w:t>7.2</w:t>
      </w:r>
      <w:bookmarkEnd w:id="243"/>
      <w:r>
        <w:rPr>
          <w:rFonts w:ascii="宋体" w:hAnsi="宋体" w:cs="宋体"/>
          <w:bCs/>
          <w:smallCaps/>
          <w:color w:val="auto"/>
          <w:kern w:val="28"/>
          <w:sz w:val="24"/>
          <w:highlight w:val="none"/>
        </w:rPr>
        <w:t>调解</w:t>
      </w:r>
      <w:bookmarkEnd w:id="244"/>
      <w:bookmarkEnd w:id="245"/>
      <w:r>
        <w:rPr>
          <w:color w:val="auto"/>
          <w:kern w:val="0"/>
          <w:sz w:val="24"/>
          <w:highlight w:val="none"/>
        </w:rPr>
        <w:br w:type="textWrapping"/>
      </w:r>
      <w:r>
        <w:rPr>
          <w:color w:val="auto"/>
          <w:kern w:val="0"/>
          <w:sz w:val="24"/>
          <w:highlight w:val="none"/>
        </w:rPr>
        <w:t>　　如果双方不能在14</w:t>
      </w:r>
      <w:r>
        <w:rPr>
          <w:rFonts w:hint="eastAsia"/>
          <w:color w:val="auto"/>
          <w:kern w:val="0"/>
          <w:sz w:val="24"/>
          <w:highlight w:val="none"/>
        </w:rPr>
        <w:t>日</w:t>
      </w:r>
      <w:r>
        <w:rPr>
          <w:color w:val="auto"/>
          <w:kern w:val="0"/>
          <w:sz w:val="24"/>
          <w:highlight w:val="none"/>
        </w:rPr>
        <w:t>内或双方商定的其他时间内解决本合同争议，可以将其提交给专用条件约定的或事后达成协议的调解人进行调解。</w:t>
      </w:r>
    </w:p>
    <w:p w14:paraId="1BB53AB2">
      <w:pPr>
        <w:widowControl/>
        <w:spacing w:line="360" w:lineRule="auto"/>
        <w:ind w:firstLine="480" w:firstLineChars="200"/>
        <w:jc w:val="left"/>
        <w:rPr>
          <w:rFonts w:ascii="宋体" w:hAnsi="宋体" w:cs="宋体"/>
          <w:color w:val="auto"/>
          <w:kern w:val="0"/>
          <w:sz w:val="24"/>
          <w:highlight w:val="none"/>
        </w:rPr>
      </w:pPr>
      <w:bookmarkStart w:id="246" w:name="38"/>
      <w:bookmarkStart w:id="247" w:name="_Toc422322514"/>
      <w:bookmarkStart w:id="248" w:name="_Toc419045094"/>
      <w:r>
        <w:rPr>
          <w:rFonts w:ascii="宋体" w:hAnsi="宋体" w:cs="宋体"/>
          <w:bCs/>
          <w:smallCaps/>
          <w:color w:val="auto"/>
          <w:kern w:val="28"/>
          <w:sz w:val="24"/>
          <w:highlight w:val="none"/>
        </w:rPr>
        <w:t>7.</w:t>
      </w:r>
      <w:bookmarkEnd w:id="246"/>
      <w:r>
        <w:rPr>
          <w:rFonts w:ascii="宋体" w:hAnsi="宋体" w:cs="宋体"/>
          <w:bCs/>
          <w:smallCaps/>
          <w:color w:val="auto"/>
          <w:kern w:val="28"/>
          <w:sz w:val="24"/>
          <w:highlight w:val="none"/>
        </w:rPr>
        <w:t>3仲裁或诉讼</w:t>
      </w:r>
      <w:bookmarkEnd w:id="247"/>
      <w:bookmarkEnd w:id="248"/>
      <w:r>
        <w:rPr>
          <w:rFonts w:ascii="宋体" w:hAnsi="宋体" w:cs="宋体"/>
          <w:color w:val="auto"/>
          <w:kern w:val="0"/>
          <w:sz w:val="24"/>
          <w:highlight w:val="none"/>
        </w:rPr>
        <w:br w:type="textWrapping"/>
      </w:r>
      <w:r>
        <w:rPr>
          <w:rFonts w:ascii="宋体" w:hAnsi="宋体" w:cs="宋体"/>
          <w:color w:val="auto"/>
          <w:kern w:val="0"/>
          <w:sz w:val="24"/>
          <w:highlight w:val="none"/>
        </w:rPr>
        <w:t>　　双方均有权不经调解直接向专用条件约定的仲裁机构申请仲裁或向有管辖权的人民法院提起诉讼。</w:t>
      </w:r>
    </w:p>
    <w:p w14:paraId="19A17210">
      <w:pPr>
        <w:widowControl/>
        <w:spacing w:line="360" w:lineRule="auto"/>
        <w:ind w:firstLine="482" w:firstLineChars="200"/>
        <w:jc w:val="left"/>
        <w:rPr>
          <w:rFonts w:ascii="宋体" w:hAnsi="宋体" w:cs="宋体"/>
          <w:b/>
          <w:bCs/>
          <w:color w:val="auto"/>
          <w:kern w:val="0"/>
          <w:sz w:val="24"/>
          <w:highlight w:val="none"/>
        </w:rPr>
      </w:pPr>
      <w:bookmarkStart w:id="249" w:name="_Toc419045095"/>
      <w:bookmarkStart w:id="250" w:name="_Toc422322515"/>
      <w:r>
        <w:rPr>
          <w:rFonts w:hint="eastAsia" w:ascii="宋体" w:hAnsi="宋体" w:cs="宋体"/>
          <w:b/>
          <w:bCs/>
          <w:color w:val="auto"/>
          <w:kern w:val="0"/>
          <w:sz w:val="24"/>
          <w:highlight w:val="none"/>
        </w:rPr>
        <w:t>8.其他</w:t>
      </w:r>
      <w:bookmarkEnd w:id="249"/>
      <w:bookmarkEnd w:id="250"/>
    </w:p>
    <w:p w14:paraId="5C6139DE">
      <w:pPr>
        <w:widowControl/>
        <w:spacing w:before="60" w:after="60" w:line="312" w:lineRule="auto"/>
        <w:ind w:firstLine="480" w:firstLineChars="200"/>
        <w:jc w:val="left"/>
        <w:outlineLvl w:val="1"/>
        <w:rPr>
          <w:rFonts w:ascii="宋体" w:hAnsi="宋体"/>
          <w:bCs/>
          <w:color w:val="auto"/>
          <w:kern w:val="28"/>
          <w:sz w:val="24"/>
          <w:highlight w:val="none"/>
        </w:rPr>
      </w:pPr>
      <w:bookmarkStart w:id="251" w:name="39"/>
      <w:bookmarkStart w:id="252" w:name="_Toc422322516"/>
      <w:bookmarkStart w:id="253" w:name="_Toc419045096"/>
      <w:r>
        <w:rPr>
          <w:rFonts w:hint="eastAsia" w:ascii="宋体" w:hAnsi="宋体"/>
          <w:bCs/>
          <w:smallCaps/>
          <w:color w:val="auto"/>
          <w:kern w:val="28"/>
          <w:sz w:val="24"/>
          <w:highlight w:val="none"/>
        </w:rPr>
        <w:t>8.1</w:t>
      </w:r>
      <w:bookmarkEnd w:id="251"/>
      <w:r>
        <w:rPr>
          <w:rFonts w:ascii="宋体" w:hAnsi="宋体"/>
          <w:bCs/>
          <w:color w:val="auto"/>
          <w:kern w:val="28"/>
          <w:sz w:val="24"/>
          <w:highlight w:val="none"/>
        </w:rPr>
        <w:t>考察</w:t>
      </w:r>
      <w:r>
        <w:rPr>
          <w:rFonts w:hint="eastAsia" w:ascii="宋体" w:hAnsi="宋体"/>
          <w:bCs/>
          <w:color w:val="auto"/>
          <w:kern w:val="28"/>
          <w:sz w:val="24"/>
          <w:highlight w:val="none"/>
        </w:rPr>
        <w:t>及相关</w:t>
      </w:r>
      <w:r>
        <w:rPr>
          <w:rFonts w:ascii="宋体" w:hAnsi="宋体"/>
          <w:bCs/>
          <w:color w:val="auto"/>
          <w:kern w:val="28"/>
          <w:sz w:val="24"/>
          <w:highlight w:val="none"/>
        </w:rPr>
        <w:t>费用</w:t>
      </w:r>
      <w:bookmarkEnd w:id="252"/>
      <w:bookmarkEnd w:id="253"/>
    </w:p>
    <w:p w14:paraId="589AAF0E">
      <w:pPr>
        <w:widowControl/>
        <w:spacing w:line="360" w:lineRule="auto"/>
        <w:ind w:firstLine="480" w:firstLineChars="200"/>
        <w:jc w:val="left"/>
        <w:rPr>
          <w:rFonts w:ascii="宋体" w:hAnsi="宋体"/>
          <w:bCs/>
          <w:color w:val="auto"/>
          <w:kern w:val="28"/>
          <w:sz w:val="24"/>
          <w:highlight w:val="none"/>
        </w:rPr>
      </w:pPr>
      <w:r>
        <w:rPr>
          <w:rFonts w:hint="eastAsia" w:ascii="宋体" w:hAnsi="宋体" w:cs="宋体"/>
          <w:color w:val="auto"/>
          <w:kern w:val="0"/>
          <w:sz w:val="24"/>
          <w:highlight w:val="none"/>
        </w:rPr>
        <w:t>除专用条件另有约定外，咨询人经委托人同意进行考察发生的费用由委托人审核后另行支付。差旅费及相关费用的承担由双方在专用条件中约定。</w:t>
      </w:r>
    </w:p>
    <w:p w14:paraId="5EC89920">
      <w:pPr>
        <w:widowControl/>
        <w:spacing w:before="60" w:after="60" w:line="312" w:lineRule="auto"/>
        <w:ind w:firstLine="480" w:firstLineChars="200"/>
        <w:jc w:val="left"/>
        <w:outlineLvl w:val="1"/>
        <w:rPr>
          <w:rFonts w:ascii="宋体" w:hAnsi="宋体"/>
          <w:bCs/>
          <w:color w:val="auto"/>
          <w:kern w:val="28"/>
          <w:sz w:val="24"/>
          <w:highlight w:val="none"/>
        </w:rPr>
      </w:pPr>
      <w:bookmarkStart w:id="254" w:name="_Toc422322517"/>
      <w:r>
        <w:rPr>
          <w:rFonts w:hint="eastAsia" w:ascii="宋体" w:hAnsi="宋体"/>
          <w:bCs/>
          <w:color w:val="auto"/>
          <w:kern w:val="28"/>
          <w:sz w:val="24"/>
          <w:highlight w:val="none"/>
        </w:rPr>
        <w:t>8.2奖励</w:t>
      </w:r>
      <w:bookmarkEnd w:id="254"/>
    </w:p>
    <w:p w14:paraId="36ABC76E">
      <w:pPr>
        <w:widowControl/>
        <w:spacing w:line="360" w:lineRule="auto"/>
        <w:ind w:firstLine="480" w:firstLineChars="200"/>
        <w:jc w:val="left"/>
        <w:rPr>
          <w:rFonts w:ascii="宋体" w:hAnsi="宋体"/>
          <w:bCs/>
          <w:color w:val="auto"/>
          <w:kern w:val="28"/>
          <w:sz w:val="24"/>
          <w:highlight w:val="none"/>
        </w:rPr>
      </w:pPr>
      <w:r>
        <w:rPr>
          <w:rFonts w:hint="eastAsia" w:ascii="宋体" w:hAnsi="宋体" w:cs="宋体"/>
          <w:color w:val="auto"/>
          <w:kern w:val="0"/>
          <w:sz w:val="24"/>
          <w:highlight w:val="none"/>
        </w:rPr>
        <w:t>对于咨询</w:t>
      </w:r>
      <w:r>
        <w:rPr>
          <w:rFonts w:ascii="宋体" w:hAnsi="宋体" w:cs="宋体"/>
          <w:color w:val="auto"/>
          <w:kern w:val="0"/>
          <w:sz w:val="24"/>
          <w:highlight w:val="none"/>
        </w:rPr>
        <w:t>人在服务过程中提出合理化建议，使委托人获得效益的，双方在专用条件中约定奖励金额的确定方法。奖励金额在合理化建议被采纳后，与最近一期的正常工作酬金同期支付。</w:t>
      </w:r>
    </w:p>
    <w:p w14:paraId="2678FA15">
      <w:pPr>
        <w:widowControl/>
        <w:spacing w:before="60" w:after="60" w:line="312" w:lineRule="auto"/>
        <w:ind w:firstLine="480" w:firstLineChars="200"/>
        <w:jc w:val="left"/>
        <w:outlineLvl w:val="1"/>
        <w:rPr>
          <w:rFonts w:ascii="宋体" w:hAnsi="宋体"/>
          <w:bCs/>
          <w:color w:val="auto"/>
          <w:kern w:val="28"/>
          <w:sz w:val="24"/>
          <w:highlight w:val="none"/>
        </w:rPr>
      </w:pPr>
      <w:bookmarkStart w:id="255" w:name="_Toc422322518"/>
      <w:r>
        <w:rPr>
          <w:rFonts w:hint="eastAsia" w:ascii="宋体" w:hAnsi="宋体"/>
          <w:bCs/>
          <w:color w:val="auto"/>
          <w:kern w:val="28"/>
          <w:sz w:val="24"/>
          <w:highlight w:val="none"/>
        </w:rPr>
        <w:t>8.3保密</w:t>
      </w:r>
      <w:bookmarkEnd w:id="255"/>
    </w:p>
    <w:p w14:paraId="77DDF890">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在本合同履行期间或专用条件约定的期限内，</w:t>
      </w:r>
      <w:r>
        <w:rPr>
          <w:rFonts w:ascii="宋体" w:hAnsi="宋体" w:cs="宋体"/>
          <w:color w:val="auto"/>
          <w:kern w:val="0"/>
          <w:sz w:val="24"/>
          <w:highlight w:val="none"/>
        </w:rPr>
        <w:t>双方不得泄露对方申明的保密资料，亦不得泄露与实施工程有关的第三</w:t>
      </w:r>
      <w:r>
        <w:rPr>
          <w:rFonts w:hint="eastAsia" w:ascii="宋体" w:hAnsi="宋体" w:cs="宋体"/>
          <w:color w:val="auto"/>
          <w:kern w:val="0"/>
          <w:sz w:val="24"/>
          <w:highlight w:val="none"/>
        </w:rPr>
        <w:t>人</w:t>
      </w:r>
      <w:r>
        <w:rPr>
          <w:rFonts w:ascii="宋体" w:hAnsi="宋体" w:cs="宋体"/>
          <w:color w:val="auto"/>
          <w:kern w:val="0"/>
          <w:sz w:val="24"/>
          <w:highlight w:val="none"/>
        </w:rPr>
        <w:t>所提供的保密资料</w:t>
      </w:r>
      <w:r>
        <w:rPr>
          <w:rFonts w:hint="eastAsia" w:ascii="宋体" w:hAnsi="宋体" w:cs="宋体"/>
          <w:color w:val="auto"/>
          <w:kern w:val="0"/>
          <w:sz w:val="24"/>
          <w:highlight w:val="none"/>
        </w:rPr>
        <w:t>。</w:t>
      </w:r>
      <w:r>
        <w:rPr>
          <w:rFonts w:ascii="宋体" w:hAnsi="宋体" w:cs="宋体"/>
          <w:color w:val="auto"/>
          <w:kern w:val="0"/>
          <w:sz w:val="24"/>
          <w:highlight w:val="none"/>
        </w:rPr>
        <w:t>保密事项在专用条件中约定。</w:t>
      </w:r>
    </w:p>
    <w:p w14:paraId="480CC7A5">
      <w:pPr>
        <w:widowControl/>
        <w:spacing w:line="360" w:lineRule="auto"/>
        <w:jc w:val="left"/>
        <w:rPr>
          <w:rFonts w:ascii="宋体" w:hAnsi="宋体" w:cs="宋体"/>
          <w:b/>
          <w:color w:val="auto"/>
          <w:kern w:val="0"/>
          <w:sz w:val="24"/>
          <w:highlight w:val="none"/>
        </w:rPr>
      </w:pPr>
      <w:r>
        <w:rPr>
          <w:rFonts w:hint="eastAsia" w:ascii="宋体" w:hAnsi="宋体" w:cs="宋体"/>
          <w:bCs/>
          <w:smallCaps/>
          <w:color w:val="auto"/>
          <w:kern w:val="0"/>
          <w:sz w:val="24"/>
          <w:highlight w:val="none"/>
        </w:rPr>
        <w:t xml:space="preserve">　　 </w:t>
      </w:r>
      <w:bookmarkStart w:id="256" w:name="_Toc419045097"/>
      <w:bookmarkStart w:id="257" w:name="_Toc422322519"/>
      <w:r>
        <w:rPr>
          <w:rFonts w:hint="eastAsia" w:ascii="宋体" w:hAnsi="宋体"/>
          <w:bCs/>
          <w:color w:val="auto"/>
          <w:kern w:val="28"/>
          <w:sz w:val="24"/>
          <w:highlight w:val="none"/>
        </w:rPr>
        <w:t>8.4</w:t>
      </w:r>
      <w:bookmarkEnd w:id="256"/>
      <w:r>
        <w:rPr>
          <w:rFonts w:hint="eastAsia" w:ascii="宋体" w:hAnsi="宋体"/>
          <w:bCs/>
          <w:color w:val="auto"/>
          <w:kern w:val="28"/>
          <w:sz w:val="24"/>
          <w:highlight w:val="none"/>
        </w:rPr>
        <w:t>联络</w:t>
      </w:r>
      <w:bookmarkEnd w:id="257"/>
    </w:p>
    <w:p w14:paraId="041C293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8.4.1与合同有关的通知、指示、要求、决定等，均应采用书面形式，并应在专用条件约定的期限内送达接收人和送达地点。</w:t>
      </w:r>
    </w:p>
    <w:p w14:paraId="66541C7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8.4.2委托人和咨询人应在专用条件中约定各自的送达接收人、送达地点、电子邮箱。任何一方指定的接收人或送达地点或电子邮箱发生变动的，应提前3天以书面形式通知对方，否则视为未发生变动。</w:t>
      </w:r>
    </w:p>
    <w:p w14:paraId="670FEB0D">
      <w:pPr>
        <w:widowControl/>
        <w:tabs>
          <w:tab w:val="left" w:pos="5085"/>
        </w:tabs>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8.4.3委托人和咨询人应当及时签收另一方送达至送达地点和指定接收人的往来函件，如确有充分证据证明一方无正当理由拒不签收的，视为认可往来函件的内容。</w:t>
      </w:r>
    </w:p>
    <w:p w14:paraId="0B5D8432">
      <w:pPr>
        <w:widowControl/>
        <w:spacing w:before="60" w:after="60" w:line="312" w:lineRule="auto"/>
        <w:ind w:firstLine="480" w:firstLineChars="200"/>
        <w:jc w:val="left"/>
        <w:outlineLvl w:val="1"/>
        <w:rPr>
          <w:rFonts w:ascii="宋体" w:hAnsi="宋体"/>
          <w:bCs/>
          <w:color w:val="auto"/>
          <w:kern w:val="28"/>
          <w:sz w:val="24"/>
          <w:highlight w:val="none"/>
        </w:rPr>
      </w:pPr>
      <w:bookmarkStart w:id="258" w:name="_Toc422322520"/>
      <w:r>
        <w:rPr>
          <w:rFonts w:hint="eastAsia" w:ascii="宋体" w:hAnsi="宋体"/>
          <w:bCs/>
          <w:color w:val="auto"/>
          <w:kern w:val="28"/>
          <w:sz w:val="24"/>
          <w:highlight w:val="none"/>
        </w:rPr>
        <w:t>8.5知识产权</w:t>
      </w:r>
      <w:bookmarkEnd w:id="258"/>
    </w:p>
    <w:p w14:paraId="60EE3291">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除专用条件另有约定外，委托人提供给咨询人的图纸、委托人为实施工程自行编制或委托编制的技术规范以及反映委托人要求的或其他类似性质文件的著作权属于委托人，咨询人可以为实现本合同目的而复制或者以其他方式使用此类文件，但不能用于与本合同无关的其他事项。未经委托人书面同意，咨询人不得为了本合同以外的目的而复制或者以其他方式使用上述文件或将之提供给任何第三方。</w:t>
      </w:r>
    </w:p>
    <w:p w14:paraId="7BD3CE7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除专用条件另有约定外，</w:t>
      </w:r>
      <w:r>
        <w:rPr>
          <w:rFonts w:ascii="宋体" w:hAnsi="宋体" w:cs="宋体"/>
          <w:color w:val="auto"/>
          <w:kern w:val="0"/>
          <w:sz w:val="24"/>
          <w:highlight w:val="none"/>
        </w:rPr>
        <w:t>咨询人为履行本合同约定而编制的</w:t>
      </w:r>
      <w:r>
        <w:rPr>
          <w:rFonts w:hint="eastAsia" w:ascii="宋体" w:hAnsi="宋体" w:cs="宋体"/>
          <w:color w:val="auto"/>
          <w:kern w:val="0"/>
          <w:sz w:val="24"/>
          <w:highlight w:val="none"/>
        </w:rPr>
        <w:t>成果</w:t>
      </w:r>
      <w:r>
        <w:rPr>
          <w:rFonts w:ascii="宋体" w:hAnsi="宋体" w:cs="宋体"/>
          <w:color w:val="auto"/>
          <w:kern w:val="0"/>
          <w:sz w:val="24"/>
          <w:highlight w:val="none"/>
        </w:rPr>
        <w:t>文件</w:t>
      </w:r>
      <w:r>
        <w:rPr>
          <w:rFonts w:hint="eastAsia" w:ascii="宋体" w:hAnsi="宋体" w:cs="宋体"/>
          <w:color w:val="auto"/>
          <w:kern w:val="0"/>
          <w:sz w:val="24"/>
          <w:highlight w:val="none"/>
        </w:rPr>
        <w:t>，其</w:t>
      </w:r>
      <w:r>
        <w:rPr>
          <w:rFonts w:ascii="宋体" w:hAnsi="宋体" w:cs="宋体"/>
          <w:color w:val="auto"/>
          <w:kern w:val="0"/>
          <w:sz w:val="24"/>
          <w:highlight w:val="none"/>
        </w:rPr>
        <w:t>著作权属于</w:t>
      </w:r>
      <w:r>
        <w:rPr>
          <w:rFonts w:hint="eastAsia" w:ascii="宋体" w:hAnsi="宋体" w:cs="宋体"/>
          <w:color w:val="auto"/>
          <w:kern w:val="0"/>
          <w:sz w:val="24"/>
          <w:highlight w:val="none"/>
        </w:rPr>
        <w:t>咨询</w:t>
      </w:r>
      <w:r>
        <w:rPr>
          <w:rFonts w:ascii="宋体" w:hAnsi="宋体" w:cs="宋体"/>
          <w:color w:val="auto"/>
          <w:kern w:val="0"/>
          <w:sz w:val="24"/>
          <w:highlight w:val="none"/>
        </w:rPr>
        <w:t>人。</w:t>
      </w:r>
      <w:r>
        <w:rPr>
          <w:rFonts w:hint="eastAsia" w:ascii="宋体" w:hAnsi="宋体" w:cs="宋体"/>
          <w:color w:val="auto"/>
          <w:kern w:val="0"/>
          <w:sz w:val="24"/>
          <w:highlight w:val="none"/>
        </w:rPr>
        <w:t>委托</w:t>
      </w:r>
      <w:r>
        <w:rPr>
          <w:rFonts w:ascii="宋体" w:hAnsi="宋体" w:cs="宋体"/>
          <w:color w:val="auto"/>
          <w:kern w:val="0"/>
          <w:sz w:val="24"/>
          <w:highlight w:val="none"/>
        </w:rPr>
        <w:t>人可</w:t>
      </w:r>
      <w:r>
        <w:rPr>
          <w:rFonts w:hint="eastAsia" w:ascii="宋体" w:hAnsi="宋体" w:cs="宋体"/>
          <w:color w:val="auto"/>
          <w:kern w:val="0"/>
          <w:sz w:val="24"/>
          <w:highlight w:val="none"/>
        </w:rPr>
        <w:t>以为实现合同</w:t>
      </w:r>
      <w:r>
        <w:rPr>
          <w:rFonts w:ascii="宋体" w:hAnsi="宋体" w:cs="宋体"/>
          <w:color w:val="auto"/>
          <w:kern w:val="0"/>
          <w:sz w:val="24"/>
          <w:highlight w:val="none"/>
        </w:rPr>
        <w:t>目的而复制、使用此类文件，但不能</w:t>
      </w:r>
      <w:r>
        <w:rPr>
          <w:rFonts w:hint="eastAsia" w:ascii="宋体" w:hAnsi="宋体" w:cs="宋体"/>
          <w:color w:val="auto"/>
          <w:kern w:val="0"/>
          <w:sz w:val="24"/>
          <w:highlight w:val="none"/>
        </w:rPr>
        <w:t>擅自修改或</w:t>
      </w:r>
      <w:r>
        <w:rPr>
          <w:rFonts w:ascii="宋体" w:hAnsi="宋体" w:cs="宋体"/>
          <w:color w:val="auto"/>
          <w:kern w:val="0"/>
          <w:sz w:val="24"/>
          <w:highlight w:val="none"/>
        </w:rPr>
        <w:t>用于与</w:t>
      </w:r>
      <w:r>
        <w:rPr>
          <w:rFonts w:hint="eastAsia" w:ascii="宋体" w:hAnsi="宋体" w:cs="宋体"/>
          <w:color w:val="auto"/>
          <w:kern w:val="0"/>
          <w:sz w:val="24"/>
          <w:highlight w:val="none"/>
        </w:rPr>
        <w:t>本</w:t>
      </w:r>
      <w:r>
        <w:rPr>
          <w:rFonts w:ascii="宋体" w:hAnsi="宋体" w:cs="宋体"/>
          <w:color w:val="auto"/>
          <w:kern w:val="0"/>
          <w:sz w:val="24"/>
          <w:highlight w:val="none"/>
        </w:rPr>
        <w:t>合同无关的其他事项。未经</w:t>
      </w:r>
      <w:r>
        <w:rPr>
          <w:rFonts w:hint="eastAsia" w:ascii="宋体" w:hAnsi="宋体" w:cs="宋体"/>
          <w:color w:val="auto"/>
          <w:kern w:val="0"/>
          <w:sz w:val="24"/>
          <w:highlight w:val="none"/>
        </w:rPr>
        <w:t>咨询</w:t>
      </w:r>
      <w:r>
        <w:rPr>
          <w:rFonts w:ascii="宋体" w:hAnsi="宋体" w:cs="宋体"/>
          <w:color w:val="auto"/>
          <w:kern w:val="0"/>
          <w:sz w:val="24"/>
          <w:highlight w:val="none"/>
        </w:rPr>
        <w:t>人书面同意，</w:t>
      </w:r>
      <w:r>
        <w:rPr>
          <w:rFonts w:hint="eastAsia" w:ascii="宋体" w:hAnsi="宋体" w:cs="宋体"/>
          <w:color w:val="auto"/>
          <w:kern w:val="0"/>
          <w:sz w:val="24"/>
          <w:highlight w:val="none"/>
        </w:rPr>
        <w:t>委托</w:t>
      </w:r>
      <w:r>
        <w:rPr>
          <w:rFonts w:ascii="宋体" w:hAnsi="宋体" w:cs="宋体"/>
          <w:color w:val="auto"/>
          <w:kern w:val="0"/>
          <w:sz w:val="24"/>
          <w:highlight w:val="none"/>
        </w:rPr>
        <w:t>人不得为了</w:t>
      </w:r>
      <w:r>
        <w:rPr>
          <w:rFonts w:hint="eastAsia" w:ascii="宋体" w:hAnsi="宋体" w:cs="宋体"/>
          <w:color w:val="auto"/>
          <w:kern w:val="0"/>
          <w:sz w:val="24"/>
          <w:highlight w:val="none"/>
        </w:rPr>
        <w:t>本</w:t>
      </w:r>
      <w:r>
        <w:rPr>
          <w:rFonts w:ascii="宋体" w:hAnsi="宋体" w:cs="宋体"/>
          <w:color w:val="auto"/>
          <w:kern w:val="0"/>
          <w:sz w:val="24"/>
          <w:highlight w:val="none"/>
        </w:rPr>
        <w:t>合同以外的目的而复制</w:t>
      </w:r>
      <w:r>
        <w:rPr>
          <w:rFonts w:hint="eastAsia" w:ascii="宋体" w:hAnsi="宋体" w:cs="宋体"/>
          <w:color w:val="auto"/>
          <w:kern w:val="0"/>
          <w:sz w:val="24"/>
          <w:highlight w:val="none"/>
        </w:rPr>
        <w:t>或者以其他方式</w:t>
      </w:r>
      <w:r>
        <w:rPr>
          <w:rFonts w:ascii="宋体" w:hAnsi="宋体" w:cs="宋体"/>
          <w:color w:val="auto"/>
          <w:kern w:val="0"/>
          <w:sz w:val="24"/>
          <w:highlight w:val="none"/>
        </w:rPr>
        <w:t>使用上述文件或将之提供给任何第三方。</w:t>
      </w:r>
    </w:p>
    <w:p w14:paraId="5BCE7527">
      <w:pPr>
        <w:widowControl/>
        <w:autoSpaceDE w:val="0"/>
        <w:autoSpaceDN w:val="0"/>
        <w:adjustRightIn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双方</w:t>
      </w:r>
      <w:r>
        <w:rPr>
          <w:rFonts w:ascii="宋体" w:hAnsi="宋体" w:cs="宋体"/>
          <w:color w:val="auto"/>
          <w:kern w:val="0"/>
          <w:sz w:val="24"/>
          <w:highlight w:val="none"/>
        </w:rPr>
        <w:t>保证在履行</w:t>
      </w:r>
      <w:r>
        <w:rPr>
          <w:rFonts w:hint="eastAsia" w:ascii="宋体" w:hAnsi="宋体" w:cs="宋体"/>
          <w:color w:val="auto"/>
          <w:kern w:val="0"/>
          <w:sz w:val="24"/>
          <w:highlight w:val="none"/>
        </w:rPr>
        <w:t>本</w:t>
      </w:r>
      <w:r>
        <w:rPr>
          <w:rFonts w:ascii="宋体" w:hAnsi="宋体" w:cs="宋体"/>
          <w:color w:val="auto"/>
          <w:kern w:val="0"/>
          <w:sz w:val="24"/>
          <w:highlight w:val="none"/>
        </w:rPr>
        <w:t>合同过程中不侵犯对方及第三方的知识产权。</w:t>
      </w:r>
      <w:r>
        <w:rPr>
          <w:rFonts w:hint="eastAsia" w:ascii="宋体" w:hAnsi="宋体" w:cs="宋体"/>
          <w:color w:val="auto"/>
          <w:kern w:val="0"/>
          <w:sz w:val="24"/>
          <w:highlight w:val="none"/>
        </w:rPr>
        <w:t>因咨询人</w:t>
      </w:r>
      <w:r>
        <w:rPr>
          <w:rFonts w:ascii="宋体" w:hAnsi="宋体" w:cs="宋体"/>
          <w:color w:val="auto"/>
          <w:kern w:val="0"/>
          <w:sz w:val="24"/>
          <w:highlight w:val="none"/>
        </w:rPr>
        <w:t>侵犯他人知识产权所引起的责任，由</w:t>
      </w:r>
      <w:r>
        <w:rPr>
          <w:rFonts w:hint="eastAsia" w:ascii="宋体" w:hAnsi="宋体" w:cs="宋体"/>
          <w:color w:val="auto"/>
          <w:kern w:val="0"/>
          <w:sz w:val="24"/>
          <w:highlight w:val="none"/>
        </w:rPr>
        <w:t>咨询</w:t>
      </w:r>
      <w:r>
        <w:rPr>
          <w:rFonts w:ascii="宋体" w:hAnsi="宋体" w:cs="宋体"/>
          <w:color w:val="auto"/>
          <w:kern w:val="0"/>
          <w:sz w:val="24"/>
          <w:highlight w:val="none"/>
        </w:rPr>
        <w:t>人承担；因</w:t>
      </w:r>
      <w:r>
        <w:rPr>
          <w:rFonts w:hint="eastAsia" w:ascii="宋体" w:hAnsi="宋体" w:cs="宋体"/>
          <w:color w:val="auto"/>
          <w:kern w:val="0"/>
          <w:sz w:val="24"/>
          <w:highlight w:val="none"/>
        </w:rPr>
        <w:t>委托</w:t>
      </w:r>
      <w:r>
        <w:rPr>
          <w:rFonts w:ascii="宋体" w:hAnsi="宋体" w:cs="宋体"/>
          <w:color w:val="auto"/>
          <w:kern w:val="0"/>
          <w:sz w:val="24"/>
          <w:highlight w:val="none"/>
        </w:rPr>
        <w:t>人提供的</w:t>
      </w:r>
      <w:r>
        <w:rPr>
          <w:rFonts w:hint="eastAsia" w:ascii="宋体" w:hAnsi="宋体" w:cs="宋体"/>
          <w:color w:val="auto"/>
          <w:kern w:val="0"/>
          <w:sz w:val="24"/>
          <w:highlight w:val="none"/>
        </w:rPr>
        <w:t>基础资料</w:t>
      </w:r>
      <w:r>
        <w:rPr>
          <w:rFonts w:ascii="宋体" w:hAnsi="宋体" w:cs="宋体"/>
          <w:color w:val="auto"/>
          <w:kern w:val="0"/>
          <w:sz w:val="24"/>
          <w:highlight w:val="none"/>
        </w:rPr>
        <w:t>导致侵权的，由</w:t>
      </w:r>
      <w:r>
        <w:rPr>
          <w:rFonts w:hint="eastAsia" w:ascii="宋体" w:hAnsi="宋体" w:cs="宋体"/>
          <w:color w:val="auto"/>
          <w:kern w:val="0"/>
          <w:sz w:val="24"/>
          <w:highlight w:val="none"/>
        </w:rPr>
        <w:t>委托</w:t>
      </w:r>
      <w:r>
        <w:rPr>
          <w:rFonts w:ascii="宋体" w:hAnsi="宋体" w:cs="宋体"/>
          <w:color w:val="auto"/>
          <w:kern w:val="0"/>
          <w:sz w:val="24"/>
          <w:highlight w:val="none"/>
        </w:rPr>
        <w:t>人承担责任。</w:t>
      </w:r>
    </w:p>
    <w:p w14:paraId="428B70B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除专用条件另有约定外，双方均有权在履行本合同保密义务并且不损害对方利益的情况下，将履行本合同形成的有关成果文件用于企业宣传、申报奖项以及接受上级主管部门的检查。</w:t>
      </w:r>
    </w:p>
    <w:p w14:paraId="55EE307C">
      <w:pPr>
        <w:widowControl/>
        <w:spacing w:line="360" w:lineRule="auto"/>
        <w:ind w:firstLine="480" w:firstLineChars="200"/>
        <w:jc w:val="left"/>
        <w:rPr>
          <w:rFonts w:ascii="宋体" w:hAnsi="宋体" w:cs="宋体"/>
          <w:color w:val="auto"/>
          <w:kern w:val="0"/>
          <w:sz w:val="24"/>
          <w:highlight w:val="none"/>
        </w:rPr>
      </w:pPr>
      <w:r>
        <w:rPr>
          <w:rFonts w:ascii="宋体" w:hAnsi="宋体" w:cs="宋体"/>
          <w:color w:val="auto"/>
          <w:kern w:val="0"/>
          <w:sz w:val="24"/>
          <w:highlight w:val="none"/>
        </w:rPr>
        <w:t>　　</w:t>
      </w:r>
    </w:p>
    <w:p w14:paraId="7A5F9DC4">
      <w:pPr>
        <w:widowControl/>
        <w:spacing w:line="360" w:lineRule="auto"/>
        <w:ind w:firstLine="480" w:firstLineChars="200"/>
        <w:jc w:val="left"/>
        <w:rPr>
          <w:rFonts w:ascii="宋体" w:hAnsi="宋体" w:cs="宋体"/>
          <w:color w:val="auto"/>
          <w:kern w:val="0"/>
          <w:sz w:val="24"/>
          <w:highlight w:val="none"/>
        </w:rPr>
      </w:pPr>
    </w:p>
    <w:p w14:paraId="652A3B5C">
      <w:pPr>
        <w:widowControl/>
        <w:spacing w:line="360" w:lineRule="auto"/>
        <w:ind w:firstLine="480" w:firstLineChars="200"/>
        <w:jc w:val="left"/>
        <w:rPr>
          <w:rFonts w:ascii="宋体" w:hAnsi="宋体" w:cs="宋体"/>
          <w:color w:val="auto"/>
          <w:kern w:val="0"/>
          <w:sz w:val="24"/>
          <w:highlight w:val="none"/>
        </w:rPr>
      </w:pPr>
    </w:p>
    <w:p w14:paraId="78C9B120">
      <w:pPr>
        <w:widowControl/>
        <w:spacing w:line="360" w:lineRule="auto"/>
        <w:ind w:firstLine="480" w:firstLineChars="200"/>
        <w:jc w:val="left"/>
        <w:rPr>
          <w:rFonts w:ascii="宋体" w:hAnsi="宋体" w:cs="宋体"/>
          <w:color w:val="auto"/>
          <w:kern w:val="0"/>
          <w:sz w:val="24"/>
          <w:highlight w:val="none"/>
        </w:rPr>
      </w:pPr>
    </w:p>
    <w:p w14:paraId="5AD3A8D8">
      <w:pPr>
        <w:widowControl/>
        <w:spacing w:line="360" w:lineRule="auto"/>
        <w:jc w:val="left"/>
        <w:rPr>
          <w:rFonts w:ascii="宋体" w:hAnsi="宋体" w:cs="宋体"/>
          <w:color w:val="auto"/>
          <w:kern w:val="0"/>
          <w:sz w:val="24"/>
          <w:highlight w:val="none"/>
        </w:rPr>
      </w:pPr>
    </w:p>
    <w:p w14:paraId="3C1CD17E">
      <w:pPr>
        <w:pStyle w:val="14"/>
        <w:rPr>
          <w:color w:val="auto"/>
          <w:highlight w:val="none"/>
        </w:rPr>
      </w:pPr>
    </w:p>
    <w:p w14:paraId="6BF8F965">
      <w:pPr>
        <w:rPr>
          <w:color w:val="auto"/>
          <w:highlight w:val="none"/>
        </w:rPr>
      </w:pPr>
    </w:p>
    <w:p w14:paraId="758B8344">
      <w:pPr>
        <w:pStyle w:val="14"/>
        <w:rPr>
          <w:color w:val="auto"/>
          <w:highlight w:val="none"/>
        </w:rPr>
      </w:pPr>
    </w:p>
    <w:p w14:paraId="79C5A1F3">
      <w:pPr>
        <w:rPr>
          <w:color w:val="auto"/>
          <w:highlight w:val="none"/>
        </w:rPr>
      </w:pPr>
    </w:p>
    <w:p w14:paraId="6277C862">
      <w:pPr>
        <w:keepNext/>
        <w:keepLines/>
        <w:widowControl/>
        <w:spacing w:before="340" w:after="120" w:line="578" w:lineRule="auto"/>
        <w:jc w:val="center"/>
        <w:outlineLvl w:val="0"/>
        <w:rPr>
          <w:rFonts w:ascii="宋体" w:hAnsi="宋体"/>
          <w:b/>
          <w:bCs/>
          <w:color w:val="auto"/>
          <w:kern w:val="44"/>
          <w:sz w:val="30"/>
          <w:szCs w:val="30"/>
          <w:highlight w:val="none"/>
        </w:rPr>
      </w:pPr>
      <w:bookmarkStart w:id="259" w:name="_Toc422322521"/>
      <w:bookmarkStart w:id="260" w:name="_Toc419045098"/>
      <w:r>
        <w:rPr>
          <w:rFonts w:hint="eastAsia" w:ascii="宋体" w:hAnsi="宋体"/>
          <w:b/>
          <w:bCs/>
          <w:color w:val="auto"/>
          <w:kern w:val="44"/>
          <w:sz w:val="30"/>
          <w:szCs w:val="30"/>
          <w:highlight w:val="none"/>
        </w:rPr>
        <w:br w:type="page"/>
      </w:r>
      <w:r>
        <w:rPr>
          <w:rFonts w:hint="eastAsia" w:ascii="宋体" w:hAnsi="宋体"/>
          <w:b/>
          <w:bCs/>
          <w:color w:val="auto"/>
          <w:kern w:val="44"/>
          <w:sz w:val="30"/>
          <w:szCs w:val="30"/>
          <w:highlight w:val="none"/>
        </w:rPr>
        <w:t>第三部分　专用条件</w:t>
      </w:r>
      <w:bookmarkEnd w:id="259"/>
      <w:bookmarkEnd w:id="260"/>
      <w:bookmarkStart w:id="261" w:name="45"/>
    </w:p>
    <w:bookmarkEnd w:id="261"/>
    <w:p w14:paraId="0CD1A3EA">
      <w:pPr>
        <w:widowControl/>
        <w:spacing w:line="360" w:lineRule="auto"/>
        <w:ind w:firstLine="482" w:firstLineChars="200"/>
        <w:jc w:val="left"/>
        <w:outlineLvl w:val="0"/>
        <w:rPr>
          <w:rFonts w:ascii="Cambria" w:hAnsi="Cambria"/>
          <w:b/>
          <w:bCs/>
          <w:color w:val="auto"/>
          <w:kern w:val="0"/>
          <w:sz w:val="24"/>
          <w:szCs w:val="32"/>
          <w:highlight w:val="none"/>
        </w:rPr>
      </w:pPr>
      <w:bookmarkStart w:id="262" w:name="_Toc419045099"/>
      <w:bookmarkStart w:id="263" w:name="_Toc422322522"/>
      <w:r>
        <w:rPr>
          <w:rFonts w:hint="eastAsia" w:ascii="Cambria" w:hAnsi="Cambria"/>
          <w:b/>
          <w:bCs/>
          <w:color w:val="auto"/>
          <w:kern w:val="0"/>
          <w:sz w:val="24"/>
          <w:szCs w:val="32"/>
          <w:highlight w:val="none"/>
        </w:rPr>
        <w:t>1.词语定义、语言、解释顺序与适用法律</w:t>
      </w:r>
      <w:bookmarkEnd w:id="262"/>
      <w:bookmarkEnd w:id="263"/>
    </w:p>
    <w:p w14:paraId="06F17B2B">
      <w:pPr>
        <w:widowControl/>
        <w:spacing w:line="360" w:lineRule="auto"/>
        <w:ind w:firstLine="468"/>
        <w:jc w:val="left"/>
        <w:rPr>
          <w:rFonts w:ascii="宋体" w:hAnsi="宋体"/>
          <w:bCs/>
          <w:color w:val="auto"/>
          <w:kern w:val="28"/>
          <w:sz w:val="24"/>
          <w:highlight w:val="none"/>
        </w:rPr>
      </w:pPr>
      <w:bookmarkStart w:id="264" w:name="_Toc419045101"/>
      <w:bookmarkStart w:id="265" w:name="_Toc422322524"/>
      <w:r>
        <w:rPr>
          <w:rFonts w:hint="eastAsia" w:ascii="宋体" w:hAnsi="宋体"/>
          <w:bCs/>
          <w:color w:val="auto"/>
          <w:kern w:val="28"/>
          <w:sz w:val="24"/>
          <w:highlight w:val="none"/>
        </w:rPr>
        <w:t>1.2 语言</w:t>
      </w:r>
      <w:bookmarkEnd w:id="264"/>
      <w:bookmarkEnd w:id="265"/>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本合同文件除使用中文外，还可用</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w:t>
      </w:r>
    </w:p>
    <w:p w14:paraId="7A031225">
      <w:pPr>
        <w:widowControl/>
        <w:spacing w:before="60" w:after="60" w:line="312" w:lineRule="auto"/>
        <w:ind w:firstLine="480" w:firstLineChars="200"/>
        <w:jc w:val="left"/>
        <w:outlineLvl w:val="1"/>
        <w:rPr>
          <w:rFonts w:ascii="宋体" w:hAnsi="宋体"/>
          <w:bCs/>
          <w:color w:val="auto"/>
          <w:kern w:val="28"/>
          <w:sz w:val="24"/>
          <w:highlight w:val="none"/>
        </w:rPr>
      </w:pPr>
      <w:bookmarkStart w:id="266" w:name="_Toc422322525"/>
      <w:r>
        <w:rPr>
          <w:rFonts w:hint="eastAsia" w:ascii="宋体" w:hAnsi="宋体"/>
          <w:bCs/>
          <w:color w:val="auto"/>
          <w:kern w:val="28"/>
          <w:sz w:val="24"/>
          <w:highlight w:val="none"/>
        </w:rPr>
        <w:t>1.3合同</w:t>
      </w:r>
      <w:r>
        <w:rPr>
          <w:rFonts w:ascii="宋体" w:hAnsi="宋体"/>
          <w:bCs/>
          <w:color w:val="auto"/>
          <w:kern w:val="28"/>
          <w:sz w:val="24"/>
          <w:highlight w:val="none"/>
        </w:rPr>
        <w:t>文件的</w:t>
      </w:r>
      <w:r>
        <w:rPr>
          <w:rFonts w:hint="eastAsia" w:ascii="宋体" w:hAnsi="宋体"/>
          <w:bCs/>
          <w:color w:val="auto"/>
          <w:kern w:val="28"/>
          <w:sz w:val="24"/>
          <w:highlight w:val="none"/>
        </w:rPr>
        <w:t>优先</w:t>
      </w:r>
      <w:r>
        <w:rPr>
          <w:rFonts w:ascii="宋体" w:hAnsi="宋体"/>
          <w:bCs/>
          <w:color w:val="auto"/>
          <w:kern w:val="28"/>
          <w:sz w:val="24"/>
          <w:highlight w:val="none"/>
        </w:rPr>
        <w:t>顺序</w:t>
      </w:r>
      <w:bookmarkEnd w:id="266"/>
    </w:p>
    <w:p w14:paraId="7E96F2ED">
      <w:pPr>
        <w:widowControl/>
        <w:spacing w:line="360" w:lineRule="auto"/>
        <w:ind w:firstLine="468"/>
        <w:jc w:val="left"/>
        <w:rPr>
          <w:rFonts w:ascii="宋体" w:hAnsi="宋体"/>
          <w:color w:val="auto"/>
          <w:kern w:val="0"/>
          <w:sz w:val="24"/>
          <w:highlight w:val="none"/>
        </w:rPr>
      </w:pPr>
      <w:r>
        <w:rPr>
          <w:rFonts w:hint="eastAsia" w:ascii="宋体" w:hAnsi="宋体"/>
          <w:color w:val="auto"/>
          <w:kern w:val="0"/>
          <w:sz w:val="24"/>
          <w:highlight w:val="none"/>
        </w:rPr>
        <w:t>本合同文件的解释顺序为：</w:t>
      </w:r>
      <w:r>
        <w:rPr>
          <w:rFonts w:hint="eastAsia" w:ascii="宋体" w:hAnsi="宋体"/>
          <w:color w:val="auto"/>
          <w:kern w:val="0"/>
          <w:sz w:val="24"/>
          <w:highlight w:val="none"/>
          <w:u w:val="single"/>
        </w:rPr>
        <w:t>按通用条款</w:t>
      </w:r>
      <w:r>
        <w:rPr>
          <w:rFonts w:ascii="宋体" w:hAnsi="宋体"/>
          <w:color w:val="auto"/>
          <w:kern w:val="0"/>
          <w:sz w:val="24"/>
          <w:highlight w:val="none"/>
          <w:u w:val="single"/>
        </w:rPr>
        <w:t>1.3</w:t>
      </w:r>
      <w:r>
        <w:rPr>
          <w:rFonts w:hint="eastAsia" w:ascii="宋体" w:hAnsi="宋体"/>
          <w:color w:val="auto"/>
          <w:kern w:val="0"/>
          <w:sz w:val="24"/>
          <w:highlight w:val="none"/>
          <w:u w:val="single"/>
        </w:rPr>
        <w:t>执行</w:t>
      </w:r>
      <w:r>
        <w:rPr>
          <w:rFonts w:hint="eastAsia" w:ascii="宋体" w:hAnsi="宋体"/>
          <w:color w:val="auto"/>
          <w:kern w:val="0"/>
          <w:sz w:val="24"/>
          <w:highlight w:val="none"/>
        </w:rPr>
        <w:t>。</w:t>
      </w:r>
    </w:p>
    <w:p w14:paraId="638D5128">
      <w:pPr>
        <w:widowControl/>
        <w:spacing w:line="360" w:lineRule="auto"/>
        <w:ind w:firstLine="468"/>
        <w:jc w:val="left"/>
        <w:rPr>
          <w:rFonts w:ascii="宋体" w:hAnsi="宋体"/>
          <w:bCs/>
          <w:color w:val="auto"/>
          <w:kern w:val="28"/>
          <w:sz w:val="24"/>
          <w:highlight w:val="none"/>
        </w:rPr>
      </w:pPr>
      <w:bookmarkStart w:id="267" w:name="_Toc422322526"/>
      <w:bookmarkStart w:id="268" w:name="_Toc419045102"/>
      <w:r>
        <w:rPr>
          <w:rFonts w:hint="eastAsia" w:ascii="宋体" w:hAnsi="宋体"/>
          <w:bCs/>
          <w:color w:val="auto"/>
          <w:kern w:val="28"/>
          <w:sz w:val="24"/>
          <w:highlight w:val="none"/>
        </w:rPr>
        <w:t>1.4适用法律</w:t>
      </w:r>
      <w:bookmarkEnd w:id="267"/>
      <w:bookmarkEnd w:id="268"/>
    </w:p>
    <w:p w14:paraId="570FEC95">
      <w:pPr>
        <w:widowControl/>
        <w:spacing w:line="360" w:lineRule="auto"/>
        <w:ind w:left="210" w:leftChars="100" w:firstLine="120" w:firstLineChars="50"/>
        <w:jc w:val="left"/>
        <w:rPr>
          <w:rFonts w:ascii="宋体" w:hAnsi="宋体"/>
          <w:color w:val="auto"/>
          <w:kern w:val="0"/>
          <w:sz w:val="24"/>
          <w:highlight w:val="none"/>
        </w:rPr>
      </w:pPr>
      <w:r>
        <w:rPr>
          <w:rFonts w:hint="eastAsia" w:ascii="宋体" w:hAnsi="宋体"/>
          <w:color w:val="auto"/>
          <w:kern w:val="0"/>
          <w:sz w:val="24"/>
          <w:highlight w:val="none"/>
        </w:rPr>
        <w:t>本合同适用的其他规范性文件包括：</w:t>
      </w:r>
      <w:r>
        <w:rPr>
          <w:rFonts w:hint="eastAsia" w:ascii="宋体" w:hAnsi="宋体"/>
          <w:color w:val="auto"/>
          <w:kern w:val="0"/>
          <w:sz w:val="24"/>
          <w:highlight w:val="none"/>
          <w:u w:val="single"/>
        </w:rPr>
        <w:t>国家、广西壮族自治区关于建设工程造价方面的规范性文件、规定</w:t>
      </w:r>
      <w:r>
        <w:rPr>
          <w:rFonts w:hint="eastAsia" w:ascii="宋体" w:hAnsi="宋体"/>
          <w:color w:val="auto"/>
          <w:kern w:val="0"/>
          <w:sz w:val="24"/>
          <w:highlight w:val="none"/>
        </w:rPr>
        <w:t>。</w:t>
      </w:r>
    </w:p>
    <w:p w14:paraId="1AD5CF27">
      <w:pPr>
        <w:widowControl/>
        <w:spacing w:line="360" w:lineRule="auto"/>
        <w:ind w:firstLine="482" w:firstLineChars="200"/>
        <w:jc w:val="left"/>
        <w:outlineLvl w:val="0"/>
        <w:rPr>
          <w:rFonts w:ascii="Cambria" w:hAnsi="Cambria"/>
          <w:b/>
          <w:bCs/>
          <w:color w:val="auto"/>
          <w:kern w:val="0"/>
          <w:sz w:val="24"/>
          <w:szCs w:val="32"/>
          <w:highlight w:val="none"/>
        </w:rPr>
      </w:pPr>
      <w:bookmarkStart w:id="269" w:name="_Toc419045103"/>
      <w:bookmarkStart w:id="270" w:name="_Toc422322527"/>
      <w:r>
        <w:rPr>
          <w:rFonts w:hint="eastAsia" w:ascii="Cambria" w:hAnsi="Cambria"/>
          <w:b/>
          <w:bCs/>
          <w:color w:val="auto"/>
          <w:kern w:val="0"/>
          <w:sz w:val="24"/>
          <w:szCs w:val="32"/>
          <w:highlight w:val="none"/>
        </w:rPr>
        <w:t>2.委托人的义务</w:t>
      </w:r>
      <w:bookmarkEnd w:id="269"/>
      <w:bookmarkEnd w:id="270"/>
    </w:p>
    <w:p w14:paraId="64A0AA78">
      <w:pPr>
        <w:widowControl/>
        <w:spacing w:line="360" w:lineRule="auto"/>
        <w:ind w:firstLine="468"/>
        <w:jc w:val="left"/>
        <w:rPr>
          <w:rFonts w:ascii="宋体" w:hAnsi="宋体"/>
          <w:bCs/>
          <w:color w:val="auto"/>
          <w:kern w:val="28"/>
          <w:sz w:val="24"/>
          <w:highlight w:val="none"/>
        </w:rPr>
      </w:pPr>
      <w:bookmarkStart w:id="271" w:name="_Toc422322528"/>
      <w:bookmarkStart w:id="272" w:name="_Toc419045104"/>
      <w:r>
        <w:rPr>
          <w:rFonts w:hint="eastAsia" w:ascii="宋体" w:hAnsi="宋体"/>
          <w:bCs/>
          <w:color w:val="auto"/>
          <w:kern w:val="28"/>
          <w:sz w:val="24"/>
          <w:highlight w:val="none"/>
        </w:rPr>
        <w:t>2.1提供资料</w:t>
      </w:r>
      <w:bookmarkEnd w:id="271"/>
      <w:bookmarkEnd w:id="272"/>
    </w:p>
    <w:p w14:paraId="186EAD9E">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委托人约定无偿向咨询人提供与本合同咨询业务有关资料的时间为：</w:t>
      </w:r>
      <w:r>
        <w:rPr>
          <w:rFonts w:hint="eastAsia" w:ascii="宋体" w:hAnsi="宋体" w:cs="宋体"/>
          <w:color w:val="auto"/>
          <w:kern w:val="0"/>
          <w:sz w:val="24"/>
          <w:highlight w:val="none"/>
          <w:u w:val="single"/>
        </w:rPr>
        <w:t xml:space="preserve"> / </w:t>
      </w:r>
      <w:r>
        <w:rPr>
          <w:rFonts w:hint="eastAsia" w:ascii="宋体" w:hAnsi="宋体" w:cs="宋体"/>
          <w:color w:val="auto"/>
          <w:kern w:val="0"/>
          <w:sz w:val="24"/>
          <w:highlight w:val="none"/>
        </w:rPr>
        <w:t>。</w:t>
      </w:r>
    </w:p>
    <w:p w14:paraId="022ABD0F">
      <w:pPr>
        <w:widowControl/>
        <w:spacing w:line="360" w:lineRule="auto"/>
        <w:ind w:firstLine="468"/>
        <w:jc w:val="left"/>
        <w:rPr>
          <w:rFonts w:ascii="宋体" w:hAnsi="宋体"/>
          <w:bCs/>
          <w:color w:val="auto"/>
          <w:kern w:val="28"/>
          <w:sz w:val="24"/>
          <w:highlight w:val="none"/>
        </w:rPr>
      </w:pPr>
      <w:bookmarkStart w:id="273" w:name="_Toc419045105"/>
      <w:bookmarkStart w:id="274" w:name="_Toc422322529"/>
      <w:r>
        <w:rPr>
          <w:rFonts w:hint="eastAsia" w:ascii="宋体" w:hAnsi="宋体"/>
          <w:bCs/>
          <w:color w:val="auto"/>
          <w:kern w:val="28"/>
          <w:sz w:val="24"/>
          <w:highlight w:val="none"/>
        </w:rPr>
        <w:t>2.2提供工作条件</w:t>
      </w:r>
      <w:bookmarkEnd w:id="273"/>
      <w:bookmarkEnd w:id="274"/>
    </w:p>
    <w:p w14:paraId="3A720A6B">
      <w:pPr>
        <w:widowControl/>
        <w:spacing w:line="360" w:lineRule="auto"/>
        <w:ind w:firstLine="480" w:firstLineChars="200"/>
        <w:jc w:val="left"/>
        <w:rPr>
          <w:rFonts w:ascii="宋体" w:hAnsi="宋体"/>
          <w:color w:val="auto"/>
          <w:kern w:val="0"/>
          <w:sz w:val="24"/>
          <w:highlight w:val="none"/>
        </w:rPr>
      </w:pPr>
      <w:r>
        <w:rPr>
          <w:rFonts w:hint="eastAsia" w:ascii="宋体" w:hAnsi="宋体" w:cs="宋体"/>
          <w:color w:val="auto"/>
          <w:kern w:val="0"/>
          <w:sz w:val="24"/>
          <w:highlight w:val="none"/>
        </w:rPr>
        <w:t>2.2.1项目咨询人员使用由委托人提供的房屋及设备，支付使用费的标准为：</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36476CE1">
      <w:pPr>
        <w:widowControl/>
        <w:spacing w:line="360" w:lineRule="auto"/>
        <w:ind w:firstLine="480" w:firstLineChars="200"/>
        <w:jc w:val="left"/>
        <w:rPr>
          <w:rFonts w:ascii="宋体" w:hAnsi="宋体"/>
          <w:bCs/>
          <w:color w:val="auto"/>
          <w:kern w:val="28"/>
          <w:sz w:val="24"/>
          <w:highlight w:val="none"/>
        </w:rPr>
      </w:pPr>
      <w:bookmarkStart w:id="275" w:name="_Toc419045106"/>
      <w:bookmarkStart w:id="276" w:name="_Toc422322530"/>
      <w:r>
        <w:rPr>
          <w:rFonts w:hint="eastAsia" w:ascii="宋体" w:hAnsi="宋体"/>
          <w:bCs/>
          <w:color w:val="auto"/>
          <w:kern w:val="28"/>
          <w:sz w:val="24"/>
          <w:highlight w:val="none"/>
        </w:rPr>
        <w:t>2.4委托人代表</w:t>
      </w:r>
      <w:bookmarkEnd w:id="275"/>
      <w:bookmarkEnd w:id="276"/>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委托人代表为：</w:t>
      </w:r>
      <w:r>
        <w:rPr>
          <w:rFonts w:hint="eastAsia" w:ascii="宋体" w:hAnsi="宋体"/>
          <w:color w:val="auto"/>
          <w:kern w:val="0"/>
          <w:sz w:val="24"/>
          <w:highlight w:val="none"/>
          <w:u w:val="single"/>
        </w:rPr>
        <w:t xml:space="preserve"> 敬雅婷 </w:t>
      </w:r>
      <w:r>
        <w:rPr>
          <w:rFonts w:hint="eastAsia" w:ascii="宋体" w:hAnsi="宋体"/>
          <w:color w:val="auto"/>
          <w:kern w:val="0"/>
          <w:sz w:val="24"/>
          <w:highlight w:val="none"/>
        </w:rPr>
        <w:t>，其权限范围：</w:t>
      </w:r>
      <w:r>
        <w:rPr>
          <w:rFonts w:hint="eastAsia" w:ascii="宋体" w:hAnsi="宋体" w:cs="宋体"/>
          <w:color w:val="auto"/>
          <w:kern w:val="0"/>
          <w:sz w:val="24"/>
          <w:highlight w:val="none"/>
          <w:u w:val="single"/>
        </w:rPr>
        <w:t>负责本合同有关事宜，</w:t>
      </w:r>
      <w:r>
        <w:rPr>
          <w:rFonts w:ascii="宋体" w:hAnsi="宋体" w:cs="宋体"/>
          <w:color w:val="auto"/>
          <w:kern w:val="0"/>
          <w:sz w:val="24"/>
          <w:highlight w:val="none"/>
          <w:u w:val="single"/>
        </w:rPr>
        <w:t>包括</w:t>
      </w:r>
      <w:r>
        <w:rPr>
          <w:rFonts w:hint="eastAsia" w:ascii="宋体" w:hAnsi="宋体" w:cs="宋体"/>
          <w:color w:val="auto"/>
          <w:kern w:val="0"/>
          <w:sz w:val="24"/>
          <w:highlight w:val="none"/>
          <w:u w:val="single"/>
        </w:rPr>
        <w:t>但不限于</w:t>
      </w:r>
      <w:r>
        <w:rPr>
          <w:rFonts w:ascii="宋体" w:hAnsi="宋体" w:cs="宋体"/>
          <w:color w:val="auto"/>
          <w:kern w:val="0"/>
          <w:sz w:val="24"/>
          <w:highlight w:val="none"/>
          <w:u w:val="single"/>
        </w:rPr>
        <w:t>日常工作的联系</w:t>
      </w:r>
      <w:r>
        <w:rPr>
          <w:rFonts w:hint="eastAsia" w:ascii="宋体" w:hAnsi="宋体" w:cs="宋体"/>
          <w:color w:val="auto"/>
          <w:kern w:val="0"/>
          <w:sz w:val="24"/>
          <w:highlight w:val="none"/>
          <w:u w:val="single"/>
        </w:rPr>
        <w:t>、</w:t>
      </w:r>
      <w:r>
        <w:rPr>
          <w:rFonts w:ascii="宋体" w:hAnsi="宋体" w:cs="宋体"/>
          <w:color w:val="auto"/>
          <w:kern w:val="0"/>
          <w:sz w:val="24"/>
          <w:highlight w:val="none"/>
          <w:u w:val="single"/>
        </w:rPr>
        <w:t>相关材料的</w:t>
      </w:r>
      <w:r>
        <w:rPr>
          <w:rFonts w:hint="eastAsia" w:ascii="宋体" w:hAnsi="宋体" w:cs="宋体"/>
          <w:color w:val="auto"/>
          <w:kern w:val="0"/>
          <w:sz w:val="24"/>
          <w:highlight w:val="none"/>
          <w:u w:val="single"/>
        </w:rPr>
        <w:t>收发</w:t>
      </w:r>
      <w:r>
        <w:rPr>
          <w:rFonts w:ascii="宋体" w:hAnsi="宋体" w:cs="宋体"/>
          <w:color w:val="auto"/>
          <w:kern w:val="0"/>
          <w:sz w:val="24"/>
          <w:highlight w:val="none"/>
          <w:u w:val="single"/>
        </w:rPr>
        <w:t>等，具体事宜根据工程项目情况</w:t>
      </w:r>
      <w:r>
        <w:rPr>
          <w:rFonts w:hint="eastAsia" w:ascii="宋体" w:hAnsi="宋体" w:cs="宋体"/>
          <w:color w:val="auto"/>
          <w:kern w:val="0"/>
          <w:sz w:val="24"/>
          <w:highlight w:val="none"/>
          <w:u w:val="single"/>
        </w:rPr>
        <w:t>而</w:t>
      </w:r>
      <w:r>
        <w:rPr>
          <w:rFonts w:ascii="宋体" w:hAnsi="宋体" w:cs="宋体"/>
          <w:color w:val="auto"/>
          <w:kern w:val="0"/>
          <w:sz w:val="24"/>
          <w:highlight w:val="none"/>
          <w:u w:val="single"/>
        </w:rPr>
        <w:t>定</w:t>
      </w:r>
      <w:r>
        <w:rPr>
          <w:rFonts w:hint="eastAsia" w:ascii="宋体" w:hAnsi="宋体"/>
          <w:color w:val="auto"/>
          <w:kern w:val="0"/>
          <w:sz w:val="24"/>
          <w:highlight w:val="none"/>
        </w:rPr>
        <w:t>。</w:t>
      </w:r>
    </w:p>
    <w:p w14:paraId="03A0A6D9">
      <w:pPr>
        <w:widowControl/>
        <w:spacing w:before="60" w:after="60" w:line="312" w:lineRule="auto"/>
        <w:ind w:firstLine="480" w:firstLineChars="200"/>
        <w:jc w:val="left"/>
        <w:outlineLvl w:val="1"/>
        <w:rPr>
          <w:rFonts w:ascii="宋体" w:hAnsi="宋体"/>
          <w:bCs/>
          <w:color w:val="auto"/>
          <w:kern w:val="28"/>
          <w:sz w:val="24"/>
          <w:highlight w:val="none"/>
        </w:rPr>
      </w:pPr>
      <w:bookmarkStart w:id="277" w:name="_Toc422322531"/>
      <w:r>
        <w:rPr>
          <w:rFonts w:hint="eastAsia" w:ascii="宋体" w:hAnsi="宋体"/>
          <w:bCs/>
          <w:color w:val="auto"/>
          <w:kern w:val="28"/>
          <w:sz w:val="24"/>
          <w:highlight w:val="none"/>
        </w:rPr>
        <w:t>2.5答复</w:t>
      </w:r>
      <w:bookmarkEnd w:id="277"/>
    </w:p>
    <w:p w14:paraId="5A982007">
      <w:pPr>
        <w:widowControl/>
        <w:spacing w:line="360" w:lineRule="auto"/>
        <w:jc w:val="left"/>
        <w:rPr>
          <w:rFonts w:ascii="宋体" w:hAnsi="宋体" w:cs="宋体"/>
          <w:color w:val="auto"/>
          <w:kern w:val="0"/>
          <w:sz w:val="24"/>
          <w:highlight w:val="none"/>
        </w:rPr>
      </w:pPr>
      <w:r>
        <w:rPr>
          <w:rFonts w:hint="eastAsia" w:ascii="宋体" w:hAnsi="宋体"/>
          <w:color w:val="auto"/>
          <w:kern w:val="0"/>
          <w:sz w:val="24"/>
          <w:highlight w:val="none"/>
        </w:rPr>
        <w:t xml:space="preserve">    委托人同意在</w:t>
      </w:r>
      <w:r>
        <w:rPr>
          <w:rFonts w:ascii="宋体" w:hAnsi="宋体"/>
          <w:color w:val="auto"/>
          <w:kern w:val="0"/>
          <w:sz w:val="24"/>
          <w:highlight w:val="none"/>
          <w:u w:val="single"/>
        </w:rPr>
        <w:t>10</w:t>
      </w:r>
      <w:r>
        <w:rPr>
          <w:rFonts w:hint="eastAsia" w:ascii="宋体" w:hAnsi="宋体"/>
          <w:color w:val="auto"/>
          <w:kern w:val="0"/>
          <w:sz w:val="24"/>
          <w:highlight w:val="none"/>
          <w:u w:val="single"/>
        </w:rPr>
        <w:t>个</w:t>
      </w:r>
      <w:r>
        <w:rPr>
          <w:rFonts w:ascii="宋体" w:hAnsi="宋体"/>
          <w:color w:val="auto"/>
          <w:kern w:val="0"/>
          <w:sz w:val="24"/>
          <w:highlight w:val="none"/>
          <w:u w:val="single"/>
        </w:rPr>
        <w:t>工作</w:t>
      </w:r>
      <w:r>
        <w:rPr>
          <w:rFonts w:hint="eastAsia" w:ascii="宋体" w:hAnsi="宋体"/>
          <w:color w:val="auto"/>
          <w:kern w:val="0"/>
          <w:sz w:val="24"/>
          <w:highlight w:val="none"/>
          <w:u w:val="single"/>
        </w:rPr>
        <w:t>日</w:t>
      </w:r>
      <w:r>
        <w:rPr>
          <w:rFonts w:hint="eastAsia" w:ascii="宋体" w:hAnsi="宋体"/>
          <w:color w:val="auto"/>
          <w:kern w:val="0"/>
          <w:sz w:val="24"/>
          <w:highlight w:val="none"/>
        </w:rPr>
        <w:t>内，对咨询人书面提交并要求做出决定的事宜给予书面答复。</w:t>
      </w:r>
      <w:r>
        <w:rPr>
          <w:rFonts w:hint="eastAsia" w:ascii="宋体" w:hAnsi="宋体" w:cs="宋体"/>
          <w:color w:val="auto"/>
          <w:kern w:val="0"/>
          <w:sz w:val="24"/>
          <w:highlight w:val="none"/>
        </w:rPr>
        <w:t>逾期未答复的，视为委托人认可。</w:t>
      </w:r>
    </w:p>
    <w:p w14:paraId="4C7F3D4C">
      <w:pPr>
        <w:widowControl/>
        <w:spacing w:line="360" w:lineRule="auto"/>
        <w:ind w:firstLine="482" w:firstLineChars="200"/>
        <w:jc w:val="left"/>
        <w:outlineLvl w:val="0"/>
        <w:rPr>
          <w:rFonts w:ascii="Cambria" w:hAnsi="Cambria"/>
          <w:b/>
          <w:bCs/>
          <w:color w:val="auto"/>
          <w:kern w:val="0"/>
          <w:sz w:val="24"/>
          <w:szCs w:val="32"/>
          <w:highlight w:val="none"/>
        </w:rPr>
      </w:pPr>
      <w:bookmarkStart w:id="278" w:name="_Toc422322532"/>
      <w:bookmarkStart w:id="279" w:name="_Toc419045107"/>
      <w:r>
        <w:rPr>
          <w:rFonts w:hint="eastAsia" w:ascii="Cambria" w:hAnsi="Cambria"/>
          <w:b/>
          <w:bCs/>
          <w:color w:val="auto"/>
          <w:kern w:val="0"/>
          <w:sz w:val="24"/>
          <w:szCs w:val="32"/>
          <w:highlight w:val="none"/>
        </w:rPr>
        <w:t>3.咨询人的义务</w:t>
      </w:r>
      <w:bookmarkEnd w:id="278"/>
      <w:bookmarkEnd w:id="279"/>
    </w:p>
    <w:p w14:paraId="0C6422D7">
      <w:pPr>
        <w:widowControl/>
        <w:spacing w:before="60" w:after="60" w:line="312" w:lineRule="auto"/>
        <w:ind w:firstLine="480" w:firstLineChars="200"/>
        <w:jc w:val="left"/>
        <w:outlineLvl w:val="1"/>
        <w:rPr>
          <w:rFonts w:ascii="宋体" w:hAnsi="宋体"/>
          <w:bCs/>
          <w:color w:val="auto"/>
          <w:kern w:val="28"/>
          <w:sz w:val="24"/>
          <w:highlight w:val="none"/>
        </w:rPr>
      </w:pPr>
      <w:bookmarkStart w:id="280" w:name="_Toc422322533"/>
      <w:bookmarkStart w:id="281" w:name="_Toc419045109"/>
      <w:r>
        <w:rPr>
          <w:rFonts w:hint="eastAsia" w:ascii="宋体" w:hAnsi="宋体"/>
          <w:bCs/>
          <w:color w:val="auto"/>
          <w:kern w:val="28"/>
          <w:sz w:val="24"/>
          <w:highlight w:val="none"/>
        </w:rPr>
        <w:t>3.1项目咨询团队及人员</w:t>
      </w:r>
      <w:bookmarkEnd w:id="280"/>
      <w:bookmarkEnd w:id="281"/>
    </w:p>
    <w:p w14:paraId="22E6CED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3.1.1项目咨询团队的主要人员应具有</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资格条件，团队人员的数量为</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人。</w:t>
      </w:r>
    </w:p>
    <w:p w14:paraId="16C6F78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3.1.2项目负责人为：</w:t>
      </w:r>
      <w:r>
        <w:rPr>
          <w:rFonts w:hint="eastAsia" w:ascii="宋体" w:hAnsi="宋体" w:cs="宋体"/>
          <w:color w:val="auto"/>
          <w:kern w:val="0"/>
          <w:sz w:val="24"/>
          <w:highlight w:val="none"/>
          <w:u w:val="single"/>
        </w:rPr>
        <w:t xml:space="preserve"> </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，项目负责人为履行本合同的权限为：</w:t>
      </w:r>
      <w:r>
        <w:rPr>
          <w:rFonts w:hint="eastAsia" w:ascii="宋体" w:hAnsi="宋体" w:cs="宋体"/>
          <w:color w:val="auto"/>
          <w:kern w:val="0"/>
          <w:sz w:val="24"/>
          <w:highlight w:val="none"/>
          <w:u w:val="single"/>
        </w:rPr>
        <w:t>按通用条款</w:t>
      </w:r>
      <w:r>
        <w:rPr>
          <w:rFonts w:ascii="宋体" w:hAnsi="宋体" w:cs="宋体"/>
          <w:color w:val="auto"/>
          <w:kern w:val="0"/>
          <w:sz w:val="24"/>
          <w:highlight w:val="none"/>
          <w:u w:val="single"/>
        </w:rPr>
        <w:t>3.1.2</w:t>
      </w:r>
      <w:r>
        <w:rPr>
          <w:rFonts w:hint="eastAsia" w:ascii="宋体" w:hAnsi="宋体" w:cs="宋体"/>
          <w:color w:val="auto"/>
          <w:kern w:val="0"/>
          <w:sz w:val="24"/>
          <w:highlight w:val="none"/>
          <w:u w:val="single"/>
        </w:rPr>
        <w:t>执行</w:t>
      </w:r>
      <w:r>
        <w:rPr>
          <w:rFonts w:hint="eastAsia" w:ascii="宋体" w:hAnsi="宋体" w:cs="宋体"/>
          <w:color w:val="auto"/>
          <w:kern w:val="0"/>
          <w:sz w:val="24"/>
          <w:highlight w:val="none"/>
        </w:rPr>
        <w:t>。</w:t>
      </w:r>
    </w:p>
    <w:p w14:paraId="27D39679">
      <w:pPr>
        <w:widowControl/>
        <w:spacing w:line="360" w:lineRule="auto"/>
        <w:ind w:firstLine="480" w:firstLineChars="200"/>
        <w:jc w:val="left"/>
        <w:rPr>
          <w:rFonts w:ascii="宋体" w:hAnsi="宋体"/>
          <w:color w:val="auto"/>
          <w:kern w:val="0"/>
          <w:sz w:val="24"/>
          <w:highlight w:val="none"/>
          <w:u w:val="single"/>
        </w:rPr>
      </w:pPr>
      <w:r>
        <w:rPr>
          <w:rFonts w:hint="eastAsia" w:ascii="宋体" w:hAnsi="宋体"/>
          <w:color w:val="auto"/>
          <w:kern w:val="0"/>
          <w:sz w:val="24"/>
          <w:highlight w:val="none"/>
        </w:rPr>
        <w:t>3.1.3咨询人更换项目咨询团队其他咨询人员的约定：</w:t>
      </w:r>
      <w:r>
        <w:rPr>
          <w:rFonts w:hint="eastAsia" w:ascii="宋体" w:hAnsi="宋体"/>
          <w:color w:val="auto"/>
          <w:kern w:val="0"/>
          <w:sz w:val="24"/>
          <w:szCs w:val="21"/>
          <w:highlight w:val="none"/>
          <w:u w:val="single"/>
        </w:rPr>
        <w:t>按通用条款3.1.3执行</w:t>
      </w:r>
      <w:r>
        <w:rPr>
          <w:rFonts w:hint="eastAsia" w:ascii="宋体" w:hAnsi="宋体"/>
          <w:color w:val="auto"/>
          <w:kern w:val="0"/>
          <w:sz w:val="24"/>
          <w:highlight w:val="none"/>
        </w:rPr>
        <w:t>。</w:t>
      </w:r>
    </w:p>
    <w:p w14:paraId="2AD0D90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3.1.4委托人要求更换咨询人员的情形还包括：</w:t>
      </w:r>
      <w:r>
        <w:rPr>
          <w:rFonts w:hint="eastAsia" w:ascii="宋体" w:hAnsi="宋体" w:cs="宋体"/>
          <w:color w:val="auto"/>
          <w:kern w:val="0"/>
          <w:sz w:val="24"/>
          <w:highlight w:val="none"/>
          <w:u w:val="single"/>
        </w:rPr>
        <w:t>无</w:t>
      </w:r>
      <w:r>
        <w:rPr>
          <w:rFonts w:hint="eastAsia" w:ascii="宋体" w:hAnsi="宋体" w:cs="宋体"/>
          <w:color w:val="auto"/>
          <w:kern w:val="0"/>
          <w:sz w:val="24"/>
          <w:highlight w:val="none"/>
        </w:rPr>
        <w:t>。</w:t>
      </w:r>
    </w:p>
    <w:p w14:paraId="454FACD5">
      <w:pPr>
        <w:widowControl/>
        <w:spacing w:before="60" w:after="60" w:line="312" w:lineRule="auto"/>
        <w:ind w:firstLine="480" w:firstLineChars="200"/>
        <w:jc w:val="left"/>
        <w:outlineLvl w:val="1"/>
        <w:rPr>
          <w:rFonts w:ascii="宋体" w:hAnsi="宋体"/>
          <w:bCs/>
          <w:color w:val="auto"/>
          <w:kern w:val="28"/>
          <w:sz w:val="24"/>
          <w:highlight w:val="none"/>
        </w:rPr>
      </w:pPr>
      <w:bookmarkStart w:id="282" w:name="_Toc419045110"/>
      <w:bookmarkStart w:id="283" w:name="_Toc422322534"/>
      <w:r>
        <w:rPr>
          <w:rFonts w:hint="eastAsia" w:ascii="宋体" w:hAnsi="宋体"/>
          <w:bCs/>
          <w:color w:val="auto"/>
          <w:kern w:val="28"/>
          <w:sz w:val="24"/>
          <w:highlight w:val="none"/>
        </w:rPr>
        <w:t>3.2咨询人的工作要求</w:t>
      </w:r>
      <w:bookmarkEnd w:id="282"/>
      <w:bookmarkEnd w:id="283"/>
    </w:p>
    <w:p w14:paraId="6436A48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3.2.1咨询人向委托人提供有关资料的时间：</w:t>
      </w:r>
      <w:r>
        <w:rPr>
          <w:rFonts w:hint="eastAsia" w:ascii="宋体" w:hAnsi="宋体" w:cs="宋体"/>
          <w:color w:val="auto"/>
          <w:kern w:val="0"/>
          <w:sz w:val="24"/>
          <w:highlight w:val="none"/>
          <w:u w:val="single"/>
        </w:rPr>
        <w:t>按协议书的服务范围及工作内容或委托人书面通知、咨询服务</w:t>
      </w:r>
      <w:r>
        <w:rPr>
          <w:rFonts w:ascii="宋体" w:hAnsi="宋体" w:cs="宋体"/>
          <w:color w:val="auto"/>
          <w:kern w:val="0"/>
          <w:sz w:val="24"/>
          <w:highlight w:val="none"/>
          <w:u w:val="single"/>
        </w:rPr>
        <w:t>项目委托书</w:t>
      </w:r>
      <w:r>
        <w:rPr>
          <w:rFonts w:hint="eastAsia" w:ascii="宋体" w:hAnsi="宋体" w:cs="宋体"/>
          <w:color w:val="auto"/>
          <w:kern w:val="0"/>
          <w:sz w:val="24"/>
          <w:highlight w:val="none"/>
          <w:u w:val="single"/>
        </w:rPr>
        <w:t>等文书的要求执行</w:t>
      </w:r>
      <w:r>
        <w:rPr>
          <w:rFonts w:hint="eastAsia" w:ascii="宋体" w:hAnsi="宋体" w:cs="宋体"/>
          <w:color w:val="auto"/>
          <w:kern w:val="0"/>
          <w:sz w:val="24"/>
          <w:highlight w:val="none"/>
        </w:rPr>
        <w:t>。咨询人向委托人提供的资料还包括：</w:t>
      </w:r>
      <w:r>
        <w:rPr>
          <w:rFonts w:hint="eastAsia" w:ascii="宋体" w:hAnsi="宋体" w:cs="宋体"/>
          <w:color w:val="auto"/>
          <w:kern w:val="0"/>
          <w:sz w:val="24"/>
          <w:highlight w:val="none"/>
          <w:u w:val="single"/>
        </w:rPr>
        <w:t>按协议书的服务范围及工作内容或委托人书面通知、咨询服务</w:t>
      </w:r>
      <w:r>
        <w:rPr>
          <w:rFonts w:ascii="宋体" w:hAnsi="宋体" w:cs="宋体"/>
          <w:color w:val="auto"/>
          <w:kern w:val="0"/>
          <w:sz w:val="24"/>
          <w:highlight w:val="none"/>
          <w:u w:val="single"/>
        </w:rPr>
        <w:t>项目委托书</w:t>
      </w:r>
      <w:r>
        <w:rPr>
          <w:rFonts w:hint="eastAsia" w:ascii="宋体" w:hAnsi="宋体" w:cs="宋体"/>
          <w:color w:val="auto"/>
          <w:kern w:val="0"/>
          <w:sz w:val="24"/>
          <w:highlight w:val="none"/>
          <w:u w:val="single"/>
        </w:rPr>
        <w:t>等文书的要求执行</w:t>
      </w:r>
      <w:r>
        <w:rPr>
          <w:rFonts w:hint="eastAsia" w:ascii="宋体" w:hAnsi="宋体" w:cs="宋体"/>
          <w:color w:val="auto"/>
          <w:kern w:val="0"/>
          <w:sz w:val="24"/>
          <w:highlight w:val="none"/>
        </w:rPr>
        <w:t>。</w:t>
      </w:r>
    </w:p>
    <w:p w14:paraId="2F75F077">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3.2.2咨询人向委托人提供咨询成果文件的名称、时间、份数及质量标准：</w:t>
      </w:r>
      <w:r>
        <w:rPr>
          <w:rFonts w:hint="eastAsia" w:ascii="宋体" w:hAnsi="宋体" w:cs="宋体"/>
          <w:color w:val="auto"/>
          <w:kern w:val="0"/>
          <w:sz w:val="24"/>
          <w:highlight w:val="none"/>
          <w:u w:val="single"/>
        </w:rPr>
        <w:t>按协议书的服务范围及工作内容或委托人书面通知、咨询服务</w:t>
      </w:r>
      <w:r>
        <w:rPr>
          <w:rFonts w:ascii="宋体" w:hAnsi="宋体" w:cs="宋体"/>
          <w:color w:val="auto"/>
          <w:kern w:val="0"/>
          <w:sz w:val="24"/>
          <w:highlight w:val="none"/>
          <w:u w:val="single"/>
        </w:rPr>
        <w:t>项目委托书</w:t>
      </w:r>
      <w:r>
        <w:rPr>
          <w:rFonts w:hint="eastAsia" w:ascii="宋体" w:hAnsi="宋体" w:cs="宋体"/>
          <w:color w:val="auto"/>
          <w:kern w:val="0"/>
          <w:sz w:val="24"/>
          <w:highlight w:val="none"/>
          <w:u w:val="single"/>
        </w:rPr>
        <w:t>等文书的要求执行</w:t>
      </w:r>
      <w:r>
        <w:rPr>
          <w:rFonts w:hint="eastAsia" w:ascii="宋体" w:hAnsi="宋体" w:cs="宋体"/>
          <w:color w:val="auto"/>
          <w:kern w:val="0"/>
          <w:sz w:val="24"/>
          <w:highlight w:val="none"/>
        </w:rPr>
        <w:t>。</w:t>
      </w:r>
    </w:p>
    <w:p w14:paraId="0F69002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3.2.4咨询人应在收到委托人以书面形式提出的建议或者异议后</w:t>
      </w:r>
      <w:r>
        <w:rPr>
          <w:rFonts w:ascii="宋体" w:hAnsi="宋体" w:cs="宋体"/>
          <w:color w:val="auto"/>
          <w:kern w:val="0"/>
          <w:sz w:val="24"/>
          <w:highlight w:val="none"/>
          <w:u w:val="single"/>
        </w:rPr>
        <w:t>3</w:t>
      </w:r>
      <w:r>
        <w:rPr>
          <w:rFonts w:hint="eastAsia" w:ascii="宋体" w:hAnsi="宋体" w:cs="宋体"/>
          <w:color w:val="auto"/>
          <w:kern w:val="0"/>
          <w:sz w:val="24"/>
          <w:highlight w:val="none"/>
          <w:u w:val="single"/>
        </w:rPr>
        <w:t>个</w:t>
      </w:r>
      <w:r>
        <w:rPr>
          <w:rFonts w:ascii="宋体" w:hAnsi="宋体" w:cs="宋体"/>
          <w:color w:val="auto"/>
          <w:kern w:val="0"/>
          <w:sz w:val="24"/>
          <w:highlight w:val="none"/>
          <w:u w:val="single"/>
        </w:rPr>
        <w:t>工作</w:t>
      </w:r>
      <w:r>
        <w:rPr>
          <w:rFonts w:hint="eastAsia" w:ascii="宋体" w:hAnsi="宋体" w:cs="宋体"/>
          <w:color w:val="auto"/>
          <w:kern w:val="0"/>
          <w:sz w:val="24"/>
          <w:highlight w:val="none"/>
          <w:u w:val="single"/>
        </w:rPr>
        <w:t>日</w:t>
      </w:r>
      <w:r>
        <w:rPr>
          <w:rFonts w:hint="eastAsia" w:ascii="宋体" w:hAnsi="宋体" w:cs="宋体"/>
          <w:color w:val="auto"/>
          <w:kern w:val="0"/>
          <w:sz w:val="24"/>
          <w:highlight w:val="none"/>
        </w:rPr>
        <w:t>内给予书面答复。</w:t>
      </w:r>
    </w:p>
    <w:p w14:paraId="716A98E4">
      <w:pPr>
        <w:widowControl/>
        <w:spacing w:before="60" w:after="60" w:line="312" w:lineRule="auto"/>
        <w:ind w:firstLine="480" w:firstLineChars="200"/>
        <w:jc w:val="left"/>
        <w:outlineLvl w:val="1"/>
        <w:rPr>
          <w:rFonts w:ascii="宋体" w:hAnsi="宋体"/>
          <w:bCs/>
          <w:color w:val="auto"/>
          <w:kern w:val="28"/>
          <w:sz w:val="24"/>
          <w:highlight w:val="none"/>
        </w:rPr>
      </w:pPr>
      <w:bookmarkStart w:id="284" w:name="_Toc422322535"/>
      <w:bookmarkStart w:id="285" w:name="_Toc419045111"/>
      <w:r>
        <w:rPr>
          <w:rFonts w:hint="eastAsia" w:ascii="宋体" w:hAnsi="宋体"/>
          <w:bCs/>
          <w:color w:val="auto"/>
          <w:kern w:val="28"/>
          <w:sz w:val="24"/>
          <w:highlight w:val="none"/>
        </w:rPr>
        <w:t>3.3咨询人的工作依据</w:t>
      </w:r>
      <w:bookmarkEnd w:id="284"/>
      <w:bookmarkEnd w:id="285"/>
    </w:p>
    <w:p w14:paraId="163A2183">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经双方协商，本合同约定的造价咨询服务适用的技术标准、规范、定额等工作依据为：</w:t>
      </w:r>
      <w:r>
        <w:rPr>
          <w:rFonts w:hint="eastAsia" w:ascii="宋体" w:hAnsi="宋体" w:cs="宋体"/>
          <w:color w:val="auto"/>
          <w:kern w:val="0"/>
          <w:sz w:val="24"/>
          <w:highlight w:val="none"/>
          <w:u w:val="single"/>
        </w:rPr>
        <w:t>国家、广西壮族自治区关于建设工程造价方面的规范性文件、规定</w:t>
      </w:r>
      <w:r>
        <w:rPr>
          <w:rFonts w:hint="eastAsia" w:ascii="宋体" w:hAnsi="宋体" w:cs="宋体"/>
          <w:color w:val="auto"/>
          <w:kern w:val="0"/>
          <w:sz w:val="24"/>
          <w:highlight w:val="none"/>
        </w:rPr>
        <w:t>。</w:t>
      </w:r>
    </w:p>
    <w:p w14:paraId="5EC94E79">
      <w:pPr>
        <w:widowControl/>
        <w:spacing w:before="60" w:after="60" w:line="312" w:lineRule="auto"/>
        <w:ind w:firstLine="480" w:firstLineChars="200"/>
        <w:jc w:val="left"/>
        <w:outlineLvl w:val="1"/>
        <w:rPr>
          <w:rFonts w:ascii="宋体" w:hAnsi="宋体"/>
          <w:bCs/>
          <w:color w:val="auto"/>
          <w:kern w:val="28"/>
          <w:sz w:val="24"/>
          <w:highlight w:val="none"/>
        </w:rPr>
      </w:pPr>
      <w:bookmarkStart w:id="286" w:name="_Toc422322536"/>
      <w:bookmarkStart w:id="287" w:name="_Toc419045112"/>
      <w:r>
        <w:rPr>
          <w:rFonts w:hint="eastAsia" w:ascii="宋体" w:hAnsi="宋体"/>
          <w:bCs/>
          <w:color w:val="auto"/>
          <w:kern w:val="28"/>
          <w:sz w:val="24"/>
          <w:highlight w:val="none"/>
        </w:rPr>
        <w:t>3.4使用委托人房屋及设备的返还</w:t>
      </w:r>
      <w:bookmarkEnd w:id="286"/>
      <w:bookmarkEnd w:id="287"/>
    </w:p>
    <w:p w14:paraId="42CD333D">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咨询人应在本合同终止后</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日内移交委托人提供的房屋及设备，移交的方式为</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w:t>
      </w:r>
    </w:p>
    <w:p w14:paraId="7C2C820F">
      <w:pPr>
        <w:widowControl/>
        <w:spacing w:line="360" w:lineRule="auto"/>
        <w:ind w:firstLine="482" w:firstLineChars="200"/>
        <w:jc w:val="left"/>
        <w:outlineLvl w:val="0"/>
        <w:rPr>
          <w:rFonts w:ascii="宋体" w:hAnsi="宋体"/>
          <w:b/>
          <w:bCs/>
          <w:color w:val="auto"/>
          <w:kern w:val="0"/>
          <w:sz w:val="24"/>
          <w:szCs w:val="32"/>
          <w:highlight w:val="none"/>
        </w:rPr>
      </w:pPr>
      <w:bookmarkStart w:id="288" w:name="_Toc422322537"/>
      <w:bookmarkStart w:id="289" w:name="_Toc419045113"/>
      <w:r>
        <w:rPr>
          <w:rFonts w:hint="eastAsia" w:ascii="宋体" w:hAnsi="宋体"/>
          <w:b/>
          <w:bCs/>
          <w:color w:val="auto"/>
          <w:kern w:val="0"/>
          <w:sz w:val="24"/>
          <w:szCs w:val="32"/>
          <w:highlight w:val="none"/>
        </w:rPr>
        <w:t>4. 违约责任</w:t>
      </w:r>
      <w:bookmarkEnd w:id="288"/>
      <w:bookmarkEnd w:id="289"/>
    </w:p>
    <w:p w14:paraId="4EA8E0D0">
      <w:pPr>
        <w:widowControl/>
        <w:spacing w:before="60" w:after="60" w:line="312" w:lineRule="auto"/>
        <w:ind w:firstLine="480" w:firstLineChars="200"/>
        <w:jc w:val="left"/>
        <w:outlineLvl w:val="1"/>
        <w:rPr>
          <w:rFonts w:ascii="宋体" w:hAnsi="宋体"/>
          <w:b/>
          <w:bCs/>
          <w:color w:val="auto"/>
          <w:kern w:val="28"/>
          <w:sz w:val="24"/>
          <w:highlight w:val="none"/>
        </w:rPr>
      </w:pPr>
      <w:bookmarkStart w:id="290" w:name="_Toc422322538"/>
      <w:r>
        <w:rPr>
          <w:rFonts w:hint="eastAsia" w:ascii="宋体" w:hAnsi="宋体"/>
          <w:color w:val="auto"/>
          <w:kern w:val="28"/>
          <w:sz w:val="24"/>
          <w:highlight w:val="none"/>
        </w:rPr>
        <w:t>4.1委托人的违约责任</w:t>
      </w:r>
      <w:bookmarkEnd w:id="290"/>
    </w:p>
    <w:p w14:paraId="351ED5A0">
      <w:pPr>
        <w:widowControl/>
        <w:spacing w:line="360" w:lineRule="auto"/>
        <w:ind w:firstLine="480"/>
        <w:jc w:val="left"/>
        <w:rPr>
          <w:rFonts w:ascii="宋体" w:hAnsi="宋体"/>
          <w:color w:val="auto"/>
          <w:kern w:val="0"/>
          <w:sz w:val="24"/>
          <w:highlight w:val="none"/>
        </w:rPr>
      </w:pPr>
      <w:r>
        <w:rPr>
          <w:rFonts w:hint="eastAsia" w:ascii="宋体" w:hAnsi="宋体"/>
          <w:color w:val="auto"/>
          <w:kern w:val="0"/>
          <w:sz w:val="24"/>
          <w:highlight w:val="none"/>
        </w:rPr>
        <w:t>4.1.1委托人违约金的计算及支付方法：</w:t>
      </w:r>
      <w:r>
        <w:rPr>
          <w:rFonts w:hint="eastAsia" w:ascii="宋体" w:hAnsi="宋体" w:cs="宋体"/>
          <w:color w:val="auto"/>
          <w:kern w:val="0"/>
          <w:sz w:val="24"/>
          <w:highlight w:val="none"/>
          <w:u w:val="single"/>
        </w:rPr>
        <w:t>双方协商一致后以书面形式确定</w:t>
      </w:r>
      <w:r>
        <w:rPr>
          <w:rFonts w:hint="eastAsia" w:ascii="宋体" w:hAnsi="宋体"/>
          <w:color w:val="auto"/>
          <w:kern w:val="0"/>
          <w:sz w:val="24"/>
          <w:highlight w:val="none"/>
        </w:rPr>
        <w:t>。</w:t>
      </w:r>
    </w:p>
    <w:p w14:paraId="5DD0C787">
      <w:pPr>
        <w:widowControl/>
        <w:spacing w:line="360" w:lineRule="auto"/>
        <w:ind w:firstLine="480"/>
        <w:jc w:val="left"/>
        <w:rPr>
          <w:rFonts w:ascii="宋体" w:hAnsi="宋体"/>
          <w:color w:val="auto"/>
          <w:kern w:val="0"/>
          <w:sz w:val="24"/>
          <w:highlight w:val="none"/>
        </w:rPr>
      </w:pPr>
      <w:r>
        <w:rPr>
          <w:rFonts w:hint="eastAsia" w:ascii="宋体" w:hAnsi="宋体"/>
          <w:color w:val="auto"/>
          <w:kern w:val="0"/>
          <w:sz w:val="24"/>
          <w:highlight w:val="none"/>
        </w:rPr>
        <w:t>4.1.2委托人赔偿金额按下列方法确定并支付：</w:t>
      </w:r>
      <w:r>
        <w:rPr>
          <w:rFonts w:hint="eastAsia" w:ascii="宋体" w:hAnsi="宋体" w:cs="宋体"/>
          <w:color w:val="auto"/>
          <w:kern w:val="0"/>
          <w:sz w:val="24"/>
          <w:highlight w:val="none"/>
          <w:u w:val="single"/>
        </w:rPr>
        <w:t>双方协商一致后以书面形式确定</w:t>
      </w:r>
      <w:r>
        <w:rPr>
          <w:rFonts w:hint="eastAsia" w:ascii="宋体" w:hAnsi="宋体"/>
          <w:color w:val="auto"/>
          <w:kern w:val="0"/>
          <w:sz w:val="24"/>
          <w:highlight w:val="none"/>
        </w:rPr>
        <w:t>。</w:t>
      </w:r>
    </w:p>
    <w:p w14:paraId="59941F7D">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4.1.3 委托人逾期付款利息按下列方法计算并支付：</w:t>
      </w:r>
      <w:r>
        <w:rPr>
          <w:rFonts w:hint="eastAsia" w:ascii="宋体" w:hAnsi="宋体"/>
          <w:color w:val="auto"/>
          <w:kern w:val="0"/>
          <w:sz w:val="24"/>
          <w:highlight w:val="none"/>
          <w:u w:val="single"/>
        </w:rPr>
        <w:t>无</w:t>
      </w:r>
      <w:r>
        <w:rPr>
          <w:rFonts w:hint="eastAsia" w:ascii="宋体" w:hAnsi="宋体"/>
          <w:color w:val="auto"/>
          <w:kern w:val="0"/>
          <w:sz w:val="24"/>
          <w:highlight w:val="none"/>
        </w:rPr>
        <w:t>。</w:t>
      </w:r>
    </w:p>
    <w:p w14:paraId="0BB84E65">
      <w:pPr>
        <w:widowControl/>
        <w:spacing w:before="60" w:after="60" w:line="312" w:lineRule="auto"/>
        <w:ind w:firstLine="480" w:firstLineChars="200"/>
        <w:jc w:val="left"/>
        <w:outlineLvl w:val="1"/>
        <w:rPr>
          <w:rFonts w:ascii="宋体" w:hAnsi="宋体"/>
          <w:bCs/>
          <w:color w:val="auto"/>
          <w:kern w:val="28"/>
          <w:sz w:val="24"/>
          <w:highlight w:val="none"/>
        </w:rPr>
      </w:pPr>
      <w:bookmarkStart w:id="291" w:name="_Toc422322539"/>
      <w:bookmarkStart w:id="292" w:name="_Toc419045114"/>
      <w:r>
        <w:rPr>
          <w:rFonts w:hint="eastAsia" w:ascii="宋体" w:hAnsi="宋体"/>
          <w:bCs/>
          <w:color w:val="auto"/>
          <w:kern w:val="28"/>
          <w:sz w:val="24"/>
          <w:highlight w:val="none"/>
        </w:rPr>
        <w:t>4.2咨询人</w:t>
      </w:r>
      <w:r>
        <w:rPr>
          <w:rFonts w:ascii="宋体" w:hAnsi="宋体"/>
          <w:bCs/>
          <w:color w:val="auto"/>
          <w:kern w:val="28"/>
          <w:sz w:val="24"/>
          <w:highlight w:val="none"/>
        </w:rPr>
        <w:t>的违约责任</w:t>
      </w:r>
      <w:bookmarkEnd w:id="291"/>
    </w:p>
    <w:bookmarkEnd w:id="292"/>
    <w:p w14:paraId="7CFFBB84">
      <w:pPr>
        <w:widowControl/>
        <w:spacing w:line="360" w:lineRule="auto"/>
        <w:ind w:firstLine="480"/>
        <w:jc w:val="left"/>
        <w:rPr>
          <w:rFonts w:ascii="宋体" w:hAnsi="宋体"/>
          <w:color w:val="auto"/>
          <w:kern w:val="0"/>
          <w:sz w:val="24"/>
          <w:highlight w:val="none"/>
        </w:rPr>
      </w:pPr>
      <w:r>
        <w:rPr>
          <w:rFonts w:hint="eastAsia" w:ascii="宋体" w:hAnsi="宋体"/>
          <w:color w:val="auto"/>
          <w:kern w:val="0"/>
          <w:sz w:val="24"/>
          <w:highlight w:val="none"/>
        </w:rPr>
        <w:t>4.2.1咨询人违约金的计算及支付方法：</w:t>
      </w:r>
      <w:r>
        <w:rPr>
          <w:rFonts w:hint="eastAsia" w:ascii="宋体" w:hAnsi="宋体" w:cs="宋体"/>
          <w:color w:val="auto"/>
          <w:kern w:val="0"/>
          <w:sz w:val="24"/>
          <w:highlight w:val="none"/>
          <w:u w:val="single"/>
        </w:rPr>
        <w:t>双方协商一致后以书面形式确定</w:t>
      </w:r>
      <w:r>
        <w:rPr>
          <w:rFonts w:hint="eastAsia" w:ascii="宋体" w:hAnsi="宋体"/>
          <w:color w:val="auto"/>
          <w:kern w:val="0"/>
          <w:sz w:val="24"/>
          <w:highlight w:val="none"/>
        </w:rPr>
        <w:t>。</w:t>
      </w:r>
    </w:p>
    <w:p w14:paraId="294D31D4">
      <w:pPr>
        <w:widowControl/>
        <w:spacing w:line="360" w:lineRule="auto"/>
        <w:ind w:firstLine="480"/>
        <w:jc w:val="left"/>
        <w:rPr>
          <w:rFonts w:ascii="宋体" w:hAnsi="宋体"/>
          <w:color w:val="auto"/>
          <w:kern w:val="0"/>
          <w:sz w:val="24"/>
          <w:highlight w:val="none"/>
        </w:rPr>
      </w:pPr>
      <w:r>
        <w:rPr>
          <w:rFonts w:hint="eastAsia" w:ascii="宋体" w:hAnsi="宋体"/>
          <w:color w:val="auto"/>
          <w:kern w:val="0"/>
          <w:sz w:val="24"/>
          <w:highlight w:val="none"/>
        </w:rPr>
        <w:t>4.2.2 咨询人赔偿金额按下列方法确定并支付：</w:t>
      </w:r>
      <w:r>
        <w:rPr>
          <w:rFonts w:hint="eastAsia" w:ascii="宋体" w:hAnsi="宋体" w:cs="宋体"/>
          <w:color w:val="auto"/>
          <w:kern w:val="0"/>
          <w:sz w:val="24"/>
          <w:highlight w:val="none"/>
          <w:u w:val="single"/>
        </w:rPr>
        <w:t>双方协商一致后以书面形式确定</w:t>
      </w:r>
      <w:r>
        <w:rPr>
          <w:rFonts w:hint="eastAsia" w:ascii="宋体" w:hAnsi="宋体"/>
          <w:color w:val="auto"/>
          <w:kern w:val="0"/>
          <w:sz w:val="24"/>
          <w:highlight w:val="none"/>
        </w:rPr>
        <w:t>。</w:t>
      </w:r>
    </w:p>
    <w:p w14:paraId="61FA790F">
      <w:pPr>
        <w:widowControl/>
        <w:spacing w:line="360" w:lineRule="auto"/>
        <w:ind w:firstLine="482" w:firstLineChars="200"/>
        <w:jc w:val="left"/>
        <w:outlineLvl w:val="0"/>
        <w:rPr>
          <w:rFonts w:ascii="宋体" w:hAnsi="宋体"/>
          <w:b/>
          <w:bCs/>
          <w:color w:val="auto"/>
          <w:kern w:val="0"/>
          <w:sz w:val="24"/>
          <w:szCs w:val="32"/>
          <w:highlight w:val="none"/>
        </w:rPr>
      </w:pPr>
      <w:bookmarkStart w:id="293" w:name="_Toc419045115"/>
      <w:bookmarkStart w:id="294" w:name="_Toc422322540"/>
      <w:r>
        <w:rPr>
          <w:rFonts w:hint="eastAsia" w:ascii="宋体" w:hAnsi="宋体"/>
          <w:b/>
          <w:bCs/>
          <w:color w:val="auto"/>
          <w:kern w:val="0"/>
          <w:sz w:val="24"/>
          <w:szCs w:val="32"/>
          <w:highlight w:val="none"/>
        </w:rPr>
        <w:t>5. 支付</w:t>
      </w:r>
      <w:bookmarkEnd w:id="293"/>
      <w:bookmarkEnd w:id="294"/>
    </w:p>
    <w:p w14:paraId="721ADBE0">
      <w:pPr>
        <w:widowControl/>
        <w:spacing w:line="360" w:lineRule="auto"/>
        <w:ind w:firstLine="480" w:firstLineChars="200"/>
        <w:jc w:val="left"/>
        <w:rPr>
          <w:rFonts w:ascii="宋体" w:hAnsi="宋体"/>
          <w:bCs/>
          <w:color w:val="auto"/>
          <w:kern w:val="28"/>
          <w:sz w:val="24"/>
          <w:highlight w:val="none"/>
        </w:rPr>
      </w:pPr>
      <w:bookmarkStart w:id="295" w:name="_Toc422322541"/>
      <w:bookmarkStart w:id="296" w:name="_Toc419045116"/>
      <w:r>
        <w:rPr>
          <w:rFonts w:hint="eastAsia" w:ascii="宋体" w:hAnsi="宋体"/>
          <w:bCs/>
          <w:color w:val="auto"/>
          <w:kern w:val="28"/>
          <w:sz w:val="24"/>
          <w:highlight w:val="none"/>
        </w:rPr>
        <w:t>5.1支付货币</w:t>
      </w:r>
      <w:bookmarkEnd w:id="295"/>
      <w:bookmarkEnd w:id="296"/>
    </w:p>
    <w:p w14:paraId="7443D9B8">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币种为：</w:t>
      </w:r>
      <w:r>
        <w:rPr>
          <w:rFonts w:hint="eastAsia" w:ascii="宋体" w:hAnsi="宋体"/>
          <w:color w:val="auto"/>
          <w:kern w:val="0"/>
          <w:sz w:val="24"/>
          <w:highlight w:val="none"/>
          <w:u w:val="single"/>
        </w:rPr>
        <w:t>人民币</w:t>
      </w:r>
      <w:r>
        <w:rPr>
          <w:rFonts w:hint="eastAsia" w:ascii="宋体" w:hAnsi="宋体"/>
          <w:color w:val="auto"/>
          <w:kern w:val="0"/>
          <w:sz w:val="24"/>
          <w:highlight w:val="none"/>
        </w:rPr>
        <w:t>，汇率为：</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，其他约定：</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w:t>
      </w:r>
    </w:p>
    <w:p w14:paraId="0FC68B8E">
      <w:pPr>
        <w:widowControl/>
        <w:spacing w:line="360" w:lineRule="auto"/>
        <w:ind w:firstLine="480" w:firstLineChars="200"/>
        <w:jc w:val="left"/>
        <w:rPr>
          <w:rFonts w:ascii="宋体" w:hAnsi="宋体"/>
          <w:bCs/>
          <w:color w:val="auto"/>
          <w:kern w:val="28"/>
          <w:sz w:val="24"/>
          <w:highlight w:val="none"/>
        </w:rPr>
      </w:pPr>
      <w:bookmarkStart w:id="297" w:name="_Toc422322542"/>
      <w:bookmarkStart w:id="298" w:name="_Toc419045117"/>
      <w:r>
        <w:rPr>
          <w:rFonts w:hint="eastAsia" w:ascii="宋体" w:hAnsi="宋体"/>
          <w:bCs/>
          <w:color w:val="auto"/>
          <w:kern w:val="28"/>
          <w:sz w:val="24"/>
          <w:highlight w:val="none"/>
        </w:rPr>
        <w:t>5.2 支付申请</w:t>
      </w:r>
      <w:bookmarkEnd w:id="297"/>
      <w:bookmarkEnd w:id="298"/>
    </w:p>
    <w:p w14:paraId="407C258A">
      <w:pPr>
        <w:widowControl/>
        <w:spacing w:line="360" w:lineRule="auto"/>
        <w:ind w:firstLine="480" w:firstLineChars="200"/>
        <w:jc w:val="left"/>
        <w:rPr>
          <w:rFonts w:ascii="宋体" w:hAnsi="宋体" w:cs="宋体"/>
          <w:color w:val="auto"/>
          <w:kern w:val="0"/>
          <w:sz w:val="24"/>
          <w:highlight w:val="none"/>
          <w:u w:val="single"/>
        </w:rPr>
      </w:pPr>
      <w:r>
        <w:rPr>
          <w:rFonts w:hint="eastAsia" w:ascii="宋体" w:hAnsi="宋体" w:cs="宋体"/>
          <w:color w:val="auto"/>
          <w:kern w:val="0"/>
          <w:sz w:val="24"/>
          <w:highlight w:val="none"/>
          <w:u w:val="single"/>
        </w:rPr>
        <w:t>按协议书的服务范围及工作内容执行</w:t>
      </w:r>
      <w:r>
        <w:rPr>
          <w:rFonts w:ascii="宋体" w:hAnsi="宋体" w:cs="宋体"/>
          <w:color w:val="auto"/>
          <w:kern w:val="0"/>
          <w:sz w:val="24"/>
          <w:highlight w:val="none"/>
        </w:rPr>
        <w:t>。</w:t>
      </w:r>
    </w:p>
    <w:p w14:paraId="2683E5F3">
      <w:pPr>
        <w:widowControl/>
        <w:spacing w:line="360" w:lineRule="auto"/>
        <w:ind w:firstLine="480" w:firstLineChars="200"/>
        <w:jc w:val="left"/>
        <w:rPr>
          <w:rFonts w:ascii="宋体" w:hAnsi="宋体"/>
          <w:bCs/>
          <w:color w:val="auto"/>
          <w:kern w:val="28"/>
          <w:sz w:val="24"/>
          <w:highlight w:val="none"/>
        </w:rPr>
      </w:pPr>
      <w:bookmarkStart w:id="299" w:name="_Toc422322543"/>
      <w:bookmarkStart w:id="300" w:name="_Toc419045118"/>
      <w:r>
        <w:rPr>
          <w:rFonts w:hint="eastAsia" w:ascii="宋体" w:hAnsi="宋体"/>
          <w:bCs/>
          <w:color w:val="auto"/>
          <w:kern w:val="28"/>
          <w:sz w:val="24"/>
          <w:highlight w:val="none"/>
        </w:rPr>
        <w:t>5.3支付酬金</w:t>
      </w:r>
      <w:bookmarkEnd w:id="299"/>
      <w:bookmarkEnd w:id="300"/>
    </w:p>
    <w:p w14:paraId="71D0347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正常工作酬金的支付：</w:t>
      </w:r>
      <w:r>
        <w:rPr>
          <w:rFonts w:hint="eastAsia" w:ascii="宋体" w:hAnsi="宋体" w:cs="宋体"/>
          <w:color w:val="auto"/>
          <w:kern w:val="0"/>
          <w:sz w:val="24"/>
          <w:highlight w:val="none"/>
          <w:u w:val="single"/>
        </w:rPr>
        <w:t>按协议书的服务范围及工作内容执行</w:t>
      </w:r>
      <w:r>
        <w:rPr>
          <w:rFonts w:hint="eastAsia" w:ascii="宋体" w:hAnsi="宋体" w:cs="宋体"/>
          <w:color w:val="auto"/>
          <w:kern w:val="0"/>
          <w:sz w:val="24"/>
          <w:highlight w:val="none"/>
        </w:rPr>
        <w:t>。</w:t>
      </w:r>
    </w:p>
    <w:p w14:paraId="678BF8DC">
      <w:pPr>
        <w:widowControl/>
        <w:spacing w:line="360" w:lineRule="auto"/>
        <w:ind w:firstLine="482" w:firstLineChars="200"/>
        <w:jc w:val="left"/>
        <w:outlineLvl w:val="0"/>
        <w:rPr>
          <w:rFonts w:ascii="宋体" w:hAnsi="宋体"/>
          <w:b/>
          <w:bCs/>
          <w:color w:val="auto"/>
          <w:kern w:val="0"/>
          <w:sz w:val="24"/>
          <w:szCs w:val="32"/>
          <w:highlight w:val="none"/>
        </w:rPr>
      </w:pPr>
      <w:bookmarkStart w:id="301" w:name="_Toc419045119"/>
      <w:bookmarkStart w:id="302" w:name="_Toc422322544"/>
      <w:r>
        <w:rPr>
          <w:rFonts w:hint="eastAsia" w:ascii="宋体" w:hAnsi="宋体"/>
          <w:b/>
          <w:bCs/>
          <w:color w:val="auto"/>
          <w:kern w:val="0"/>
          <w:sz w:val="24"/>
          <w:szCs w:val="32"/>
          <w:highlight w:val="none"/>
        </w:rPr>
        <w:t>6. 合同变更、解除与终止</w:t>
      </w:r>
      <w:bookmarkEnd w:id="301"/>
      <w:bookmarkEnd w:id="302"/>
    </w:p>
    <w:p w14:paraId="3E33972E">
      <w:pPr>
        <w:widowControl/>
        <w:spacing w:line="360" w:lineRule="auto"/>
        <w:ind w:firstLine="480" w:firstLineChars="200"/>
        <w:jc w:val="left"/>
        <w:rPr>
          <w:rFonts w:ascii="宋体" w:hAnsi="宋体"/>
          <w:bCs/>
          <w:color w:val="auto"/>
          <w:kern w:val="28"/>
          <w:sz w:val="24"/>
          <w:highlight w:val="none"/>
        </w:rPr>
      </w:pPr>
      <w:bookmarkStart w:id="303" w:name="_Toc422322545"/>
      <w:bookmarkStart w:id="304" w:name="_Toc419045120"/>
      <w:r>
        <w:rPr>
          <w:rFonts w:hint="eastAsia" w:ascii="宋体" w:hAnsi="宋体"/>
          <w:bCs/>
          <w:color w:val="auto"/>
          <w:kern w:val="28"/>
          <w:sz w:val="24"/>
          <w:highlight w:val="none"/>
        </w:rPr>
        <w:t>6.1合同变更</w:t>
      </w:r>
      <w:bookmarkEnd w:id="303"/>
      <w:bookmarkEnd w:id="304"/>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6.1.2 除不可抗力外，因非咨询人原因导致本合同履行期限延长、内容增加时，附加工作酬金按下列方法确定：</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 xml:space="preserve">。 </w:t>
      </w:r>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6.1.4因工程规模、服务范围及内容的变化等导致咨询人的工作量增减时，服务酬金的调整方法：</w:t>
      </w:r>
      <w:r>
        <w:rPr>
          <w:rFonts w:hint="eastAsia" w:ascii="宋体" w:hAnsi="宋体"/>
          <w:color w:val="auto"/>
          <w:kern w:val="0"/>
          <w:sz w:val="24"/>
          <w:highlight w:val="none"/>
          <w:u w:val="single"/>
        </w:rPr>
        <w:t>双方协商一致后以书面形式确定</w:t>
      </w:r>
      <w:r>
        <w:rPr>
          <w:rFonts w:hint="eastAsia" w:ascii="宋体" w:hAnsi="宋体"/>
          <w:color w:val="auto"/>
          <w:kern w:val="0"/>
          <w:sz w:val="24"/>
          <w:highlight w:val="none"/>
        </w:rPr>
        <w:t>。</w:t>
      </w:r>
    </w:p>
    <w:p w14:paraId="574E22F9">
      <w:pPr>
        <w:widowControl/>
        <w:spacing w:before="60" w:after="60" w:line="312" w:lineRule="auto"/>
        <w:ind w:firstLine="480" w:firstLineChars="200"/>
        <w:jc w:val="left"/>
        <w:outlineLvl w:val="1"/>
        <w:rPr>
          <w:rFonts w:ascii="宋体" w:hAnsi="宋体"/>
          <w:bCs/>
          <w:color w:val="auto"/>
          <w:kern w:val="28"/>
          <w:sz w:val="24"/>
          <w:highlight w:val="none"/>
        </w:rPr>
      </w:pPr>
      <w:bookmarkStart w:id="305" w:name="_Toc422322546"/>
      <w:r>
        <w:rPr>
          <w:rFonts w:hint="eastAsia" w:ascii="宋体" w:hAnsi="宋体"/>
          <w:bCs/>
          <w:color w:val="auto"/>
          <w:kern w:val="28"/>
          <w:sz w:val="24"/>
          <w:highlight w:val="none"/>
        </w:rPr>
        <w:t>6.2合同解除</w:t>
      </w:r>
      <w:bookmarkEnd w:id="305"/>
    </w:p>
    <w:p w14:paraId="4F3F76F9">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6.2.2双方约定解除合同的条件还包括：</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 xml:space="preserve">。 </w:t>
      </w:r>
    </w:p>
    <w:p w14:paraId="700AAE6C">
      <w:pPr>
        <w:widowControl/>
        <w:spacing w:line="360" w:lineRule="auto"/>
        <w:ind w:firstLine="480" w:firstLineChars="200"/>
        <w:jc w:val="left"/>
        <w:rPr>
          <w:rFonts w:ascii="宋体" w:hAnsi="宋体"/>
          <w:color w:val="auto"/>
          <w:kern w:val="0"/>
          <w:sz w:val="24"/>
          <w:highlight w:val="none"/>
          <w:u w:val="single"/>
        </w:rPr>
      </w:pPr>
      <w:r>
        <w:rPr>
          <w:rFonts w:hint="eastAsia" w:ascii="宋体" w:hAnsi="宋体"/>
          <w:color w:val="auto"/>
          <w:kern w:val="0"/>
          <w:sz w:val="24"/>
          <w:highlight w:val="none"/>
        </w:rPr>
        <w:t>6.2.4因不可抗力导致的合同解除，双方约定损失的分担如下：</w:t>
      </w:r>
      <w:r>
        <w:rPr>
          <w:rFonts w:hint="eastAsia" w:ascii="宋体" w:hAnsi="宋体"/>
          <w:color w:val="auto"/>
          <w:kern w:val="0"/>
          <w:sz w:val="24"/>
          <w:highlight w:val="none"/>
          <w:u w:val="single"/>
        </w:rPr>
        <w:t xml:space="preserve"> </w:t>
      </w:r>
      <w:r>
        <w:rPr>
          <w:rFonts w:ascii="宋体" w:hAnsi="宋体"/>
          <w:color w:val="auto"/>
          <w:kern w:val="0"/>
          <w:sz w:val="24"/>
          <w:highlight w:val="none"/>
          <w:u w:val="single"/>
        </w:rPr>
        <w:t>/</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 xml:space="preserve">。 </w:t>
      </w:r>
    </w:p>
    <w:p w14:paraId="5606DE00">
      <w:pPr>
        <w:widowControl/>
        <w:spacing w:line="360" w:lineRule="auto"/>
        <w:ind w:firstLine="482" w:firstLineChars="200"/>
        <w:jc w:val="left"/>
        <w:outlineLvl w:val="0"/>
        <w:rPr>
          <w:rFonts w:ascii="宋体" w:hAnsi="宋体"/>
          <w:b/>
          <w:bCs/>
          <w:color w:val="auto"/>
          <w:kern w:val="0"/>
          <w:sz w:val="24"/>
          <w:szCs w:val="32"/>
          <w:highlight w:val="none"/>
        </w:rPr>
      </w:pPr>
      <w:bookmarkStart w:id="306" w:name="_Toc422322547"/>
      <w:bookmarkStart w:id="307" w:name="_Toc419045121"/>
      <w:r>
        <w:rPr>
          <w:rFonts w:hint="eastAsia" w:ascii="宋体" w:hAnsi="宋体"/>
          <w:b/>
          <w:bCs/>
          <w:color w:val="auto"/>
          <w:kern w:val="0"/>
          <w:sz w:val="24"/>
          <w:szCs w:val="32"/>
          <w:highlight w:val="none"/>
        </w:rPr>
        <w:t>7. 争议解决</w:t>
      </w:r>
      <w:bookmarkEnd w:id="306"/>
      <w:bookmarkEnd w:id="307"/>
    </w:p>
    <w:p w14:paraId="5D03CFF1">
      <w:pPr>
        <w:widowControl/>
        <w:spacing w:line="360" w:lineRule="auto"/>
        <w:ind w:firstLine="480"/>
        <w:jc w:val="left"/>
        <w:rPr>
          <w:rFonts w:ascii="宋体" w:hAnsi="宋体"/>
          <w:bCs/>
          <w:color w:val="auto"/>
          <w:kern w:val="28"/>
          <w:sz w:val="24"/>
          <w:highlight w:val="none"/>
        </w:rPr>
      </w:pPr>
      <w:bookmarkStart w:id="308" w:name="_Toc422322548"/>
      <w:bookmarkStart w:id="309" w:name="_Toc419045122"/>
      <w:r>
        <w:rPr>
          <w:rFonts w:hint="eastAsia" w:ascii="宋体" w:hAnsi="宋体"/>
          <w:bCs/>
          <w:color w:val="auto"/>
          <w:kern w:val="28"/>
          <w:sz w:val="24"/>
          <w:highlight w:val="none"/>
        </w:rPr>
        <w:t>7.2调解</w:t>
      </w:r>
      <w:bookmarkEnd w:id="308"/>
      <w:bookmarkEnd w:id="309"/>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如果双方不能在</w:t>
      </w:r>
      <w:r>
        <w:rPr>
          <w:rFonts w:hint="eastAsia" w:ascii="宋体" w:hAnsi="宋体"/>
          <w:color w:val="auto"/>
          <w:kern w:val="0"/>
          <w:sz w:val="24"/>
          <w:highlight w:val="none"/>
          <w:u w:val="single"/>
        </w:rPr>
        <w:t xml:space="preserve"> /  </w:t>
      </w:r>
      <w:r>
        <w:rPr>
          <w:rFonts w:ascii="宋体" w:hAnsi="宋体"/>
          <w:color w:val="auto"/>
          <w:kern w:val="0"/>
          <w:sz w:val="24"/>
          <w:highlight w:val="none"/>
        </w:rPr>
        <w:t>日内解决本合同争议，可以将其提交</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进行调解。</w:t>
      </w:r>
    </w:p>
    <w:p w14:paraId="40950D7A">
      <w:pPr>
        <w:widowControl/>
        <w:spacing w:before="60" w:after="60" w:line="312" w:lineRule="auto"/>
        <w:ind w:firstLine="480" w:firstLineChars="200"/>
        <w:jc w:val="left"/>
        <w:outlineLvl w:val="1"/>
        <w:rPr>
          <w:rFonts w:ascii="宋体" w:hAnsi="宋体"/>
          <w:bCs/>
          <w:color w:val="auto"/>
          <w:kern w:val="28"/>
          <w:sz w:val="24"/>
          <w:highlight w:val="none"/>
        </w:rPr>
      </w:pPr>
      <w:bookmarkStart w:id="310" w:name="_Toc422322549"/>
      <w:r>
        <w:rPr>
          <w:rFonts w:hint="eastAsia" w:ascii="宋体" w:hAnsi="宋体"/>
          <w:bCs/>
          <w:color w:val="auto"/>
          <w:kern w:val="28"/>
          <w:sz w:val="24"/>
          <w:highlight w:val="none"/>
        </w:rPr>
        <w:t>7.3仲裁</w:t>
      </w:r>
      <w:r>
        <w:rPr>
          <w:rFonts w:ascii="宋体" w:hAnsi="宋体"/>
          <w:bCs/>
          <w:color w:val="auto"/>
          <w:kern w:val="28"/>
          <w:sz w:val="24"/>
          <w:highlight w:val="none"/>
        </w:rPr>
        <w:t>或诉讼</w:t>
      </w:r>
      <w:bookmarkEnd w:id="310"/>
    </w:p>
    <w:p w14:paraId="083456A1">
      <w:pPr>
        <w:widowControl/>
        <w:spacing w:line="360" w:lineRule="auto"/>
        <w:ind w:firstLine="480"/>
        <w:jc w:val="left"/>
        <w:rPr>
          <w:rFonts w:ascii="宋体" w:hAnsi="宋体"/>
          <w:color w:val="auto"/>
          <w:kern w:val="0"/>
          <w:sz w:val="24"/>
          <w:highlight w:val="none"/>
        </w:rPr>
      </w:pPr>
      <w:r>
        <w:rPr>
          <w:rFonts w:hint="eastAsia" w:ascii="宋体" w:hAnsi="宋体"/>
          <w:color w:val="auto"/>
          <w:kern w:val="0"/>
          <w:sz w:val="24"/>
          <w:highlight w:val="none"/>
        </w:rPr>
        <w:t>合同争议的最终解决方式为下列第</w:t>
      </w:r>
      <w:r>
        <w:rPr>
          <w:rFonts w:hint="eastAsia" w:ascii="宋体" w:hAnsi="宋体"/>
          <w:color w:val="auto"/>
          <w:kern w:val="0"/>
          <w:sz w:val="24"/>
          <w:highlight w:val="none"/>
          <w:u w:val="single"/>
        </w:rPr>
        <w:t xml:space="preserve">  2  </w:t>
      </w:r>
      <w:r>
        <w:rPr>
          <w:rFonts w:hint="eastAsia" w:ascii="宋体" w:hAnsi="宋体"/>
          <w:color w:val="auto"/>
          <w:kern w:val="0"/>
          <w:sz w:val="24"/>
          <w:highlight w:val="none"/>
        </w:rPr>
        <w:t>种方式：</w:t>
      </w:r>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（1）提请</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仲裁委员会进行仲裁。</w:t>
      </w:r>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（2）向</w:t>
      </w:r>
      <w:r>
        <w:rPr>
          <w:rFonts w:hint="eastAsia" w:ascii="宋体" w:hAnsi="宋体"/>
          <w:color w:val="auto"/>
          <w:kern w:val="0"/>
          <w:sz w:val="24"/>
          <w:highlight w:val="none"/>
          <w:u w:val="single"/>
        </w:rPr>
        <w:t>委托人所在地的</w:t>
      </w:r>
      <w:r>
        <w:rPr>
          <w:rFonts w:hint="eastAsia" w:ascii="宋体" w:hAnsi="宋体"/>
          <w:color w:val="auto"/>
          <w:kern w:val="0"/>
          <w:sz w:val="24"/>
          <w:highlight w:val="none"/>
        </w:rPr>
        <w:t>人民法院提起诉讼。</w:t>
      </w:r>
    </w:p>
    <w:p w14:paraId="3B4C116A">
      <w:pPr>
        <w:widowControl/>
        <w:spacing w:line="360" w:lineRule="auto"/>
        <w:ind w:firstLine="482" w:firstLineChars="200"/>
        <w:jc w:val="left"/>
        <w:rPr>
          <w:rFonts w:ascii="宋体" w:hAnsi="宋体"/>
          <w:bCs/>
          <w:color w:val="auto"/>
          <w:kern w:val="28"/>
          <w:sz w:val="24"/>
          <w:highlight w:val="none"/>
        </w:rPr>
      </w:pPr>
      <w:bookmarkStart w:id="311" w:name="_Toc419045123"/>
      <w:bookmarkStart w:id="312" w:name="_Toc422322550"/>
      <w:r>
        <w:rPr>
          <w:rFonts w:hint="eastAsia" w:ascii="宋体" w:hAnsi="宋体" w:cs="宋体"/>
          <w:b/>
          <w:bCs/>
          <w:color w:val="auto"/>
          <w:kern w:val="0"/>
          <w:sz w:val="24"/>
          <w:szCs w:val="32"/>
          <w:highlight w:val="none"/>
        </w:rPr>
        <w:t>8. 其他</w:t>
      </w:r>
      <w:bookmarkEnd w:id="311"/>
      <w:bookmarkEnd w:id="312"/>
    </w:p>
    <w:p w14:paraId="2BE50B4A">
      <w:pPr>
        <w:widowControl/>
        <w:spacing w:before="60" w:after="60" w:line="312" w:lineRule="auto"/>
        <w:ind w:firstLine="480" w:firstLineChars="200"/>
        <w:jc w:val="left"/>
        <w:outlineLvl w:val="1"/>
        <w:rPr>
          <w:rFonts w:ascii="宋体" w:hAnsi="宋体"/>
          <w:bCs/>
          <w:color w:val="auto"/>
          <w:kern w:val="28"/>
          <w:sz w:val="24"/>
          <w:highlight w:val="none"/>
        </w:rPr>
      </w:pPr>
      <w:bookmarkStart w:id="313" w:name="_Toc422322551"/>
      <w:r>
        <w:rPr>
          <w:rFonts w:hint="eastAsia" w:ascii="宋体" w:hAnsi="宋体"/>
          <w:bCs/>
          <w:color w:val="auto"/>
          <w:kern w:val="28"/>
          <w:sz w:val="24"/>
          <w:highlight w:val="none"/>
        </w:rPr>
        <w:t>8.1考察</w:t>
      </w:r>
      <w:r>
        <w:rPr>
          <w:rFonts w:ascii="宋体" w:hAnsi="宋体"/>
          <w:bCs/>
          <w:color w:val="auto"/>
          <w:kern w:val="28"/>
          <w:sz w:val="24"/>
          <w:highlight w:val="none"/>
        </w:rPr>
        <w:t>及相关费用</w:t>
      </w:r>
      <w:bookmarkEnd w:id="313"/>
    </w:p>
    <w:p w14:paraId="7E006A72">
      <w:pPr>
        <w:widowControl/>
        <w:spacing w:line="360" w:lineRule="auto"/>
        <w:ind w:firstLine="480" w:firstLineChars="200"/>
        <w:jc w:val="left"/>
        <w:rPr>
          <w:rFonts w:ascii="宋体" w:hAnsi="宋体"/>
          <w:color w:val="auto"/>
          <w:kern w:val="0"/>
          <w:sz w:val="24"/>
          <w:highlight w:val="none"/>
        </w:rPr>
      </w:pPr>
      <w:r>
        <w:rPr>
          <w:rFonts w:hint="eastAsia" w:ascii="宋体" w:hAnsi="宋体"/>
          <w:color w:val="auto"/>
          <w:kern w:val="0"/>
          <w:sz w:val="24"/>
          <w:highlight w:val="none"/>
        </w:rPr>
        <w:t>咨询人经委托人同意进行考察发生的费用由</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支付。</w:t>
      </w:r>
    </w:p>
    <w:p w14:paraId="47AFB0D1">
      <w:pPr>
        <w:widowControl/>
        <w:spacing w:line="360" w:lineRule="auto"/>
        <w:ind w:firstLine="480" w:firstLineChars="200"/>
        <w:jc w:val="left"/>
        <w:rPr>
          <w:rFonts w:ascii="宋体" w:hAnsi="宋体"/>
          <w:bCs/>
          <w:color w:val="auto"/>
          <w:kern w:val="28"/>
          <w:sz w:val="24"/>
          <w:highlight w:val="none"/>
        </w:rPr>
      </w:pPr>
      <w:r>
        <w:rPr>
          <w:rFonts w:hint="eastAsia" w:ascii="宋体" w:hAnsi="宋体"/>
          <w:color w:val="auto"/>
          <w:kern w:val="0"/>
          <w:sz w:val="24"/>
          <w:highlight w:val="none"/>
        </w:rPr>
        <w:t>差旅费及相关费用的支付：</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 xml:space="preserve">。          </w:t>
      </w:r>
    </w:p>
    <w:p w14:paraId="2BA890F5">
      <w:pPr>
        <w:widowControl/>
        <w:spacing w:before="60" w:after="60" w:line="312" w:lineRule="auto"/>
        <w:ind w:firstLine="480" w:firstLineChars="200"/>
        <w:jc w:val="left"/>
        <w:outlineLvl w:val="1"/>
        <w:rPr>
          <w:rFonts w:ascii="宋体" w:hAnsi="宋体"/>
          <w:bCs/>
          <w:color w:val="auto"/>
          <w:kern w:val="28"/>
          <w:sz w:val="24"/>
          <w:highlight w:val="none"/>
        </w:rPr>
      </w:pPr>
      <w:bookmarkStart w:id="314" w:name="_Toc422322552"/>
      <w:r>
        <w:rPr>
          <w:rFonts w:hint="eastAsia" w:ascii="宋体" w:hAnsi="宋体"/>
          <w:bCs/>
          <w:color w:val="auto"/>
          <w:kern w:val="28"/>
          <w:sz w:val="24"/>
          <w:highlight w:val="none"/>
        </w:rPr>
        <w:t>8.2奖励</w:t>
      </w:r>
      <w:bookmarkEnd w:id="314"/>
    </w:p>
    <w:p w14:paraId="4275ED3B">
      <w:pPr>
        <w:widowControl/>
        <w:spacing w:line="360" w:lineRule="auto"/>
        <w:ind w:firstLine="480" w:firstLineChars="200"/>
        <w:jc w:val="left"/>
        <w:rPr>
          <w:rFonts w:ascii="宋体" w:hAnsi="宋体"/>
          <w:bCs/>
          <w:color w:val="auto"/>
          <w:kern w:val="28"/>
          <w:sz w:val="24"/>
          <w:highlight w:val="none"/>
        </w:rPr>
      </w:pPr>
      <w:r>
        <w:rPr>
          <w:rFonts w:hint="eastAsia" w:ascii="宋体" w:hAnsi="宋体"/>
          <w:color w:val="auto"/>
          <w:kern w:val="0"/>
          <w:sz w:val="24"/>
          <w:highlight w:val="none"/>
        </w:rPr>
        <w:t>合理化建议的奖励金额按下列方法确定：</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 xml:space="preserve">。 </w:t>
      </w:r>
    </w:p>
    <w:p w14:paraId="6EB8C884">
      <w:pPr>
        <w:widowControl/>
        <w:spacing w:before="60" w:after="60" w:line="312" w:lineRule="auto"/>
        <w:ind w:firstLine="480" w:firstLineChars="200"/>
        <w:jc w:val="left"/>
        <w:outlineLvl w:val="1"/>
        <w:rPr>
          <w:rFonts w:ascii="宋体" w:hAnsi="宋体"/>
          <w:bCs/>
          <w:color w:val="auto"/>
          <w:kern w:val="28"/>
          <w:sz w:val="24"/>
          <w:highlight w:val="none"/>
        </w:rPr>
      </w:pPr>
      <w:bookmarkStart w:id="315" w:name="_Toc422322553"/>
      <w:r>
        <w:rPr>
          <w:rFonts w:hint="eastAsia" w:ascii="宋体" w:hAnsi="宋体"/>
          <w:bCs/>
          <w:color w:val="auto"/>
          <w:kern w:val="28"/>
          <w:sz w:val="24"/>
          <w:highlight w:val="none"/>
        </w:rPr>
        <w:t>8.3保密</w:t>
      </w:r>
      <w:bookmarkEnd w:id="315"/>
    </w:p>
    <w:p w14:paraId="6CF42317">
      <w:pPr>
        <w:widowControl/>
        <w:spacing w:line="360" w:lineRule="auto"/>
        <w:ind w:firstLine="360" w:firstLineChars="150"/>
        <w:jc w:val="left"/>
        <w:rPr>
          <w:rFonts w:ascii="宋体" w:hAnsi="宋体"/>
          <w:color w:val="auto"/>
          <w:kern w:val="0"/>
          <w:sz w:val="24"/>
          <w:highlight w:val="none"/>
        </w:rPr>
      </w:pPr>
      <w:r>
        <w:rPr>
          <w:rFonts w:hint="eastAsia" w:ascii="宋体" w:hAnsi="宋体"/>
          <w:color w:val="auto"/>
          <w:kern w:val="0"/>
          <w:sz w:val="24"/>
          <w:highlight w:val="none"/>
        </w:rPr>
        <w:t xml:space="preserve"> 委托人申明的保密事项和期限：</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w:t>
      </w:r>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咨询人申明的保密事项和期限：</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 xml:space="preserve">。             </w:t>
      </w:r>
      <w:r>
        <w:rPr>
          <w:rFonts w:hint="eastAsia" w:ascii="宋体" w:hAnsi="宋体"/>
          <w:color w:val="auto"/>
          <w:kern w:val="0"/>
          <w:sz w:val="24"/>
          <w:highlight w:val="none"/>
        </w:rPr>
        <w:br w:type="textWrapping"/>
      </w:r>
      <w:r>
        <w:rPr>
          <w:rFonts w:hint="eastAsia" w:ascii="宋体" w:hAnsi="宋体"/>
          <w:color w:val="auto"/>
          <w:kern w:val="0"/>
          <w:sz w:val="24"/>
          <w:highlight w:val="none"/>
        </w:rPr>
        <w:t xml:space="preserve">    第三人申明的保密事项和期限：</w:t>
      </w:r>
      <w:r>
        <w:rPr>
          <w:rFonts w:hint="eastAsia" w:ascii="宋体" w:hAnsi="宋体"/>
          <w:color w:val="auto"/>
          <w:kern w:val="0"/>
          <w:sz w:val="24"/>
          <w:highlight w:val="none"/>
          <w:u w:val="single"/>
        </w:rPr>
        <w:t xml:space="preserve">   / </w:t>
      </w:r>
      <w:r>
        <w:rPr>
          <w:rFonts w:hint="eastAsia" w:ascii="宋体" w:hAnsi="宋体"/>
          <w:color w:val="auto"/>
          <w:kern w:val="0"/>
          <w:sz w:val="24"/>
          <w:highlight w:val="none"/>
        </w:rPr>
        <w:t>。</w:t>
      </w:r>
    </w:p>
    <w:p w14:paraId="07755BD6">
      <w:pPr>
        <w:widowControl/>
        <w:spacing w:line="360" w:lineRule="auto"/>
        <w:ind w:firstLine="360" w:firstLineChars="150"/>
        <w:jc w:val="left"/>
        <w:rPr>
          <w:rFonts w:ascii="宋体" w:hAnsi="宋体"/>
          <w:bCs/>
          <w:color w:val="auto"/>
          <w:kern w:val="28"/>
          <w:sz w:val="24"/>
          <w:highlight w:val="none"/>
        </w:rPr>
      </w:pPr>
      <w:bookmarkStart w:id="316" w:name="_Toc422322554"/>
      <w:r>
        <w:rPr>
          <w:rFonts w:hint="eastAsia" w:ascii="宋体" w:hAnsi="宋体"/>
          <w:bCs/>
          <w:color w:val="auto"/>
          <w:kern w:val="28"/>
          <w:sz w:val="24"/>
          <w:highlight w:val="none"/>
        </w:rPr>
        <w:t>8.4联络</w:t>
      </w:r>
      <w:bookmarkEnd w:id="316"/>
    </w:p>
    <w:p w14:paraId="090C13D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olor w:val="auto"/>
          <w:kern w:val="0"/>
          <w:sz w:val="24"/>
          <w:highlight w:val="none"/>
        </w:rPr>
        <w:t>8.4.1任何一方</w:t>
      </w:r>
      <w:r>
        <w:rPr>
          <w:rFonts w:hint="eastAsia" w:ascii="宋体" w:hAnsi="宋体" w:cs="宋体"/>
          <w:color w:val="auto"/>
          <w:kern w:val="0"/>
          <w:sz w:val="24"/>
          <w:highlight w:val="none"/>
        </w:rPr>
        <w:t>与合同有关的通知、指示、要求、决定等，均应在</w:t>
      </w:r>
      <w:r>
        <w:rPr>
          <w:rFonts w:ascii="宋体" w:hAnsi="宋体" w:cs="宋体"/>
          <w:color w:val="auto"/>
          <w:kern w:val="0"/>
          <w:sz w:val="24"/>
          <w:highlight w:val="none"/>
          <w:u w:val="single"/>
        </w:rPr>
        <w:t>3</w:t>
      </w:r>
      <w:r>
        <w:rPr>
          <w:rFonts w:hint="eastAsia" w:ascii="宋体" w:hAnsi="宋体" w:cs="宋体"/>
          <w:color w:val="auto"/>
          <w:kern w:val="0"/>
          <w:sz w:val="24"/>
          <w:highlight w:val="none"/>
          <w:u w:val="single"/>
        </w:rPr>
        <w:t>个工作日</w:t>
      </w:r>
      <w:r>
        <w:rPr>
          <w:rFonts w:hint="eastAsia" w:ascii="宋体" w:hAnsi="宋体" w:cs="宋体"/>
          <w:color w:val="auto"/>
          <w:kern w:val="0"/>
          <w:sz w:val="24"/>
          <w:highlight w:val="none"/>
        </w:rPr>
        <w:t>内送达对方指定的接收人和送达地点。</w:t>
      </w:r>
    </w:p>
    <w:p w14:paraId="1BAB0765">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8.4.2委托人指定的送达接收人：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，送达地点：</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，电子邮箱：</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1F24E04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咨询人指定的送达接收人：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，送达地点：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，电子邮箱：</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F9ECDC4">
      <w:pPr>
        <w:widowControl/>
        <w:spacing w:line="360" w:lineRule="auto"/>
        <w:ind w:firstLine="360" w:firstLineChars="150"/>
        <w:jc w:val="left"/>
        <w:rPr>
          <w:rFonts w:ascii="宋体" w:hAnsi="宋体"/>
          <w:bCs/>
          <w:color w:val="auto"/>
          <w:kern w:val="28"/>
          <w:sz w:val="24"/>
          <w:highlight w:val="none"/>
        </w:rPr>
      </w:pPr>
      <w:bookmarkStart w:id="317" w:name="_Toc422322555"/>
      <w:bookmarkStart w:id="318" w:name="_Toc419045124"/>
      <w:r>
        <w:rPr>
          <w:rFonts w:hint="eastAsia" w:ascii="宋体" w:hAnsi="宋体"/>
          <w:bCs/>
          <w:color w:val="auto"/>
          <w:kern w:val="28"/>
          <w:sz w:val="24"/>
          <w:highlight w:val="none"/>
        </w:rPr>
        <w:t>8.5知识产权</w:t>
      </w:r>
      <w:bookmarkEnd w:id="317"/>
      <w:bookmarkEnd w:id="318"/>
    </w:p>
    <w:p w14:paraId="1FE6E77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委托人提供给咨询人的图纸、委托人为实施工程自行编制或委托编制的技术规范以及反映委托人要求的或其他类似性质文件的著作权属于</w:t>
      </w:r>
      <w:r>
        <w:rPr>
          <w:rFonts w:hint="eastAsia" w:ascii="宋体" w:hAnsi="宋体" w:cs="宋体"/>
          <w:color w:val="auto"/>
          <w:kern w:val="0"/>
          <w:sz w:val="24"/>
          <w:highlight w:val="none"/>
          <w:u w:val="single"/>
        </w:rPr>
        <w:t>委托人</w:t>
      </w:r>
      <w:r>
        <w:rPr>
          <w:rFonts w:hint="eastAsia" w:ascii="宋体" w:hAnsi="宋体" w:cs="宋体"/>
          <w:color w:val="auto"/>
          <w:kern w:val="0"/>
          <w:sz w:val="24"/>
          <w:highlight w:val="none"/>
        </w:rPr>
        <w:t>。</w:t>
      </w:r>
    </w:p>
    <w:p w14:paraId="526A8EE4">
      <w:pPr>
        <w:widowControl/>
        <w:spacing w:line="360" w:lineRule="auto"/>
        <w:ind w:firstLine="480" w:firstLineChars="200"/>
        <w:jc w:val="left"/>
        <w:rPr>
          <w:rFonts w:ascii="宋体" w:hAnsi="宋体" w:cs="宋体"/>
          <w:color w:val="auto"/>
          <w:kern w:val="0"/>
          <w:sz w:val="24"/>
          <w:highlight w:val="none"/>
        </w:rPr>
      </w:pPr>
      <w:r>
        <w:rPr>
          <w:rFonts w:ascii="宋体" w:hAnsi="宋体" w:cs="宋体"/>
          <w:color w:val="auto"/>
          <w:kern w:val="0"/>
          <w:sz w:val="24"/>
          <w:highlight w:val="none"/>
        </w:rPr>
        <w:t>咨询人为履行本合同约定而编制的</w:t>
      </w:r>
      <w:r>
        <w:rPr>
          <w:rFonts w:hint="eastAsia" w:ascii="宋体" w:hAnsi="宋体" w:cs="宋体"/>
          <w:color w:val="auto"/>
          <w:kern w:val="0"/>
          <w:sz w:val="24"/>
          <w:highlight w:val="none"/>
        </w:rPr>
        <w:t>成果</w:t>
      </w:r>
      <w:r>
        <w:rPr>
          <w:rFonts w:ascii="宋体" w:hAnsi="宋体" w:cs="宋体"/>
          <w:color w:val="auto"/>
          <w:kern w:val="0"/>
          <w:sz w:val="24"/>
          <w:highlight w:val="none"/>
        </w:rPr>
        <w:t>文件</w:t>
      </w:r>
      <w:r>
        <w:rPr>
          <w:rFonts w:hint="eastAsia" w:ascii="宋体" w:hAnsi="宋体" w:cs="宋体"/>
          <w:color w:val="auto"/>
          <w:kern w:val="0"/>
          <w:sz w:val="24"/>
          <w:highlight w:val="none"/>
        </w:rPr>
        <w:t>，其</w:t>
      </w:r>
      <w:r>
        <w:rPr>
          <w:rFonts w:ascii="宋体" w:hAnsi="宋体" w:cs="宋体"/>
          <w:color w:val="auto"/>
          <w:kern w:val="0"/>
          <w:sz w:val="24"/>
          <w:highlight w:val="none"/>
        </w:rPr>
        <w:t>著作权属于</w:t>
      </w:r>
      <w:r>
        <w:rPr>
          <w:rFonts w:hint="eastAsia" w:ascii="宋体" w:hAnsi="宋体" w:cs="宋体"/>
          <w:color w:val="auto"/>
          <w:kern w:val="0"/>
          <w:sz w:val="24"/>
          <w:highlight w:val="none"/>
          <w:u w:val="single"/>
        </w:rPr>
        <w:t>咨询人</w:t>
      </w:r>
      <w:r>
        <w:rPr>
          <w:rFonts w:ascii="宋体" w:hAnsi="宋体" w:cs="宋体"/>
          <w:color w:val="auto"/>
          <w:kern w:val="0"/>
          <w:sz w:val="24"/>
          <w:highlight w:val="none"/>
        </w:rPr>
        <w:t>。</w:t>
      </w:r>
    </w:p>
    <w:p w14:paraId="478205FE">
      <w:pPr>
        <w:widowControl/>
        <w:spacing w:line="360" w:lineRule="auto"/>
        <w:ind w:firstLine="480" w:firstLineChars="200"/>
        <w:jc w:val="left"/>
        <w:rPr>
          <w:rFonts w:ascii="宋体" w:hAnsi="宋体"/>
          <w:b/>
          <w:color w:val="auto"/>
          <w:kern w:val="0"/>
          <w:sz w:val="24"/>
          <w:highlight w:val="none"/>
        </w:rPr>
      </w:pPr>
      <w:r>
        <w:rPr>
          <w:rFonts w:hint="eastAsia" w:ascii="宋体" w:hAnsi="宋体" w:cs="宋体"/>
          <w:color w:val="auto"/>
          <w:kern w:val="0"/>
          <w:sz w:val="24"/>
          <w:highlight w:val="none"/>
        </w:rPr>
        <w:t>双方将履行本合同形成的有关成果文件用于企业宣传、申报奖项以及接受上级主管部门的检查须遵守以下约定：</w:t>
      </w:r>
      <w:bookmarkStart w:id="319" w:name="_Toc422322556"/>
      <w:bookmarkStart w:id="320" w:name="_Toc419045125"/>
      <w:r>
        <w:rPr>
          <w:rFonts w:hint="eastAsia" w:ascii="宋体" w:hAnsi="宋体" w:cs="宋体"/>
          <w:color w:val="auto"/>
          <w:kern w:val="0"/>
          <w:sz w:val="24"/>
          <w:highlight w:val="none"/>
          <w:u w:val="single"/>
        </w:rPr>
        <w:t xml:space="preserve"> </w:t>
      </w:r>
      <w:r>
        <w:rPr>
          <w:rFonts w:ascii="宋体" w:hAnsi="宋体"/>
          <w:color w:val="auto"/>
          <w:kern w:val="0"/>
          <w:sz w:val="24"/>
          <w:highlight w:val="none"/>
          <w:u w:val="single"/>
        </w:rPr>
        <w:t>/</w:t>
      </w:r>
      <w:r>
        <w:rPr>
          <w:rFonts w:hint="eastAsia" w:ascii="宋体" w:hAnsi="宋体"/>
          <w:color w:val="auto"/>
          <w:kern w:val="0"/>
          <w:sz w:val="24"/>
          <w:highlight w:val="none"/>
          <w:u w:val="single"/>
        </w:rPr>
        <w:t xml:space="preserve"> </w:t>
      </w:r>
      <w:r>
        <w:rPr>
          <w:rFonts w:hint="eastAsia" w:ascii="宋体" w:hAnsi="宋体"/>
          <w:color w:val="auto"/>
          <w:kern w:val="0"/>
          <w:sz w:val="24"/>
          <w:highlight w:val="none"/>
        </w:rPr>
        <w:t>。</w:t>
      </w:r>
    </w:p>
    <w:p w14:paraId="70D3FDA6">
      <w:pPr>
        <w:widowControl/>
        <w:spacing w:line="360" w:lineRule="auto"/>
        <w:ind w:firstLine="472" w:firstLineChars="196"/>
        <w:jc w:val="left"/>
        <w:rPr>
          <w:rFonts w:ascii="宋体" w:hAnsi="宋体"/>
          <w:color w:val="auto"/>
          <w:kern w:val="0"/>
          <w:sz w:val="24"/>
          <w:highlight w:val="none"/>
        </w:rPr>
      </w:pPr>
      <w:r>
        <w:rPr>
          <w:rFonts w:hint="eastAsia" w:ascii="宋体" w:hAnsi="宋体" w:cs="宋体"/>
          <w:b/>
          <w:bCs/>
          <w:color w:val="auto"/>
          <w:kern w:val="0"/>
          <w:sz w:val="24"/>
          <w:szCs w:val="32"/>
          <w:highlight w:val="none"/>
        </w:rPr>
        <w:t>9.</w:t>
      </w:r>
      <w:bookmarkEnd w:id="319"/>
      <w:bookmarkEnd w:id="320"/>
      <w:r>
        <w:rPr>
          <w:rFonts w:hint="eastAsia" w:ascii="宋体" w:hAnsi="宋体" w:cs="宋体"/>
          <w:b/>
          <w:bCs/>
          <w:color w:val="auto"/>
          <w:kern w:val="0"/>
          <w:sz w:val="24"/>
          <w:szCs w:val="32"/>
          <w:highlight w:val="none"/>
        </w:rPr>
        <w:t>履约保证金</w:t>
      </w:r>
    </w:p>
    <w:p w14:paraId="2E25FFFF">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（1）履约保证金金额：按采购预算金额的2%，即（大写）人民币</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元（小写：¥</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4D3062A">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（2）履约保证金递交方式：以银行转账或电汇或其他政府采购法律法规允许的方式</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由咨询人在签订合同前按规定的金额直接缴入委托人账户。否则，不予办理签订合同。</w:t>
      </w:r>
    </w:p>
    <w:p w14:paraId="2EDEF062">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开户名称：广西农业职业技术大学</w:t>
      </w:r>
    </w:p>
    <w:p w14:paraId="69E19A37">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开户银行：交通银行南宁大学路支行</w:t>
      </w:r>
    </w:p>
    <w:p w14:paraId="43847F0B">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银行账号：451060605013002182351</w:t>
      </w:r>
    </w:p>
    <w:p w14:paraId="4B54B8FE">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3）履约保证金退付方式、时间及条件：咨询人按合同要求完成全部工作且无违约情形，并按合同要求提交本工程定稿的、经相关单位签字盖章的跟踪审计报告（附跟踪审计日志）和结算审核报告后，由咨询人向委托人财务部门提供审签完成的《政府采购项目履约保证金退付意见书》，咨询人财务部门在收到合格材料后</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个工作日内办理退还手续（不计利息）。</w:t>
      </w:r>
    </w:p>
    <w:p w14:paraId="6CDB246B">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（4）在履约保证金退还日期前，若咨询人的开户名称、开户银行、账号有变动的，请以书面形式通知委托人，否则由此产生的后果由咨询人自负。</w:t>
      </w:r>
    </w:p>
    <w:p w14:paraId="4299E1B2">
      <w:pPr>
        <w:widowControl/>
        <w:spacing w:line="360" w:lineRule="auto"/>
        <w:ind w:firstLine="480" w:firstLineChars="200"/>
        <w:jc w:val="left"/>
        <w:rPr>
          <w:rFonts w:hint="eastAsia" w:ascii="宋体" w:hAnsi="宋体" w:cs="宋体"/>
          <w:color w:val="auto"/>
          <w:kern w:val="0"/>
          <w:sz w:val="24"/>
          <w:highlight w:val="none"/>
        </w:rPr>
      </w:pPr>
    </w:p>
    <w:p w14:paraId="7BDB4B12">
      <w:pPr>
        <w:widowControl/>
        <w:spacing w:line="360" w:lineRule="auto"/>
        <w:ind w:firstLine="480" w:firstLineChars="200"/>
        <w:jc w:val="left"/>
        <w:rPr>
          <w:rFonts w:hint="eastAsia" w:ascii="宋体" w:hAnsi="宋体" w:cs="宋体"/>
          <w:color w:val="auto"/>
          <w:kern w:val="0"/>
          <w:sz w:val="24"/>
          <w:highlight w:val="none"/>
        </w:rPr>
      </w:pPr>
    </w:p>
    <w:p w14:paraId="1BFC0325">
      <w:pPr>
        <w:widowControl/>
        <w:spacing w:line="360" w:lineRule="auto"/>
        <w:ind w:firstLine="480" w:firstLineChars="200"/>
        <w:jc w:val="left"/>
        <w:rPr>
          <w:rFonts w:hint="eastAsia" w:ascii="宋体" w:hAnsi="宋体" w:cs="宋体"/>
          <w:color w:val="auto"/>
          <w:kern w:val="0"/>
          <w:sz w:val="24"/>
          <w:highlight w:val="none"/>
        </w:rPr>
      </w:pPr>
    </w:p>
    <w:p w14:paraId="2E6543A9">
      <w:pPr>
        <w:widowControl/>
        <w:spacing w:line="360" w:lineRule="auto"/>
        <w:ind w:firstLine="480" w:firstLineChars="200"/>
        <w:jc w:val="left"/>
        <w:rPr>
          <w:rFonts w:hint="eastAsia" w:ascii="宋体" w:hAnsi="宋体" w:cs="宋体"/>
          <w:color w:val="auto"/>
          <w:kern w:val="0"/>
          <w:sz w:val="24"/>
          <w:highlight w:val="none"/>
        </w:rPr>
      </w:pPr>
    </w:p>
    <w:p w14:paraId="6CF61484">
      <w:pPr>
        <w:widowControl/>
        <w:spacing w:line="360" w:lineRule="auto"/>
        <w:ind w:firstLine="480" w:firstLineChars="200"/>
        <w:jc w:val="left"/>
        <w:rPr>
          <w:rFonts w:hint="eastAsia" w:ascii="宋体" w:hAnsi="宋体" w:cs="宋体"/>
          <w:color w:val="auto"/>
          <w:kern w:val="0"/>
          <w:sz w:val="24"/>
          <w:highlight w:val="none"/>
        </w:rPr>
      </w:pPr>
    </w:p>
    <w:p w14:paraId="1F59F348">
      <w:pPr>
        <w:widowControl/>
        <w:spacing w:line="360" w:lineRule="auto"/>
        <w:ind w:firstLine="480" w:firstLineChars="200"/>
        <w:jc w:val="left"/>
        <w:rPr>
          <w:rFonts w:hint="eastAsia" w:ascii="宋体" w:hAnsi="宋体" w:cs="宋体"/>
          <w:color w:val="auto"/>
          <w:kern w:val="0"/>
          <w:sz w:val="24"/>
          <w:highlight w:val="none"/>
        </w:rPr>
      </w:pPr>
    </w:p>
    <w:p w14:paraId="7C42BB15">
      <w:pPr>
        <w:widowControl/>
        <w:spacing w:line="360" w:lineRule="auto"/>
        <w:ind w:firstLine="480" w:firstLineChars="200"/>
        <w:jc w:val="left"/>
        <w:rPr>
          <w:rFonts w:hint="eastAsia" w:ascii="宋体" w:hAnsi="宋体" w:cs="宋体"/>
          <w:color w:val="auto"/>
          <w:kern w:val="0"/>
          <w:sz w:val="24"/>
          <w:highlight w:val="none"/>
        </w:rPr>
      </w:pPr>
    </w:p>
    <w:p w14:paraId="4F45E22F">
      <w:pPr>
        <w:widowControl/>
        <w:spacing w:line="360" w:lineRule="auto"/>
        <w:jc w:val="left"/>
        <w:rPr>
          <w:rFonts w:cs="仿宋_GB2312"/>
          <w:b/>
          <w:color w:val="auto"/>
          <w:highlight w:val="none"/>
        </w:rPr>
      </w:pPr>
      <w:r>
        <w:rPr>
          <w:rFonts w:hint="eastAsia" w:ascii="宋体" w:hAnsi="宋体" w:cs="宋体"/>
          <w:color w:val="auto"/>
          <w:sz w:val="28"/>
          <w:szCs w:val="28"/>
          <w:highlight w:val="none"/>
        </w:rPr>
        <w:br w:type="page"/>
      </w:r>
    </w:p>
    <w:p w14:paraId="684408AC">
      <w:pPr>
        <w:pStyle w:val="3"/>
        <w:jc w:val="center"/>
        <w:rPr>
          <w:rFonts w:cs="仿宋_GB2312"/>
          <w:b w:val="0"/>
          <w:color w:val="auto"/>
          <w:highlight w:val="none"/>
        </w:rPr>
      </w:pPr>
    </w:p>
    <w:p w14:paraId="57DD5F7F">
      <w:pPr>
        <w:pStyle w:val="3"/>
        <w:jc w:val="center"/>
        <w:rPr>
          <w:rFonts w:cs="仿宋_GB2312"/>
          <w:b w:val="0"/>
          <w:color w:val="auto"/>
          <w:highlight w:val="none"/>
        </w:rPr>
      </w:pPr>
    </w:p>
    <w:p w14:paraId="1A98D333">
      <w:pPr>
        <w:pStyle w:val="3"/>
        <w:jc w:val="center"/>
        <w:rPr>
          <w:rFonts w:cs="仿宋_GB2312"/>
          <w:color w:val="auto"/>
          <w:highlight w:val="none"/>
        </w:rPr>
        <w:sectPr>
          <w:footerReference r:id="rId10" w:type="default"/>
          <w:pgSz w:w="11911" w:h="16838"/>
          <w:pgMar w:top="1134" w:right="1134" w:bottom="1134" w:left="1134" w:header="720" w:footer="720" w:gutter="0"/>
          <w:cols w:space="720" w:num="1"/>
        </w:sectPr>
      </w:pPr>
      <w:r>
        <w:rPr>
          <w:rFonts w:hint="eastAsia" w:cs="仿宋_GB2312"/>
          <w:b w:val="0"/>
          <w:color w:val="auto"/>
          <w:highlight w:val="none"/>
        </w:rPr>
        <w:t>第七章 质疑、投诉材料格式</w:t>
      </w:r>
      <w:bookmarkEnd w:id="159"/>
      <w:bookmarkEnd w:id="160"/>
      <w:bookmarkEnd w:id="161"/>
      <w:bookmarkEnd w:id="162"/>
      <w:bookmarkEnd w:id="163"/>
      <w:bookmarkEnd w:id="164"/>
      <w:bookmarkEnd w:id="165"/>
      <w:bookmarkEnd w:id="166"/>
    </w:p>
    <w:p w14:paraId="5AD5AE6A">
      <w:pPr>
        <w:spacing w:line="360" w:lineRule="auto"/>
        <w:jc w:val="center"/>
        <w:rPr>
          <w:b/>
          <w:bCs/>
          <w:color w:val="auto"/>
          <w:sz w:val="32"/>
          <w:szCs w:val="32"/>
          <w:highlight w:val="none"/>
        </w:rPr>
      </w:pPr>
      <w:r>
        <w:rPr>
          <w:rFonts w:hint="eastAsia"/>
          <w:b/>
          <w:bCs/>
          <w:color w:val="auto"/>
          <w:sz w:val="32"/>
          <w:szCs w:val="32"/>
          <w:highlight w:val="none"/>
        </w:rPr>
        <w:t>质疑函（格式）</w:t>
      </w:r>
    </w:p>
    <w:p w14:paraId="08803598">
      <w:pPr>
        <w:spacing w:line="360" w:lineRule="auto"/>
        <w:ind w:firstLine="482" w:firstLineChars="200"/>
        <w:contextualSpacing/>
        <w:rPr>
          <w:rFonts w:ascii="宋体" w:hAnsi="宋体" w:cs="宋体"/>
          <w:b/>
          <w:bCs/>
          <w:color w:val="auto"/>
          <w:kern w:val="0"/>
          <w:sz w:val="24"/>
          <w:highlight w:val="none"/>
        </w:rPr>
      </w:pPr>
      <w:r>
        <w:rPr>
          <w:rFonts w:hint="eastAsia" w:ascii="宋体" w:hAnsi="宋体" w:cs="宋体"/>
          <w:b/>
          <w:bCs/>
          <w:color w:val="auto"/>
          <w:kern w:val="0"/>
          <w:sz w:val="24"/>
          <w:highlight w:val="none"/>
        </w:rPr>
        <w:t>一、质疑供应商基本信息：</w:t>
      </w:r>
    </w:p>
    <w:p w14:paraId="4506B655">
      <w:pPr>
        <w:spacing w:line="360" w:lineRule="auto"/>
        <w:ind w:firstLine="480" w:firstLineChars="200"/>
        <w:contextualSpacing/>
        <w:rPr>
          <w:rFonts w:ascii="宋体" w:hAnsi="宋体" w:cs="宋体"/>
          <w:bCs/>
          <w:color w:val="auto"/>
          <w:kern w:val="0"/>
          <w:sz w:val="24"/>
          <w:highlight w:val="none"/>
          <w:u w:val="single"/>
        </w:rPr>
      </w:pPr>
      <w:r>
        <w:rPr>
          <w:rFonts w:hint="eastAsia" w:ascii="宋体" w:hAnsi="宋体" w:cs="宋体"/>
          <w:bCs/>
          <w:color w:val="auto"/>
          <w:kern w:val="0"/>
          <w:sz w:val="24"/>
          <w:highlight w:val="none"/>
        </w:rPr>
        <w:t>质疑供应商：</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59584280">
      <w:pPr>
        <w:spacing w:line="360" w:lineRule="auto"/>
        <w:ind w:firstLine="480" w:firstLineChars="200"/>
        <w:contextualSpacing/>
        <w:rPr>
          <w:rFonts w:ascii="宋体" w:hAnsi="宋体" w:cs="宋体"/>
          <w:bCs/>
          <w:color w:val="auto"/>
          <w:kern w:val="0"/>
          <w:sz w:val="24"/>
          <w:highlight w:val="non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6C5699DA">
      <w:pPr>
        <w:spacing w:line="360" w:lineRule="auto"/>
        <w:ind w:firstLine="480" w:firstLineChars="200"/>
        <w:contextualSpacing/>
        <w:rPr>
          <w:rFonts w:ascii="宋体" w:hAnsi="宋体" w:cs="宋体"/>
          <w:bCs/>
          <w:color w:val="auto"/>
          <w:kern w:val="0"/>
          <w:sz w:val="24"/>
          <w:highlight w:val="none"/>
        </w:rPr>
      </w:pPr>
      <w:r>
        <w:rPr>
          <w:rFonts w:hint="eastAsia" w:ascii="宋体" w:hAnsi="宋体" w:cs="宋体"/>
          <w:bCs/>
          <w:color w:val="auto"/>
          <w:kern w:val="0"/>
          <w:sz w:val="24"/>
          <w:highlight w:val="none"/>
        </w:rPr>
        <w:t>联系人：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45485AF7">
      <w:pPr>
        <w:spacing w:line="360" w:lineRule="auto"/>
        <w:ind w:firstLine="480" w:firstLineChars="200"/>
        <w:contextualSpacing/>
        <w:rPr>
          <w:rFonts w:ascii="宋体" w:hAnsi="宋体" w:cs="宋体"/>
          <w:bCs/>
          <w:color w:val="auto"/>
          <w:kern w:val="0"/>
          <w:sz w:val="24"/>
          <w:highlight w:val="none"/>
        </w:rPr>
      </w:pPr>
      <w:r>
        <w:rPr>
          <w:rFonts w:hint="eastAsia" w:ascii="宋体" w:hAnsi="宋体" w:cs="宋体"/>
          <w:bCs/>
          <w:color w:val="auto"/>
          <w:kern w:val="0"/>
          <w:sz w:val="24"/>
          <w:highlight w:val="none"/>
        </w:rPr>
        <w:t>授权代表：</w:t>
      </w:r>
      <w:r>
        <w:rPr>
          <w:rFonts w:hint="eastAsia" w:ascii="宋体" w:hAnsi="宋体" w:cs="宋体"/>
          <w:bCs/>
          <w:color w:val="auto"/>
          <w:kern w:val="0"/>
          <w:sz w:val="24"/>
          <w:highlight w:val="none"/>
          <w:u w:val="single"/>
        </w:rPr>
        <w:t xml:space="preserve">                      </w:t>
      </w:r>
    </w:p>
    <w:p w14:paraId="2666F6B7">
      <w:pPr>
        <w:spacing w:line="360" w:lineRule="auto"/>
        <w:ind w:firstLine="480" w:firstLineChars="200"/>
        <w:contextualSpacing/>
        <w:rPr>
          <w:rFonts w:ascii="宋体" w:hAnsi="宋体" w:cs="宋体"/>
          <w:bCs/>
          <w:color w:val="auto"/>
          <w:kern w:val="0"/>
          <w:sz w:val="24"/>
          <w:highlight w:val="none"/>
          <w:u w:val="single"/>
        </w:rPr>
      </w:pP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2BC6645D">
      <w:pPr>
        <w:spacing w:line="360" w:lineRule="auto"/>
        <w:ind w:firstLine="480" w:firstLineChars="200"/>
        <w:contextualSpacing/>
        <w:rPr>
          <w:rFonts w:ascii="宋体" w:hAnsi="宋体" w:cs="宋体"/>
          <w:bCs/>
          <w:color w:val="auto"/>
          <w:kern w:val="0"/>
          <w:sz w:val="24"/>
          <w:highlight w:val="non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3FE2F59B">
      <w:pPr>
        <w:spacing w:line="360" w:lineRule="auto"/>
        <w:ind w:firstLine="482" w:firstLineChars="200"/>
        <w:contextualSpacing/>
        <w:rPr>
          <w:rFonts w:ascii="宋体" w:hAnsi="宋体" w:cs="宋体"/>
          <w:b/>
          <w:bCs/>
          <w:color w:val="auto"/>
          <w:kern w:val="0"/>
          <w:sz w:val="24"/>
          <w:highlight w:val="none"/>
        </w:rPr>
      </w:pPr>
      <w:r>
        <w:rPr>
          <w:rFonts w:hint="eastAsia" w:ascii="宋体" w:hAnsi="宋体" w:cs="宋体"/>
          <w:b/>
          <w:bCs/>
          <w:color w:val="auto"/>
          <w:kern w:val="0"/>
          <w:sz w:val="24"/>
          <w:highlight w:val="none"/>
        </w:rPr>
        <w:t>二、质疑项目基本情况：</w:t>
      </w:r>
    </w:p>
    <w:p w14:paraId="12811C1D">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bCs/>
          <w:color w:val="auto"/>
          <w:kern w:val="0"/>
          <w:sz w:val="24"/>
          <w:highlight w:val="none"/>
        </w:rPr>
        <w:t>质疑</w:t>
      </w:r>
      <w:r>
        <w:rPr>
          <w:rFonts w:hint="eastAsia" w:ascii="宋体" w:hAnsi="宋体" w:cs="宋体"/>
          <w:color w:val="auto"/>
          <w:kern w:val="0"/>
          <w:sz w:val="24"/>
          <w:highlight w:val="none"/>
        </w:rPr>
        <w:t>项目的名称：</w:t>
      </w:r>
      <w:r>
        <w:rPr>
          <w:rFonts w:hint="eastAsia" w:ascii="宋体" w:hAnsi="宋体" w:cs="宋体"/>
          <w:bCs/>
          <w:color w:val="auto"/>
          <w:kern w:val="0"/>
          <w:sz w:val="24"/>
          <w:highlight w:val="none"/>
          <w:u w:val="single"/>
        </w:rPr>
        <w:t xml:space="preserve">                                     </w:t>
      </w:r>
    </w:p>
    <w:p w14:paraId="4065BC1A">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bCs/>
          <w:color w:val="auto"/>
          <w:kern w:val="0"/>
          <w:sz w:val="24"/>
          <w:highlight w:val="none"/>
        </w:rPr>
        <w:t>质疑</w:t>
      </w:r>
      <w:r>
        <w:rPr>
          <w:rFonts w:hint="eastAsia" w:ascii="宋体" w:hAnsi="宋体" w:cs="宋体"/>
          <w:color w:val="auto"/>
          <w:kern w:val="0"/>
          <w:sz w:val="24"/>
          <w:highlight w:val="none"/>
        </w:rPr>
        <w:t>项目的编号：</w:t>
      </w:r>
      <w:r>
        <w:rPr>
          <w:rFonts w:hint="eastAsia" w:ascii="宋体" w:hAnsi="宋体" w:cs="宋体"/>
          <w:bCs/>
          <w:color w:val="auto"/>
          <w:kern w:val="0"/>
          <w:sz w:val="24"/>
          <w:highlight w:val="none"/>
          <w:u w:val="single"/>
        </w:rPr>
        <w:t xml:space="preserve">                                     </w:t>
      </w:r>
    </w:p>
    <w:p w14:paraId="71D94E83">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采购人名称：</w:t>
      </w:r>
      <w:r>
        <w:rPr>
          <w:rFonts w:hint="eastAsia" w:ascii="宋体" w:hAnsi="宋体" w:cs="宋体"/>
          <w:bCs/>
          <w:color w:val="auto"/>
          <w:kern w:val="0"/>
          <w:sz w:val="24"/>
          <w:highlight w:val="none"/>
          <w:u w:val="single"/>
        </w:rPr>
        <w:t xml:space="preserve">                                         </w:t>
      </w:r>
    </w:p>
    <w:p w14:paraId="432BE208">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质疑事项：</w:t>
      </w:r>
    </w:p>
    <w:p w14:paraId="27A2F649">
      <w:pPr>
        <w:spacing w:line="360" w:lineRule="auto"/>
        <w:ind w:left="25" w:leftChars="12" w:firstLine="352" w:firstLineChars="147"/>
        <w:contextualSpacing/>
        <w:rPr>
          <w:rFonts w:ascii="宋体" w:hAnsi="宋体" w:cs="宋体"/>
          <w:color w:val="auto"/>
          <w:kern w:val="0"/>
          <w:sz w:val="24"/>
          <w:highlight w:val="none"/>
        </w:rPr>
      </w:pPr>
      <w:r>
        <w:rPr>
          <w:rFonts w:hint="eastAsia" w:ascii="宋体" w:hAnsi="宋体" w:cs="宋体"/>
          <w:color w:val="auto"/>
          <w:kern w:val="0"/>
          <w:sz w:val="24"/>
          <w:highlight w:val="none"/>
        </w:rPr>
        <w:t>□采购文件   采购文件获取日期：</w:t>
      </w:r>
      <w:r>
        <w:rPr>
          <w:rFonts w:hint="eastAsia" w:ascii="宋体" w:hAnsi="宋体" w:cs="宋体"/>
          <w:bCs/>
          <w:color w:val="auto"/>
          <w:kern w:val="0"/>
          <w:sz w:val="24"/>
          <w:highlight w:val="none"/>
          <w:u w:val="single"/>
        </w:rPr>
        <w:t xml:space="preserve">                                   </w:t>
      </w:r>
    </w:p>
    <w:p w14:paraId="4819B27E">
      <w:pPr>
        <w:spacing w:line="360" w:lineRule="auto"/>
        <w:ind w:left="25" w:leftChars="12" w:firstLine="352" w:firstLineChars="147"/>
        <w:contextualSpacing/>
        <w:rPr>
          <w:rFonts w:ascii="宋体" w:hAnsi="宋体" w:cs="宋体"/>
          <w:color w:val="auto"/>
          <w:kern w:val="0"/>
          <w:sz w:val="24"/>
          <w:highlight w:val="none"/>
        </w:rPr>
      </w:pPr>
      <w:r>
        <w:rPr>
          <w:rFonts w:hint="eastAsia" w:ascii="宋体" w:hAnsi="宋体" w:cs="宋体"/>
          <w:color w:val="auto"/>
          <w:kern w:val="0"/>
          <w:sz w:val="24"/>
          <w:highlight w:val="none"/>
        </w:rPr>
        <w:t xml:space="preserve">□采购过程   </w:t>
      </w:r>
    </w:p>
    <w:p w14:paraId="633E32F6">
      <w:pPr>
        <w:spacing w:line="360" w:lineRule="auto"/>
        <w:ind w:left="25" w:leftChars="12" w:firstLine="352" w:firstLineChars="147"/>
        <w:contextualSpacing/>
        <w:rPr>
          <w:rFonts w:ascii="宋体" w:hAnsi="宋体" w:cs="宋体"/>
          <w:bCs/>
          <w:color w:val="auto"/>
          <w:kern w:val="0"/>
          <w:sz w:val="24"/>
          <w:highlight w:val="none"/>
          <w:u w:val="single"/>
        </w:rPr>
      </w:pPr>
      <w:r>
        <w:rPr>
          <w:rFonts w:hint="eastAsia" w:ascii="宋体" w:hAnsi="宋体" w:cs="宋体"/>
          <w:color w:val="auto"/>
          <w:kern w:val="0"/>
          <w:sz w:val="24"/>
          <w:highlight w:val="none"/>
        </w:rPr>
        <w:t xml:space="preserve">□成交结果   </w:t>
      </w:r>
    </w:p>
    <w:p w14:paraId="4A51A24D">
      <w:pPr>
        <w:spacing w:line="360" w:lineRule="auto"/>
        <w:ind w:left="25" w:leftChars="12" w:firstLine="472" w:firstLineChars="196"/>
        <w:contextualSpacing/>
        <w:rPr>
          <w:rFonts w:ascii="宋体" w:hAnsi="宋体" w:cs="宋体"/>
          <w:b/>
          <w:color w:val="auto"/>
          <w:kern w:val="0"/>
          <w:sz w:val="24"/>
          <w:highlight w:val="none"/>
        </w:rPr>
      </w:pPr>
      <w:r>
        <w:rPr>
          <w:rFonts w:hint="eastAsia" w:ascii="宋体" w:hAnsi="宋体" w:cs="宋体"/>
          <w:b/>
          <w:color w:val="auto"/>
          <w:kern w:val="0"/>
          <w:sz w:val="24"/>
          <w:highlight w:val="none"/>
        </w:rPr>
        <w:t>三、质疑事项具体内容</w:t>
      </w:r>
    </w:p>
    <w:p w14:paraId="48E99AA3">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质疑事项1：</w:t>
      </w:r>
      <w:r>
        <w:rPr>
          <w:rFonts w:hint="eastAsia" w:ascii="宋体" w:hAnsi="宋体" w:cs="宋体"/>
          <w:bCs/>
          <w:color w:val="auto"/>
          <w:kern w:val="0"/>
          <w:sz w:val="24"/>
          <w:highlight w:val="none"/>
          <w:u w:val="single"/>
        </w:rPr>
        <w:t xml:space="preserve">                                                                    </w:t>
      </w:r>
    </w:p>
    <w:p w14:paraId="4AEE99D1">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事实依据：</w:t>
      </w:r>
      <w:r>
        <w:rPr>
          <w:rFonts w:hint="eastAsia" w:ascii="宋体" w:hAnsi="宋体" w:cs="宋体"/>
          <w:bCs/>
          <w:color w:val="auto"/>
          <w:kern w:val="0"/>
          <w:sz w:val="24"/>
          <w:highlight w:val="none"/>
          <w:u w:val="single"/>
        </w:rPr>
        <w:t xml:space="preserve">                                                                      </w:t>
      </w:r>
    </w:p>
    <w:p w14:paraId="4B57B520">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法律依据：</w:t>
      </w:r>
      <w:r>
        <w:rPr>
          <w:rFonts w:hint="eastAsia" w:ascii="宋体" w:hAnsi="宋体" w:cs="宋体"/>
          <w:color w:val="auto"/>
          <w:kern w:val="0"/>
          <w:sz w:val="24"/>
          <w:highlight w:val="none"/>
          <w:u w:val="single"/>
        </w:rPr>
        <w:t xml:space="preserve">                                                        </w:t>
      </w:r>
      <w:r>
        <w:rPr>
          <w:rFonts w:hint="eastAsia" w:ascii="宋体" w:hAnsi="宋体" w:cs="宋体"/>
          <w:bCs/>
          <w:color w:val="auto"/>
          <w:kern w:val="0"/>
          <w:sz w:val="24"/>
          <w:highlight w:val="none"/>
          <w:u w:val="single"/>
        </w:rPr>
        <w:t xml:space="preserve">               </w:t>
      </w:r>
    </w:p>
    <w:p w14:paraId="7FFDBAF7">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质疑事项2</w:t>
      </w:r>
    </w:p>
    <w:p w14:paraId="000177FD">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w:t>
      </w:r>
    </w:p>
    <w:p w14:paraId="028CAAC7">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四、与质疑事项相关的质疑请求：</w:t>
      </w:r>
    </w:p>
    <w:p w14:paraId="1372551F">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请求：</w:t>
      </w:r>
      <w:r>
        <w:rPr>
          <w:rFonts w:hint="eastAsia" w:ascii="宋体" w:hAnsi="宋体" w:cs="宋体"/>
          <w:bCs/>
          <w:color w:val="auto"/>
          <w:kern w:val="0"/>
          <w:sz w:val="24"/>
          <w:highlight w:val="none"/>
          <w:u w:val="single"/>
        </w:rPr>
        <w:t xml:space="preserve">                                                                </w:t>
      </w:r>
    </w:p>
    <w:p w14:paraId="2A7912CF">
      <w:pPr>
        <w:spacing w:line="360" w:lineRule="auto"/>
        <w:ind w:left="25" w:leftChars="12" w:firstLine="352" w:firstLineChars="147"/>
        <w:contextualSpacing/>
        <w:rPr>
          <w:rFonts w:ascii="宋体" w:hAnsi="宋体" w:cs="宋体"/>
          <w:color w:val="auto"/>
          <w:kern w:val="0"/>
          <w:sz w:val="24"/>
          <w:highlight w:val="none"/>
        </w:rPr>
      </w:pPr>
    </w:p>
    <w:p w14:paraId="777AE428">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签字（签章）：                                       公章：</w:t>
      </w:r>
    </w:p>
    <w:p w14:paraId="2F5BB097">
      <w:pPr>
        <w:spacing w:line="360" w:lineRule="auto"/>
        <w:ind w:left="25" w:leftChars="12" w:firstLine="352" w:firstLineChars="147"/>
        <w:contextualSpacing/>
        <w:rPr>
          <w:rFonts w:ascii="宋体" w:hAnsi="宋体" w:cs="宋体"/>
          <w:color w:val="auto"/>
          <w:kern w:val="0"/>
          <w:sz w:val="24"/>
          <w:highlight w:val="none"/>
        </w:rPr>
      </w:pPr>
    </w:p>
    <w:p w14:paraId="2C3FF7F0">
      <w:pPr>
        <w:spacing w:line="360" w:lineRule="auto"/>
        <w:ind w:left="25" w:leftChars="12" w:firstLine="472" w:firstLineChars="197"/>
        <w:contextualSpacing/>
        <w:rPr>
          <w:rFonts w:ascii="宋体" w:hAnsi="宋体" w:cs="宋体"/>
          <w:color w:val="auto"/>
          <w:kern w:val="0"/>
          <w:sz w:val="24"/>
          <w:highlight w:val="none"/>
        </w:rPr>
      </w:pPr>
      <w:r>
        <w:rPr>
          <w:rFonts w:hint="eastAsia" w:ascii="宋体" w:hAnsi="宋体" w:cs="宋体"/>
          <w:color w:val="auto"/>
          <w:kern w:val="0"/>
          <w:sz w:val="24"/>
          <w:highlight w:val="none"/>
        </w:rPr>
        <w:t>日期：</w:t>
      </w:r>
    </w:p>
    <w:p w14:paraId="4248E279">
      <w:pPr>
        <w:spacing w:line="360" w:lineRule="auto"/>
        <w:contextualSpacing/>
        <w:rPr>
          <w:b/>
          <w:color w:val="auto"/>
          <w:kern w:val="0"/>
          <w:sz w:val="24"/>
          <w:highlight w:val="none"/>
        </w:rPr>
      </w:pPr>
    </w:p>
    <w:p w14:paraId="6BCE9D7B">
      <w:pPr>
        <w:spacing w:line="360" w:lineRule="auto"/>
        <w:contextualSpacing/>
        <w:rPr>
          <w:b/>
          <w:color w:val="auto"/>
          <w:kern w:val="0"/>
          <w:sz w:val="24"/>
          <w:highlight w:val="none"/>
        </w:rPr>
      </w:pPr>
    </w:p>
    <w:p w14:paraId="53C0A234">
      <w:pPr>
        <w:spacing w:line="360" w:lineRule="auto"/>
        <w:contextualSpacing/>
        <w:rPr>
          <w:b/>
          <w:color w:val="auto"/>
          <w:kern w:val="0"/>
          <w:sz w:val="24"/>
          <w:highlight w:val="none"/>
        </w:rPr>
      </w:pPr>
      <w:r>
        <w:rPr>
          <w:rFonts w:hint="eastAsia"/>
          <w:b/>
          <w:color w:val="auto"/>
          <w:kern w:val="0"/>
          <w:sz w:val="24"/>
          <w:highlight w:val="none"/>
        </w:rPr>
        <w:t>说明：</w:t>
      </w:r>
    </w:p>
    <w:p w14:paraId="05A4192C">
      <w:pPr>
        <w:spacing w:line="360" w:lineRule="auto"/>
        <w:ind w:left="25" w:leftChars="12" w:firstLine="354" w:firstLineChars="147"/>
        <w:contextualSpacing/>
        <w:rPr>
          <w:rFonts w:ascii="宋体" w:hAnsi="宋体" w:cs="宋体"/>
          <w:b/>
          <w:bCs/>
          <w:color w:val="auto"/>
          <w:kern w:val="0"/>
          <w:sz w:val="24"/>
          <w:highlight w:val="none"/>
        </w:rPr>
      </w:pPr>
      <w:r>
        <w:rPr>
          <w:rFonts w:hint="eastAsia" w:ascii="宋体" w:hAnsi="宋体" w:cs="宋体"/>
          <w:b/>
          <w:color w:val="auto"/>
          <w:kern w:val="0"/>
          <w:sz w:val="24"/>
          <w:highlight w:val="none"/>
        </w:rPr>
        <w:t>1.供应商提出质疑时，应提交质疑函和必要的证明材料</w:t>
      </w:r>
      <w:r>
        <w:rPr>
          <w:rFonts w:hint="eastAsia" w:ascii="宋体" w:hAnsi="宋体" w:cs="宋体"/>
          <w:b/>
          <w:bCs/>
          <w:color w:val="auto"/>
          <w:kern w:val="0"/>
          <w:sz w:val="24"/>
          <w:highlight w:val="none"/>
        </w:rPr>
        <w:t>。</w:t>
      </w:r>
    </w:p>
    <w:p w14:paraId="0067CA22">
      <w:pPr>
        <w:spacing w:line="360" w:lineRule="auto"/>
        <w:ind w:left="25" w:leftChars="12" w:firstLine="354" w:firstLineChars="147"/>
        <w:contextualSpacing/>
        <w:rPr>
          <w:rFonts w:ascii="宋体" w:hAnsi="宋体" w:cs="宋体"/>
          <w:b/>
          <w:color w:val="auto"/>
          <w:kern w:val="0"/>
          <w:sz w:val="24"/>
          <w:highlight w:val="none"/>
        </w:rPr>
      </w:pPr>
      <w:r>
        <w:rPr>
          <w:rFonts w:hint="eastAsia" w:ascii="宋体" w:hAnsi="宋体" w:cs="宋体"/>
          <w:b/>
          <w:color w:val="auto"/>
          <w:kern w:val="0"/>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151B486">
      <w:pPr>
        <w:spacing w:line="360" w:lineRule="auto"/>
        <w:ind w:left="25" w:leftChars="12" w:firstLine="354" w:firstLineChars="147"/>
        <w:contextualSpacing/>
        <w:rPr>
          <w:rFonts w:ascii="宋体" w:hAnsi="宋体" w:cs="宋体"/>
          <w:b/>
          <w:color w:val="auto"/>
          <w:kern w:val="0"/>
          <w:sz w:val="24"/>
          <w:highlight w:val="none"/>
        </w:rPr>
      </w:pPr>
      <w:r>
        <w:rPr>
          <w:rFonts w:hint="eastAsia" w:ascii="宋体" w:hAnsi="宋体" w:cs="宋体"/>
          <w:b/>
          <w:color w:val="auto"/>
          <w:kern w:val="0"/>
          <w:sz w:val="24"/>
          <w:highlight w:val="none"/>
        </w:rPr>
        <w:t>3.质疑函的质疑事项应具体、明确，并有必要的事实依据和法律依据。</w:t>
      </w:r>
    </w:p>
    <w:p w14:paraId="29145E2B">
      <w:pPr>
        <w:spacing w:line="360" w:lineRule="auto"/>
        <w:ind w:left="25" w:leftChars="12" w:firstLine="354" w:firstLineChars="147"/>
        <w:contextualSpacing/>
        <w:rPr>
          <w:rFonts w:ascii="宋体" w:hAnsi="宋体" w:cs="宋体"/>
          <w:b/>
          <w:color w:val="auto"/>
          <w:kern w:val="0"/>
          <w:sz w:val="24"/>
          <w:highlight w:val="none"/>
        </w:rPr>
      </w:pPr>
      <w:r>
        <w:rPr>
          <w:rFonts w:hint="eastAsia" w:ascii="宋体" w:hAnsi="宋体" w:cs="宋体"/>
          <w:b/>
          <w:color w:val="auto"/>
          <w:kern w:val="0"/>
          <w:sz w:val="24"/>
          <w:highlight w:val="none"/>
        </w:rPr>
        <w:t>4.质疑函的质疑请求应与质疑事项相关。</w:t>
      </w:r>
    </w:p>
    <w:p w14:paraId="667F23D2">
      <w:pPr>
        <w:spacing w:line="360" w:lineRule="auto"/>
        <w:ind w:left="25" w:leftChars="12" w:firstLine="354" w:firstLineChars="147"/>
        <w:contextualSpacing/>
        <w:rPr>
          <w:rFonts w:ascii="宋体" w:hAnsi="宋体" w:cs="宋体"/>
          <w:b/>
          <w:color w:val="auto"/>
          <w:kern w:val="0"/>
          <w:sz w:val="20"/>
          <w:szCs w:val="21"/>
          <w:highlight w:val="none"/>
        </w:rPr>
      </w:pPr>
      <w:r>
        <w:rPr>
          <w:rFonts w:hint="eastAsia" w:ascii="宋体" w:hAnsi="宋体" w:cs="宋体"/>
          <w:b/>
          <w:color w:val="auto"/>
          <w:kern w:val="0"/>
          <w:sz w:val="24"/>
          <w:highlight w:val="none"/>
        </w:rPr>
        <w:t>5.质疑供应商为法人或者其他组织的，质疑函应由法定代表人、主要负责人，或者其授权代表签字或者盖章，并加盖公章。</w:t>
      </w:r>
    </w:p>
    <w:p w14:paraId="6CDAD151">
      <w:pPr>
        <w:snapToGrid w:val="0"/>
        <w:rPr>
          <w:rFonts w:hAnsi="Courier New"/>
          <w:b/>
          <w:color w:val="auto"/>
          <w:kern w:val="0"/>
          <w:sz w:val="24"/>
          <w:highlight w:val="none"/>
        </w:rPr>
      </w:pPr>
    </w:p>
    <w:p w14:paraId="48A5611D">
      <w:pPr>
        <w:spacing w:line="460" w:lineRule="exact"/>
        <w:jc w:val="center"/>
        <w:rPr>
          <w:rFonts w:ascii="Calibri" w:hAnsi="Calibri" w:eastAsia="隶书"/>
          <w:color w:val="auto"/>
          <w:sz w:val="44"/>
          <w:highlight w:val="none"/>
        </w:rPr>
      </w:pPr>
      <w:r>
        <w:rPr>
          <w:rFonts w:ascii="Calibri" w:hAnsi="Calibri" w:eastAsia="隶书"/>
          <w:color w:val="auto"/>
          <w:sz w:val="44"/>
          <w:highlight w:val="none"/>
        </w:rPr>
        <w:br w:type="page"/>
      </w:r>
    </w:p>
    <w:p w14:paraId="742DFF5D">
      <w:pPr>
        <w:spacing w:line="360" w:lineRule="auto"/>
        <w:jc w:val="center"/>
        <w:rPr>
          <w:b/>
          <w:bCs/>
          <w:color w:val="auto"/>
          <w:sz w:val="32"/>
          <w:szCs w:val="32"/>
          <w:highlight w:val="none"/>
        </w:rPr>
      </w:pPr>
      <w:r>
        <w:rPr>
          <w:rFonts w:hint="eastAsia"/>
          <w:b/>
          <w:bCs/>
          <w:color w:val="auto"/>
          <w:sz w:val="32"/>
          <w:szCs w:val="32"/>
          <w:highlight w:val="none"/>
        </w:rPr>
        <w:t>投诉书（格式）</w:t>
      </w:r>
    </w:p>
    <w:p w14:paraId="30A31083">
      <w:pPr>
        <w:snapToGrid w:val="0"/>
        <w:spacing w:line="360" w:lineRule="auto"/>
        <w:ind w:firstLine="482"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一、投诉相关主体基本情况：</w:t>
      </w:r>
    </w:p>
    <w:p w14:paraId="7D88D1DB">
      <w:pPr>
        <w:snapToGrid w:val="0"/>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供应商：</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56F70644">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06C73767">
      <w:pPr>
        <w:snapToGrid w:val="0"/>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法定代表人/主要负责人：</w:t>
      </w:r>
      <w:r>
        <w:rPr>
          <w:rFonts w:hint="eastAsia" w:ascii="宋体" w:hAnsi="宋体" w:cs="宋体"/>
          <w:bCs/>
          <w:color w:val="auto"/>
          <w:kern w:val="0"/>
          <w:sz w:val="24"/>
          <w:highlight w:val="none"/>
          <w:u w:val="single"/>
        </w:rPr>
        <w:t xml:space="preserve">                                                         </w:t>
      </w:r>
    </w:p>
    <w:p w14:paraId="76987643">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621B4C88">
      <w:pPr>
        <w:snapToGrid w:val="0"/>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授权代表：</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57D4019D">
      <w:pPr>
        <w:snapToGrid w:val="0"/>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p>
    <w:p w14:paraId="74EE3D22">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74375D10">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被投诉人1：</w:t>
      </w:r>
    </w:p>
    <w:p w14:paraId="61CAAEFF">
      <w:pPr>
        <w:snapToGrid w:val="0"/>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p>
    <w:p w14:paraId="39C38944">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5435F85D">
      <w:pPr>
        <w:snapToGrid w:val="0"/>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联系人：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p>
    <w:p w14:paraId="7B27D2DB">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被投诉人2：</w:t>
      </w:r>
    </w:p>
    <w:p w14:paraId="495493A2">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w:t>
      </w:r>
    </w:p>
    <w:p w14:paraId="2D9067D2">
      <w:pPr>
        <w:snapToGrid w:val="0"/>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相关供应商：</w:t>
      </w:r>
      <w:r>
        <w:rPr>
          <w:rFonts w:hint="eastAsia" w:ascii="宋体" w:hAnsi="宋体" w:cs="宋体"/>
          <w:bCs/>
          <w:color w:val="auto"/>
          <w:kern w:val="0"/>
          <w:sz w:val="24"/>
          <w:highlight w:val="none"/>
          <w:u w:val="single"/>
        </w:rPr>
        <w:t xml:space="preserve">                                                                       </w:t>
      </w:r>
    </w:p>
    <w:p w14:paraId="1CE62207">
      <w:pPr>
        <w:snapToGrid w:val="0"/>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地址：</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邮编：</w:t>
      </w:r>
      <w:r>
        <w:rPr>
          <w:rFonts w:hint="eastAsia" w:ascii="宋体" w:hAnsi="宋体" w:cs="宋体"/>
          <w:bCs/>
          <w:color w:val="auto"/>
          <w:kern w:val="0"/>
          <w:sz w:val="24"/>
          <w:highlight w:val="none"/>
          <w:u w:val="single"/>
        </w:rPr>
        <w:t xml:space="preserve">                         </w:t>
      </w:r>
    </w:p>
    <w:p w14:paraId="4ED8E138">
      <w:pPr>
        <w:snapToGrid w:val="0"/>
        <w:spacing w:line="360" w:lineRule="auto"/>
        <w:ind w:firstLine="480" w:firstLineChars="200"/>
        <w:rPr>
          <w:rFonts w:ascii="宋体" w:hAnsi="宋体" w:cs="宋体"/>
          <w:bCs/>
          <w:color w:val="auto"/>
          <w:kern w:val="0"/>
          <w:sz w:val="24"/>
          <w:highlight w:val="none"/>
        </w:rPr>
      </w:pPr>
      <w:r>
        <w:rPr>
          <w:rFonts w:hint="eastAsia" w:ascii="宋体" w:hAnsi="宋体" w:cs="宋体"/>
          <w:bCs/>
          <w:color w:val="auto"/>
          <w:kern w:val="0"/>
          <w:sz w:val="24"/>
          <w:highlight w:val="none"/>
        </w:rPr>
        <w:t>联系人：</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联系电话：</w:t>
      </w:r>
      <w:r>
        <w:rPr>
          <w:rFonts w:hint="eastAsia" w:ascii="宋体" w:hAnsi="宋体" w:cs="宋体"/>
          <w:bCs/>
          <w:color w:val="auto"/>
          <w:kern w:val="0"/>
          <w:sz w:val="24"/>
          <w:highlight w:val="none"/>
          <w:u w:val="single"/>
        </w:rPr>
        <w:t xml:space="preserve">                     </w:t>
      </w:r>
      <w:r>
        <w:rPr>
          <w:rFonts w:hint="eastAsia" w:ascii="宋体" w:hAnsi="宋体" w:cs="宋体"/>
          <w:bCs/>
          <w:color w:val="auto"/>
          <w:kern w:val="0"/>
          <w:sz w:val="24"/>
          <w:highlight w:val="none"/>
        </w:rPr>
        <w:t xml:space="preserve">                </w:t>
      </w:r>
    </w:p>
    <w:p w14:paraId="45EB6216">
      <w:pPr>
        <w:snapToGrid w:val="0"/>
        <w:spacing w:line="360" w:lineRule="auto"/>
        <w:ind w:firstLine="482" w:firstLineChars="200"/>
        <w:rPr>
          <w:rFonts w:ascii="宋体" w:hAnsi="宋体" w:cs="宋体"/>
          <w:b/>
          <w:bCs/>
          <w:color w:val="auto"/>
          <w:kern w:val="0"/>
          <w:sz w:val="24"/>
          <w:highlight w:val="none"/>
        </w:rPr>
      </w:pPr>
      <w:r>
        <w:rPr>
          <w:rFonts w:hint="eastAsia" w:ascii="宋体" w:hAnsi="宋体" w:cs="宋体"/>
          <w:b/>
          <w:bCs/>
          <w:color w:val="auto"/>
          <w:kern w:val="0"/>
          <w:sz w:val="24"/>
          <w:highlight w:val="none"/>
        </w:rPr>
        <w:t>二、投诉项目基本情况：</w:t>
      </w:r>
    </w:p>
    <w:p w14:paraId="235B254F">
      <w:pPr>
        <w:spacing w:line="360" w:lineRule="auto"/>
        <w:ind w:left="25" w:leftChars="12" w:firstLine="472" w:firstLineChars="197"/>
        <w:rPr>
          <w:rFonts w:ascii="宋体" w:hAnsi="宋体" w:cs="宋体"/>
          <w:color w:val="auto"/>
          <w:kern w:val="0"/>
          <w:sz w:val="24"/>
          <w:highlight w:val="none"/>
        </w:rPr>
      </w:pPr>
      <w:r>
        <w:rPr>
          <w:rFonts w:hint="eastAsia" w:ascii="宋体" w:hAnsi="宋体" w:cs="宋体"/>
          <w:bCs/>
          <w:color w:val="auto"/>
          <w:kern w:val="0"/>
          <w:sz w:val="24"/>
          <w:highlight w:val="none"/>
        </w:rPr>
        <w:t>采购</w:t>
      </w:r>
      <w:r>
        <w:rPr>
          <w:rFonts w:hint="eastAsia" w:ascii="宋体" w:hAnsi="宋体" w:cs="宋体"/>
          <w:color w:val="auto"/>
          <w:kern w:val="0"/>
          <w:sz w:val="24"/>
          <w:highlight w:val="none"/>
        </w:rPr>
        <w:t>项目的名称：</w:t>
      </w:r>
      <w:r>
        <w:rPr>
          <w:rFonts w:hint="eastAsia" w:ascii="宋体" w:hAnsi="宋体" w:cs="宋体"/>
          <w:bCs/>
          <w:color w:val="auto"/>
          <w:kern w:val="0"/>
          <w:sz w:val="24"/>
          <w:highlight w:val="none"/>
          <w:u w:val="single"/>
        </w:rPr>
        <w:t xml:space="preserve">                                                                   </w:t>
      </w:r>
    </w:p>
    <w:p w14:paraId="11B5511A">
      <w:pPr>
        <w:spacing w:line="360" w:lineRule="auto"/>
        <w:ind w:left="25" w:leftChars="12" w:firstLine="472" w:firstLineChars="197"/>
        <w:rPr>
          <w:rFonts w:ascii="宋体" w:hAnsi="宋体" w:cs="宋体"/>
          <w:color w:val="auto"/>
          <w:kern w:val="0"/>
          <w:sz w:val="24"/>
          <w:highlight w:val="none"/>
        </w:rPr>
      </w:pPr>
      <w:r>
        <w:rPr>
          <w:rFonts w:hint="eastAsia" w:ascii="宋体" w:hAnsi="宋体" w:cs="宋体"/>
          <w:bCs/>
          <w:color w:val="auto"/>
          <w:kern w:val="0"/>
          <w:sz w:val="24"/>
          <w:highlight w:val="none"/>
        </w:rPr>
        <w:t>采购</w:t>
      </w:r>
      <w:r>
        <w:rPr>
          <w:rFonts w:hint="eastAsia" w:ascii="宋体" w:hAnsi="宋体" w:cs="宋体"/>
          <w:color w:val="auto"/>
          <w:kern w:val="0"/>
          <w:sz w:val="24"/>
          <w:highlight w:val="none"/>
        </w:rPr>
        <w:t>项目的编号：</w:t>
      </w:r>
      <w:r>
        <w:rPr>
          <w:rFonts w:hint="eastAsia" w:ascii="宋体" w:hAnsi="宋体" w:cs="宋体"/>
          <w:bCs/>
          <w:color w:val="auto"/>
          <w:kern w:val="0"/>
          <w:sz w:val="24"/>
          <w:highlight w:val="none"/>
          <w:u w:val="single"/>
        </w:rPr>
        <w:t xml:space="preserve">                                          </w:t>
      </w:r>
    </w:p>
    <w:p w14:paraId="6F14F9A9">
      <w:pPr>
        <w:spacing w:line="360" w:lineRule="auto"/>
        <w:ind w:left="25" w:leftChars="12" w:firstLine="472" w:firstLineChars="197"/>
        <w:rPr>
          <w:rFonts w:ascii="宋体" w:hAnsi="宋体" w:cs="宋体"/>
          <w:bCs/>
          <w:color w:val="auto"/>
          <w:kern w:val="0"/>
          <w:sz w:val="24"/>
          <w:highlight w:val="none"/>
          <w:u w:val="single"/>
        </w:rPr>
      </w:pPr>
      <w:r>
        <w:rPr>
          <w:rFonts w:hint="eastAsia" w:ascii="宋体" w:hAnsi="宋体" w:cs="宋体"/>
          <w:color w:val="auto"/>
          <w:kern w:val="0"/>
          <w:sz w:val="24"/>
          <w:highlight w:val="none"/>
        </w:rPr>
        <w:t>采购人名称：</w:t>
      </w:r>
      <w:r>
        <w:rPr>
          <w:rFonts w:hint="eastAsia" w:ascii="宋体" w:hAnsi="宋体" w:cs="宋体"/>
          <w:bCs/>
          <w:color w:val="auto"/>
          <w:kern w:val="0"/>
          <w:sz w:val="24"/>
          <w:highlight w:val="none"/>
          <w:u w:val="single"/>
        </w:rPr>
        <w:t xml:space="preserve">                                                                        </w:t>
      </w:r>
    </w:p>
    <w:p w14:paraId="56D60BD0">
      <w:pPr>
        <w:spacing w:line="360" w:lineRule="auto"/>
        <w:ind w:left="25" w:leftChars="12" w:firstLine="472" w:firstLineChars="197"/>
        <w:rPr>
          <w:rFonts w:ascii="宋体" w:hAnsi="宋体" w:cs="宋体"/>
          <w:bCs/>
          <w:color w:val="auto"/>
          <w:kern w:val="0"/>
          <w:sz w:val="24"/>
          <w:highlight w:val="none"/>
          <w:u w:val="single"/>
        </w:rPr>
      </w:pPr>
      <w:r>
        <w:rPr>
          <w:rFonts w:hint="eastAsia" w:ascii="宋体" w:hAnsi="宋体" w:cs="宋体"/>
          <w:color w:val="auto"/>
          <w:kern w:val="0"/>
          <w:sz w:val="24"/>
          <w:highlight w:val="none"/>
        </w:rPr>
        <w:t>代理机构名称：</w:t>
      </w:r>
      <w:r>
        <w:rPr>
          <w:rFonts w:hint="eastAsia" w:ascii="宋体" w:hAnsi="宋体" w:cs="宋体"/>
          <w:bCs/>
          <w:color w:val="auto"/>
          <w:kern w:val="0"/>
          <w:sz w:val="24"/>
          <w:highlight w:val="none"/>
          <w:u w:val="single"/>
        </w:rPr>
        <w:t xml:space="preserve">                                                                      </w:t>
      </w:r>
    </w:p>
    <w:p w14:paraId="17702126">
      <w:pPr>
        <w:spacing w:line="360" w:lineRule="auto"/>
        <w:ind w:left="25" w:leftChars="12" w:firstLine="472" w:firstLineChars="197"/>
        <w:rPr>
          <w:rFonts w:ascii="宋体" w:hAnsi="宋体" w:cs="宋体"/>
          <w:bCs/>
          <w:color w:val="auto"/>
          <w:kern w:val="0"/>
          <w:sz w:val="24"/>
          <w:highlight w:val="none"/>
          <w:u w:val="single"/>
        </w:rPr>
      </w:pPr>
      <w:r>
        <w:rPr>
          <w:rFonts w:hint="eastAsia" w:ascii="宋体" w:hAnsi="宋体" w:cs="宋体"/>
          <w:bCs/>
          <w:color w:val="auto"/>
          <w:kern w:val="0"/>
          <w:sz w:val="24"/>
          <w:highlight w:val="none"/>
        </w:rPr>
        <w:t>采购文件公告：</w:t>
      </w:r>
      <w:r>
        <w:rPr>
          <w:rFonts w:hint="eastAsia" w:ascii="宋体" w:hAnsi="宋体" w:cs="宋体"/>
          <w:bCs/>
          <w:color w:val="auto"/>
          <w:kern w:val="0"/>
          <w:sz w:val="24"/>
          <w:highlight w:val="none"/>
          <w:u w:val="single"/>
        </w:rPr>
        <w:t>是/否</w:t>
      </w:r>
      <w:r>
        <w:rPr>
          <w:rFonts w:hint="eastAsia" w:ascii="宋体" w:hAnsi="宋体" w:cs="宋体"/>
          <w:bCs/>
          <w:color w:val="auto"/>
          <w:kern w:val="0"/>
          <w:sz w:val="24"/>
          <w:highlight w:val="none"/>
        </w:rPr>
        <w:t>公告期限：</w:t>
      </w:r>
      <w:r>
        <w:rPr>
          <w:rFonts w:hint="eastAsia" w:ascii="宋体" w:hAnsi="宋体" w:cs="宋体"/>
          <w:bCs/>
          <w:color w:val="auto"/>
          <w:kern w:val="0"/>
          <w:sz w:val="24"/>
          <w:highlight w:val="none"/>
          <w:u w:val="single"/>
        </w:rPr>
        <w:t xml:space="preserve">                                                       </w:t>
      </w:r>
    </w:p>
    <w:p w14:paraId="7059E0D2">
      <w:pPr>
        <w:spacing w:line="360" w:lineRule="auto"/>
        <w:ind w:left="25" w:leftChars="12" w:firstLine="472" w:firstLineChars="197"/>
        <w:rPr>
          <w:rFonts w:ascii="宋体" w:hAnsi="宋体" w:cs="宋体"/>
          <w:b/>
          <w:color w:val="auto"/>
          <w:kern w:val="0"/>
          <w:sz w:val="24"/>
          <w:highlight w:val="none"/>
        </w:rPr>
      </w:pPr>
      <w:r>
        <w:rPr>
          <w:rFonts w:hint="eastAsia" w:ascii="宋体" w:hAnsi="宋体" w:cs="宋体"/>
          <w:bCs/>
          <w:color w:val="auto"/>
          <w:kern w:val="0"/>
          <w:sz w:val="24"/>
          <w:highlight w:val="none"/>
        </w:rPr>
        <w:t>采购结果公告：</w:t>
      </w:r>
      <w:r>
        <w:rPr>
          <w:rFonts w:hint="eastAsia" w:ascii="宋体" w:hAnsi="宋体" w:cs="宋体"/>
          <w:bCs/>
          <w:color w:val="auto"/>
          <w:kern w:val="0"/>
          <w:sz w:val="24"/>
          <w:highlight w:val="none"/>
          <w:u w:val="single"/>
        </w:rPr>
        <w:t>是/否</w:t>
      </w:r>
      <w:r>
        <w:rPr>
          <w:rFonts w:hint="eastAsia" w:ascii="宋体" w:hAnsi="宋体" w:cs="宋体"/>
          <w:bCs/>
          <w:color w:val="auto"/>
          <w:kern w:val="0"/>
          <w:sz w:val="24"/>
          <w:highlight w:val="none"/>
        </w:rPr>
        <w:t>公告期限：</w:t>
      </w:r>
      <w:r>
        <w:rPr>
          <w:rFonts w:hint="eastAsia" w:ascii="宋体" w:hAnsi="宋体" w:cs="宋体"/>
          <w:bCs/>
          <w:color w:val="auto"/>
          <w:kern w:val="0"/>
          <w:sz w:val="24"/>
          <w:highlight w:val="none"/>
          <w:u w:val="single"/>
        </w:rPr>
        <w:t xml:space="preserve">                                                       </w:t>
      </w:r>
    </w:p>
    <w:p w14:paraId="29BB2CF6">
      <w:pPr>
        <w:spacing w:line="360" w:lineRule="auto"/>
        <w:ind w:left="25" w:leftChars="12"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三、质疑基本情况</w:t>
      </w:r>
    </w:p>
    <w:p w14:paraId="7392183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投诉人于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日，向</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提出质疑，质疑事项为：</w:t>
      </w:r>
    </w:p>
    <w:p w14:paraId="01FC52C6">
      <w:pPr>
        <w:spacing w:line="360" w:lineRule="auto"/>
        <w:ind w:firstLine="241"/>
        <w:rPr>
          <w:rFonts w:ascii="宋体" w:hAnsi="宋体" w:cs="宋体"/>
          <w:bCs/>
          <w:color w:val="auto"/>
          <w:kern w:val="0"/>
          <w:sz w:val="24"/>
          <w:highlight w:val="none"/>
          <w:u w:val="single"/>
        </w:rPr>
      </w:pPr>
      <w:r>
        <w:rPr>
          <w:rFonts w:hint="eastAsia" w:ascii="宋体" w:hAnsi="宋体" w:cs="宋体"/>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1AC39AC3">
      <w:pPr>
        <w:spacing w:line="360" w:lineRule="auto"/>
        <w:ind w:firstLine="241"/>
        <w:rPr>
          <w:rFonts w:ascii="宋体" w:hAnsi="宋体" w:cs="宋体"/>
          <w:bCs/>
          <w:color w:val="auto"/>
          <w:kern w:val="0"/>
          <w:sz w:val="24"/>
          <w:highlight w:val="none"/>
          <w:u w:val="single"/>
        </w:rPr>
      </w:pPr>
      <w:r>
        <w:rPr>
          <w:rFonts w:hint="eastAsia" w:ascii="宋体" w:hAnsi="宋体" w:cs="宋体"/>
          <w:bCs/>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6C1C0E47">
      <w:pPr>
        <w:spacing w:line="360" w:lineRule="auto"/>
        <w:ind w:firstLine="480" w:firstLineChars="200"/>
        <w:rPr>
          <w:rFonts w:ascii="宋体" w:hAnsi="宋体" w:cs="宋体"/>
          <w:color w:val="auto"/>
          <w:kern w:val="0"/>
          <w:sz w:val="24"/>
          <w:highlight w:val="none"/>
        </w:rPr>
      </w:pPr>
      <w:r>
        <w:rPr>
          <w:rFonts w:hint="eastAsia" w:ascii="宋体" w:hAnsi="宋体" w:cs="宋体"/>
          <w:bCs/>
          <w:color w:val="auto"/>
          <w:kern w:val="0"/>
          <w:sz w:val="24"/>
          <w:highlight w:val="none"/>
          <w:u w:val="single"/>
        </w:rPr>
        <w:t>采购人/采购代理机构</w:t>
      </w:r>
      <w:r>
        <w:rPr>
          <w:rFonts w:hint="eastAsia" w:ascii="宋体" w:hAnsi="宋体" w:cs="宋体"/>
          <w:bCs/>
          <w:color w:val="auto"/>
          <w:kern w:val="0"/>
          <w:sz w:val="24"/>
          <w:highlight w:val="none"/>
        </w:rPr>
        <w:t>于</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年</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日，</w:t>
      </w:r>
      <w:r>
        <w:rPr>
          <w:rFonts w:hint="eastAsia" w:ascii="宋体" w:hAnsi="宋体" w:cs="宋体"/>
          <w:bCs/>
          <w:color w:val="auto"/>
          <w:kern w:val="0"/>
          <w:sz w:val="24"/>
          <w:highlight w:val="none"/>
        </w:rPr>
        <w:t xml:space="preserve">就质疑事项作出了答复/没有在法定期限内作出答复。                                                                                             </w:t>
      </w:r>
    </w:p>
    <w:p w14:paraId="3C60B65D">
      <w:pPr>
        <w:spacing w:line="360" w:lineRule="auto"/>
        <w:ind w:left="25" w:leftChars="12"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四、投诉事项具体内容</w:t>
      </w:r>
    </w:p>
    <w:p w14:paraId="41F406A8">
      <w:pPr>
        <w:spacing w:line="360" w:lineRule="auto"/>
        <w:ind w:left="25" w:leftChars="12" w:firstLine="472" w:firstLineChars="197"/>
        <w:rPr>
          <w:rFonts w:ascii="宋体" w:hAnsi="宋体" w:cs="宋体"/>
          <w:bCs/>
          <w:color w:val="auto"/>
          <w:kern w:val="0"/>
          <w:sz w:val="24"/>
          <w:highlight w:val="none"/>
          <w:u w:val="single"/>
        </w:rPr>
      </w:pPr>
      <w:r>
        <w:rPr>
          <w:rFonts w:hint="eastAsia" w:ascii="宋体" w:hAnsi="宋体" w:cs="宋体"/>
          <w:color w:val="auto"/>
          <w:kern w:val="0"/>
          <w:sz w:val="24"/>
          <w:highlight w:val="none"/>
        </w:rPr>
        <w:t>投诉事项1：</w:t>
      </w:r>
      <w:r>
        <w:rPr>
          <w:rFonts w:hint="eastAsia" w:ascii="宋体" w:hAnsi="宋体" w:cs="宋体"/>
          <w:bCs/>
          <w:color w:val="auto"/>
          <w:kern w:val="0"/>
          <w:sz w:val="24"/>
          <w:highlight w:val="none"/>
          <w:u w:val="single"/>
        </w:rPr>
        <w:t xml:space="preserve">                                                                           </w:t>
      </w:r>
    </w:p>
    <w:p w14:paraId="1C5CC7B5">
      <w:pPr>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事实依据：</w:t>
      </w:r>
      <w:r>
        <w:rPr>
          <w:rFonts w:hint="eastAsia" w:ascii="宋体" w:hAnsi="宋体" w:cs="宋体"/>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0B7B0E42">
      <w:pPr>
        <w:spacing w:line="360" w:lineRule="auto"/>
        <w:ind w:left="25" w:leftChars="12" w:firstLine="472" w:firstLineChars="197"/>
        <w:rPr>
          <w:rFonts w:ascii="宋体" w:hAnsi="宋体" w:cs="宋体"/>
          <w:color w:val="auto"/>
          <w:kern w:val="0"/>
          <w:sz w:val="24"/>
          <w:highlight w:val="none"/>
        </w:rPr>
      </w:pPr>
      <w:r>
        <w:rPr>
          <w:rFonts w:hint="eastAsia" w:ascii="宋体" w:hAnsi="宋体" w:cs="宋体"/>
          <w:bCs/>
          <w:color w:val="auto"/>
          <w:kern w:val="0"/>
          <w:sz w:val="24"/>
          <w:highlight w:val="none"/>
          <w:u w:val="single"/>
        </w:rPr>
        <w:t xml:space="preserve">                                                                                        </w:t>
      </w:r>
    </w:p>
    <w:p w14:paraId="2FD999C3">
      <w:pPr>
        <w:spacing w:line="360" w:lineRule="auto"/>
        <w:ind w:firstLine="480" w:firstLineChars="200"/>
        <w:rPr>
          <w:rFonts w:ascii="宋体" w:hAnsi="宋体" w:cs="宋体"/>
          <w:bCs/>
          <w:color w:val="auto"/>
          <w:kern w:val="0"/>
          <w:sz w:val="24"/>
          <w:highlight w:val="none"/>
          <w:u w:val="single"/>
        </w:rPr>
      </w:pPr>
      <w:r>
        <w:rPr>
          <w:rFonts w:hint="eastAsia" w:ascii="宋体" w:hAnsi="宋体" w:cs="宋体"/>
          <w:bCs/>
          <w:color w:val="auto"/>
          <w:kern w:val="0"/>
          <w:sz w:val="24"/>
          <w:highlight w:val="none"/>
        </w:rPr>
        <w:t>法律依据：</w:t>
      </w:r>
      <w:r>
        <w:rPr>
          <w:rFonts w:hint="eastAsia" w:ascii="宋体" w:hAnsi="宋体" w:cs="宋体"/>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4C6BB669">
      <w:pPr>
        <w:spacing w:line="360" w:lineRule="auto"/>
        <w:ind w:left="25" w:leftChars="12" w:firstLine="352" w:firstLineChars="147"/>
        <w:rPr>
          <w:rFonts w:ascii="宋体" w:hAnsi="宋体" w:cs="宋体"/>
          <w:bCs/>
          <w:color w:val="auto"/>
          <w:kern w:val="0"/>
          <w:sz w:val="24"/>
          <w:highlight w:val="none"/>
          <w:u w:val="single"/>
        </w:rPr>
      </w:pPr>
      <w:r>
        <w:rPr>
          <w:rFonts w:hint="eastAsia" w:ascii="宋体" w:hAnsi="宋体" w:cs="宋体"/>
          <w:bCs/>
          <w:color w:val="auto"/>
          <w:kern w:val="0"/>
          <w:sz w:val="24"/>
          <w:highlight w:val="none"/>
        </w:rPr>
        <w:t xml:space="preserve"> </w:t>
      </w:r>
      <w:r>
        <w:rPr>
          <w:rFonts w:hint="eastAsia" w:ascii="宋体" w:hAnsi="宋体" w:cs="宋体"/>
          <w:bCs/>
          <w:color w:val="auto"/>
          <w:kern w:val="0"/>
          <w:sz w:val="24"/>
          <w:highlight w:val="none"/>
          <w:u w:val="single"/>
        </w:rPr>
        <w:t xml:space="preserve">                                                                                        </w:t>
      </w:r>
    </w:p>
    <w:p w14:paraId="47AAB57F">
      <w:pPr>
        <w:spacing w:line="360" w:lineRule="auto"/>
        <w:ind w:left="25" w:leftChars="12" w:firstLine="472" w:firstLineChars="197"/>
        <w:rPr>
          <w:rFonts w:ascii="宋体" w:hAnsi="宋体" w:cs="宋体"/>
          <w:bCs/>
          <w:color w:val="auto"/>
          <w:kern w:val="0"/>
          <w:sz w:val="24"/>
          <w:highlight w:val="none"/>
        </w:rPr>
      </w:pPr>
      <w:r>
        <w:rPr>
          <w:rFonts w:hint="eastAsia" w:ascii="宋体" w:hAnsi="宋体" w:cs="宋体"/>
          <w:color w:val="auto"/>
          <w:kern w:val="0"/>
          <w:sz w:val="24"/>
          <w:highlight w:val="none"/>
        </w:rPr>
        <w:t xml:space="preserve">投诉事项2  </w:t>
      </w:r>
      <w:r>
        <w:rPr>
          <w:rFonts w:hint="eastAsia" w:ascii="宋体" w:hAnsi="宋体" w:cs="宋体"/>
          <w:bCs/>
          <w:color w:val="auto"/>
          <w:kern w:val="0"/>
          <w:sz w:val="24"/>
          <w:highlight w:val="none"/>
        </w:rPr>
        <w:t xml:space="preserve">   </w:t>
      </w:r>
    </w:p>
    <w:p w14:paraId="02A8BC57">
      <w:pPr>
        <w:spacing w:line="360" w:lineRule="auto"/>
        <w:ind w:left="25" w:leftChars="12" w:firstLine="472" w:firstLineChars="197"/>
        <w:rPr>
          <w:rFonts w:ascii="宋体" w:hAnsi="宋体" w:cs="宋体"/>
          <w:bCs/>
          <w:color w:val="auto"/>
          <w:kern w:val="0"/>
          <w:sz w:val="24"/>
          <w:highlight w:val="none"/>
        </w:rPr>
      </w:pPr>
      <w:r>
        <w:rPr>
          <w:rFonts w:hint="eastAsia" w:ascii="宋体" w:hAnsi="宋体" w:cs="宋体"/>
          <w:bCs/>
          <w:color w:val="auto"/>
          <w:kern w:val="0"/>
          <w:sz w:val="24"/>
          <w:highlight w:val="none"/>
        </w:rPr>
        <w:t>……</w:t>
      </w:r>
    </w:p>
    <w:p w14:paraId="2B0EE03D">
      <w:pPr>
        <w:spacing w:line="360" w:lineRule="auto"/>
        <w:ind w:left="25" w:leftChars="12"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五、与投诉事项相关的投诉请求：</w:t>
      </w:r>
    </w:p>
    <w:p w14:paraId="37A50EB9">
      <w:pPr>
        <w:spacing w:line="360" w:lineRule="auto"/>
        <w:ind w:left="25" w:leftChars="12" w:firstLine="472" w:firstLineChars="197"/>
        <w:rPr>
          <w:rFonts w:ascii="宋体" w:hAnsi="宋体" w:cs="宋体"/>
          <w:color w:val="auto"/>
          <w:kern w:val="0"/>
          <w:sz w:val="24"/>
          <w:highlight w:val="none"/>
        </w:rPr>
      </w:pPr>
      <w:r>
        <w:rPr>
          <w:rFonts w:hint="eastAsia" w:ascii="宋体" w:hAnsi="宋体" w:cs="宋体"/>
          <w:color w:val="auto"/>
          <w:kern w:val="0"/>
          <w:sz w:val="24"/>
          <w:highlight w:val="none"/>
        </w:rPr>
        <w:t>请求：</w:t>
      </w:r>
      <w:r>
        <w:rPr>
          <w:rFonts w:hint="eastAsia" w:ascii="宋体" w:hAnsi="宋体" w:cs="宋体"/>
          <w:bCs/>
          <w:color w:val="auto"/>
          <w:kern w:val="0"/>
          <w:sz w:val="24"/>
          <w:highlight w:val="none"/>
          <w:u w:val="single"/>
        </w:rPr>
        <w:t xml:space="preserve">                                                                                 </w:t>
      </w:r>
    </w:p>
    <w:p w14:paraId="52ADEEC1">
      <w:pPr>
        <w:spacing w:line="360" w:lineRule="auto"/>
        <w:ind w:left="25" w:leftChars="12" w:firstLine="352" w:firstLineChars="147"/>
        <w:rPr>
          <w:rFonts w:ascii="宋体" w:hAnsi="宋体" w:cs="宋体"/>
          <w:color w:val="auto"/>
          <w:kern w:val="0"/>
          <w:sz w:val="24"/>
          <w:highlight w:val="none"/>
        </w:rPr>
      </w:pPr>
    </w:p>
    <w:p w14:paraId="01D93AD1">
      <w:pPr>
        <w:spacing w:line="360" w:lineRule="auto"/>
        <w:ind w:left="25" w:leftChars="12" w:firstLine="472" w:firstLineChars="197"/>
        <w:rPr>
          <w:rFonts w:ascii="宋体" w:hAnsi="宋体" w:cs="宋体"/>
          <w:color w:val="auto"/>
          <w:kern w:val="0"/>
          <w:sz w:val="24"/>
          <w:highlight w:val="none"/>
        </w:rPr>
      </w:pPr>
      <w:r>
        <w:rPr>
          <w:rFonts w:hint="eastAsia" w:ascii="宋体" w:hAnsi="宋体" w:cs="宋体"/>
          <w:color w:val="auto"/>
          <w:kern w:val="0"/>
          <w:sz w:val="24"/>
          <w:highlight w:val="none"/>
        </w:rPr>
        <w:t>签字（签章）：                                       公章：</w:t>
      </w:r>
    </w:p>
    <w:p w14:paraId="5073C8EB">
      <w:pPr>
        <w:spacing w:line="360" w:lineRule="auto"/>
        <w:ind w:left="25" w:leftChars="12" w:firstLine="352" w:firstLineChars="147"/>
        <w:rPr>
          <w:rFonts w:ascii="宋体" w:hAnsi="宋体" w:cs="宋体"/>
          <w:color w:val="auto"/>
          <w:kern w:val="0"/>
          <w:sz w:val="24"/>
          <w:highlight w:val="none"/>
        </w:rPr>
      </w:pPr>
    </w:p>
    <w:p w14:paraId="4DFC50E2">
      <w:pPr>
        <w:spacing w:line="360" w:lineRule="auto"/>
        <w:ind w:left="25" w:leftChars="12" w:firstLine="472" w:firstLineChars="197"/>
        <w:rPr>
          <w:rFonts w:ascii="宋体" w:hAnsi="宋体" w:cs="宋体"/>
          <w:color w:val="auto"/>
          <w:kern w:val="0"/>
          <w:sz w:val="24"/>
          <w:highlight w:val="none"/>
        </w:rPr>
      </w:pPr>
      <w:r>
        <w:rPr>
          <w:rFonts w:hint="eastAsia" w:ascii="宋体" w:hAnsi="宋体" w:cs="宋体"/>
          <w:color w:val="auto"/>
          <w:kern w:val="0"/>
          <w:sz w:val="24"/>
          <w:highlight w:val="none"/>
        </w:rPr>
        <w:t>日期：</w:t>
      </w:r>
    </w:p>
    <w:p w14:paraId="2B86D5FC">
      <w:pPr>
        <w:spacing w:line="360" w:lineRule="auto"/>
        <w:ind w:left="25" w:leftChars="12" w:firstLine="472" w:firstLineChars="197"/>
        <w:rPr>
          <w:rFonts w:ascii="宋体" w:hAnsi="宋体" w:cs="宋体"/>
          <w:color w:val="auto"/>
          <w:kern w:val="0"/>
          <w:sz w:val="24"/>
          <w:highlight w:val="none"/>
        </w:rPr>
      </w:pPr>
      <w:r>
        <w:rPr>
          <w:rFonts w:hint="eastAsia" w:ascii="宋体" w:hAnsi="宋体" w:cs="宋体"/>
          <w:bCs/>
          <w:color w:val="auto"/>
          <w:kern w:val="0"/>
          <w:sz w:val="24"/>
          <w:highlight w:val="none"/>
        </w:rPr>
        <w:t xml:space="preserve">                                                                                 </w:t>
      </w:r>
    </w:p>
    <w:p w14:paraId="227AE424">
      <w:pPr>
        <w:snapToGrid w:val="0"/>
        <w:spacing w:line="360" w:lineRule="auto"/>
        <w:rPr>
          <w:rFonts w:ascii="宋体" w:hAnsi="宋体" w:cs="宋体"/>
          <w:b/>
          <w:color w:val="auto"/>
          <w:kern w:val="0"/>
          <w:sz w:val="24"/>
          <w:highlight w:val="none"/>
        </w:rPr>
      </w:pPr>
    </w:p>
    <w:p w14:paraId="6F633FC7">
      <w:pPr>
        <w:snapToGrid w:val="0"/>
        <w:spacing w:line="360" w:lineRule="auto"/>
        <w:rPr>
          <w:rFonts w:ascii="宋体" w:hAnsi="宋体" w:cs="宋体"/>
          <w:b/>
          <w:color w:val="auto"/>
          <w:kern w:val="0"/>
          <w:sz w:val="24"/>
          <w:highlight w:val="none"/>
        </w:rPr>
      </w:pPr>
      <w:r>
        <w:rPr>
          <w:rFonts w:hint="eastAsia" w:ascii="宋体" w:hAnsi="宋体" w:cs="宋体"/>
          <w:b/>
          <w:color w:val="auto"/>
          <w:kern w:val="0"/>
          <w:sz w:val="24"/>
          <w:highlight w:val="none"/>
        </w:rPr>
        <w:t>说明：</w:t>
      </w:r>
    </w:p>
    <w:p w14:paraId="0069C5AA">
      <w:pPr>
        <w:spacing w:line="360" w:lineRule="auto"/>
        <w:ind w:left="25" w:leftChars="12" w:firstLine="354" w:firstLineChars="147"/>
        <w:rPr>
          <w:rFonts w:ascii="宋体" w:hAnsi="宋体" w:cs="宋体"/>
          <w:b/>
          <w:bCs/>
          <w:color w:val="auto"/>
          <w:kern w:val="0"/>
          <w:sz w:val="24"/>
          <w:highlight w:val="none"/>
        </w:rPr>
      </w:pPr>
      <w:r>
        <w:rPr>
          <w:rFonts w:hint="eastAsia" w:ascii="宋体" w:hAnsi="宋体" w:cs="宋体"/>
          <w:b/>
          <w:color w:val="auto"/>
          <w:kern w:val="0"/>
          <w:sz w:val="24"/>
          <w:highlight w:val="none"/>
        </w:rPr>
        <w:t>1.投诉人提起投诉时，应当提交投诉书和必要的证明材料，并按照被投诉人和与投诉事项有关的供应商数量提供投诉书副本</w:t>
      </w:r>
      <w:r>
        <w:rPr>
          <w:rFonts w:hint="eastAsia" w:ascii="宋体" w:hAnsi="宋体" w:cs="宋体"/>
          <w:b/>
          <w:bCs/>
          <w:color w:val="auto"/>
          <w:kern w:val="0"/>
          <w:sz w:val="24"/>
          <w:highlight w:val="none"/>
        </w:rPr>
        <w:t>。</w:t>
      </w:r>
    </w:p>
    <w:p w14:paraId="1749313D">
      <w:pPr>
        <w:spacing w:line="360" w:lineRule="auto"/>
        <w:ind w:left="25" w:leftChars="12" w:firstLine="354" w:firstLineChars="147"/>
        <w:rPr>
          <w:rFonts w:ascii="宋体" w:hAnsi="宋体" w:cs="宋体"/>
          <w:b/>
          <w:color w:val="auto"/>
          <w:kern w:val="0"/>
          <w:sz w:val="24"/>
          <w:highlight w:val="none"/>
        </w:rPr>
      </w:pPr>
      <w:r>
        <w:rPr>
          <w:rFonts w:hint="eastAsia" w:ascii="宋体" w:hAnsi="宋体" w:cs="宋体"/>
          <w:b/>
          <w:color w:val="auto"/>
          <w:kern w:val="0"/>
          <w:sz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BFF2C3F">
      <w:pPr>
        <w:spacing w:line="360" w:lineRule="auto"/>
        <w:ind w:left="25" w:leftChars="12" w:firstLine="354" w:firstLineChars="147"/>
        <w:rPr>
          <w:rFonts w:ascii="宋体" w:hAnsi="宋体" w:cs="宋体"/>
          <w:b/>
          <w:color w:val="auto"/>
          <w:kern w:val="0"/>
          <w:sz w:val="24"/>
          <w:highlight w:val="none"/>
        </w:rPr>
      </w:pPr>
      <w:r>
        <w:rPr>
          <w:rFonts w:hint="eastAsia" w:ascii="宋体" w:hAnsi="宋体" w:cs="宋体"/>
          <w:b/>
          <w:color w:val="auto"/>
          <w:kern w:val="0"/>
          <w:sz w:val="24"/>
          <w:highlight w:val="none"/>
        </w:rPr>
        <w:t>3.投诉书应简要列明质疑事项，质疑函、质疑答复等作为附件材料提供。</w:t>
      </w:r>
    </w:p>
    <w:p w14:paraId="06A437DB">
      <w:pPr>
        <w:spacing w:line="360" w:lineRule="auto"/>
        <w:ind w:left="25" w:leftChars="12" w:firstLine="354" w:firstLineChars="147"/>
        <w:rPr>
          <w:rFonts w:ascii="宋体" w:hAnsi="宋体" w:cs="宋体"/>
          <w:b/>
          <w:color w:val="auto"/>
          <w:kern w:val="0"/>
          <w:sz w:val="24"/>
          <w:highlight w:val="none"/>
        </w:rPr>
      </w:pPr>
      <w:r>
        <w:rPr>
          <w:rFonts w:hint="eastAsia" w:ascii="宋体" w:hAnsi="宋体" w:cs="宋体"/>
          <w:b/>
          <w:color w:val="auto"/>
          <w:kern w:val="0"/>
          <w:sz w:val="24"/>
          <w:highlight w:val="none"/>
        </w:rPr>
        <w:t>4.投诉书的投诉事项应具体、明确，并有必要的事实依据和法律依据。</w:t>
      </w:r>
    </w:p>
    <w:p w14:paraId="57261B4C">
      <w:pPr>
        <w:spacing w:line="360" w:lineRule="auto"/>
        <w:ind w:left="25" w:leftChars="12" w:firstLine="354" w:firstLineChars="147"/>
        <w:rPr>
          <w:rFonts w:ascii="宋体" w:hAnsi="宋体" w:cs="宋体"/>
          <w:b/>
          <w:color w:val="auto"/>
          <w:kern w:val="0"/>
          <w:sz w:val="24"/>
          <w:highlight w:val="none"/>
        </w:rPr>
      </w:pPr>
      <w:r>
        <w:rPr>
          <w:rFonts w:hint="eastAsia" w:ascii="宋体" w:hAnsi="宋体" w:cs="宋体"/>
          <w:b/>
          <w:color w:val="auto"/>
          <w:kern w:val="0"/>
          <w:sz w:val="24"/>
          <w:highlight w:val="none"/>
        </w:rPr>
        <w:t>5.投诉书的投诉请求应与投诉事项相关。</w:t>
      </w:r>
    </w:p>
    <w:p w14:paraId="26A770F4">
      <w:pPr>
        <w:spacing w:line="360" w:lineRule="auto"/>
        <w:ind w:left="25" w:leftChars="12" w:firstLine="354" w:firstLineChars="147"/>
        <w:rPr>
          <w:rFonts w:ascii="宋体" w:hAnsi="宋体" w:cs="宋体"/>
          <w:color w:val="auto"/>
          <w:highlight w:val="none"/>
        </w:rPr>
      </w:pPr>
      <w:r>
        <w:rPr>
          <w:rFonts w:hint="eastAsia" w:ascii="宋体" w:hAnsi="宋体" w:cs="宋体"/>
          <w:b/>
          <w:color w:val="auto"/>
          <w:kern w:val="0"/>
          <w:sz w:val="24"/>
          <w:highlight w:val="none"/>
        </w:rPr>
        <w:t>6.投诉人为法人或者其他组织的，投诉书应由法定代表人、主要负责人，或者其授权代表签字或者盖章，并加盖公章。</w:t>
      </w:r>
    </w:p>
    <w:p w14:paraId="67C5B49A">
      <w:pPr>
        <w:rPr>
          <w:color w:val="auto"/>
          <w:highlight w:val="none"/>
        </w:rPr>
      </w:pPr>
    </w:p>
    <w:sectPr>
      <w:headerReference r:id="rId11" w:type="default"/>
      <w:footerReference r:id="rId12" w:type="default"/>
      <w:pgSz w:w="11911" w:h="16838"/>
      <w:pgMar w:top="1134" w:right="1134" w:bottom="1134" w:left="1134"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B400C2-F76F-4F1A-B78A-F18CC4F233DB}"/>
  </w:font>
  <w:font w:name="Courier New">
    <w:panose1 w:val="02070309020205020404"/>
    <w:charset w:val="01"/>
    <w:family w:val="modern"/>
    <w:pitch w:val="default"/>
    <w:sig w:usb0="E0002AFF" w:usb1="C0007843" w:usb2="00000009" w:usb3="00000000" w:csb0="400001FF" w:csb1="FFFF0000"/>
    <w:embedRegular r:id="rId2" w:fontKey="{08961D1B-2E9E-4738-B211-686CC3C34D4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A8E30E1-86C6-441A-BAD5-63BB4CEA6AB1}"/>
  </w:font>
  <w:font w:name="Cambria">
    <w:panose1 w:val="02040503050406030204"/>
    <w:charset w:val="00"/>
    <w:family w:val="roman"/>
    <w:pitch w:val="default"/>
    <w:sig w:usb0="E00002FF" w:usb1="400004FF" w:usb2="00000000" w:usb3="00000000" w:csb0="2000019F" w:csb1="00000000"/>
    <w:embedRegular r:id="rId4" w:fontKey="{18BC37F7-C1A4-4716-A715-4DC6B97C4C3D}"/>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5" w:fontKey="{20811347-598E-4F39-B42E-7B8A2F663F45}"/>
  </w:font>
  <w:font w:name="Tahoma">
    <w:panose1 w:val="020B0604030504040204"/>
    <w:charset w:val="00"/>
    <w:family w:val="swiss"/>
    <w:pitch w:val="default"/>
    <w:sig w:usb0="E1002EFF" w:usb1="C000605B" w:usb2="00000029" w:usb3="00000000" w:csb0="200101FF" w:csb1="20280000"/>
    <w:embedRegular r:id="rId6" w:fontKey="{8A051C2A-7465-458A-BF06-F3A7238A15FB}"/>
  </w:font>
  <w:font w:name="仿宋">
    <w:panose1 w:val="02010609060101010101"/>
    <w:charset w:val="86"/>
    <w:family w:val="modern"/>
    <w:pitch w:val="default"/>
    <w:sig w:usb0="800002BF" w:usb1="38CF7CFA" w:usb2="00000016" w:usb3="00000000" w:csb0="00040001" w:csb1="00000000"/>
    <w:embedRegular r:id="rId7" w:fontKey="{E4EC3B5F-C61B-4FE3-9321-6D077B484C3E}"/>
  </w:font>
  <w:font w:name="华文新魏">
    <w:panose1 w:val="02010800040101010101"/>
    <w:charset w:val="86"/>
    <w:family w:val="auto"/>
    <w:pitch w:val="default"/>
    <w:sig w:usb0="00000001" w:usb1="080F0000" w:usb2="00000000" w:usb3="00000000" w:csb0="00040000" w:csb1="00000000"/>
    <w:embedRegular r:id="rId8" w:fontKey="{07FE06CA-AE05-4317-AC1E-DD7C1627CA1D}"/>
  </w:font>
  <w:font w:name="方正小标宋简体">
    <w:panose1 w:val="02000000000000000000"/>
    <w:charset w:val="86"/>
    <w:family w:val="script"/>
    <w:pitch w:val="default"/>
    <w:sig w:usb0="00000001" w:usb1="08000000" w:usb2="00000000" w:usb3="00000000" w:csb0="00040000" w:csb1="00000000"/>
    <w:embedRegular r:id="rId9" w:fontKey="{F830DBE6-7FB4-40EC-A7AE-479EDAA4035F}"/>
  </w:font>
  <w:font w:name="Wingdings 2">
    <w:panose1 w:val="05020102010507070707"/>
    <w:charset w:val="02"/>
    <w:family w:val="roman"/>
    <w:pitch w:val="default"/>
    <w:sig w:usb0="00000000" w:usb1="00000000" w:usb2="00000000" w:usb3="00000000" w:csb0="80000000" w:csb1="00000000"/>
    <w:embedRegular r:id="rId10" w:fontKey="{523B297C-0D13-4252-9F5D-02DAB6B936AB}"/>
  </w:font>
  <w:font w:name="Arial Unicode MS">
    <w:panose1 w:val="020B0604020202020204"/>
    <w:charset w:val="86"/>
    <w:family w:val="swiss"/>
    <w:pitch w:val="default"/>
    <w:sig w:usb0="FFFFFFFF" w:usb1="E9FFFFFF" w:usb2="0000003F" w:usb3="00000000" w:csb0="603F01FF" w:csb1="FFFF0000"/>
    <w:embedRegular r:id="rId11" w:fontKey="{D803660D-9C04-4865-B4CC-87F0A0403B15}"/>
  </w:font>
  <w:font w:name="楷体">
    <w:panose1 w:val="02010609060101010101"/>
    <w:charset w:val="86"/>
    <w:family w:val="modern"/>
    <w:pitch w:val="default"/>
    <w:sig w:usb0="800002BF" w:usb1="38CF7CFA" w:usb2="00000016" w:usb3="00000000" w:csb0="00040001" w:csb1="00000000"/>
    <w:embedRegular r:id="rId12" w:fontKey="{BE7123F4-7E5A-4F18-83EA-5A772F22A890}"/>
  </w:font>
  <w:font w:name="Verdana">
    <w:panose1 w:val="020B0604030504040204"/>
    <w:charset w:val="00"/>
    <w:family w:val="swiss"/>
    <w:pitch w:val="default"/>
    <w:sig w:usb0="A10006FF" w:usb1="4000205B" w:usb2="00000010" w:usb3="00000000" w:csb0="2000019F" w:csb1="00000000"/>
    <w:embedRegular r:id="rId13" w:fontKey="{96FA5AB8-0468-4021-B7AE-2F81ECBB5656}"/>
  </w:font>
  <w:font w:name="华文中宋">
    <w:panose1 w:val="02010600040101010101"/>
    <w:charset w:val="86"/>
    <w:family w:val="auto"/>
    <w:pitch w:val="default"/>
    <w:sig w:usb0="00000287" w:usb1="080F0000" w:usb2="00000000" w:usb3="00000000" w:csb0="0004009F" w:csb1="DFD70000"/>
    <w:embedRegular r:id="rId14" w:fontKey="{9A25D411-201B-4E96-939F-9E9DB4253CE0}"/>
  </w:font>
  <w:font w:name="Calibri Light">
    <w:panose1 w:val="020F0302020204030204"/>
    <w:charset w:val="00"/>
    <w:family w:val="swiss"/>
    <w:pitch w:val="default"/>
    <w:sig w:usb0="A00002EF" w:usb1="4000207B" w:usb2="00000000" w:usb3="00000000" w:csb0="2000019F" w:csb1="00000000"/>
    <w:embedRegular r:id="rId15" w:fontKey="{7A468C15-B207-4780-BE5A-D9B390C8AF96}"/>
  </w:font>
  <w:font w:name="隶书">
    <w:panose1 w:val="02010509060101010101"/>
    <w:charset w:val="86"/>
    <w:family w:val="modern"/>
    <w:pitch w:val="default"/>
    <w:sig w:usb0="00000001" w:usb1="080E0000" w:usb2="00000000" w:usb3="00000000" w:csb0="00040000" w:csb1="00000000"/>
    <w:embedRegular r:id="rId16" w:fontKey="{F5C61D24-64DA-41D9-A8C5-544DC244ED32}"/>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1AC31">
    <w:pPr>
      <w:pStyle w:val="2"/>
      <w:tabs>
        <w:tab w:val="center" w:pos="4439"/>
        <w:tab w:val="clear" w:pos="4153"/>
      </w:tabs>
      <w:jc w:val="both"/>
      <w:rPr>
        <w:rFonts w:ascii="Calibri" w:hAnsi="Calibr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E7526">
    <w:pPr>
      <w:pStyle w:val="2"/>
      <w:tabs>
        <w:tab w:val="center" w:pos="4439"/>
        <w:tab w:val="clear" w:pos="4153"/>
      </w:tabs>
      <w:rPr>
        <w:rFonts w:ascii="Calibri" w:hAnsi="Calibri"/>
      </w:rPr>
    </w:pPr>
    <w:r>
      <w:rPr>
        <w:rFonts w:ascii="Calibri" w:hAnsi="Calibri"/>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5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C24875">
                          <w:pPr>
                            <w:rPr>
                              <w:rFonts w:ascii="Calibri" w:hAnsi="Calibri"/>
                            </w:rPr>
                          </w:pPr>
                        </w:p>
                      </w:txbxContent>
                    </wps:txbx>
                    <wps:bodyPr wrap="none" lIns="0" tIns="0" rIns="0" bIns="0" upright="0">
                      <a:spAutoFit/>
                    </wps:bodyPr>
                  </wps:wsp>
                </a:graphicData>
              </a:graphic>
            </wp:anchor>
          </w:drawing>
        </mc:Choice>
        <mc:Fallback>
          <w:pict>
            <v:shape id="文本框 51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rqeJYzwEAAKsDAAAOAAAAAAAAAAEAIAAAAB4BAABkcnMv&#10;ZTJvRG9jLnhtbFBLBQYAAAAABgAGAFkBAABfBQAAAAA=&#10;">
              <v:fill on="f" focussize="0,0"/>
              <v:stroke on="f"/>
              <v:imagedata o:title=""/>
              <o:lock v:ext="edit" aspectratio="f"/>
              <v:textbox inset="0mm,0mm,0mm,0mm" style="mso-fit-shape-to-text:t;">
                <w:txbxContent>
                  <w:p w14:paraId="59C24875">
                    <w:pPr>
                      <w:rPr>
                        <w:rFonts w:ascii="Calibri" w:hAnsi="Calibri"/>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135FF">
    <w:pPr>
      <w:pStyle w:val="2"/>
      <w:tabs>
        <w:tab w:val="center" w:pos="4439"/>
        <w:tab w:val="clear" w:pos="4153"/>
      </w:tabs>
      <w:jc w:val="both"/>
      <w:rPr>
        <w:rFonts w:ascii="Calibri" w:hAnsi="Calibri"/>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7ED50D">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1">
                      <a:spAutoFit/>
                    </wps:bodyPr>
                  </wps:wsp>
                </a:graphicData>
              </a:graphic>
            </wp:anchor>
          </w:drawing>
        </mc:Choice>
        <mc:Fallback>
          <w:pict>
            <v:shape id="文本框 513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BrRDKzAEAAJwDAAAOAAAAAAAAAAEAIAAAAB4BAABkcnMvZTJv&#10;RG9jLnhtbFBLBQYAAAAABgAGAFkBAABcBQAAAAA=&#10;">
              <v:fill on="f" focussize="0,0"/>
              <v:stroke on="f"/>
              <v:imagedata o:title=""/>
              <o:lock v:ext="edit" aspectratio="f"/>
              <v:textbox inset="0mm,0mm,0mm,0mm" style="mso-fit-shape-to-text:t;">
                <w:txbxContent>
                  <w:p w14:paraId="157ED50D">
                    <w:pPr>
                      <w:pStyle w:val="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D5CC1">
    <w:pPr>
      <w:pStyle w:val="2"/>
      <w:jc w:val="center"/>
      <w:rPr>
        <w:rFonts w:ascii="Calibri" w:hAnsi="Calibri"/>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1B6AD7">
                          <w:pPr>
                            <w:pStyle w:val="2"/>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wrap="none" lIns="0" tIns="0" rIns="0" bIns="0" upright="1">
                      <a:spAutoFit/>
                    </wps:bodyPr>
                  </wps:wsp>
                </a:graphicData>
              </a:graphic>
            </wp:anchor>
          </w:drawing>
        </mc:Choice>
        <mc:Fallback>
          <w:pict>
            <v:shape id="文本框 513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24GEKzAEAAJwDAAAOAAAAAAAAAAEAIAAAAB4BAABkcnMvZTJv&#10;RG9jLnhtbFBLBQYAAAAABgAGAFkBAABcBQAAAAA=&#10;">
              <v:fill on="f" focussize="0,0"/>
              <v:stroke on="f"/>
              <v:imagedata o:title=""/>
              <o:lock v:ext="edit" aspectratio="f"/>
              <v:textbox inset="0mm,0mm,0mm,0mm" style="mso-fit-shape-to-text:t;">
                <w:txbxContent>
                  <w:p w14:paraId="501B6AD7">
                    <w:pPr>
                      <w:pStyle w:val="2"/>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p>
  <w:p w14:paraId="738FEC00">
    <w:pPr>
      <w:pStyle w:val="2"/>
      <w:rPr>
        <w:rFonts w:ascii="Calibri" w:hAnsi="Calibr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119FA">
    <w:pPr>
      <w:pStyle w:val="2"/>
      <w:rPr>
        <w:rFonts w:ascii="Calibri" w:hAnsi="Calibri"/>
      </w:rPr>
    </w:pPr>
    <w:r>
      <w:rPr>
        <w:rFonts w:ascii="Calibri" w:hAnsi="Calibri"/>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5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D0FCE6">
                          <w:pPr>
                            <w:pStyle w:val="2"/>
                            <w:rPr>
                              <w:rFonts w:ascii="Calibri" w:hAnsi="Calibri"/>
                            </w:rPr>
                          </w:pPr>
                          <w:r>
                            <w:rPr>
                              <w:rFonts w:hint="eastAsia" w:ascii="Calibri" w:hAnsi="Calibri"/>
                            </w:rPr>
                            <w:fldChar w:fldCharType="begin"/>
                          </w:r>
                          <w:r>
                            <w:rPr>
                              <w:rFonts w:hint="eastAsia" w:ascii="Calibri" w:hAnsi="Calibri"/>
                            </w:rPr>
                            <w:instrText xml:space="preserve"> PAGE  \* MERGEFORMAT </w:instrText>
                          </w:r>
                          <w:r>
                            <w:rPr>
                              <w:rFonts w:hint="eastAsia" w:ascii="Calibri" w:hAnsi="Calibri"/>
                            </w:rPr>
                            <w:fldChar w:fldCharType="separate"/>
                          </w:r>
                          <w:r>
                            <w:rPr>
                              <w:rFonts w:ascii="Calibri" w:hAnsi="Calibri"/>
                            </w:rPr>
                            <w:t>63</w:t>
                          </w:r>
                          <w:r>
                            <w:rPr>
                              <w:rFonts w:hint="eastAsia" w:ascii="Calibri" w:hAnsi="Calibri"/>
                            </w:rPr>
                            <w:fldChar w:fldCharType="end"/>
                          </w:r>
                        </w:p>
                      </w:txbxContent>
                    </wps:txbx>
                    <wps:bodyPr wrap="none" lIns="0" tIns="0" rIns="0" bIns="0" upright="0">
                      <a:spAutoFit/>
                    </wps:bodyPr>
                  </wps:wsp>
                </a:graphicData>
              </a:graphic>
            </wp:anchor>
          </w:drawing>
        </mc:Choice>
        <mc:Fallback>
          <w:pict>
            <v:shape id="文本框 512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L11kdABAACrAwAADgAAAAAAAAABACAAAAAeAQAAZHJz&#10;L2Uyb0RvYy54bWxQSwUGAAAAAAYABgBZAQAAYAUAAAAA&#10;">
              <v:fill on="f" focussize="0,0"/>
              <v:stroke on="f"/>
              <v:imagedata o:title=""/>
              <o:lock v:ext="edit" aspectratio="f"/>
              <v:textbox inset="0mm,0mm,0mm,0mm" style="mso-fit-shape-to-text:t;">
                <w:txbxContent>
                  <w:p w14:paraId="57D0FCE6">
                    <w:pPr>
                      <w:pStyle w:val="2"/>
                      <w:rPr>
                        <w:rFonts w:ascii="Calibri" w:hAnsi="Calibri"/>
                      </w:rPr>
                    </w:pPr>
                    <w:r>
                      <w:rPr>
                        <w:rFonts w:hint="eastAsia" w:ascii="Calibri" w:hAnsi="Calibri"/>
                      </w:rPr>
                      <w:fldChar w:fldCharType="begin"/>
                    </w:r>
                    <w:r>
                      <w:rPr>
                        <w:rFonts w:hint="eastAsia" w:ascii="Calibri" w:hAnsi="Calibri"/>
                      </w:rPr>
                      <w:instrText xml:space="preserve"> PAGE  \* MERGEFORMAT </w:instrText>
                    </w:r>
                    <w:r>
                      <w:rPr>
                        <w:rFonts w:hint="eastAsia" w:ascii="Calibri" w:hAnsi="Calibri"/>
                      </w:rPr>
                      <w:fldChar w:fldCharType="separate"/>
                    </w:r>
                    <w:r>
                      <w:rPr>
                        <w:rFonts w:ascii="Calibri" w:hAnsi="Calibri"/>
                      </w:rPr>
                      <w:t>63</w:t>
                    </w:r>
                    <w:r>
                      <w:rPr>
                        <w:rFonts w:hint="eastAsia" w:ascii="Calibri" w:hAnsi="Calibri"/>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C70CE">
    <w:pPr>
      <w:pStyle w:val="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72085" cy="147955"/>
              <wp:effectExtent l="0" t="0" r="0" b="0"/>
              <wp:wrapNone/>
              <wp:docPr id="2" name="文本框 9"/>
              <wp:cNvGraphicFramePr/>
              <a:graphic xmlns:a="http://schemas.openxmlformats.org/drawingml/2006/main">
                <a:graphicData uri="http://schemas.microsoft.com/office/word/2010/wordprocessingShape">
                  <wps:wsp>
                    <wps:cNvSpPr txBox="1"/>
                    <wps:spPr>
                      <a:xfrm>
                        <a:off x="0" y="0"/>
                        <a:ext cx="172085" cy="147955"/>
                      </a:xfrm>
                      <a:prstGeom prst="rect">
                        <a:avLst/>
                      </a:prstGeom>
                      <a:noFill/>
                      <a:ln>
                        <a:noFill/>
                      </a:ln>
                    </wps:spPr>
                    <wps:txbx>
                      <w:txbxContent>
                        <w:p w14:paraId="3B539CF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24"/>
                            </w:rPr>
                            <w:t>75</w:t>
                          </w:r>
                          <w:r>
                            <w:rPr>
                              <w:rFonts w:hint="eastAsia"/>
                              <w:sz w:val="18"/>
                            </w:rPr>
                            <w:fldChar w:fldCharType="end"/>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1.65pt;width:13.55pt;mso-position-horizontal:center;mso-position-horizontal-relative:margin;mso-wrap-style:none;z-index:251662336;mso-width-relative:page;mso-height-relative:page;" filled="f" stroked="f" coordsize="21600,21600" o:gfxdata="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81RGj0QAAAAMBAAAPAAAAAAAAAAEAIAAAACIAAABkcnMvZG93&#10;bnJldi54bWxQSwECFAAUAAAACACHTuJANVV7ic4BAACXAwAADgAAAAAAAAABACAAAAAgAQAAZHJz&#10;L2Uyb0RvYy54bWxQSwUGAAAAAAYABgBZAQAAYAUAAAAA&#10;">
              <v:fill on="f" focussize="0,0"/>
              <v:stroke on="f"/>
              <v:imagedata o:title=""/>
              <o:lock v:ext="edit" aspectratio="f"/>
              <v:textbox inset="0mm,0mm,0mm,0mm" style="mso-fit-shape-to-text:t;">
                <w:txbxContent>
                  <w:p w14:paraId="3B539CF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24"/>
                      </w:rPr>
                      <w:t>75</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6C616">
    <w:pPr>
      <w:pStyle w:val="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72085" cy="147955"/>
              <wp:effectExtent l="0" t="0" r="0" b="0"/>
              <wp:wrapNone/>
              <wp:docPr id="4" name="文本框 9"/>
              <wp:cNvGraphicFramePr/>
              <a:graphic xmlns:a="http://schemas.openxmlformats.org/drawingml/2006/main">
                <a:graphicData uri="http://schemas.microsoft.com/office/word/2010/wordprocessingShape">
                  <wps:wsp>
                    <wps:cNvSpPr txBox="1"/>
                    <wps:spPr>
                      <a:xfrm>
                        <a:off x="0" y="0"/>
                        <a:ext cx="172085" cy="147955"/>
                      </a:xfrm>
                      <a:prstGeom prst="rect">
                        <a:avLst/>
                      </a:prstGeom>
                      <a:noFill/>
                      <a:ln>
                        <a:noFill/>
                      </a:ln>
                    </wps:spPr>
                    <wps:txbx>
                      <w:txbxContent>
                        <w:p w14:paraId="086FE0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24"/>
                            </w:rPr>
                            <w:t>88</w:t>
                          </w:r>
                          <w:r>
                            <w:rPr>
                              <w:rFonts w:hint="eastAsia"/>
                              <w:sz w:val="18"/>
                            </w:rPr>
                            <w:fldChar w:fldCharType="end"/>
                          </w:r>
                        </w:p>
                      </w:txbxContent>
                    </wps:txbx>
                    <wps:bodyPr wrap="none" lIns="0" tIns="0" rIns="0" bIns="0" upright="1">
                      <a:spAutoFit/>
                    </wps:bodyPr>
                  </wps:wsp>
                </a:graphicData>
              </a:graphic>
            </wp:anchor>
          </w:drawing>
        </mc:Choice>
        <mc:Fallback>
          <w:pict>
            <v:shape id="文本框 9" o:spid="_x0000_s1026" o:spt="202" type="#_x0000_t202" style="position:absolute;left:0pt;margin-top:0pt;height:11.65pt;width:13.55pt;mso-position-horizontal:center;mso-position-horizontal-relative:margin;mso-wrap-style:none;z-index:251664384;mso-width-relative:page;mso-height-relative:page;" filled="f" stroked="f" coordsize="21600,21600" o:gfxdata="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81RGj0QAAAAMBAAAPAAAAAAAAAAEAIAAAACIAAABkcnMvZG93&#10;bnJldi54bWxQSwECFAAUAAAACACHTuJAKiRpDs4BAACXAwAADgAAAAAAAAABACAAAAAgAQAAZHJz&#10;L2Uyb0RvYy54bWxQSwUGAAAAAAYABgBZAQAAYAUAAAAA&#10;">
              <v:fill on="f" focussize="0,0"/>
              <v:stroke on="f"/>
              <v:imagedata o:title=""/>
              <o:lock v:ext="edit" aspectratio="f"/>
              <v:textbox inset="0mm,0mm,0mm,0mm" style="mso-fit-shape-to-text:t;">
                <w:txbxContent>
                  <w:p w14:paraId="086FE0E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24"/>
                      </w:rPr>
                      <w:t>88</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2D0F8">
    <w:pPr>
      <w:pStyle w:val="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5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565F39">
                          <w:pPr>
                            <w:pStyle w:val="2"/>
                            <w:jc w:val="center"/>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wps:txbx>
                    <wps:bodyPr wrap="none" lIns="0" tIns="0" rIns="0" bIns="0" upright="1">
                      <a:spAutoFit/>
                    </wps:bodyPr>
                  </wps:wsp>
                </a:graphicData>
              </a:graphic>
            </wp:anchor>
          </w:drawing>
        </mc:Choice>
        <mc:Fallback>
          <w:pict>
            <v:shape id="文本框 512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0inemzAEAAJwDAAAOAAAAAAAAAAEAIAAAAB4BAABkcnMvZTJv&#10;RG9jLnhtbFBLBQYAAAAABgAGAFkBAABcBQAAAAA=&#10;">
              <v:fill on="f" focussize="0,0"/>
              <v:stroke on="f"/>
              <v:imagedata o:title=""/>
              <o:lock v:ext="edit" aspectratio="f"/>
              <v:textbox inset="0mm,0mm,0mm,0mm" style="mso-fit-shape-to-text:t;">
                <w:txbxContent>
                  <w:p w14:paraId="3D565F39">
                    <w:pPr>
                      <w:pStyle w:val="2"/>
                      <w:jc w:val="center"/>
                    </w:pPr>
                    <w:r>
                      <w:rPr>
                        <w:rFonts w:hint="eastAsia"/>
                      </w:rPr>
                      <w:fldChar w:fldCharType="begin"/>
                    </w:r>
                    <w:r>
                      <w:rPr>
                        <w:rFonts w:hint="eastAsia"/>
                      </w:rPr>
                      <w:instrText xml:space="preserve"> PAGE  \* MERGEFORMAT </w:instrText>
                    </w:r>
                    <w:r>
                      <w:rPr>
                        <w:rFonts w:hint="eastAsia"/>
                      </w:rPr>
                      <w:fldChar w:fldCharType="separate"/>
                    </w:r>
                    <w:r>
                      <w:t>92</w:t>
                    </w:r>
                    <w:r>
                      <w:rPr>
                        <w:rFonts w:hint="eastAsia"/>
                      </w:rPr>
                      <w:fldChar w:fldCharType="end"/>
                    </w:r>
                  </w:p>
                </w:txbxContent>
              </v:textbox>
            </v:shape>
          </w:pict>
        </mc:Fallback>
      </mc:AlternateContent>
    </w:r>
  </w:p>
  <w:p w14:paraId="6EC0F96E">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0864C">
    <w:pPr>
      <w:pStyle w:val="24"/>
      <w:tabs>
        <w:tab w:val="center" w:pos="0"/>
        <w:tab w:val="clear" w:pos="4153"/>
      </w:tabs>
      <w:rPr>
        <w:rFonts w:ascii="Calibri" w:hAnsi="Calibri"/>
      </w:rPr>
    </w:pPr>
    <w:r>
      <w:rPr>
        <w:rFonts w:hint="eastAsia" w:ascii="Calibri" w:hAnsi="Calibri"/>
      </w:rPr>
      <w:t>南宁市政府采购竞争性磋商采购文件（项目编号：NNZC2021-C3--KLZB）</w:t>
    </w:r>
  </w:p>
  <w:p w14:paraId="00C6A0A7">
    <w:pPr>
      <w:pStyle w:val="24"/>
      <w:pBdr>
        <w:bottom w:val="none" w:color="auto" w:sz="0" w:space="1"/>
      </w:pBdr>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FE628">
    <w:r>
      <w:t>&gt;</w:t>
    </w:r>
  </w:p>
  <w:p w14:paraId="6D384419">
    <w:pPr>
      <w:pStyle w:val="2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708320B4"/>
    <w:multiLevelType w:val="singleLevel"/>
    <w:tmpl w:val="708320B4"/>
    <w:lvl w:ilvl="0" w:tentative="0">
      <w:start w:val="1"/>
      <w:numFmt w:val="chineseCounting"/>
      <w:suff w:val="nothing"/>
      <w:lvlText w:val="（%1）"/>
      <w:lvlJc w:val="left"/>
      <w:rPr>
        <w:rFonts w:hint="eastAsi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iMzBkZDFhZjlkODU2YTdhZTkwZGE3Y2RiNmUxZjkifQ=="/>
  </w:docVars>
  <w:rsids>
    <w:rsidRoot w:val="00F34B14"/>
    <w:rsid w:val="00000672"/>
    <w:rsid w:val="00001013"/>
    <w:rsid w:val="00001799"/>
    <w:rsid w:val="00001AF2"/>
    <w:rsid w:val="00001ECA"/>
    <w:rsid w:val="00002D29"/>
    <w:rsid w:val="00003B93"/>
    <w:rsid w:val="0000474D"/>
    <w:rsid w:val="00005FDF"/>
    <w:rsid w:val="000070B3"/>
    <w:rsid w:val="000076B8"/>
    <w:rsid w:val="0001047A"/>
    <w:rsid w:val="000109DC"/>
    <w:rsid w:val="00010D39"/>
    <w:rsid w:val="0001172C"/>
    <w:rsid w:val="00011A4D"/>
    <w:rsid w:val="00011BC9"/>
    <w:rsid w:val="00012854"/>
    <w:rsid w:val="00012EA6"/>
    <w:rsid w:val="00013359"/>
    <w:rsid w:val="000139CF"/>
    <w:rsid w:val="00013AA4"/>
    <w:rsid w:val="00013DFE"/>
    <w:rsid w:val="00013FE3"/>
    <w:rsid w:val="000141EA"/>
    <w:rsid w:val="00015094"/>
    <w:rsid w:val="00016ABC"/>
    <w:rsid w:val="000177DB"/>
    <w:rsid w:val="000179C9"/>
    <w:rsid w:val="00017CCC"/>
    <w:rsid w:val="00020227"/>
    <w:rsid w:val="00020263"/>
    <w:rsid w:val="00020338"/>
    <w:rsid w:val="00020455"/>
    <w:rsid w:val="00020527"/>
    <w:rsid w:val="00020813"/>
    <w:rsid w:val="000220B2"/>
    <w:rsid w:val="0002264C"/>
    <w:rsid w:val="00022731"/>
    <w:rsid w:val="00022792"/>
    <w:rsid w:val="00024463"/>
    <w:rsid w:val="00025461"/>
    <w:rsid w:val="00025636"/>
    <w:rsid w:val="00025E36"/>
    <w:rsid w:val="00026855"/>
    <w:rsid w:val="00026886"/>
    <w:rsid w:val="0002785D"/>
    <w:rsid w:val="000329E0"/>
    <w:rsid w:val="000352E9"/>
    <w:rsid w:val="00035494"/>
    <w:rsid w:val="00036125"/>
    <w:rsid w:val="00036A07"/>
    <w:rsid w:val="0003780B"/>
    <w:rsid w:val="00040571"/>
    <w:rsid w:val="00040973"/>
    <w:rsid w:val="0004156E"/>
    <w:rsid w:val="00041713"/>
    <w:rsid w:val="00041A13"/>
    <w:rsid w:val="0004440C"/>
    <w:rsid w:val="00046B5E"/>
    <w:rsid w:val="000470CB"/>
    <w:rsid w:val="0004750F"/>
    <w:rsid w:val="000509D9"/>
    <w:rsid w:val="00051ACB"/>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1EB2"/>
    <w:rsid w:val="000724D9"/>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2EB3"/>
    <w:rsid w:val="000933BE"/>
    <w:rsid w:val="00093CD4"/>
    <w:rsid w:val="00094ACC"/>
    <w:rsid w:val="0009560F"/>
    <w:rsid w:val="0009588E"/>
    <w:rsid w:val="000959EE"/>
    <w:rsid w:val="00097183"/>
    <w:rsid w:val="000972CB"/>
    <w:rsid w:val="00097608"/>
    <w:rsid w:val="000A13F3"/>
    <w:rsid w:val="000A23B1"/>
    <w:rsid w:val="000A2B0E"/>
    <w:rsid w:val="000A398F"/>
    <w:rsid w:val="000A3BB7"/>
    <w:rsid w:val="000A448C"/>
    <w:rsid w:val="000A509C"/>
    <w:rsid w:val="000A54A7"/>
    <w:rsid w:val="000A6007"/>
    <w:rsid w:val="000A65A6"/>
    <w:rsid w:val="000A70E3"/>
    <w:rsid w:val="000A7275"/>
    <w:rsid w:val="000A7A12"/>
    <w:rsid w:val="000A7A72"/>
    <w:rsid w:val="000B1202"/>
    <w:rsid w:val="000B1801"/>
    <w:rsid w:val="000B1D0C"/>
    <w:rsid w:val="000B2273"/>
    <w:rsid w:val="000B2585"/>
    <w:rsid w:val="000B2BC6"/>
    <w:rsid w:val="000B2D03"/>
    <w:rsid w:val="000B3815"/>
    <w:rsid w:val="000B3C7B"/>
    <w:rsid w:val="000B4321"/>
    <w:rsid w:val="000B552E"/>
    <w:rsid w:val="000B6A6B"/>
    <w:rsid w:val="000B6C95"/>
    <w:rsid w:val="000B79FC"/>
    <w:rsid w:val="000B7BD1"/>
    <w:rsid w:val="000C02B1"/>
    <w:rsid w:val="000C1679"/>
    <w:rsid w:val="000C1EE3"/>
    <w:rsid w:val="000C3AE7"/>
    <w:rsid w:val="000C3CC9"/>
    <w:rsid w:val="000C6DE4"/>
    <w:rsid w:val="000C7202"/>
    <w:rsid w:val="000D0A89"/>
    <w:rsid w:val="000D1389"/>
    <w:rsid w:val="000D1798"/>
    <w:rsid w:val="000D2626"/>
    <w:rsid w:val="000D291C"/>
    <w:rsid w:val="000D3FB6"/>
    <w:rsid w:val="000D411D"/>
    <w:rsid w:val="000D4589"/>
    <w:rsid w:val="000D4809"/>
    <w:rsid w:val="000D73DD"/>
    <w:rsid w:val="000E1C51"/>
    <w:rsid w:val="000E28AB"/>
    <w:rsid w:val="000E2E3E"/>
    <w:rsid w:val="000E3583"/>
    <w:rsid w:val="000E3AF0"/>
    <w:rsid w:val="000E4E04"/>
    <w:rsid w:val="000E693B"/>
    <w:rsid w:val="000E6EC9"/>
    <w:rsid w:val="000E70B4"/>
    <w:rsid w:val="000E7B62"/>
    <w:rsid w:val="000F0E1E"/>
    <w:rsid w:val="000F17E5"/>
    <w:rsid w:val="000F1A1B"/>
    <w:rsid w:val="000F2A95"/>
    <w:rsid w:val="000F3281"/>
    <w:rsid w:val="000F32FD"/>
    <w:rsid w:val="000F3733"/>
    <w:rsid w:val="000F5F8B"/>
    <w:rsid w:val="000F6153"/>
    <w:rsid w:val="000F63C8"/>
    <w:rsid w:val="000F64AA"/>
    <w:rsid w:val="000F7AF4"/>
    <w:rsid w:val="000F7C33"/>
    <w:rsid w:val="000F7F0C"/>
    <w:rsid w:val="001004D6"/>
    <w:rsid w:val="00102676"/>
    <w:rsid w:val="00103646"/>
    <w:rsid w:val="00103918"/>
    <w:rsid w:val="00104897"/>
    <w:rsid w:val="00104EDE"/>
    <w:rsid w:val="00105CDA"/>
    <w:rsid w:val="00106BEE"/>
    <w:rsid w:val="00107C74"/>
    <w:rsid w:val="001107E5"/>
    <w:rsid w:val="0011091C"/>
    <w:rsid w:val="00111266"/>
    <w:rsid w:val="001112EB"/>
    <w:rsid w:val="00112768"/>
    <w:rsid w:val="00113678"/>
    <w:rsid w:val="00113C3E"/>
    <w:rsid w:val="00115E11"/>
    <w:rsid w:val="00115EEE"/>
    <w:rsid w:val="00115F56"/>
    <w:rsid w:val="00116CA9"/>
    <w:rsid w:val="00116F38"/>
    <w:rsid w:val="001170A4"/>
    <w:rsid w:val="00117AE7"/>
    <w:rsid w:val="00117CBD"/>
    <w:rsid w:val="0012006A"/>
    <w:rsid w:val="00121979"/>
    <w:rsid w:val="00122064"/>
    <w:rsid w:val="00124341"/>
    <w:rsid w:val="00124492"/>
    <w:rsid w:val="00124B12"/>
    <w:rsid w:val="001250A0"/>
    <w:rsid w:val="001263B8"/>
    <w:rsid w:val="0012763E"/>
    <w:rsid w:val="00130217"/>
    <w:rsid w:val="00130783"/>
    <w:rsid w:val="00130A47"/>
    <w:rsid w:val="00130D7C"/>
    <w:rsid w:val="00132B47"/>
    <w:rsid w:val="001337F8"/>
    <w:rsid w:val="001348B4"/>
    <w:rsid w:val="001351CB"/>
    <w:rsid w:val="00135530"/>
    <w:rsid w:val="00135947"/>
    <w:rsid w:val="001359A2"/>
    <w:rsid w:val="00135F92"/>
    <w:rsid w:val="00136020"/>
    <w:rsid w:val="00136445"/>
    <w:rsid w:val="00140132"/>
    <w:rsid w:val="00141C9C"/>
    <w:rsid w:val="0014277F"/>
    <w:rsid w:val="001434BE"/>
    <w:rsid w:val="00144050"/>
    <w:rsid w:val="0014479F"/>
    <w:rsid w:val="001452B4"/>
    <w:rsid w:val="00145320"/>
    <w:rsid w:val="001476D3"/>
    <w:rsid w:val="001509CF"/>
    <w:rsid w:val="00150D1D"/>
    <w:rsid w:val="001525AA"/>
    <w:rsid w:val="00152A87"/>
    <w:rsid w:val="00153BB5"/>
    <w:rsid w:val="00154518"/>
    <w:rsid w:val="00156359"/>
    <w:rsid w:val="001568F3"/>
    <w:rsid w:val="00156DD6"/>
    <w:rsid w:val="0016086E"/>
    <w:rsid w:val="00160D0C"/>
    <w:rsid w:val="00161172"/>
    <w:rsid w:val="00161998"/>
    <w:rsid w:val="00161E65"/>
    <w:rsid w:val="00162597"/>
    <w:rsid w:val="001629AF"/>
    <w:rsid w:val="001629FD"/>
    <w:rsid w:val="001635E6"/>
    <w:rsid w:val="0016428A"/>
    <w:rsid w:val="001647C9"/>
    <w:rsid w:val="001655B2"/>
    <w:rsid w:val="00165627"/>
    <w:rsid w:val="00165929"/>
    <w:rsid w:val="001661A3"/>
    <w:rsid w:val="00167226"/>
    <w:rsid w:val="0016736F"/>
    <w:rsid w:val="0016782B"/>
    <w:rsid w:val="0016784D"/>
    <w:rsid w:val="00172CA8"/>
    <w:rsid w:val="00173256"/>
    <w:rsid w:val="00173B0E"/>
    <w:rsid w:val="00173E03"/>
    <w:rsid w:val="00174182"/>
    <w:rsid w:val="00174A57"/>
    <w:rsid w:val="0017512C"/>
    <w:rsid w:val="0017586A"/>
    <w:rsid w:val="00175BA6"/>
    <w:rsid w:val="00176CA7"/>
    <w:rsid w:val="00176F8E"/>
    <w:rsid w:val="001778C5"/>
    <w:rsid w:val="00177E56"/>
    <w:rsid w:val="00177F0A"/>
    <w:rsid w:val="00180DA0"/>
    <w:rsid w:val="00181EAD"/>
    <w:rsid w:val="00181F43"/>
    <w:rsid w:val="00182862"/>
    <w:rsid w:val="00184F57"/>
    <w:rsid w:val="00185544"/>
    <w:rsid w:val="00185617"/>
    <w:rsid w:val="00186823"/>
    <w:rsid w:val="00186FE1"/>
    <w:rsid w:val="00187A14"/>
    <w:rsid w:val="0019171E"/>
    <w:rsid w:val="00192368"/>
    <w:rsid w:val="001923A0"/>
    <w:rsid w:val="001928B1"/>
    <w:rsid w:val="00193537"/>
    <w:rsid w:val="00193846"/>
    <w:rsid w:val="00194EC8"/>
    <w:rsid w:val="00195424"/>
    <w:rsid w:val="001955FF"/>
    <w:rsid w:val="00196D6E"/>
    <w:rsid w:val="00197EDD"/>
    <w:rsid w:val="001A02B3"/>
    <w:rsid w:val="001A04BB"/>
    <w:rsid w:val="001A08D0"/>
    <w:rsid w:val="001A1B39"/>
    <w:rsid w:val="001A2120"/>
    <w:rsid w:val="001A28C6"/>
    <w:rsid w:val="001A2E69"/>
    <w:rsid w:val="001A3C34"/>
    <w:rsid w:val="001A3EDE"/>
    <w:rsid w:val="001A4222"/>
    <w:rsid w:val="001A50EA"/>
    <w:rsid w:val="001A59A2"/>
    <w:rsid w:val="001A5BA2"/>
    <w:rsid w:val="001A5E24"/>
    <w:rsid w:val="001A6B27"/>
    <w:rsid w:val="001A6D8B"/>
    <w:rsid w:val="001A6DAA"/>
    <w:rsid w:val="001A7717"/>
    <w:rsid w:val="001A793A"/>
    <w:rsid w:val="001B125A"/>
    <w:rsid w:val="001B1EBA"/>
    <w:rsid w:val="001B2142"/>
    <w:rsid w:val="001B2F2B"/>
    <w:rsid w:val="001B327A"/>
    <w:rsid w:val="001B35DE"/>
    <w:rsid w:val="001B3A13"/>
    <w:rsid w:val="001B3F5C"/>
    <w:rsid w:val="001B59FF"/>
    <w:rsid w:val="001B6512"/>
    <w:rsid w:val="001B65D7"/>
    <w:rsid w:val="001B6752"/>
    <w:rsid w:val="001B6768"/>
    <w:rsid w:val="001B6F1F"/>
    <w:rsid w:val="001B7CD7"/>
    <w:rsid w:val="001B7ECC"/>
    <w:rsid w:val="001C025B"/>
    <w:rsid w:val="001C115F"/>
    <w:rsid w:val="001C1EAB"/>
    <w:rsid w:val="001C25A7"/>
    <w:rsid w:val="001C318C"/>
    <w:rsid w:val="001C35C4"/>
    <w:rsid w:val="001C4287"/>
    <w:rsid w:val="001C4479"/>
    <w:rsid w:val="001C5190"/>
    <w:rsid w:val="001C6081"/>
    <w:rsid w:val="001C7B48"/>
    <w:rsid w:val="001D0CFB"/>
    <w:rsid w:val="001D1A0D"/>
    <w:rsid w:val="001D343C"/>
    <w:rsid w:val="001D34F5"/>
    <w:rsid w:val="001D56FC"/>
    <w:rsid w:val="001D58A1"/>
    <w:rsid w:val="001D58C2"/>
    <w:rsid w:val="001D5A8A"/>
    <w:rsid w:val="001D61CA"/>
    <w:rsid w:val="001D6E87"/>
    <w:rsid w:val="001D735E"/>
    <w:rsid w:val="001D73C8"/>
    <w:rsid w:val="001D7BC6"/>
    <w:rsid w:val="001E129E"/>
    <w:rsid w:val="001E175C"/>
    <w:rsid w:val="001E1B0E"/>
    <w:rsid w:val="001E3B63"/>
    <w:rsid w:val="001E522E"/>
    <w:rsid w:val="001E5A94"/>
    <w:rsid w:val="001E5F6F"/>
    <w:rsid w:val="001F0373"/>
    <w:rsid w:val="001F2A2E"/>
    <w:rsid w:val="001F3356"/>
    <w:rsid w:val="001F3C63"/>
    <w:rsid w:val="001F4252"/>
    <w:rsid w:val="001F4460"/>
    <w:rsid w:val="001F4F4F"/>
    <w:rsid w:val="001F711A"/>
    <w:rsid w:val="001F75B0"/>
    <w:rsid w:val="00200CE5"/>
    <w:rsid w:val="00200F7C"/>
    <w:rsid w:val="002014DB"/>
    <w:rsid w:val="0020150B"/>
    <w:rsid w:val="00201E12"/>
    <w:rsid w:val="002033B5"/>
    <w:rsid w:val="0020382C"/>
    <w:rsid w:val="0020437A"/>
    <w:rsid w:val="0020454C"/>
    <w:rsid w:val="00204740"/>
    <w:rsid w:val="00205129"/>
    <w:rsid w:val="0020521F"/>
    <w:rsid w:val="0020532C"/>
    <w:rsid w:val="002114C7"/>
    <w:rsid w:val="0021302C"/>
    <w:rsid w:val="00213B1C"/>
    <w:rsid w:val="00214202"/>
    <w:rsid w:val="002148E3"/>
    <w:rsid w:val="0021552D"/>
    <w:rsid w:val="002156AE"/>
    <w:rsid w:val="00215E99"/>
    <w:rsid w:val="0022054D"/>
    <w:rsid w:val="00223DDB"/>
    <w:rsid w:val="00223FA4"/>
    <w:rsid w:val="00223FB0"/>
    <w:rsid w:val="00224067"/>
    <w:rsid w:val="0022421C"/>
    <w:rsid w:val="00224E83"/>
    <w:rsid w:val="00225664"/>
    <w:rsid w:val="0022663D"/>
    <w:rsid w:val="00227F2D"/>
    <w:rsid w:val="00230179"/>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4DC9"/>
    <w:rsid w:val="00245587"/>
    <w:rsid w:val="00245F2B"/>
    <w:rsid w:val="00246DA4"/>
    <w:rsid w:val="00247F3A"/>
    <w:rsid w:val="00250122"/>
    <w:rsid w:val="00250755"/>
    <w:rsid w:val="00250A51"/>
    <w:rsid w:val="00251043"/>
    <w:rsid w:val="00251C4A"/>
    <w:rsid w:val="0025271C"/>
    <w:rsid w:val="002529E4"/>
    <w:rsid w:val="002533CD"/>
    <w:rsid w:val="002535EA"/>
    <w:rsid w:val="00254EAB"/>
    <w:rsid w:val="002557AF"/>
    <w:rsid w:val="0025589C"/>
    <w:rsid w:val="00255B62"/>
    <w:rsid w:val="002566B1"/>
    <w:rsid w:val="002575E3"/>
    <w:rsid w:val="00257A74"/>
    <w:rsid w:val="002603C1"/>
    <w:rsid w:val="002609A1"/>
    <w:rsid w:val="002612B1"/>
    <w:rsid w:val="00266165"/>
    <w:rsid w:val="002662FE"/>
    <w:rsid w:val="00266F2C"/>
    <w:rsid w:val="0027125E"/>
    <w:rsid w:val="00271767"/>
    <w:rsid w:val="00272293"/>
    <w:rsid w:val="002723C8"/>
    <w:rsid w:val="00273C2A"/>
    <w:rsid w:val="00273CBE"/>
    <w:rsid w:val="002746B1"/>
    <w:rsid w:val="00274BAD"/>
    <w:rsid w:val="002754D6"/>
    <w:rsid w:val="00282D56"/>
    <w:rsid w:val="002835B0"/>
    <w:rsid w:val="00283C74"/>
    <w:rsid w:val="0028407E"/>
    <w:rsid w:val="0028410F"/>
    <w:rsid w:val="00284572"/>
    <w:rsid w:val="00285221"/>
    <w:rsid w:val="00286FB5"/>
    <w:rsid w:val="00287763"/>
    <w:rsid w:val="00287FCB"/>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6E42"/>
    <w:rsid w:val="002A770B"/>
    <w:rsid w:val="002B013E"/>
    <w:rsid w:val="002B058D"/>
    <w:rsid w:val="002B0C16"/>
    <w:rsid w:val="002B2AC5"/>
    <w:rsid w:val="002B3528"/>
    <w:rsid w:val="002B3539"/>
    <w:rsid w:val="002B4532"/>
    <w:rsid w:val="002B4625"/>
    <w:rsid w:val="002B5042"/>
    <w:rsid w:val="002B69CC"/>
    <w:rsid w:val="002B6D71"/>
    <w:rsid w:val="002B78D0"/>
    <w:rsid w:val="002C0C1C"/>
    <w:rsid w:val="002C54C2"/>
    <w:rsid w:val="002C5D34"/>
    <w:rsid w:val="002C5D7F"/>
    <w:rsid w:val="002C60BB"/>
    <w:rsid w:val="002C661A"/>
    <w:rsid w:val="002D0D6F"/>
    <w:rsid w:val="002D25FC"/>
    <w:rsid w:val="002D4AC6"/>
    <w:rsid w:val="002D5BF5"/>
    <w:rsid w:val="002D5E95"/>
    <w:rsid w:val="002D5EE8"/>
    <w:rsid w:val="002D7360"/>
    <w:rsid w:val="002D7648"/>
    <w:rsid w:val="002D780A"/>
    <w:rsid w:val="002E109C"/>
    <w:rsid w:val="002E193E"/>
    <w:rsid w:val="002E1A94"/>
    <w:rsid w:val="002E1D55"/>
    <w:rsid w:val="002E26C4"/>
    <w:rsid w:val="002E30A5"/>
    <w:rsid w:val="002E47E4"/>
    <w:rsid w:val="002E4BF9"/>
    <w:rsid w:val="002E4D61"/>
    <w:rsid w:val="002E5FED"/>
    <w:rsid w:val="002E68A7"/>
    <w:rsid w:val="002E6E6C"/>
    <w:rsid w:val="002F0522"/>
    <w:rsid w:val="002F0B85"/>
    <w:rsid w:val="002F16DD"/>
    <w:rsid w:val="002F199D"/>
    <w:rsid w:val="002F213C"/>
    <w:rsid w:val="002F2453"/>
    <w:rsid w:val="002F352D"/>
    <w:rsid w:val="002F381E"/>
    <w:rsid w:val="002F4084"/>
    <w:rsid w:val="002F4A08"/>
    <w:rsid w:val="002F4ADB"/>
    <w:rsid w:val="002F531E"/>
    <w:rsid w:val="002F548D"/>
    <w:rsid w:val="002F5ACC"/>
    <w:rsid w:val="002F704B"/>
    <w:rsid w:val="002F72C3"/>
    <w:rsid w:val="002F768C"/>
    <w:rsid w:val="002F7D1E"/>
    <w:rsid w:val="00300201"/>
    <w:rsid w:val="0030025A"/>
    <w:rsid w:val="00301ADC"/>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83D"/>
    <w:rsid w:val="00310CC1"/>
    <w:rsid w:val="00311B60"/>
    <w:rsid w:val="00312504"/>
    <w:rsid w:val="00313026"/>
    <w:rsid w:val="00313913"/>
    <w:rsid w:val="0031421F"/>
    <w:rsid w:val="00314B31"/>
    <w:rsid w:val="00315A65"/>
    <w:rsid w:val="003165D7"/>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30C9"/>
    <w:rsid w:val="0033364C"/>
    <w:rsid w:val="00334415"/>
    <w:rsid w:val="00335EA1"/>
    <w:rsid w:val="0033691E"/>
    <w:rsid w:val="00336A6A"/>
    <w:rsid w:val="00336CCB"/>
    <w:rsid w:val="003411D1"/>
    <w:rsid w:val="003416BA"/>
    <w:rsid w:val="00342148"/>
    <w:rsid w:val="00342F99"/>
    <w:rsid w:val="0034575A"/>
    <w:rsid w:val="00345F57"/>
    <w:rsid w:val="00350458"/>
    <w:rsid w:val="00350E6C"/>
    <w:rsid w:val="003518A6"/>
    <w:rsid w:val="00351E7F"/>
    <w:rsid w:val="00352953"/>
    <w:rsid w:val="00354062"/>
    <w:rsid w:val="0035459E"/>
    <w:rsid w:val="00355C0D"/>
    <w:rsid w:val="003566A9"/>
    <w:rsid w:val="00356988"/>
    <w:rsid w:val="003569D3"/>
    <w:rsid w:val="00356CE9"/>
    <w:rsid w:val="003570BB"/>
    <w:rsid w:val="00357128"/>
    <w:rsid w:val="0035755E"/>
    <w:rsid w:val="00357A80"/>
    <w:rsid w:val="00361441"/>
    <w:rsid w:val="00361B8B"/>
    <w:rsid w:val="00363F39"/>
    <w:rsid w:val="0036445C"/>
    <w:rsid w:val="00364627"/>
    <w:rsid w:val="00364AB0"/>
    <w:rsid w:val="00364D71"/>
    <w:rsid w:val="003667B0"/>
    <w:rsid w:val="003667DD"/>
    <w:rsid w:val="00366B48"/>
    <w:rsid w:val="00367764"/>
    <w:rsid w:val="003701F7"/>
    <w:rsid w:val="00370316"/>
    <w:rsid w:val="00370DC7"/>
    <w:rsid w:val="00371CBD"/>
    <w:rsid w:val="00371F20"/>
    <w:rsid w:val="003721E3"/>
    <w:rsid w:val="00372B98"/>
    <w:rsid w:val="003737B7"/>
    <w:rsid w:val="003740CC"/>
    <w:rsid w:val="003745F4"/>
    <w:rsid w:val="00374E79"/>
    <w:rsid w:val="0037529A"/>
    <w:rsid w:val="00375388"/>
    <w:rsid w:val="00375FB9"/>
    <w:rsid w:val="00376170"/>
    <w:rsid w:val="00376851"/>
    <w:rsid w:val="00376FA2"/>
    <w:rsid w:val="00377A3B"/>
    <w:rsid w:val="00377E3C"/>
    <w:rsid w:val="00380BBE"/>
    <w:rsid w:val="00381D70"/>
    <w:rsid w:val="0038235E"/>
    <w:rsid w:val="003829D0"/>
    <w:rsid w:val="0038326A"/>
    <w:rsid w:val="0038444F"/>
    <w:rsid w:val="003861F0"/>
    <w:rsid w:val="00387051"/>
    <w:rsid w:val="00387ECF"/>
    <w:rsid w:val="0039021B"/>
    <w:rsid w:val="00390429"/>
    <w:rsid w:val="003906A0"/>
    <w:rsid w:val="0039366C"/>
    <w:rsid w:val="00393EC8"/>
    <w:rsid w:val="003950F5"/>
    <w:rsid w:val="0039538F"/>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7FB"/>
    <w:rsid w:val="003B3A90"/>
    <w:rsid w:val="003B534F"/>
    <w:rsid w:val="003B5E4F"/>
    <w:rsid w:val="003B7A79"/>
    <w:rsid w:val="003C0FE1"/>
    <w:rsid w:val="003C151A"/>
    <w:rsid w:val="003C350C"/>
    <w:rsid w:val="003C3903"/>
    <w:rsid w:val="003C3BA0"/>
    <w:rsid w:val="003C4580"/>
    <w:rsid w:val="003C5C5E"/>
    <w:rsid w:val="003C6746"/>
    <w:rsid w:val="003C7555"/>
    <w:rsid w:val="003C7898"/>
    <w:rsid w:val="003D0FF5"/>
    <w:rsid w:val="003D11A3"/>
    <w:rsid w:val="003D1537"/>
    <w:rsid w:val="003D183C"/>
    <w:rsid w:val="003D2D1B"/>
    <w:rsid w:val="003D48C7"/>
    <w:rsid w:val="003D4C27"/>
    <w:rsid w:val="003D7109"/>
    <w:rsid w:val="003D7CE8"/>
    <w:rsid w:val="003E0514"/>
    <w:rsid w:val="003E0A8B"/>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5638"/>
    <w:rsid w:val="003F6617"/>
    <w:rsid w:val="00402332"/>
    <w:rsid w:val="004025C2"/>
    <w:rsid w:val="00403195"/>
    <w:rsid w:val="004033A9"/>
    <w:rsid w:val="00403E55"/>
    <w:rsid w:val="0040407C"/>
    <w:rsid w:val="0040416C"/>
    <w:rsid w:val="00404681"/>
    <w:rsid w:val="00405AC1"/>
    <w:rsid w:val="00406923"/>
    <w:rsid w:val="0040763D"/>
    <w:rsid w:val="00410D17"/>
    <w:rsid w:val="00413442"/>
    <w:rsid w:val="00413821"/>
    <w:rsid w:val="00413BA5"/>
    <w:rsid w:val="004141A3"/>
    <w:rsid w:val="00414909"/>
    <w:rsid w:val="0041582F"/>
    <w:rsid w:val="00416112"/>
    <w:rsid w:val="00416AC8"/>
    <w:rsid w:val="00417AE0"/>
    <w:rsid w:val="00417BAA"/>
    <w:rsid w:val="0042042B"/>
    <w:rsid w:val="00420B45"/>
    <w:rsid w:val="00420D7A"/>
    <w:rsid w:val="00421257"/>
    <w:rsid w:val="00422193"/>
    <w:rsid w:val="004223DE"/>
    <w:rsid w:val="00422A10"/>
    <w:rsid w:val="00424D17"/>
    <w:rsid w:val="00425DFD"/>
    <w:rsid w:val="004263A3"/>
    <w:rsid w:val="00427713"/>
    <w:rsid w:val="00427CCC"/>
    <w:rsid w:val="0043013A"/>
    <w:rsid w:val="00430421"/>
    <w:rsid w:val="00430A36"/>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0EA"/>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6783"/>
    <w:rsid w:val="004578EB"/>
    <w:rsid w:val="004604D5"/>
    <w:rsid w:val="00460697"/>
    <w:rsid w:val="0046117B"/>
    <w:rsid w:val="00464AB7"/>
    <w:rsid w:val="0046527F"/>
    <w:rsid w:val="00465DE5"/>
    <w:rsid w:val="00467EF8"/>
    <w:rsid w:val="00472429"/>
    <w:rsid w:val="004725E5"/>
    <w:rsid w:val="00472751"/>
    <w:rsid w:val="00473128"/>
    <w:rsid w:val="00473263"/>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6D60"/>
    <w:rsid w:val="00491FA1"/>
    <w:rsid w:val="00492A25"/>
    <w:rsid w:val="004938A3"/>
    <w:rsid w:val="0049558B"/>
    <w:rsid w:val="00496350"/>
    <w:rsid w:val="0049797C"/>
    <w:rsid w:val="004A00E1"/>
    <w:rsid w:val="004A0943"/>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3BB6"/>
    <w:rsid w:val="004B4922"/>
    <w:rsid w:val="004B57DF"/>
    <w:rsid w:val="004B5976"/>
    <w:rsid w:val="004B6F33"/>
    <w:rsid w:val="004B7137"/>
    <w:rsid w:val="004B722E"/>
    <w:rsid w:val="004B72E8"/>
    <w:rsid w:val="004C01A5"/>
    <w:rsid w:val="004C0412"/>
    <w:rsid w:val="004C1142"/>
    <w:rsid w:val="004C2138"/>
    <w:rsid w:val="004C3940"/>
    <w:rsid w:val="004C4E5E"/>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06D5"/>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F7"/>
    <w:rsid w:val="00521753"/>
    <w:rsid w:val="0052239D"/>
    <w:rsid w:val="005224EE"/>
    <w:rsid w:val="005225F6"/>
    <w:rsid w:val="00522879"/>
    <w:rsid w:val="00523BB1"/>
    <w:rsid w:val="0052570E"/>
    <w:rsid w:val="005260CD"/>
    <w:rsid w:val="00526265"/>
    <w:rsid w:val="0052655D"/>
    <w:rsid w:val="005265E0"/>
    <w:rsid w:val="0052678D"/>
    <w:rsid w:val="00526BC3"/>
    <w:rsid w:val="00531761"/>
    <w:rsid w:val="0053248F"/>
    <w:rsid w:val="0053332A"/>
    <w:rsid w:val="0053358A"/>
    <w:rsid w:val="00534668"/>
    <w:rsid w:val="00534DDD"/>
    <w:rsid w:val="00535291"/>
    <w:rsid w:val="00535A94"/>
    <w:rsid w:val="00537874"/>
    <w:rsid w:val="0053795F"/>
    <w:rsid w:val="00537D3D"/>
    <w:rsid w:val="00540511"/>
    <w:rsid w:val="00540578"/>
    <w:rsid w:val="00540808"/>
    <w:rsid w:val="0054080E"/>
    <w:rsid w:val="00540EA1"/>
    <w:rsid w:val="0054358E"/>
    <w:rsid w:val="00543AF4"/>
    <w:rsid w:val="00543BBF"/>
    <w:rsid w:val="00544191"/>
    <w:rsid w:val="0054440C"/>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7B5D"/>
    <w:rsid w:val="005706D5"/>
    <w:rsid w:val="00570757"/>
    <w:rsid w:val="00573733"/>
    <w:rsid w:val="00573F8B"/>
    <w:rsid w:val="00574554"/>
    <w:rsid w:val="00574E06"/>
    <w:rsid w:val="005751BB"/>
    <w:rsid w:val="00576089"/>
    <w:rsid w:val="005764B1"/>
    <w:rsid w:val="00576852"/>
    <w:rsid w:val="00576D06"/>
    <w:rsid w:val="00577287"/>
    <w:rsid w:val="005779E4"/>
    <w:rsid w:val="00577F9F"/>
    <w:rsid w:val="00580EC7"/>
    <w:rsid w:val="00581132"/>
    <w:rsid w:val="0058289C"/>
    <w:rsid w:val="005836C7"/>
    <w:rsid w:val="0058408E"/>
    <w:rsid w:val="00585374"/>
    <w:rsid w:val="005854CA"/>
    <w:rsid w:val="00585FAB"/>
    <w:rsid w:val="00590B77"/>
    <w:rsid w:val="00590D9A"/>
    <w:rsid w:val="005913A3"/>
    <w:rsid w:val="005940D4"/>
    <w:rsid w:val="00594A7B"/>
    <w:rsid w:val="0059580E"/>
    <w:rsid w:val="00595D90"/>
    <w:rsid w:val="00596A6F"/>
    <w:rsid w:val="00596FCE"/>
    <w:rsid w:val="005A11BC"/>
    <w:rsid w:val="005A1525"/>
    <w:rsid w:val="005A1E17"/>
    <w:rsid w:val="005A232F"/>
    <w:rsid w:val="005A252B"/>
    <w:rsid w:val="005A2A8F"/>
    <w:rsid w:val="005A3204"/>
    <w:rsid w:val="005A3341"/>
    <w:rsid w:val="005A3C3D"/>
    <w:rsid w:val="005A46EC"/>
    <w:rsid w:val="005A5EAE"/>
    <w:rsid w:val="005A6407"/>
    <w:rsid w:val="005A726C"/>
    <w:rsid w:val="005B07EC"/>
    <w:rsid w:val="005B2B11"/>
    <w:rsid w:val="005B32A4"/>
    <w:rsid w:val="005B3371"/>
    <w:rsid w:val="005B338D"/>
    <w:rsid w:val="005B36D7"/>
    <w:rsid w:val="005B3BAF"/>
    <w:rsid w:val="005B4DA3"/>
    <w:rsid w:val="005B5BEE"/>
    <w:rsid w:val="005B77D2"/>
    <w:rsid w:val="005C019B"/>
    <w:rsid w:val="005C08D0"/>
    <w:rsid w:val="005C0C2F"/>
    <w:rsid w:val="005C1AED"/>
    <w:rsid w:val="005C30F5"/>
    <w:rsid w:val="005C51A5"/>
    <w:rsid w:val="005C557A"/>
    <w:rsid w:val="005C566F"/>
    <w:rsid w:val="005C5C47"/>
    <w:rsid w:val="005C61DD"/>
    <w:rsid w:val="005C6438"/>
    <w:rsid w:val="005C6B8B"/>
    <w:rsid w:val="005C727F"/>
    <w:rsid w:val="005D02E3"/>
    <w:rsid w:val="005D1BD8"/>
    <w:rsid w:val="005D1F34"/>
    <w:rsid w:val="005D2C1F"/>
    <w:rsid w:val="005D2DE8"/>
    <w:rsid w:val="005D34B2"/>
    <w:rsid w:val="005D3B54"/>
    <w:rsid w:val="005D40CD"/>
    <w:rsid w:val="005D6B59"/>
    <w:rsid w:val="005D784B"/>
    <w:rsid w:val="005E03E4"/>
    <w:rsid w:val="005E0454"/>
    <w:rsid w:val="005E05F6"/>
    <w:rsid w:val="005E2442"/>
    <w:rsid w:val="005E3111"/>
    <w:rsid w:val="005E3189"/>
    <w:rsid w:val="005E3F85"/>
    <w:rsid w:val="005E4A5F"/>
    <w:rsid w:val="005E57B0"/>
    <w:rsid w:val="005E5B01"/>
    <w:rsid w:val="005E6D3B"/>
    <w:rsid w:val="005F009E"/>
    <w:rsid w:val="005F0DF1"/>
    <w:rsid w:val="005F1516"/>
    <w:rsid w:val="005F229E"/>
    <w:rsid w:val="005F2564"/>
    <w:rsid w:val="005F2D0F"/>
    <w:rsid w:val="005F3822"/>
    <w:rsid w:val="005F4635"/>
    <w:rsid w:val="005F4900"/>
    <w:rsid w:val="005F4E52"/>
    <w:rsid w:val="005F6D58"/>
    <w:rsid w:val="005F7383"/>
    <w:rsid w:val="005F741A"/>
    <w:rsid w:val="0060058E"/>
    <w:rsid w:val="00601F77"/>
    <w:rsid w:val="00602A3C"/>
    <w:rsid w:val="00603E47"/>
    <w:rsid w:val="00603EFD"/>
    <w:rsid w:val="0060475B"/>
    <w:rsid w:val="00604BED"/>
    <w:rsid w:val="00604FB6"/>
    <w:rsid w:val="00605387"/>
    <w:rsid w:val="00606302"/>
    <w:rsid w:val="006076FD"/>
    <w:rsid w:val="0061143F"/>
    <w:rsid w:val="006114D8"/>
    <w:rsid w:val="00613553"/>
    <w:rsid w:val="00613601"/>
    <w:rsid w:val="00613791"/>
    <w:rsid w:val="006150D6"/>
    <w:rsid w:val="00615245"/>
    <w:rsid w:val="0061590D"/>
    <w:rsid w:val="0061641E"/>
    <w:rsid w:val="00617EEE"/>
    <w:rsid w:val="00620A1F"/>
    <w:rsid w:val="006214DE"/>
    <w:rsid w:val="0062169D"/>
    <w:rsid w:val="0062181E"/>
    <w:rsid w:val="0062211B"/>
    <w:rsid w:val="00622BB7"/>
    <w:rsid w:val="00622C1E"/>
    <w:rsid w:val="00623389"/>
    <w:rsid w:val="00623DAA"/>
    <w:rsid w:val="00623FAF"/>
    <w:rsid w:val="00625769"/>
    <w:rsid w:val="006265C4"/>
    <w:rsid w:val="0062678A"/>
    <w:rsid w:val="006270AF"/>
    <w:rsid w:val="00634367"/>
    <w:rsid w:val="00640082"/>
    <w:rsid w:val="00640291"/>
    <w:rsid w:val="00640EFE"/>
    <w:rsid w:val="00641D6D"/>
    <w:rsid w:val="00641FAC"/>
    <w:rsid w:val="00642656"/>
    <w:rsid w:val="00643664"/>
    <w:rsid w:val="00643CAA"/>
    <w:rsid w:val="00644F16"/>
    <w:rsid w:val="006455EB"/>
    <w:rsid w:val="006456C2"/>
    <w:rsid w:val="00645A65"/>
    <w:rsid w:val="006477F0"/>
    <w:rsid w:val="006478E4"/>
    <w:rsid w:val="0065171A"/>
    <w:rsid w:val="00652680"/>
    <w:rsid w:val="00653CDE"/>
    <w:rsid w:val="00654585"/>
    <w:rsid w:val="00655AB6"/>
    <w:rsid w:val="00656281"/>
    <w:rsid w:val="0065636A"/>
    <w:rsid w:val="00657003"/>
    <w:rsid w:val="00660238"/>
    <w:rsid w:val="006602EF"/>
    <w:rsid w:val="00661277"/>
    <w:rsid w:val="006619E0"/>
    <w:rsid w:val="00661E9E"/>
    <w:rsid w:val="00663FEA"/>
    <w:rsid w:val="00664803"/>
    <w:rsid w:val="006657C5"/>
    <w:rsid w:val="006661A4"/>
    <w:rsid w:val="00666AC0"/>
    <w:rsid w:val="006670E0"/>
    <w:rsid w:val="006671B8"/>
    <w:rsid w:val="00667275"/>
    <w:rsid w:val="00667532"/>
    <w:rsid w:val="0066783E"/>
    <w:rsid w:val="00667E53"/>
    <w:rsid w:val="006711C4"/>
    <w:rsid w:val="006713AB"/>
    <w:rsid w:val="00672CA5"/>
    <w:rsid w:val="00673711"/>
    <w:rsid w:val="00673F82"/>
    <w:rsid w:val="00674F74"/>
    <w:rsid w:val="0067508F"/>
    <w:rsid w:val="00677576"/>
    <w:rsid w:val="0068051E"/>
    <w:rsid w:val="00680B9D"/>
    <w:rsid w:val="00681F13"/>
    <w:rsid w:val="0068231C"/>
    <w:rsid w:val="00682344"/>
    <w:rsid w:val="00682F28"/>
    <w:rsid w:val="00683515"/>
    <w:rsid w:val="00684842"/>
    <w:rsid w:val="006859AA"/>
    <w:rsid w:val="00685BD6"/>
    <w:rsid w:val="00687116"/>
    <w:rsid w:val="006878A6"/>
    <w:rsid w:val="00687D5F"/>
    <w:rsid w:val="00690437"/>
    <w:rsid w:val="00690DC3"/>
    <w:rsid w:val="00690E65"/>
    <w:rsid w:val="006911B7"/>
    <w:rsid w:val="00691387"/>
    <w:rsid w:val="0069188E"/>
    <w:rsid w:val="00691974"/>
    <w:rsid w:val="00692BF6"/>
    <w:rsid w:val="00692CE6"/>
    <w:rsid w:val="00693186"/>
    <w:rsid w:val="00693381"/>
    <w:rsid w:val="00693B6C"/>
    <w:rsid w:val="006942AE"/>
    <w:rsid w:val="00695421"/>
    <w:rsid w:val="00696289"/>
    <w:rsid w:val="00697BD3"/>
    <w:rsid w:val="00697DFA"/>
    <w:rsid w:val="006A16D5"/>
    <w:rsid w:val="006A1740"/>
    <w:rsid w:val="006A1772"/>
    <w:rsid w:val="006A1780"/>
    <w:rsid w:val="006A21DD"/>
    <w:rsid w:val="006A26C6"/>
    <w:rsid w:val="006A2888"/>
    <w:rsid w:val="006A3302"/>
    <w:rsid w:val="006A3B28"/>
    <w:rsid w:val="006A4FEE"/>
    <w:rsid w:val="006A703E"/>
    <w:rsid w:val="006A7BE3"/>
    <w:rsid w:val="006A7D32"/>
    <w:rsid w:val="006B01D1"/>
    <w:rsid w:val="006B0DF4"/>
    <w:rsid w:val="006B0E2B"/>
    <w:rsid w:val="006B16EA"/>
    <w:rsid w:val="006B1780"/>
    <w:rsid w:val="006B224E"/>
    <w:rsid w:val="006B376E"/>
    <w:rsid w:val="006B4589"/>
    <w:rsid w:val="006B610E"/>
    <w:rsid w:val="006B643B"/>
    <w:rsid w:val="006B6805"/>
    <w:rsid w:val="006B6DE0"/>
    <w:rsid w:val="006C16C3"/>
    <w:rsid w:val="006C2187"/>
    <w:rsid w:val="006C32F4"/>
    <w:rsid w:val="006C3C54"/>
    <w:rsid w:val="006C4B6B"/>
    <w:rsid w:val="006C4F9F"/>
    <w:rsid w:val="006C71A2"/>
    <w:rsid w:val="006C73EC"/>
    <w:rsid w:val="006D0C1D"/>
    <w:rsid w:val="006D2E9D"/>
    <w:rsid w:val="006D474F"/>
    <w:rsid w:val="006D4A4E"/>
    <w:rsid w:val="006D4C42"/>
    <w:rsid w:val="006D5389"/>
    <w:rsid w:val="006D5809"/>
    <w:rsid w:val="006D607E"/>
    <w:rsid w:val="006D6781"/>
    <w:rsid w:val="006D6E12"/>
    <w:rsid w:val="006D70CB"/>
    <w:rsid w:val="006D715C"/>
    <w:rsid w:val="006D7363"/>
    <w:rsid w:val="006D774E"/>
    <w:rsid w:val="006D7EA2"/>
    <w:rsid w:val="006E0754"/>
    <w:rsid w:val="006E10BB"/>
    <w:rsid w:val="006E2668"/>
    <w:rsid w:val="006E2D39"/>
    <w:rsid w:val="006E32B0"/>
    <w:rsid w:val="006E348E"/>
    <w:rsid w:val="006E396A"/>
    <w:rsid w:val="006E3C70"/>
    <w:rsid w:val="006E3D63"/>
    <w:rsid w:val="006E58BF"/>
    <w:rsid w:val="006E5DD8"/>
    <w:rsid w:val="006E5EA1"/>
    <w:rsid w:val="006E6DEE"/>
    <w:rsid w:val="006E7D4B"/>
    <w:rsid w:val="006F0760"/>
    <w:rsid w:val="006F11E2"/>
    <w:rsid w:val="006F2574"/>
    <w:rsid w:val="006F3221"/>
    <w:rsid w:val="006F3231"/>
    <w:rsid w:val="006F3DE3"/>
    <w:rsid w:val="006F4787"/>
    <w:rsid w:val="006F5C43"/>
    <w:rsid w:val="006F61D8"/>
    <w:rsid w:val="006F62B7"/>
    <w:rsid w:val="006F70BC"/>
    <w:rsid w:val="006F734B"/>
    <w:rsid w:val="006F7E7C"/>
    <w:rsid w:val="0070174E"/>
    <w:rsid w:val="007018DB"/>
    <w:rsid w:val="00701DE6"/>
    <w:rsid w:val="00702740"/>
    <w:rsid w:val="0070381B"/>
    <w:rsid w:val="007076DD"/>
    <w:rsid w:val="0070796C"/>
    <w:rsid w:val="007109BB"/>
    <w:rsid w:val="00710EBF"/>
    <w:rsid w:val="007110B8"/>
    <w:rsid w:val="0071209F"/>
    <w:rsid w:val="007125A2"/>
    <w:rsid w:val="00713571"/>
    <w:rsid w:val="00713DD9"/>
    <w:rsid w:val="00713F79"/>
    <w:rsid w:val="007148A8"/>
    <w:rsid w:val="00716AC8"/>
    <w:rsid w:val="00716E54"/>
    <w:rsid w:val="00717421"/>
    <w:rsid w:val="0072033C"/>
    <w:rsid w:val="00720B1B"/>
    <w:rsid w:val="00721062"/>
    <w:rsid w:val="00721E5D"/>
    <w:rsid w:val="007229D4"/>
    <w:rsid w:val="007230F8"/>
    <w:rsid w:val="007233F4"/>
    <w:rsid w:val="00724044"/>
    <w:rsid w:val="007248D3"/>
    <w:rsid w:val="00724DF8"/>
    <w:rsid w:val="00725137"/>
    <w:rsid w:val="00725378"/>
    <w:rsid w:val="00727A43"/>
    <w:rsid w:val="00727FF2"/>
    <w:rsid w:val="00730550"/>
    <w:rsid w:val="00730C2A"/>
    <w:rsid w:val="00731434"/>
    <w:rsid w:val="00731E59"/>
    <w:rsid w:val="007323E0"/>
    <w:rsid w:val="00732911"/>
    <w:rsid w:val="00733721"/>
    <w:rsid w:val="00733DE2"/>
    <w:rsid w:val="007352EA"/>
    <w:rsid w:val="0073625F"/>
    <w:rsid w:val="0073792F"/>
    <w:rsid w:val="00740C81"/>
    <w:rsid w:val="00740DA6"/>
    <w:rsid w:val="00741B4B"/>
    <w:rsid w:val="00741D1E"/>
    <w:rsid w:val="00741DD6"/>
    <w:rsid w:val="00741EE2"/>
    <w:rsid w:val="0074207F"/>
    <w:rsid w:val="00742367"/>
    <w:rsid w:val="00742EAA"/>
    <w:rsid w:val="00743360"/>
    <w:rsid w:val="00743818"/>
    <w:rsid w:val="00743857"/>
    <w:rsid w:val="007441FB"/>
    <w:rsid w:val="00744517"/>
    <w:rsid w:val="0074522A"/>
    <w:rsid w:val="00747295"/>
    <w:rsid w:val="00747829"/>
    <w:rsid w:val="00747DE2"/>
    <w:rsid w:val="007504BF"/>
    <w:rsid w:val="007506CD"/>
    <w:rsid w:val="0075267F"/>
    <w:rsid w:val="007526EC"/>
    <w:rsid w:val="007527F7"/>
    <w:rsid w:val="00753C48"/>
    <w:rsid w:val="00753ED8"/>
    <w:rsid w:val="00754250"/>
    <w:rsid w:val="00754E79"/>
    <w:rsid w:val="00754FE4"/>
    <w:rsid w:val="00755216"/>
    <w:rsid w:val="00756236"/>
    <w:rsid w:val="00756271"/>
    <w:rsid w:val="00756348"/>
    <w:rsid w:val="00756521"/>
    <w:rsid w:val="00756AB7"/>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5EEA"/>
    <w:rsid w:val="007777CC"/>
    <w:rsid w:val="00777B32"/>
    <w:rsid w:val="0078051E"/>
    <w:rsid w:val="00780B59"/>
    <w:rsid w:val="00781089"/>
    <w:rsid w:val="007838F3"/>
    <w:rsid w:val="007856FE"/>
    <w:rsid w:val="00785DEC"/>
    <w:rsid w:val="00785F46"/>
    <w:rsid w:val="007865F4"/>
    <w:rsid w:val="00786D5C"/>
    <w:rsid w:val="00786E96"/>
    <w:rsid w:val="00787DFF"/>
    <w:rsid w:val="00787F93"/>
    <w:rsid w:val="00791E6D"/>
    <w:rsid w:val="00791EB5"/>
    <w:rsid w:val="00791FF2"/>
    <w:rsid w:val="0079363E"/>
    <w:rsid w:val="00793696"/>
    <w:rsid w:val="007955DA"/>
    <w:rsid w:val="00796F65"/>
    <w:rsid w:val="007A11C2"/>
    <w:rsid w:val="007A18BB"/>
    <w:rsid w:val="007A27DD"/>
    <w:rsid w:val="007A41BF"/>
    <w:rsid w:val="007A490A"/>
    <w:rsid w:val="007A7B95"/>
    <w:rsid w:val="007A7FAD"/>
    <w:rsid w:val="007B0297"/>
    <w:rsid w:val="007B02FA"/>
    <w:rsid w:val="007B0F53"/>
    <w:rsid w:val="007B21AE"/>
    <w:rsid w:val="007B2570"/>
    <w:rsid w:val="007B3113"/>
    <w:rsid w:val="007B3304"/>
    <w:rsid w:val="007B7490"/>
    <w:rsid w:val="007C0525"/>
    <w:rsid w:val="007C13F7"/>
    <w:rsid w:val="007C218D"/>
    <w:rsid w:val="007C2D28"/>
    <w:rsid w:val="007C3E22"/>
    <w:rsid w:val="007C5B90"/>
    <w:rsid w:val="007C6218"/>
    <w:rsid w:val="007C6484"/>
    <w:rsid w:val="007C67C6"/>
    <w:rsid w:val="007C78BE"/>
    <w:rsid w:val="007C7E59"/>
    <w:rsid w:val="007D0476"/>
    <w:rsid w:val="007D0B91"/>
    <w:rsid w:val="007D1386"/>
    <w:rsid w:val="007D1452"/>
    <w:rsid w:val="007D3DCB"/>
    <w:rsid w:val="007D460C"/>
    <w:rsid w:val="007D4996"/>
    <w:rsid w:val="007D4AD3"/>
    <w:rsid w:val="007D5D19"/>
    <w:rsid w:val="007D5FDC"/>
    <w:rsid w:val="007D6176"/>
    <w:rsid w:val="007D6D68"/>
    <w:rsid w:val="007E07AC"/>
    <w:rsid w:val="007E32DA"/>
    <w:rsid w:val="007E4998"/>
    <w:rsid w:val="007E4A9C"/>
    <w:rsid w:val="007E6914"/>
    <w:rsid w:val="007E7884"/>
    <w:rsid w:val="007E7F78"/>
    <w:rsid w:val="007F0179"/>
    <w:rsid w:val="007F2C13"/>
    <w:rsid w:val="007F2CEC"/>
    <w:rsid w:val="007F3435"/>
    <w:rsid w:val="007F4BBE"/>
    <w:rsid w:val="007F55DE"/>
    <w:rsid w:val="007F762D"/>
    <w:rsid w:val="007F78F0"/>
    <w:rsid w:val="007F78FF"/>
    <w:rsid w:val="008001C5"/>
    <w:rsid w:val="00800F6C"/>
    <w:rsid w:val="00801065"/>
    <w:rsid w:val="00802C0B"/>
    <w:rsid w:val="008051FC"/>
    <w:rsid w:val="008055A9"/>
    <w:rsid w:val="008056C4"/>
    <w:rsid w:val="008057FD"/>
    <w:rsid w:val="00805D8B"/>
    <w:rsid w:val="00810BB6"/>
    <w:rsid w:val="00810E8E"/>
    <w:rsid w:val="00812C44"/>
    <w:rsid w:val="008135E1"/>
    <w:rsid w:val="00813779"/>
    <w:rsid w:val="00813E26"/>
    <w:rsid w:val="0081481D"/>
    <w:rsid w:val="00814BE8"/>
    <w:rsid w:val="00814F6E"/>
    <w:rsid w:val="00815363"/>
    <w:rsid w:val="00815B84"/>
    <w:rsid w:val="00816BE9"/>
    <w:rsid w:val="0082027C"/>
    <w:rsid w:val="008216E1"/>
    <w:rsid w:val="00822518"/>
    <w:rsid w:val="008226F5"/>
    <w:rsid w:val="00823FC6"/>
    <w:rsid w:val="00824306"/>
    <w:rsid w:val="00825C74"/>
    <w:rsid w:val="00825CFA"/>
    <w:rsid w:val="00826AB9"/>
    <w:rsid w:val="00826E0E"/>
    <w:rsid w:val="00827D11"/>
    <w:rsid w:val="00827E0F"/>
    <w:rsid w:val="00827F6E"/>
    <w:rsid w:val="00831758"/>
    <w:rsid w:val="008317D9"/>
    <w:rsid w:val="0083279F"/>
    <w:rsid w:val="008334DB"/>
    <w:rsid w:val="00833B7F"/>
    <w:rsid w:val="00833E8E"/>
    <w:rsid w:val="00834906"/>
    <w:rsid w:val="00836075"/>
    <w:rsid w:val="00836417"/>
    <w:rsid w:val="008365EE"/>
    <w:rsid w:val="00836A3E"/>
    <w:rsid w:val="00837526"/>
    <w:rsid w:val="008407A7"/>
    <w:rsid w:val="0084322B"/>
    <w:rsid w:val="00843F81"/>
    <w:rsid w:val="00844087"/>
    <w:rsid w:val="00844526"/>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55D2"/>
    <w:rsid w:val="0086661F"/>
    <w:rsid w:val="00866A0D"/>
    <w:rsid w:val="00866DB5"/>
    <w:rsid w:val="0086701D"/>
    <w:rsid w:val="0086702B"/>
    <w:rsid w:val="008672E2"/>
    <w:rsid w:val="0086784E"/>
    <w:rsid w:val="0087121C"/>
    <w:rsid w:val="00871FD2"/>
    <w:rsid w:val="00872084"/>
    <w:rsid w:val="00872827"/>
    <w:rsid w:val="00872A32"/>
    <w:rsid w:val="00874911"/>
    <w:rsid w:val="008754E4"/>
    <w:rsid w:val="00876EAE"/>
    <w:rsid w:val="00880106"/>
    <w:rsid w:val="00880F95"/>
    <w:rsid w:val="00882B44"/>
    <w:rsid w:val="008838AD"/>
    <w:rsid w:val="008864B3"/>
    <w:rsid w:val="008865E5"/>
    <w:rsid w:val="008871B0"/>
    <w:rsid w:val="00890B57"/>
    <w:rsid w:val="008916BA"/>
    <w:rsid w:val="0089217C"/>
    <w:rsid w:val="00892790"/>
    <w:rsid w:val="008931DA"/>
    <w:rsid w:val="00893671"/>
    <w:rsid w:val="008946DC"/>
    <w:rsid w:val="00895838"/>
    <w:rsid w:val="00895A1E"/>
    <w:rsid w:val="00895A72"/>
    <w:rsid w:val="00895CDF"/>
    <w:rsid w:val="00895F55"/>
    <w:rsid w:val="00896679"/>
    <w:rsid w:val="00896D8C"/>
    <w:rsid w:val="008A05A7"/>
    <w:rsid w:val="008A0FC9"/>
    <w:rsid w:val="008A1956"/>
    <w:rsid w:val="008A1A7C"/>
    <w:rsid w:val="008A2CE2"/>
    <w:rsid w:val="008A40D3"/>
    <w:rsid w:val="008A469C"/>
    <w:rsid w:val="008A51D1"/>
    <w:rsid w:val="008A5DCE"/>
    <w:rsid w:val="008A75D3"/>
    <w:rsid w:val="008B00D4"/>
    <w:rsid w:val="008B05DD"/>
    <w:rsid w:val="008B07B8"/>
    <w:rsid w:val="008B17E8"/>
    <w:rsid w:val="008B2E7C"/>
    <w:rsid w:val="008B321A"/>
    <w:rsid w:val="008B399A"/>
    <w:rsid w:val="008B45F0"/>
    <w:rsid w:val="008B4A70"/>
    <w:rsid w:val="008B502F"/>
    <w:rsid w:val="008B6834"/>
    <w:rsid w:val="008B6DFC"/>
    <w:rsid w:val="008B7227"/>
    <w:rsid w:val="008C02FB"/>
    <w:rsid w:val="008C04E0"/>
    <w:rsid w:val="008C191C"/>
    <w:rsid w:val="008C1DA4"/>
    <w:rsid w:val="008C29B0"/>
    <w:rsid w:val="008C2CD5"/>
    <w:rsid w:val="008C3618"/>
    <w:rsid w:val="008C39E7"/>
    <w:rsid w:val="008C43AD"/>
    <w:rsid w:val="008C6118"/>
    <w:rsid w:val="008C6341"/>
    <w:rsid w:val="008C731F"/>
    <w:rsid w:val="008C74D9"/>
    <w:rsid w:val="008D03C2"/>
    <w:rsid w:val="008D12FB"/>
    <w:rsid w:val="008D3B2D"/>
    <w:rsid w:val="008D58D9"/>
    <w:rsid w:val="008D5AD4"/>
    <w:rsid w:val="008D695E"/>
    <w:rsid w:val="008D6DD5"/>
    <w:rsid w:val="008D6E59"/>
    <w:rsid w:val="008D7155"/>
    <w:rsid w:val="008D76E0"/>
    <w:rsid w:val="008E09F2"/>
    <w:rsid w:val="008E0B29"/>
    <w:rsid w:val="008E141A"/>
    <w:rsid w:val="008E1A44"/>
    <w:rsid w:val="008E1E55"/>
    <w:rsid w:val="008E28E6"/>
    <w:rsid w:val="008E3232"/>
    <w:rsid w:val="008E3674"/>
    <w:rsid w:val="008E3B6C"/>
    <w:rsid w:val="008E3DE7"/>
    <w:rsid w:val="008E562C"/>
    <w:rsid w:val="008E6540"/>
    <w:rsid w:val="008E6D26"/>
    <w:rsid w:val="008E77D4"/>
    <w:rsid w:val="008E79DC"/>
    <w:rsid w:val="008E7ADD"/>
    <w:rsid w:val="008F091F"/>
    <w:rsid w:val="008F17B2"/>
    <w:rsid w:val="008F22B3"/>
    <w:rsid w:val="008F357B"/>
    <w:rsid w:val="008F44CA"/>
    <w:rsid w:val="008F49D3"/>
    <w:rsid w:val="008F62C1"/>
    <w:rsid w:val="008F6519"/>
    <w:rsid w:val="008F7012"/>
    <w:rsid w:val="008F7ADA"/>
    <w:rsid w:val="008F7B17"/>
    <w:rsid w:val="00900042"/>
    <w:rsid w:val="0090034B"/>
    <w:rsid w:val="00901121"/>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4570"/>
    <w:rsid w:val="00925215"/>
    <w:rsid w:val="00926112"/>
    <w:rsid w:val="0092625F"/>
    <w:rsid w:val="00926B28"/>
    <w:rsid w:val="00926D9C"/>
    <w:rsid w:val="00927028"/>
    <w:rsid w:val="00927763"/>
    <w:rsid w:val="00927A2D"/>
    <w:rsid w:val="00927B37"/>
    <w:rsid w:val="00931917"/>
    <w:rsid w:val="009321B1"/>
    <w:rsid w:val="00932ED7"/>
    <w:rsid w:val="009333CF"/>
    <w:rsid w:val="0093422D"/>
    <w:rsid w:val="0093483B"/>
    <w:rsid w:val="00934CF9"/>
    <w:rsid w:val="00934DD7"/>
    <w:rsid w:val="009369A9"/>
    <w:rsid w:val="00936CF7"/>
    <w:rsid w:val="00937783"/>
    <w:rsid w:val="00937EAD"/>
    <w:rsid w:val="00937F28"/>
    <w:rsid w:val="00940FE1"/>
    <w:rsid w:val="00942306"/>
    <w:rsid w:val="00942384"/>
    <w:rsid w:val="009424B8"/>
    <w:rsid w:val="00944668"/>
    <w:rsid w:val="00944DC6"/>
    <w:rsid w:val="009458B0"/>
    <w:rsid w:val="00945B52"/>
    <w:rsid w:val="00945B7A"/>
    <w:rsid w:val="00945F05"/>
    <w:rsid w:val="00946348"/>
    <w:rsid w:val="00947797"/>
    <w:rsid w:val="009478A2"/>
    <w:rsid w:val="009511D4"/>
    <w:rsid w:val="00953808"/>
    <w:rsid w:val="009539A6"/>
    <w:rsid w:val="00954032"/>
    <w:rsid w:val="00954537"/>
    <w:rsid w:val="0095472D"/>
    <w:rsid w:val="00955FBB"/>
    <w:rsid w:val="0095694B"/>
    <w:rsid w:val="00956BD5"/>
    <w:rsid w:val="00956D84"/>
    <w:rsid w:val="009577B5"/>
    <w:rsid w:val="00960110"/>
    <w:rsid w:val="009608E6"/>
    <w:rsid w:val="00960F57"/>
    <w:rsid w:val="00961C90"/>
    <w:rsid w:val="00965443"/>
    <w:rsid w:val="00965954"/>
    <w:rsid w:val="00965A21"/>
    <w:rsid w:val="00965E55"/>
    <w:rsid w:val="0096608E"/>
    <w:rsid w:val="00966522"/>
    <w:rsid w:val="00966C33"/>
    <w:rsid w:val="00966FCB"/>
    <w:rsid w:val="00967285"/>
    <w:rsid w:val="00970F18"/>
    <w:rsid w:val="00971CF1"/>
    <w:rsid w:val="00971F5D"/>
    <w:rsid w:val="009721E9"/>
    <w:rsid w:val="00973772"/>
    <w:rsid w:val="0097471B"/>
    <w:rsid w:val="0097560A"/>
    <w:rsid w:val="00975E1E"/>
    <w:rsid w:val="00975E70"/>
    <w:rsid w:val="009761DE"/>
    <w:rsid w:val="009766FA"/>
    <w:rsid w:val="00977CD6"/>
    <w:rsid w:val="0098048B"/>
    <w:rsid w:val="00980DF9"/>
    <w:rsid w:val="00981150"/>
    <w:rsid w:val="0098243D"/>
    <w:rsid w:val="00982D26"/>
    <w:rsid w:val="00983B6E"/>
    <w:rsid w:val="00983FE5"/>
    <w:rsid w:val="009849E9"/>
    <w:rsid w:val="009859E4"/>
    <w:rsid w:val="00987812"/>
    <w:rsid w:val="00990225"/>
    <w:rsid w:val="00992A13"/>
    <w:rsid w:val="00994AAD"/>
    <w:rsid w:val="00994DE1"/>
    <w:rsid w:val="00995150"/>
    <w:rsid w:val="00995D67"/>
    <w:rsid w:val="009A013B"/>
    <w:rsid w:val="009A02F4"/>
    <w:rsid w:val="009A06BF"/>
    <w:rsid w:val="009A0D17"/>
    <w:rsid w:val="009A2494"/>
    <w:rsid w:val="009A3245"/>
    <w:rsid w:val="009A32B1"/>
    <w:rsid w:val="009A33A3"/>
    <w:rsid w:val="009A36F2"/>
    <w:rsid w:val="009A40C3"/>
    <w:rsid w:val="009A40D5"/>
    <w:rsid w:val="009A57D0"/>
    <w:rsid w:val="009A6559"/>
    <w:rsid w:val="009A68FC"/>
    <w:rsid w:val="009A6CE4"/>
    <w:rsid w:val="009A7514"/>
    <w:rsid w:val="009A7E7A"/>
    <w:rsid w:val="009B1584"/>
    <w:rsid w:val="009B18F0"/>
    <w:rsid w:val="009B1F4C"/>
    <w:rsid w:val="009B2471"/>
    <w:rsid w:val="009B314F"/>
    <w:rsid w:val="009B439C"/>
    <w:rsid w:val="009B46B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6606"/>
    <w:rsid w:val="009C6CE5"/>
    <w:rsid w:val="009C6D50"/>
    <w:rsid w:val="009C7547"/>
    <w:rsid w:val="009D05EC"/>
    <w:rsid w:val="009D07F2"/>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8AE"/>
    <w:rsid w:val="009E6BB1"/>
    <w:rsid w:val="009E6E14"/>
    <w:rsid w:val="009E794A"/>
    <w:rsid w:val="009E7C14"/>
    <w:rsid w:val="009F0494"/>
    <w:rsid w:val="009F0CD9"/>
    <w:rsid w:val="009F1A79"/>
    <w:rsid w:val="009F1F57"/>
    <w:rsid w:val="009F2DDD"/>
    <w:rsid w:val="009F3447"/>
    <w:rsid w:val="009F65F4"/>
    <w:rsid w:val="009F676B"/>
    <w:rsid w:val="009F6D2D"/>
    <w:rsid w:val="009F6D54"/>
    <w:rsid w:val="00A0010C"/>
    <w:rsid w:val="00A004DF"/>
    <w:rsid w:val="00A00FD5"/>
    <w:rsid w:val="00A012C0"/>
    <w:rsid w:val="00A019A8"/>
    <w:rsid w:val="00A01B03"/>
    <w:rsid w:val="00A01B89"/>
    <w:rsid w:val="00A02C66"/>
    <w:rsid w:val="00A02C84"/>
    <w:rsid w:val="00A03DFA"/>
    <w:rsid w:val="00A0464C"/>
    <w:rsid w:val="00A050BB"/>
    <w:rsid w:val="00A054E0"/>
    <w:rsid w:val="00A05D91"/>
    <w:rsid w:val="00A0740B"/>
    <w:rsid w:val="00A07ED3"/>
    <w:rsid w:val="00A10CA8"/>
    <w:rsid w:val="00A11042"/>
    <w:rsid w:val="00A12579"/>
    <w:rsid w:val="00A133D8"/>
    <w:rsid w:val="00A15655"/>
    <w:rsid w:val="00A160B0"/>
    <w:rsid w:val="00A16F59"/>
    <w:rsid w:val="00A1740C"/>
    <w:rsid w:val="00A20069"/>
    <w:rsid w:val="00A2244D"/>
    <w:rsid w:val="00A2253D"/>
    <w:rsid w:val="00A2267F"/>
    <w:rsid w:val="00A22CDB"/>
    <w:rsid w:val="00A247B8"/>
    <w:rsid w:val="00A2495A"/>
    <w:rsid w:val="00A24C7A"/>
    <w:rsid w:val="00A24D8F"/>
    <w:rsid w:val="00A25B8B"/>
    <w:rsid w:val="00A25C5D"/>
    <w:rsid w:val="00A2689F"/>
    <w:rsid w:val="00A26ECA"/>
    <w:rsid w:val="00A27461"/>
    <w:rsid w:val="00A27D67"/>
    <w:rsid w:val="00A30ABC"/>
    <w:rsid w:val="00A33B74"/>
    <w:rsid w:val="00A3467F"/>
    <w:rsid w:val="00A34B4C"/>
    <w:rsid w:val="00A35030"/>
    <w:rsid w:val="00A3551A"/>
    <w:rsid w:val="00A366A0"/>
    <w:rsid w:val="00A3711E"/>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6B74"/>
    <w:rsid w:val="00A47ECC"/>
    <w:rsid w:val="00A50171"/>
    <w:rsid w:val="00A504FA"/>
    <w:rsid w:val="00A5102E"/>
    <w:rsid w:val="00A5132E"/>
    <w:rsid w:val="00A51375"/>
    <w:rsid w:val="00A51533"/>
    <w:rsid w:val="00A531D4"/>
    <w:rsid w:val="00A54572"/>
    <w:rsid w:val="00A575B8"/>
    <w:rsid w:val="00A60155"/>
    <w:rsid w:val="00A61C60"/>
    <w:rsid w:val="00A61ECB"/>
    <w:rsid w:val="00A6410C"/>
    <w:rsid w:val="00A647B1"/>
    <w:rsid w:val="00A64DEF"/>
    <w:rsid w:val="00A654D2"/>
    <w:rsid w:val="00A665DF"/>
    <w:rsid w:val="00A67928"/>
    <w:rsid w:val="00A67FCC"/>
    <w:rsid w:val="00A70AA5"/>
    <w:rsid w:val="00A70B0A"/>
    <w:rsid w:val="00A70C03"/>
    <w:rsid w:val="00A71256"/>
    <w:rsid w:val="00A7217B"/>
    <w:rsid w:val="00A72B6F"/>
    <w:rsid w:val="00A73861"/>
    <w:rsid w:val="00A739A6"/>
    <w:rsid w:val="00A740ED"/>
    <w:rsid w:val="00A74C29"/>
    <w:rsid w:val="00A74C62"/>
    <w:rsid w:val="00A75DF5"/>
    <w:rsid w:val="00A75EF9"/>
    <w:rsid w:val="00A8311C"/>
    <w:rsid w:val="00A835D0"/>
    <w:rsid w:val="00A84C5F"/>
    <w:rsid w:val="00A85930"/>
    <w:rsid w:val="00A863F7"/>
    <w:rsid w:val="00A86604"/>
    <w:rsid w:val="00A87519"/>
    <w:rsid w:val="00A9246D"/>
    <w:rsid w:val="00A92CCA"/>
    <w:rsid w:val="00A93BD0"/>
    <w:rsid w:val="00A93CC2"/>
    <w:rsid w:val="00A974CC"/>
    <w:rsid w:val="00AA1067"/>
    <w:rsid w:val="00AA2001"/>
    <w:rsid w:val="00AA2B5C"/>
    <w:rsid w:val="00AA32D2"/>
    <w:rsid w:val="00AA4016"/>
    <w:rsid w:val="00AA4C1F"/>
    <w:rsid w:val="00AA5328"/>
    <w:rsid w:val="00AA5393"/>
    <w:rsid w:val="00AA63D4"/>
    <w:rsid w:val="00AB03FD"/>
    <w:rsid w:val="00AB2000"/>
    <w:rsid w:val="00AB2E94"/>
    <w:rsid w:val="00AB38CB"/>
    <w:rsid w:val="00AB3BEC"/>
    <w:rsid w:val="00AB44E4"/>
    <w:rsid w:val="00AB4AEB"/>
    <w:rsid w:val="00AB4E5F"/>
    <w:rsid w:val="00AB5256"/>
    <w:rsid w:val="00AB5352"/>
    <w:rsid w:val="00AB56AE"/>
    <w:rsid w:val="00AB62D5"/>
    <w:rsid w:val="00AB65B5"/>
    <w:rsid w:val="00AB6DCD"/>
    <w:rsid w:val="00AB6EE0"/>
    <w:rsid w:val="00AC17A2"/>
    <w:rsid w:val="00AC3581"/>
    <w:rsid w:val="00AC40B7"/>
    <w:rsid w:val="00AC531F"/>
    <w:rsid w:val="00AC5B36"/>
    <w:rsid w:val="00AC6377"/>
    <w:rsid w:val="00AC66A4"/>
    <w:rsid w:val="00AC6C5C"/>
    <w:rsid w:val="00AC6CB1"/>
    <w:rsid w:val="00AC7D6D"/>
    <w:rsid w:val="00AD0091"/>
    <w:rsid w:val="00AD23EF"/>
    <w:rsid w:val="00AD2662"/>
    <w:rsid w:val="00AD307B"/>
    <w:rsid w:val="00AD4014"/>
    <w:rsid w:val="00AD41B3"/>
    <w:rsid w:val="00AD42F3"/>
    <w:rsid w:val="00AD5721"/>
    <w:rsid w:val="00AD5C4D"/>
    <w:rsid w:val="00AD69F0"/>
    <w:rsid w:val="00AD7127"/>
    <w:rsid w:val="00AD730C"/>
    <w:rsid w:val="00AD7795"/>
    <w:rsid w:val="00AE123A"/>
    <w:rsid w:val="00AE1539"/>
    <w:rsid w:val="00AE230A"/>
    <w:rsid w:val="00AE28A7"/>
    <w:rsid w:val="00AE2A98"/>
    <w:rsid w:val="00AE2CF2"/>
    <w:rsid w:val="00AE3012"/>
    <w:rsid w:val="00AE33A6"/>
    <w:rsid w:val="00AE3729"/>
    <w:rsid w:val="00AE4138"/>
    <w:rsid w:val="00AE4CCE"/>
    <w:rsid w:val="00AE5C6A"/>
    <w:rsid w:val="00AE6317"/>
    <w:rsid w:val="00AE6B62"/>
    <w:rsid w:val="00AE7280"/>
    <w:rsid w:val="00AF033A"/>
    <w:rsid w:val="00AF1699"/>
    <w:rsid w:val="00AF1FD3"/>
    <w:rsid w:val="00AF2910"/>
    <w:rsid w:val="00AF34B8"/>
    <w:rsid w:val="00AF3896"/>
    <w:rsid w:val="00AF3FC2"/>
    <w:rsid w:val="00B0098A"/>
    <w:rsid w:val="00B00A5F"/>
    <w:rsid w:val="00B00F89"/>
    <w:rsid w:val="00B01C76"/>
    <w:rsid w:val="00B029B8"/>
    <w:rsid w:val="00B02F60"/>
    <w:rsid w:val="00B032B8"/>
    <w:rsid w:val="00B04721"/>
    <w:rsid w:val="00B04B15"/>
    <w:rsid w:val="00B04B46"/>
    <w:rsid w:val="00B0534D"/>
    <w:rsid w:val="00B05685"/>
    <w:rsid w:val="00B05F9F"/>
    <w:rsid w:val="00B06368"/>
    <w:rsid w:val="00B068DA"/>
    <w:rsid w:val="00B06A00"/>
    <w:rsid w:val="00B06FC6"/>
    <w:rsid w:val="00B074C9"/>
    <w:rsid w:val="00B07D9D"/>
    <w:rsid w:val="00B11AE5"/>
    <w:rsid w:val="00B12FE6"/>
    <w:rsid w:val="00B1303F"/>
    <w:rsid w:val="00B1364A"/>
    <w:rsid w:val="00B13859"/>
    <w:rsid w:val="00B13EC9"/>
    <w:rsid w:val="00B14319"/>
    <w:rsid w:val="00B14A06"/>
    <w:rsid w:val="00B158E1"/>
    <w:rsid w:val="00B16715"/>
    <w:rsid w:val="00B1768E"/>
    <w:rsid w:val="00B17910"/>
    <w:rsid w:val="00B20F18"/>
    <w:rsid w:val="00B21516"/>
    <w:rsid w:val="00B21A37"/>
    <w:rsid w:val="00B21D23"/>
    <w:rsid w:val="00B21F62"/>
    <w:rsid w:val="00B22CE0"/>
    <w:rsid w:val="00B23738"/>
    <w:rsid w:val="00B23BEF"/>
    <w:rsid w:val="00B247BB"/>
    <w:rsid w:val="00B2504A"/>
    <w:rsid w:val="00B25EE6"/>
    <w:rsid w:val="00B3115A"/>
    <w:rsid w:val="00B31825"/>
    <w:rsid w:val="00B31A5C"/>
    <w:rsid w:val="00B33B06"/>
    <w:rsid w:val="00B33C19"/>
    <w:rsid w:val="00B35A15"/>
    <w:rsid w:val="00B35B45"/>
    <w:rsid w:val="00B36A99"/>
    <w:rsid w:val="00B42264"/>
    <w:rsid w:val="00B434B2"/>
    <w:rsid w:val="00B43D45"/>
    <w:rsid w:val="00B468F2"/>
    <w:rsid w:val="00B469DE"/>
    <w:rsid w:val="00B47286"/>
    <w:rsid w:val="00B477D3"/>
    <w:rsid w:val="00B4798A"/>
    <w:rsid w:val="00B50234"/>
    <w:rsid w:val="00B51BF4"/>
    <w:rsid w:val="00B52C68"/>
    <w:rsid w:val="00B5372B"/>
    <w:rsid w:val="00B542FE"/>
    <w:rsid w:val="00B55A1B"/>
    <w:rsid w:val="00B561DB"/>
    <w:rsid w:val="00B56DF9"/>
    <w:rsid w:val="00B600BD"/>
    <w:rsid w:val="00B61274"/>
    <w:rsid w:val="00B61DCE"/>
    <w:rsid w:val="00B62188"/>
    <w:rsid w:val="00B62F79"/>
    <w:rsid w:val="00B62F82"/>
    <w:rsid w:val="00B6306A"/>
    <w:rsid w:val="00B635E3"/>
    <w:rsid w:val="00B653D7"/>
    <w:rsid w:val="00B662FF"/>
    <w:rsid w:val="00B66679"/>
    <w:rsid w:val="00B70145"/>
    <w:rsid w:val="00B7037F"/>
    <w:rsid w:val="00B71A92"/>
    <w:rsid w:val="00B721D8"/>
    <w:rsid w:val="00B730CA"/>
    <w:rsid w:val="00B747C5"/>
    <w:rsid w:val="00B74F2F"/>
    <w:rsid w:val="00B753ED"/>
    <w:rsid w:val="00B769BC"/>
    <w:rsid w:val="00B77349"/>
    <w:rsid w:val="00B7761E"/>
    <w:rsid w:val="00B80A3D"/>
    <w:rsid w:val="00B80B04"/>
    <w:rsid w:val="00B8127B"/>
    <w:rsid w:val="00B819E5"/>
    <w:rsid w:val="00B821E4"/>
    <w:rsid w:val="00B823E0"/>
    <w:rsid w:val="00B8260D"/>
    <w:rsid w:val="00B82B78"/>
    <w:rsid w:val="00B845B4"/>
    <w:rsid w:val="00B84662"/>
    <w:rsid w:val="00B84C74"/>
    <w:rsid w:val="00B85191"/>
    <w:rsid w:val="00B858A1"/>
    <w:rsid w:val="00B85FEC"/>
    <w:rsid w:val="00B864A3"/>
    <w:rsid w:val="00B86C2A"/>
    <w:rsid w:val="00B878BE"/>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1FB"/>
    <w:rsid w:val="00BA0B39"/>
    <w:rsid w:val="00BA0CB2"/>
    <w:rsid w:val="00BA0E26"/>
    <w:rsid w:val="00BA1310"/>
    <w:rsid w:val="00BA138B"/>
    <w:rsid w:val="00BA305B"/>
    <w:rsid w:val="00BA31BF"/>
    <w:rsid w:val="00BA3FC7"/>
    <w:rsid w:val="00BA478B"/>
    <w:rsid w:val="00BA5224"/>
    <w:rsid w:val="00BA575E"/>
    <w:rsid w:val="00BA5C84"/>
    <w:rsid w:val="00BA76B7"/>
    <w:rsid w:val="00BA7E3B"/>
    <w:rsid w:val="00BB078D"/>
    <w:rsid w:val="00BB079C"/>
    <w:rsid w:val="00BB0D7A"/>
    <w:rsid w:val="00BB10E1"/>
    <w:rsid w:val="00BB2471"/>
    <w:rsid w:val="00BB25B8"/>
    <w:rsid w:val="00BB3035"/>
    <w:rsid w:val="00BB39C1"/>
    <w:rsid w:val="00BB3DF5"/>
    <w:rsid w:val="00BB5D16"/>
    <w:rsid w:val="00BB6180"/>
    <w:rsid w:val="00BB69E6"/>
    <w:rsid w:val="00BB7BE5"/>
    <w:rsid w:val="00BC08BD"/>
    <w:rsid w:val="00BC11E8"/>
    <w:rsid w:val="00BC1B7A"/>
    <w:rsid w:val="00BC2C17"/>
    <w:rsid w:val="00BC3ACD"/>
    <w:rsid w:val="00BC3B20"/>
    <w:rsid w:val="00BC3EE4"/>
    <w:rsid w:val="00BC588C"/>
    <w:rsid w:val="00BC62F4"/>
    <w:rsid w:val="00BC6E73"/>
    <w:rsid w:val="00BC74D3"/>
    <w:rsid w:val="00BD0014"/>
    <w:rsid w:val="00BD01D8"/>
    <w:rsid w:val="00BD255F"/>
    <w:rsid w:val="00BD2895"/>
    <w:rsid w:val="00BD4236"/>
    <w:rsid w:val="00BD483B"/>
    <w:rsid w:val="00BD5CD4"/>
    <w:rsid w:val="00BD65D9"/>
    <w:rsid w:val="00BD6DF3"/>
    <w:rsid w:val="00BD6E09"/>
    <w:rsid w:val="00BD6EF9"/>
    <w:rsid w:val="00BE0ACB"/>
    <w:rsid w:val="00BE2260"/>
    <w:rsid w:val="00BE3917"/>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0037"/>
    <w:rsid w:val="00C01427"/>
    <w:rsid w:val="00C014C7"/>
    <w:rsid w:val="00C047AB"/>
    <w:rsid w:val="00C058AF"/>
    <w:rsid w:val="00C075B6"/>
    <w:rsid w:val="00C10DBA"/>
    <w:rsid w:val="00C1177B"/>
    <w:rsid w:val="00C124C1"/>
    <w:rsid w:val="00C128AE"/>
    <w:rsid w:val="00C12BA8"/>
    <w:rsid w:val="00C136D6"/>
    <w:rsid w:val="00C13902"/>
    <w:rsid w:val="00C13D5B"/>
    <w:rsid w:val="00C141D7"/>
    <w:rsid w:val="00C16F84"/>
    <w:rsid w:val="00C1711B"/>
    <w:rsid w:val="00C17AE2"/>
    <w:rsid w:val="00C17E00"/>
    <w:rsid w:val="00C20140"/>
    <w:rsid w:val="00C20F27"/>
    <w:rsid w:val="00C215CF"/>
    <w:rsid w:val="00C2244B"/>
    <w:rsid w:val="00C22711"/>
    <w:rsid w:val="00C2280A"/>
    <w:rsid w:val="00C22B0D"/>
    <w:rsid w:val="00C22BFF"/>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3B57"/>
    <w:rsid w:val="00C34619"/>
    <w:rsid w:val="00C35D01"/>
    <w:rsid w:val="00C360B3"/>
    <w:rsid w:val="00C37027"/>
    <w:rsid w:val="00C37B19"/>
    <w:rsid w:val="00C413CB"/>
    <w:rsid w:val="00C42752"/>
    <w:rsid w:val="00C42973"/>
    <w:rsid w:val="00C44C69"/>
    <w:rsid w:val="00C4712A"/>
    <w:rsid w:val="00C5034F"/>
    <w:rsid w:val="00C50830"/>
    <w:rsid w:val="00C52479"/>
    <w:rsid w:val="00C5266E"/>
    <w:rsid w:val="00C5280F"/>
    <w:rsid w:val="00C52C59"/>
    <w:rsid w:val="00C5349E"/>
    <w:rsid w:val="00C539FF"/>
    <w:rsid w:val="00C544BD"/>
    <w:rsid w:val="00C54D3D"/>
    <w:rsid w:val="00C55A30"/>
    <w:rsid w:val="00C56384"/>
    <w:rsid w:val="00C5708E"/>
    <w:rsid w:val="00C60F8C"/>
    <w:rsid w:val="00C61794"/>
    <w:rsid w:val="00C62A48"/>
    <w:rsid w:val="00C62AC4"/>
    <w:rsid w:val="00C62B59"/>
    <w:rsid w:val="00C62F96"/>
    <w:rsid w:val="00C631E1"/>
    <w:rsid w:val="00C638D8"/>
    <w:rsid w:val="00C63AE7"/>
    <w:rsid w:val="00C63D26"/>
    <w:rsid w:val="00C6540A"/>
    <w:rsid w:val="00C668A1"/>
    <w:rsid w:val="00C67223"/>
    <w:rsid w:val="00C707B8"/>
    <w:rsid w:val="00C712AC"/>
    <w:rsid w:val="00C71C15"/>
    <w:rsid w:val="00C71F3D"/>
    <w:rsid w:val="00C72F53"/>
    <w:rsid w:val="00C74035"/>
    <w:rsid w:val="00C748EA"/>
    <w:rsid w:val="00C77818"/>
    <w:rsid w:val="00C8063F"/>
    <w:rsid w:val="00C806ED"/>
    <w:rsid w:val="00C81282"/>
    <w:rsid w:val="00C827B4"/>
    <w:rsid w:val="00C83214"/>
    <w:rsid w:val="00C8329F"/>
    <w:rsid w:val="00C84F8A"/>
    <w:rsid w:val="00C85BA4"/>
    <w:rsid w:val="00C8618F"/>
    <w:rsid w:val="00C8625D"/>
    <w:rsid w:val="00C90372"/>
    <w:rsid w:val="00C9041F"/>
    <w:rsid w:val="00C90F54"/>
    <w:rsid w:val="00C9166B"/>
    <w:rsid w:val="00C91A45"/>
    <w:rsid w:val="00C91FB4"/>
    <w:rsid w:val="00C92150"/>
    <w:rsid w:val="00C92328"/>
    <w:rsid w:val="00C92D42"/>
    <w:rsid w:val="00C938C2"/>
    <w:rsid w:val="00C93F8A"/>
    <w:rsid w:val="00C94EA1"/>
    <w:rsid w:val="00C9511B"/>
    <w:rsid w:val="00C95745"/>
    <w:rsid w:val="00C95902"/>
    <w:rsid w:val="00C962E3"/>
    <w:rsid w:val="00C97246"/>
    <w:rsid w:val="00C978E2"/>
    <w:rsid w:val="00C97997"/>
    <w:rsid w:val="00CA10A2"/>
    <w:rsid w:val="00CA1D83"/>
    <w:rsid w:val="00CA25C0"/>
    <w:rsid w:val="00CA3451"/>
    <w:rsid w:val="00CA35C6"/>
    <w:rsid w:val="00CA4948"/>
    <w:rsid w:val="00CA52F9"/>
    <w:rsid w:val="00CA5368"/>
    <w:rsid w:val="00CA568B"/>
    <w:rsid w:val="00CA573A"/>
    <w:rsid w:val="00CA5C58"/>
    <w:rsid w:val="00CA7D80"/>
    <w:rsid w:val="00CB19D7"/>
    <w:rsid w:val="00CB19FE"/>
    <w:rsid w:val="00CB1C3F"/>
    <w:rsid w:val="00CB2364"/>
    <w:rsid w:val="00CB304C"/>
    <w:rsid w:val="00CB3933"/>
    <w:rsid w:val="00CB53E8"/>
    <w:rsid w:val="00CB594A"/>
    <w:rsid w:val="00CB5CB2"/>
    <w:rsid w:val="00CB6979"/>
    <w:rsid w:val="00CB7DDE"/>
    <w:rsid w:val="00CC0A3D"/>
    <w:rsid w:val="00CC1585"/>
    <w:rsid w:val="00CC3C53"/>
    <w:rsid w:val="00CC3D24"/>
    <w:rsid w:val="00CC3F91"/>
    <w:rsid w:val="00CC472A"/>
    <w:rsid w:val="00CC4ACD"/>
    <w:rsid w:val="00CC4B0A"/>
    <w:rsid w:val="00CC544A"/>
    <w:rsid w:val="00CC57EA"/>
    <w:rsid w:val="00CC5954"/>
    <w:rsid w:val="00CC629B"/>
    <w:rsid w:val="00CC6C4E"/>
    <w:rsid w:val="00CD009D"/>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2687"/>
    <w:rsid w:val="00CE27B7"/>
    <w:rsid w:val="00CE3529"/>
    <w:rsid w:val="00CE35C8"/>
    <w:rsid w:val="00CE3962"/>
    <w:rsid w:val="00CE4D1A"/>
    <w:rsid w:val="00CE4E8A"/>
    <w:rsid w:val="00CE5105"/>
    <w:rsid w:val="00CE56BD"/>
    <w:rsid w:val="00CE5EC0"/>
    <w:rsid w:val="00CE6A0B"/>
    <w:rsid w:val="00CE6F9F"/>
    <w:rsid w:val="00CE781A"/>
    <w:rsid w:val="00CE7B08"/>
    <w:rsid w:val="00CE7D52"/>
    <w:rsid w:val="00CF1D74"/>
    <w:rsid w:val="00CF2BE2"/>
    <w:rsid w:val="00CF3DEB"/>
    <w:rsid w:val="00CF55F9"/>
    <w:rsid w:val="00CF7074"/>
    <w:rsid w:val="00CF7325"/>
    <w:rsid w:val="00CF7390"/>
    <w:rsid w:val="00CF7495"/>
    <w:rsid w:val="00D01CF9"/>
    <w:rsid w:val="00D02241"/>
    <w:rsid w:val="00D0334D"/>
    <w:rsid w:val="00D0374D"/>
    <w:rsid w:val="00D06D7B"/>
    <w:rsid w:val="00D06DA5"/>
    <w:rsid w:val="00D07191"/>
    <w:rsid w:val="00D07F1D"/>
    <w:rsid w:val="00D10558"/>
    <w:rsid w:val="00D11D4D"/>
    <w:rsid w:val="00D126DC"/>
    <w:rsid w:val="00D12B03"/>
    <w:rsid w:val="00D13E70"/>
    <w:rsid w:val="00D15FCD"/>
    <w:rsid w:val="00D16C58"/>
    <w:rsid w:val="00D17019"/>
    <w:rsid w:val="00D17FC8"/>
    <w:rsid w:val="00D20B44"/>
    <w:rsid w:val="00D21168"/>
    <w:rsid w:val="00D2438C"/>
    <w:rsid w:val="00D2585A"/>
    <w:rsid w:val="00D259B0"/>
    <w:rsid w:val="00D26C3F"/>
    <w:rsid w:val="00D27026"/>
    <w:rsid w:val="00D27185"/>
    <w:rsid w:val="00D30EF8"/>
    <w:rsid w:val="00D32518"/>
    <w:rsid w:val="00D33488"/>
    <w:rsid w:val="00D33AB3"/>
    <w:rsid w:val="00D33F24"/>
    <w:rsid w:val="00D34160"/>
    <w:rsid w:val="00D346B8"/>
    <w:rsid w:val="00D34DCA"/>
    <w:rsid w:val="00D35AC8"/>
    <w:rsid w:val="00D36F87"/>
    <w:rsid w:val="00D37E4E"/>
    <w:rsid w:val="00D400A4"/>
    <w:rsid w:val="00D40DEF"/>
    <w:rsid w:val="00D417D8"/>
    <w:rsid w:val="00D41F78"/>
    <w:rsid w:val="00D42E6C"/>
    <w:rsid w:val="00D4327D"/>
    <w:rsid w:val="00D4351C"/>
    <w:rsid w:val="00D43B80"/>
    <w:rsid w:val="00D44988"/>
    <w:rsid w:val="00D45B4C"/>
    <w:rsid w:val="00D45BA4"/>
    <w:rsid w:val="00D471AF"/>
    <w:rsid w:val="00D4724F"/>
    <w:rsid w:val="00D50519"/>
    <w:rsid w:val="00D512C8"/>
    <w:rsid w:val="00D51601"/>
    <w:rsid w:val="00D51ECB"/>
    <w:rsid w:val="00D5264C"/>
    <w:rsid w:val="00D52BBC"/>
    <w:rsid w:val="00D537FE"/>
    <w:rsid w:val="00D53CC9"/>
    <w:rsid w:val="00D54A6A"/>
    <w:rsid w:val="00D54B8F"/>
    <w:rsid w:val="00D55951"/>
    <w:rsid w:val="00D559F0"/>
    <w:rsid w:val="00D57EB6"/>
    <w:rsid w:val="00D608C0"/>
    <w:rsid w:val="00D60D6D"/>
    <w:rsid w:val="00D6128C"/>
    <w:rsid w:val="00D66D8B"/>
    <w:rsid w:val="00D70849"/>
    <w:rsid w:val="00D72297"/>
    <w:rsid w:val="00D72A1C"/>
    <w:rsid w:val="00D7308F"/>
    <w:rsid w:val="00D7313E"/>
    <w:rsid w:val="00D73580"/>
    <w:rsid w:val="00D73802"/>
    <w:rsid w:val="00D73C2C"/>
    <w:rsid w:val="00D73D52"/>
    <w:rsid w:val="00D745E7"/>
    <w:rsid w:val="00D774ED"/>
    <w:rsid w:val="00D777C3"/>
    <w:rsid w:val="00D7797C"/>
    <w:rsid w:val="00D77C44"/>
    <w:rsid w:val="00D77F88"/>
    <w:rsid w:val="00D81AFA"/>
    <w:rsid w:val="00D81EAA"/>
    <w:rsid w:val="00D81FE2"/>
    <w:rsid w:val="00D8259F"/>
    <w:rsid w:val="00D825F2"/>
    <w:rsid w:val="00D8285C"/>
    <w:rsid w:val="00D828B1"/>
    <w:rsid w:val="00D82A55"/>
    <w:rsid w:val="00D83D49"/>
    <w:rsid w:val="00D84181"/>
    <w:rsid w:val="00D846AD"/>
    <w:rsid w:val="00D84754"/>
    <w:rsid w:val="00D84F27"/>
    <w:rsid w:val="00D853F0"/>
    <w:rsid w:val="00D85862"/>
    <w:rsid w:val="00D86D47"/>
    <w:rsid w:val="00D8710C"/>
    <w:rsid w:val="00D873C6"/>
    <w:rsid w:val="00D9074A"/>
    <w:rsid w:val="00D9099E"/>
    <w:rsid w:val="00D9193A"/>
    <w:rsid w:val="00D923B2"/>
    <w:rsid w:val="00D92463"/>
    <w:rsid w:val="00D93E64"/>
    <w:rsid w:val="00D93F64"/>
    <w:rsid w:val="00D94CA4"/>
    <w:rsid w:val="00D95E99"/>
    <w:rsid w:val="00D965D5"/>
    <w:rsid w:val="00D97DA2"/>
    <w:rsid w:val="00DA1A3A"/>
    <w:rsid w:val="00DA2351"/>
    <w:rsid w:val="00DA249E"/>
    <w:rsid w:val="00DA2D3D"/>
    <w:rsid w:val="00DA4C30"/>
    <w:rsid w:val="00DA7722"/>
    <w:rsid w:val="00DB145E"/>
    <w:rsid w:val="00DB1A94"/>
    <w:rsid w:val="00DB1D52"/>
    <w:rsid w:val="00DB1E2B"/>
    <w:rsid w:val="00DB1F62"/>
    <w:rsid w:val="00DB21E7"/>
    <w:rsid w:val="00DB2E03"/>
    <w:rsid w:val="00DB3742"/>
    <w:rsid w:val="00DB3E9B"/>
    <w:rsid w:val="00DB3F4B"/>
    <w:rsid w:val="00DB5375"/>
    <w:rsid w:val="00DB67C1"/>
    <w:rsid w:val="00DB6C0B"/>
    <w:rsid w:val="00DB70F4"/>
    <w:rsid w:val="00DB748A"/>
    <w:rsid w:val="00DC1056"/>
    <w:rsid w:val="00DC1442"/>
    <w:rsid w:val="00DC21D8"/>
    <w:rsid w:val="00DC282A"/>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A18"/>
    <w:rsid w:val="00DD2F96"/>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95F"/>
    <w:rsid w:val="00DE7AAB"/>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E50"/>
    <w:rsid w:val="00DF6F64"/>
    <w:rsid w:val="00DF721E"/>
    <w:rsid w:val="00DF7B8A"/>
    <w:rsid w:val="00DF7C87"/>
    <w:rsid w:val="00E009B0"/>
    <w:rsid w:val="00E00A12"/>
    <w:rsid w:val="00E00C49"/>
    <w:rsid w:val="00E01C9C"/>
    <w:rsid w:val="00E0219D"/>
    <w:rsid w:val="00E04C0F"/>
    <w:rsid w:val="00E0570B"/>
    <w:rsid w:val="00E10343"/>
    <w:rsid w:val="00E10913"/>
    <w:rsid w:val="00E10B87"/>
    <w:rsid w:val="00E121CE"/>
    <w:rsid w:val="00E1478B"/>
    <w:rsid w:val="00E14FAC"/>
    <w:rsid w:val="00E15007"/>
    <w:rsid w:val="00E16277"/>
    <w:rsid w:val="00E165AD"/>
    <w:rsid w:val="00E16EC7"/>
    <w:rsid w:val="00E219CE"/>
    <w:rsid w:val="00E24071"/>
    <w:rsid w:val="00E24EBC"/>
    <w:rsid w:val="00E2522C"/>
    <w:rsid w:val="00E2552F"/>
    <w:rsid w:val="00E2599B"/>
    <w:rsid w:val="00E2710C"/>
    <w:rsid w:val="00E27428"/>
    <w:rsid w:val="00E305B4"/>
    <w:rsid w:val="00E31182"/>
    <w:rsid w:val="00E3197A"/>
    <w:rsid w:val="00E31AFA"/>
    <w:rsid w:val="00E31CB7"/>
    <w:rsid w:val="00E324EE"/>
    <w:rsid w:val="00E32990"/>
    <w:rsid w:val="00E34DB1"/>
    <w:rsid w:val="00E35931"/>
    <w:rsid w:val="00E359FF"/>
    <w:rsid w:val="00E36BD1"/>
    <w:rsid w:val="00E402C5"/>
    <w:rsid w:val="00E402F4"/>
    <w:rsid w:val="00E405F1"/>
    <w:rsid w:val="00E4178B"/>
    <w:rsid w:val="00E417DB"/>
    <w:rsid w:val="00E43054"/>
    <w:rsid w:val="00E43655"/>
    <w:rsid w:val="00E44440"/>
    <w:rsid w:val="00E46013"/>
    <w:rsid w:val="00E47099"/>
    <w:rsid w:val="00E47284"/>
    <w:rsid w:val="00E4730A"/>
    <w:rsid w:val="00E477C3"/>
    <w:rsid w:val="00E47E23"/>
    <w:rsid w:val="00E517A5"/>
    <w:rsid w:val="00E51AB8"/>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2080"/>
    <w:rsid w:val="00E7347A"/>
    <w:rsid w:val="00E75A47"/>
    <w:rsid w:val="00E75BB6"/>
    <w:rsid w:val="00E75D8C"/>
    <w:rsid w:val="00E777F2"/>
    <w:rsid w:val="00E802C9"/>
    <w:rsid w:val="00E80BFB"/>
    <w:rsid w:val="00E80F0A"/>
    <w:rsid w:val="00E815D4"/>
    <w:rsid w:val="00E8291B"/>
    <w:rsid w:val="00E82E70"/>
    <w:rsid w:val="00E82F92"/>
    <w:rsid w:val="00E8395F"/>
    <w:rsid w:val="00E8410F"/>
    <w:rsid w:val="00E849D7"/>
    <w:rsid w:val="00E85E41"/>
    <w:rsid w:val="00E85EA1"/>
    <w:rsid w:val="00E86703"/>
    <w:rsid w:val="00E91044"/>
    <w:rsid w:val="00E910D3"/>
    <w:rsid w:val="00E91257"/>
    <w:rsid w:val="00E92154"/>
    <w:rsid w:val="00E923CF"/>
    <w:rsid w:val="00E93685"/>
    <w:rsid w:val="00E93B65"/>
    <w:rsid w:val="00E93C8C"/>
    <w:rsid w:val="00E95111"/>
    <w:rsid w:val="00E95FDF"/>
    <w:rsid w:val="00E978AF"/>
    <w:rsid w:val="00EA1186"/>
    <w:rsid w:val="00EA14C8"/>
    <w:rsid w:val="00EA2110"/>
    <w:rsid w:val="00EA283A"/>
    <w:rsid w:val="00EA2C90"/>
    <w:rsid w:val="00EA2E07"/>
    <w:rsid w:val="00EA383B"/>
    <w:rsid w:val="00EA41E6"/>
    <w:rsid w:val="00EA47F3"/>
    <w:rsid w:val="00EA48F3"/>
    <w:rsid w:val="00EA60BF"/>
    <w:rsid w:val="00EA7365"/>
    <w:rsid w:val="00EA763F"/>
    <w:rsid w:val="00EA77E9"/>
    <w:rsid w:val="00EB05D0"/>
    <w:rsid w:val="00EB1151"/>
    <w:rsid w:val="00EB1D49"/>
    <w:rsid w:val="00EB23D9"/>
    <w:rsid w:val="00EB39A0"/>
    <w:rsid w:val="00EB559F"/>
    <w:rsid w:val="00EB566C"/>
    <w:rsid w:val="00EB5F3D"/>
    <w:rsid w:val="00EB77E5"/>
    <w:rsid w:val="00EC1CEB"/>
    <w:rsid w:val="00EC1DC0"/>
    <w:rsid w:val="00EC1DC2"/>
    <w:rsid w:val="00EC21EC"/>
    <w:rsid w:val="00EC24B8"/>
    <w:rsid w:val="00EC268C"/>
    <w:rsid w:val="00EC3753"/>
    <w:rsid w:val="00EC4E71"/>
    <w:rsid w:val="00EC5F1C"/>
    <w:rsid w:val="00ED0365"/>
    <w:rsid w:val="00ED0865"/>
    <w:rsid w:val="00ED1C60"/>
    <w:rsid w:val="00ED2EB9"/>
    <w:rsid w:val="00ED32D5"/>
    <w:rsid w:val="00ED3722"/>
    <w:rsid w:val="00ED3A31"/>
    <w:rsid w:val="00ED4469"/>
    <w:rsid w:val="00ED5424"/>
    <w:rsid w:val="00ED5F23"/>
    <w:rsid w:val="00ED6DC0"/>
    <w:rsid w:val="00ED7A7A"/>
    <w:rsid w:val="00EE0327"/>
    <w:rsid w:val="00EE038C"/>
    <w:rsid w:val="00EE28C5"/>
    <w:rsid w:val="00EE2F09"/>
    <w:rsid w:val="00EE47C5"/>
    <w:rsid w:val="00EE4885"/>
    <w:rsid w:val="00EE490C"/>
    <w:rsid w:val="00EE4E57"/>
    <w:rsid w:val="00EE5738"/>
    <w:rsid w:val="00EE58BD"/>
    <w:rsid w:val="00EE5E59"/>
    <w:rsid w:val="00EE6549"/>
    <w:rsid w:val="00EE73D0"/>
    <w:rsid w:val="00EE7CB0"/>
    <w:rsid w:val="00EF08A8"/>
    <w:rsid w:val="00EF167B"/>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417"/>
    <w:rsid w:val="00F0459B"/>
    <w:rsid w:val="00F04E15"/>
    <w:rsid w:val="00F0585C"/>
    <w:rsid w:val="00F05DF3"/>
    <w:rsid w:val="00F0692C"/>
    <w:rsid w:val="00F069EA"/>
    <w:rsid w:val="00F070E5"/>
    <w:rsid w:val="00F07DDE"/>
    <w:rsid w:val="00F11675"/>
    <w:rsid w:val="00F12557"/>
    <w:rsid w:val="00F13599"/>
    <w:rsid w:val="00F13B28"/>
    <w:rsid w:val="00F14E01"/>
    <w:rsid w:val="00F14F0C"/>
    <w:rsid w:val="00F156A0"/>
    <w:rsid w:val="00F15730"/>
    <w:rsid w:val="00F176A6"/>
    <w:rsid w:val="00F202C2"/>
    <w:rsid w:val="00F212F6"/>
    <w:rsid w:val="00F22756"/>
    <w:rsid w:val="00F23248"/>
    <w:rsid w:val="00F23890"/>
    <w:rsid w:val="00F2504D"/>
    <w:rsid w:val="00F2637F"/>
    <w:rsid w:val="00F268F7"/>
    <w:rsid w:val="00F30B83"/>
    <w:rsid w:val="00F30BDB"/>
    <w:rsid w:val="00F30CF8"/>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0058"/>
    <w:rsid w:val="00F5088F"/>
    <w:rsid w:val="00F5118A"/>
    <w:rsid w:val="00F51A21"/>
    <w:rsid w:val="00F52614"/>
    <w:rsid w:val="00F5276E"/>
    <w:rsid w:val="00F52E9F"/>
    <w:rsid w:val="00F53304"/>
    <w:rsid w:val="00F53B81"/>
    <w:rsid w:val="00F540FE"/>
    <w:rsid w:val="00F556FF"/>
    <w:rsid w:val="00F55D12"/>
    <w:rsid w:val="00F5687F"/>
    <w:rsid w:val="00F56D3F"/>
    <w:rsid w:val="00F575C7"/>
    <w:rsid w:val="00F57FD0"/>
    <w:rsid w:val="00F60305"/>
    <w:rsid w:val="00F61B12"/>
    <w:rsid w:val="00F63264"/>
    <w:rsid w:val="00F634E4"/>
    <w:rsid w:val="00F6379E"/>
    <w:rsid w:val="00F64047"/>
    <w:rsid w:val="00F65171"/>
    <w:rsid w:val="00F6560D"/>
    <w:rsid w:val="00F65C23"/>
    <w:rsid w:val="00F67844"/>
    <w:rsid w:val="00F70799"/>
    <w:rsid w:val="00F70A8B"/>
    <w:rsid w:val="00F70B8D"/>
    <w:rsid w:val="00F71936"/>
    <w:rsid w:val="00F724FB"/>
    <w:rsid w:val="00F726B8"/>
    <w:rsid w:val="00F72A26"/>
    <w:rsid w:val="00F733C3"/>
    <w:rsid w:val="00F746A1"/>
    <w:rsid w:val="00F74820"/>
    <w:rsid w:val="00F756DD"/>
    <w:rsid w:val="00F77F4E"/>
    <w:rsid w:val="00F80047"/>
    <w:rsid w:val="00F800C7"/>
    <w:rsid w:val="00F8104D"/>
    <w:rsid w:val="00F81587"/>
    <w:rsid w:val="00F8288F"/>
    <w:rsid w:val="00F84033"/>
    <w:rsid w:val="00F84802"/>
    <w:rsid w:val="00F85B72"/>
    <w:rsid w:val="00F86540"/>
    <w:rsid w:val="00F865CE"/>
    <w:rsid w:val="00F8766F"/>
    <w:rsid w:val="00F91082"/>
    <w:rsid w:val="00F9116D"/>
    <w:rsid w:val="00F91A9A"/>
    <w:rsid w:val="00F9203B"/>
    <w:rsid w:val="00F93ABB"/>
    <w:rsid w:val="00F94D79"/>
    <w:rsid w:val="00F963A2"/>
    <w:rsid w:val="00F9658C"/>
    <w:rsid w:val="00F97A7F"/>
    <w:rsid w:val="00FA0889"/>
    <w:rsid w:val="00FA16E7"/>
    <w:rsid w:val="00FA31C7"/>
    <w:rsid w:val="00FA472D"/>
    <w:rsid w:val="00FB0CBF"/>
    <w:rsid w:val="00FB0DB0"/>
    <w:rsid w:val="00FB18F6"/>
    <w:rsid w:val="00FB2A52"/>
    <w:rsid w:val="00FB3F92"/>
    <w:rsid w:val="00FB52C7"/>
    <w:rsid w:val="00FB57DC"/>
    <w:rsid w:val="00FB6E19"/>
    <w:rsid w:val="00FB71F6"/>
    <w:rsid w:val="00FC0AF8"/>
    <w:rsid w:val="00FC1483"/>
    <w:rsid w:val="00FC1C47"/>
    <w:rsid w:val="00FC3102"/>
    <w:rsid w:val="00FC3493"/>
    <w:rsid w:val="00FC39ED"/>
    <w:rsid w:val="00FC4419"/>
    <w:rsid w:val="00FC47E2"/>
    <w:rsid w:val="00FC4AA5"/>
    <w:rsid w:val="00FC4B88"/>
    <w:rsid w:val="00FC4BB8"/>
    <w:rsid w:val="00FC5148"/>
    <w:rsid w:val="00FC623A"/>
    <w:rsid w:val="00FC6524"/>
    <w:rsid w:val="00FC75AC"/>
    <w:rsid w:val="00FD01BF"/>
    <w:rsid w:val="00FD0525"/>
    <w:rsid w:val="00FD0AB7"/>
    <w:rsid w:val="00FD297D"/>
    <w:rsid w:val="00FD2D13"/>
    <w:rsid w:val="00FD374D"/>
    <w:rsid w:val="00FD6071"/>
    <w:rsid w:val="00FD633B"/>
    <w:rsid w:val="00FE0794"/>
    <w:rsid w:val="00FE1041"/>
    <w:rsid w:val="00FE2150"/>
    <w:rsid w:val="00FE24CB"/>
    <w:rsid w:val="00FE323F"/>
    <w:rsid w:val="00FE3473"/>
    <w:rsid w:val="00FE4049"/>
    <w:rsid w:val="00FE4794"/>
    <w:rsid w:val="00FE480F"/>
    <w:rsid w:val="00FE4998"/>
    <w:rsid w:val="00FE57DE"/>
    <w:rsid w:val="00FE5E37"/>
    <w:rsid w:val="00FE7A68"/>
    <w:rsid w:val="00FF0231"/>
    <w:rsid w:val="00FF1C9B"/>
    <w:rsid w:val="00FF1D49"/>
    <w:rsid w:val="00FF203B"/>
    <w:rsid w:val="00FF2562"/>
    <w:rsid w:val="00FF3A41"/>
    <w:rsid w:val="00FF3E5B"/>
    <w:rsid w:val="00FF57E4"/>
    <w:rsid w:val="00FF78E5"/>
    <w:rsid w:val="0103398B"/>
    <w:rsid w:val="014C1D05"/>
    <w:rsid w:val="015C7AD5"/>
    <w:rsid w:val="016D50E6"/>
    <w:rsid w:val="01737C26"/>
    <w:rsid w:val="01907316"/>
    <w:rsid w:val="01964884"/>
    <w:rsid w:val="01A433EB"/>
    <w:rsid w:val="01AF3D99"/>
    <w:rsid w:val="01B90B97"/>
    <w:rsid w:val="01E3453D"/>
    <w:rsid w:val="01FF4BEC"/>
    <w:rsid w:val="021741B2"/>
    <w:rsid w:val="02204683"/>
    <w:rsid w:val="02511F9D"/>
    <w:rsid w:val="025F06CD"/>
    <w:rsid w:val="02827C52"/>
    <w:rsid w:val="02A84E4A"/>
    <w:rsid w:val="02C76111"/>
    <w:rsid w:val="02CC0355"/>
    <w:rsid w:val="02D6235F"/>
    <w:rsid w:val="030532A9"/>
    <w:rsid w:val="03286A1E"/>
    <w:rsid w:val="032B79A4"/>
    <w:rsid w:val="03305A68"/>
    <w:rsid w:val="033F12EC"/>
    <w:rsid w:val="03407951"/>
    <w:rsid w:val="03535D6B"/>
    <w:rsid w:val="039A08B0"/>
    <w:rsid w:val="03A314B8"/>
    <w:rsid w:val="03D82B98"/>
    <w:rsid w:val="03D964F4"/>
    <w:rsid w:val="03F83E8B"/>
    <w:rsid w:val="04137DFA"/>
    <w:rsid w:val="0453760B"/>
    <w:rsid w:val="048A10A6"/>
    <w:rsid w:val="049570A7"/>
    <w:rsid w:val="04B11C27"/>
    <w:rsid w:val="04BA414C"/>
    <w:rsid w:val="04CD2CEE"/>
    <w:rsid w:val="04D0617E"/>
    <w:rsid w:val="04F358DC"/>
    <w:rsid w:val="04FA60EF"/>
    <w:rsid w:val="04FC24D4"/>
    <w:rsid w:val="05023BEB"/>
    <w:rsid w:val="050E5E84"/>
    <w:rsid w:val="05102192"/>
    <w:rsid w:val="05480236"/>
    <w:rsid w:val="05543C55"/>
    <w:rsid w:val="05557587"/>
    <w:rsid w:val="056736ED"/>
    <w:rsid w:val="057F4E2B"/>
    <w:rsid w:val="0585008B"/>
    <w:rsid w:val="058B111D"/>
    <w:rsid w:val="058F6224"/>
    <w:rsid w:val="05C56868"/>
    <w:rsid w:val="05D74547"/>
    <w:rsid w:val="06040198"/>
    <w:rsid w:val="06083B9D"/>
    <w:rsid w:val="06211C5A"/>
    <w:rsid w:val="06A26D40"/>
    <w:rsid w:val="06B25549"/>
    <w:rsid w:val="06B96E5F"/>
    <w:rsid w:val="06C91C0B"/>
    <w:rsid w:val="06D86BC4"/>
    <w:rsid w:val="07175575"/>
    <w:rsid w:val="072940AD"/>
    <w:rsid w:val="072E4C95"/>
    <w:rsid w:val="07633118"/>
    <w:rsid w:val="076606C8"/>
    <w:rsid w:val="078627A3"/>
    <w:rsid w:val="07A5201F"/>
    <w:rsid w:val="07B72767"/>
    <w:rsid w:val="07C23DE6"/>
    <w:rsid w:val="08077E72"/>
    <w:rsid w:val="08203C28"/>
    <w:rsid w:val="083C419B"/>
    <w:rsid w:val="084C5E23"/>
    <w:rsid w:val="08882DD0"/>
    <w:rsid w:val="08BE34E2"/>
    <w:rsid w:val="08D80E06"/>
    <w:rsid w:val="08F821C8"/>
    <w:rsid w:val="09623966"/>
    <w:rsid w:val="09783845"/>
    <w:rsid w:val="09852AD6"/>
    <w:rsid w:val="09860032"/>
    <w:rsid w:val="09921955"/>
    <w:rsid w:val="09CC2AAC"/>
    <w:rsid w:val="09D26E76"/>
    <w:rsid w:val="09DE2A8F"/>
    <w:rsid w:val="0A171D19"/>
    <w:rsid w:val="0A331AD7"/>
    <w:rsid w:val="0A5C3ECC"/>
    <w:rsid w:val="0A652D3E"/>
    <w:rsid w:val="0A6A1AA6"/>
    <w:rsid w:val="0A767E3E"/>
    <w:rsid w:val="0A9D4A5C"/>
    <w:rsid w:val="0AAB5F5D"/>
    <w:rsid w:val="0AB6063D"/>
    <w:rsid w:val="0ADA366D"/>
    <w:rsid w:val="0B1701D0"/>
    <w:rsid w:val="0B193B77"/>
    <w:rsid w:val="0B325243"/>
    <w:rsid w:val="0B326F2A"/>
    <w:rsid w:val="0B3D510B"/>
    <w:rsid w:val="0B5A0B40"/>
    <w:rsid w:val="0B623221"/>
    <w:rsid w:val="0BE93715"/>
    <w:rsid w:val="0BEA3C78"/>
    <w:rsid w:val="0BF4406D"/>
    <w:rsid w:val="0C11238F"/>
    <w:rsid w:val="0C1E2888"/>
    <w:rsid w:val="0C2D753D"/>
    <w:rsid w:val="0C2E225D"/>
    <w:rsid w:val="0C4502C0"/>
    <w:rsid w:val="0C530F2E"/>
    <w:rsid w:val="0C5361CC"/>
    <w:rsid w:val="0C6F29D6"/>
    <w:rsid w:val="0C92213C"/>
    <w:rsid w:val="0C9F5D63"/>
    <w:rsid w:val="0CAB5D64"/>
    <w:rsid w:val="0CCE33ED"/>
    <w:rsid w:val="0CD304AC"/>
    <w:rsid w:val="0D0114AE"/>
    <w:rsid w:val="0D29001E"/>
    <w:rsid w:val="0D325EDF"/>
    <w:rsid w:val="0D445D4C"/>
    <w:rsid w:val="0D6D5644"/>
    <w:rsid w:val="0D84032B"/>
    <w:rsid w:val="0D953396"/>
    <w:rsid w:val="0D994191"/>
    <w:rsid w:val="0DA2594C"/>
    <w:rsid w:val="0DE53B38"/>
    <w:rsid w:val="0E2A45B0"/>
    <w:rsid w:val="0E2B3D03"/>
    <w:rsid w:val="0E3766AD"/>
    <w:rsid w:val="0E572FD9"/>
    <w:rsid w:val="0E5F47DD"/>
    <w:rsid w:val="0E61204F"/>
    <w:rsid w:val="0E6B66E8"/>
    <w:rsid w:val="0E70095C"/>
    <w:rsid w:val="0E8F2DCE"/>
    <w:rsid w:val="0EB36C82"/>
    <w:rsid w:val="0ED45624"/>
    <w:rsid w:val="0EE04BDF"/>
    <w:rsid w:val="0EE44AEB"/>
    <w:rsid w:val="0EFB3F2B"/>
    <w:rsid w:val="0F150F54"/>
    <w:rsid w:val="0F2A74C4"/>
    <w:rsid w:val="0F553015"/>
    <w:rsid w:val="0F6B1BF1"/>
    <w:rsid w:val="0FC53859"/>
    <w:rsid w:val="0FE030CE"/>
    <w:rsid w:val="10095E56"/>
    <w:rsid w:val="10202CC1"/>
    <w:rsid w:val="10914580"/>
    <w:rsid w:val="109C706B"/>
    <w:rsid w:val="10A27F31"/>
    <w:rsid w:val="10A753AB"/>
    <w:rsid w:val="10AA5CB1"/>
    <w:rsid w:val="10B54EB2"/>
    <w:rsid w:val="10BF682C"/>
    <w:rsid w:val="10CB29C5"/>
    <w:rsid w:val="10CC3A02"/>
    <w:rsid w:val="10CC6281"/>
    <w:rsid w:val="10D87300"/>
    <w:rsid w:val="10E33AF2"/>
    <w:rsid w:val="10EA39CE"/>
    <w:rsid w:val="110B438A"/>
    <w:rsid w:val="1167339E"/>
    <w:rsid w:val="11927058"/>
    <w:rsid w:val="11A02DC7"/>
    <w:rsid w:val="11AB0C22"/>
    <w:rsid w:val="11AF5B16"/>
    <w:rsid w:val="11C12246"/>
    <w:rsid w:val="11EE4343"/>
    <w:rsid w:val="120F3D85"/>
    <w:rsid w:val="12171B57"/>
    <w:rsid w:val="12213A4B"/>
    <w:rsid w:val="12573688"/>
    <w:rsid w:val="125F420A"/>
    <w:rsid w:val="1260151C"/>
    <w:rsid w:val="127F4FEA"/>
    <w:rsid w:val="12AA40AD"/>
    <w:rsid w:val="12BF0B46"/>
    <w:rsid w:val="12EF08E6"/>
    <w:rsid w:val="133E327C"/>
    <w:rsid w:val="138C43DE"/>
    <w:rsid w:val="139C5DE4"/>
    <w:rsid w:val="139D71F2"/>
    <w:rsid w:val="13AC3968"/>
    <w:rsid w:val="13AF4F03"/>
    <w:rsid w:val="140A4F68"/>
    <w:rsid w:val="144401A2"/>
    <w:rsid w:val="14670F31"/>
    <w:rsid w:val="14736E66"/>
    <w:rsid w:val="147F458F"/>
    <w:rsid w:val="148954D3"/>
    <w:rsid w:val="14911257"/>
    <w:rsid w:val="14D958EC"/>
    <w:rsid w:val="14FA3E00"/>
    <w:rsid w:val="1531036E"/>
    <w:rsid w:val="1534169A"/>
    <w:rsid w:val="156D25A1"/>
    <w:rsid w:val="15812F88"/>
    <w:rsid w:val="15911585"/>
    <w:rsid w:val="159513FB"/>
    <w:rsid w:val="159C0EE7"/>
    <w:rsid w:val="15A27358"/>
    <w:rsid w:val="15B14FA7"/>
    <w:rsid w:val="15C03E03"/>
    <w:rsid w:val="15EE508B"/>
    <w:rsid w:val="160F4148"/>
    <w:rsid w:val="162A25EB"/>
    <w:rsid w:val="163241E7"/>
    <w:rsid w:val="163E26D6"/>
    <w:rsid w:val="169F56FE"/>
    <w:rsid w:val="16BD6398"/>
    <w:rsid w:val="16C97904"/>
    <w:rsid w:val="16D31DF9"/>
    <w:rsid w:val="16E832E7"/>
    <w:rsid w:val="16FD2A55"/>
    <w:rsid w:val="17067C1A"/>
    <w:rsid w:val="172045B4"/>
    <w:rsid w:val="172F08F7"/>
    <w:rsid w:val="17366761"/>
    <w:rsid w:val="17393A34"/>
    <w:rsid w:val="173A76F6"/>
    <w:rsid w:val="177C01F0"/>
    <w:rsid w:val="178167E0"/>
    <w:rsid w:val="17C50D78"/>
    <w:rsid w:val="17CE6630"/>
    <w:rsid w:val="17D32A08"/>
    <w:rsid w:val="17EB3722"/>
    <w:rsid w:val="17EF65A5"/>
    <w:rsid w:val="18016C3F"/>
    <w:rsid w:val="180E6351"/>
    <w:rsid w:val="18360C87"/>
    <w:rsid w:val="18426CCE"/>
    <w:rsid w:val="18750DB1"/>
    <w:rsid w:val="187B48A5"/>
    <w:rsid w:val="18A419CD"/>
    <w:rsid w:val="18C735E4"/>
    <w:rsid w:val="18CF3339"/>
    <w:rsid w:val="18EE2472"/>
    <w:rsid w:val="18F77ED0"/>
    <w:rsid w:val="190F0AA2"/>
    <w:rsid w:val="193F68F3"/>
    <w:rsid w:val="19434380"/>
    <w:rsid w:val="19491239"/>
    <w:rsid w:val="1955613D"/>
    <w:rsid w:val="19621891"/>
    <w:rsid w:val="197A7D49"/>
    <w:rsid w:val="197D06B4"/>
    <w:rsid w:val="198F20D9"/>
    <w:rsid w:val="19A842D7"/>
    <w:rsid w:val="19AD5CB2"/>
    <w:rsid w:val="19C607E7"/>
    <w:rsid w:val="19F6165F"/>
    <w:rsid w:val="1A0B68A8"/>
    <w:rsid w:val="1A1B0F5C"/>
    <w:rsid w:val="1A232551"/>
    <w:rsid w:val="1A614813"/>
    <w:rsid w:val="1A782658"/>
    <w:rsid w:val="1A8573D4"/>
    <w:rsid w:val="1AC3132A"/>
    <w:rsid w:val="1AF65A4C"/>
    <w:rsid w:val="1AFF0AFE"/>
    <w:rsid w:val="1B184A03"/>
    <w:rsid w:val="1B34103B"/>
    <w:rsid w:val="1B39650C"/>
    <w:rsid w:val="1B4F19F8"/>
    <w:rsid w:val="1B5C2F75"/>
    <w:rsid w:val="1B6B7470"/>
    <w:rsid w:val="1B736F2A"/>
    <w:rsid w:val="1BAE3D4C"/>
    <w:rsid w:val="1BBD3EBB"/>
    <w:rsid w:val="1BEE7729"/>
    <w:rsid w:val="1C1A42E7"/>
    <w:rsid w:val="1C226F03"/>
    <w:rsid w:val="1C3F670D"/>
    <w:rsid w:val="1C916508"/>
    <w:rsid w:val="1C9A50D4"/>
    <w:rsid w:val="1CA823CD"/>
    <w:rsid w:val="1CDE1F2F"/>
    <w:rsid w:val="1CE61E5F"/>
    <w:rsid w:val="1CE76EE2"/>
    <w:rsid w:val="1CF93E51"/>
    <w:rsid w:val="1CFC28BA"/>
    <w:rsid w:val="1D1C46B8"/>
    <w:rsid w:val="1D3943AC"/>
    <w:rsid w:val="1D805CF0"/>
    <w:rsid w:val="1D8F637F"/>
    <w:rsid w:val="1D996796"/>
    <w:rsid w:val="1DA07F2F"/>
    <w:rsid w:val="1DD106A3"/>
    <w:rsid w:val="1DE721F7"/>
    <w:rsid w:val="1E0450B5"/>
    <w:rsid w:val="1E375346"/>
    <w:rsid w:val="1E611110"/>
    <w:rsid w:val="1E657FE9"/>
    <w:rsid w:val="1E6D229A"/>
    <w:rsid w:val="1E72152A"/>
    <w:rsid w:val="1E842C7C"/>
    <w:rsid w:val="1E8C24F9"/>
    <w:rsid w:val="1ECC44FA"/>
    <w:rsid w:val="1ECE7147"/>
    <w:rsid w:val="1F063325"/>
    <w:rsid w:val="1F206483"/>
    <w:rsid w:val="1F4D240C"/>
    <w:rsid w:val="1F50678E"/>
    <w:rsid w:val="1F6A3BA7"/>
    <w:rsid w:val="1F80168B"/>
    <w:rsid w:val="1F843156"/>
    <w:rsid w:val="1F91158B"/>
    <w:rsid w:val="1FA827CB"/>
    <w:rsid w:val="1FBC5DF5"/>
    <w:rsid w:val="1FC16863"/>
    <w:rsid w:val="1FD30AA7"/>
    <w:rsid w:val="1FEA075F"/>
    <w:rsid w:val="1FF27BBB"/>
    <w:rsid w:val="1FF90588"/>
    <w:rsid w:val="201167D2"/>
    <w:rsid w:val="20213923"/>
    <w:rsid w:val="20245062"/>
    <w:rsid w:val="204D2ACD"/>
    <w:rsid w:val="20AC2A9C"/>
    <w:rsid w:val="20BB6724"/>
    <w:rsid w:val="20C3623F"/>
    <w:rsid w:val="20D84C09"/>
    <w:rsid w:val="20F25B07"/>
    <w:rsid w:val="211041C1"/>
    <w:rsid w:val="21781212"/>
    <w:rsid w:val="21B83F86"/>
    <w:rsid w:val="21DA0475"/>
    <w:rsid w:val="21E069CE"/>
    <w:rsid w:val="22106A4D"/>
    <w:rsid w:val="221178A8"/>
    <w:rsid w:val="221213CF"/>
    <w:rsid w:val="22327A92"/>
    <w:rsid w:val="227C4BFC"/>
    <w:rsid w:val="22A31825"/>
    <w:rsid w:val="22BB3EC7"/>
    <w:rsid w:val="22DB129D"/>
    <w:rsid w:val="22FA4C94"/>
    <w:rsid w:val="230436F8"/>
    <w:rsid w:val="231D53A2"/>
    <w:rsid w:val="23435214"/>
    <w:rsid w:val="234401DF"/>
    <w:rsid w:val="235477BA"/>
    <w:rsid w:val="236B5786"/>
    <w:rsid w:val="236D5383"/>
    <w:rsid w:val="23A41B75"/>
    <w:rsid w:val="23B134E6"/>
    <w:rsid w:val="23B7504C"/>
    <w:rsid w:val="23BA654A"/>
    <w:rsid w:val="23C509CD"/>
    <w:rsid w:val="24205BC8"/>
    <w:rsid w:val="24354590"/>
    <w:rsid w:val="24571307"/>
    <w:rsid w:val="24672BAA"/>
    <w:rsid w:val="247C7D19"/>
    <w:rsid w:val="24B34021"/>
    <w:rsid w:val="24BE0ABD"/>
    <w:rsid w:val="24CB4B0D"/>
    <w:rsid w:val="25110A2A"/>
    <w:rsid w:val="251513DA"/>
    <w:rsid w:val="251569DF"/>
    <w:rsid w:val="252F3220"/>
    <w:rsid w:val="25647DF0"/>
    <w:rsid w:val="256C0944"/>
    <w:rsid w:val="25773D5F"/>
    <w:rsid w:val="257E73F2"/>
    <w:rsid w:val="25BE7679"/>
    <w:rsid w:val="25C00F8A"/>
    <w:rsid w:val="25D53DA4"/>
    <w:rsid w:val="25EC2CF7"/>
    <w:rsid w:val="25EF40D5"/>
    <w:rsid w:val="261F4447"/>
    <w:rsid w:val="26446DE3"/>
    <w:rsid w:val="267970AE"/>
    <w:rsid w:val="267B0CDC"/>
    <w:rsid w:val="269669E7"/>
    <w:rsid w:val="26A744DB"/>
    <w:rsid w:val="26BF28D0"/>
    <w:rsid w:val="26D4005A"/>
    <w:rsid w:val="26D7699F"/>
    <w:rsid w:val="26E26183"/>
    <w:rsid w:val="26E36ACC"/>
    <w:rsid w:val="26EC599E"/>
    <w:rsid w:val="26F73A2A"/>
    <w:rsid w:val="26FF2BB8"/>
    <w:rsid w:val="27102C21"/>
    <w:rsid w:val="27227C57"/>
    <w:rsid w:val="2750171F"/>
    <w:rsid w:val="2769156F"/>
    <w:rsid w:val="27793F5D"/>
    <w:rsid w:val="27A2622E"/>
    <w:rsid w:val="27A60F83"/>
    <w:rsid w:val="27D24FCB"/>
    <w:rsid w:val="28124EAE"/>
    <w:rsid w:val="282C201C"/>
    <w:rsid w:val="2858794A"/>
    <w:rsid w:val="28785F5E"/>
    <w:rsid w:val="28BE38E2"/>
    <w:rsid w:val="28F14595"/>
    <w:rsid w:val="29063629"/>
    <w:rsid w:val="291137B2"/>
    <w:rsid w:val="29343A82"/>
    <w:rsid w:val="293D6B2E"/>
    <w:rsid w:val="29462E61"/>
    <w:rsid w:val="29490B21"/>
    <w:rsid w:val="295E2317"/>
    <w:rsid w:val="296A55AE"/>
    <w:rsid w:val="296B020D"/>
    <w:rsid w:val="297D3FFE"/>
    <w:rsid w:val="29AD0C8B"/>
    <w:rsid w:val="29BB39AC"/>
    <w:rsid w:val="29C5574F"/>
    <w:rsid w:val="29C67FA0"/>
    <w:rsid w:val="29E509C9"/>
    <w:rsid w:val="2A1279FF"/>
    <w:rsid w:val="2A4D3396"/>
    <w:rsid w:val="2A541720"/>
    <w:rsid w:val="2AD215C5"/>
    <w:rsid w:val="2AD830F7"/>
    <w:rsid w:val="2AE241C5"/>
    <w:rsid w:val="2AE311EC"/>
    <w:rsid w:val="2B305B1D"/>
    <w:rsid w:val="2B5A391B"/>
    <w:rsid w:val="2B6A0459"/>
    <w:rsid w:val="2B774624"/>
    <w:rsid w:val="2B8A5BDD"/>
    <w:rsid w:val="2B8C3FB1"/>
    <w:rsid w:val="2BAD4FC3"/>
    <w:rsid w:val="2BC83AB9"/>
    <w:rsid w:val="2BF5056F"/>
    <w:rsid w:val="2C1152C7"/>
    <w:rsid w:val="2C1B56AB"/>
    <w:rsid w:val="2C782354"/>
    <w:rsid w:val="2C7A72BE"/>
    <w:rsid w:val="2C8A7A52"/>
    <w:rsid w:val="2C9A7D75"/>
    <w:rsid w:val="2CAB1EE9"/>
    <w:rsid w:val="2CB734DA"/>
    <w:rsid w:val="2CBC587B"/>
    <w:rsid w:val="2CC17412"/>
    <w:rsid w:val="2CCB04B9"/>
    <w:rsid w:val="2CD40732"/>
    <w:rsid w:val="2CF350E3"/>
    <w:rsid w:val="2CFF7BB9"/>
    <w:rsid w:val="2D04594C"/>
    <w:rsid w:val="2D09222D"/>
    <w:rsid w:val="2D0C5851"/>
    <w:rsid w:val="2D1C1975"/>
    <w:rsid w:val="2D304824"/>
    <w:rsid w:val="2D446A9B"/>
    <w:rsid w:val="2D9A0C12"/>
    <w:rsid w:val="2DA120C4"/>
    <w:rsid w:val="2DAC6336"/>
    <w:rsid w:val="2DC65BA0"/>
    <w:rsid w:val="2DD85E2E"/>
    <w:rsid w:val="2DDF0F82"/>
    <w:rsid w:val="2DE23A89"/>
    <w:rsid w:val="2DFF5BF4"/>
    <w:rsid w:val="2E41718B"/>
    <w:rsid w:val="2E5F03A4"/>
    <w:rsid w:val="2E717F8B"/>
    <w:rsid w:val="2E8E1E30"/>
    <w:rsid w:val="2E9976CE"/>
    <w:rsid w:val="2F134027"/>
    <w:rsid w:val="2F401D3C"/>
    <w:rsid w:val="2F5B24E1"/>
    <w:rsid w:val="2F704EEA"/>
    <w:rsid w:val="2F8026D7"/>
    <w:rsid w:val="2F8F65C7"/>
    <w:rsid w:val="2FA95C88"/>
    <w:rsid w:val="2FB0240D"/>
    <w:rsid w:val="2FC97926"/>
    <w:rsid w:val="2FD471C0"/>
    <w:rsid w:val="2FF9770A"/>
    <w:rsid w:val="30242658"/>
    <w:rsid w:val="302F4907"/>
    <w:rsid w:val="303B3107"/>
    <w:rsid w:val="3041370F"/>
    <w:rsid w:val="30506D05"/>
    <w:rsid w:val="306D5836"/>
    <w:rsid w:val="3097349C"/>
    <w:rsid w:val="30BE1F06"/>
    <w:rsid w:val="30D32298"/>
    <w:rsid w:val="30DD42A5"/>
    <w:rsid w:val="30E262DA"/>
    <w:rsid w:val="30EC5E2A"/>
    <w:rsid w:val="30ED1946"/>
    <w:rsid w:val="311B0A1E"/>
    <w:rsid w:val="311F0E80"/>
    <w:rsid w:val="31216B3F"/>
    <w:rsid w:val="312B50A3"/>
    <w:rsid w:val="313B3D4A"/>
    <w:rsid w:val="314D356C"/>
    <w:rsid w:val="317172BB"/>
    <w:rsid w:val="318E6873"/>
    <w:rsid w:val="31B46ACE"/>
    <w:rsid w:val="31C311C2"/>
    <w:rsid w:val="31F51115"/>
    <w:rsid w:val="32003808"/>
    <w:rsid w:val="321A6930"/>
    <w:rsid w:val="32336D50"/>
    <w:rsid w:val="32453A27"/>
    <w:rsid w:val="3263064A"/>
    <w:rsid w:val="3265766A"/>
    <w:rsid w:val="32A43132"/>
    <w:rsid w:val="32AC0C06"/>
    <w:rsid w:val="32AD0CCA"/>
    <w:rsid w:val="32C33CD3"/>
    <w:rsid w:val="32D253EE"/>
    <w:rsid w:val="33027836"/>
    <w:rsid w:val="33137AE3"/>
    <w:rsid w:val="33344EF5"/>
    <w:rsid w:val="33445F68"/>
    <w:rsid w:val="33496DDE"/>
    <w:rsid w:val="334F2212"/>
    <w:rsid w:val="3378161D"/>
    <w:rsid w:val="33B22505"/>
    <w:rsid w:val="33D03918"/>
    <w:rsid w:val="33E85CE2"/>
    <w:rsid w:val="33FA4335"/>
    <w:rsid w:val="341D0201"/>
    <w:rsid w:val="3427058C"/>
    <w:rsid w:val="342B057B"/>
    <w:rsid w:val="342B0F4F"/>
    <w:rsid w:val="345B3B52"/>
    <w:rsid w:val="347B2D6D"/>
    <w:rsid w:val="34802A56"/>
    <w:rsid w:val="34B12B11"/>
    <w:rsid w:val="34B52163"/>
    <w:rsid w:val="34CD3CF5"/>
    <w:rsid w:val="34D72013"/>
    <w:rsid w:val="34EB7D5F"/>
    <w:rsid w:val="34EE1C44"/>
    <w:rsid w:val="34F9604A"/>
    <w:rsid w:val="352C24DC"/>
    <w:rsid w:val="3537750C"/>
    <w:rsid w:val="3537798C"/>
    <w:rsid w:val="357005A7"/>
    <w:rsid w:val="35777939"/>
    <w:rsid w:val="357A579A"/>
    <w:rsid w:val="358E312C"/>
    <w:rsid w:val="35BC70FA"/>
    <w:rsid w:val="35C13FC9"/>
    <w:rsid w:val="35E43DD4"/>
    <w:rsid w:val="35E91989"/>
    <w:rsid w:val="35EF4FE4"/>
    <w:rsid w:val="36085EA6"/>
    <w:rsid w:val="36266D8A"/>
    <w:rsid w:val="364257B6"/>
    <w:rsid w:val="369E4AB8"/>
    <w:rsid w:val="3705788F"/>
    <w:rsid w:val="3724059E"/>
    <w:rsid w:val="374E4FB2"/>
    <w:rsid w:val="37725F65"/>
    <w:rsid w:val="37734E19"/>
    <w:rsid w:val="37DE378C"/>
    <w:rsid w:val="37EA5922"/>
    <w:rsid w:val="380C2E7F"/>
    <w:rsid w:val="380E1F20"/>
    <w:rsid w:val="38134D6C"/>
    <w:rsid w:val="38276B93"/>
    <w:rsid w:val="38336FC4"/>
    <w:rsid w:val="384D3BF2"/>
    <w:rsid w:val="386A2AA2"/>
    <w:rsid w:val="386D40FD"/>
    <w:rsid w:val="388E4265"/>
    <w:rsid w:val="389430F0"/>
    <w:rsid w:val="38AC3431"/>
    <w:rsid w:val="38C26745"/>
    <w:rsid w:val="38CD0AA7"/>
    <w:rsid w:val="38E67108"/>
    <w:rsid w:val="38F06097"/>
    <w:rsid w:val="38FE35D2"/>
    <w:rsid w:val="39226DE8"/>
    <w:rsid w:val="392F2E16"/>
    <w:rsid w:val="39342471"/>
    <w:rsid w:val="39406F09"/>
    <w:rsid w:val="396554F4"/>
    <w:rsid w:val="39791C92"/>
    <w:rsid w:val="39B614C9"/>
    <w:rsid w:val="39D94185"/>
    <w:rsid w:val="39E00529"/>
    <w:rsid w:val="39E359C2"/>
    <w:rsid w:val="39E9733C"/>
    <w:rsid w:val="39F94DC1"/>
    <w:rsid w:val="3A0B6254"/>
    <w:rsid w:val="3A0B64A7"/>
    <w:rsid w:val="3A1C7B1C"/>
    <w:rsid w:val="3A2F182B"/>
    <w:rsid w:val="3A36312B"/>
    <w:rsid w:val="3A3B5CDC"/>
    <w:rsid w:val="3A520B7E"/>
    <w:rsid w:val="3A574DDA"/>
    <w:rsid w:val="3AA73CF1"/>
    <w:rsid w:val="3AD3075A"/>
    <w:rsid w:val="3AD5142D"/>
    <w:rsid w:val="3AD71232"/>
    <w:rsid w:val="3AEA755C"/>
    <w:rsid w:val="3AF74C02"/>
    <w:rsid w:val="3B1A17C0"/>
    <w:rsid w:val="3B447208"/>
    <w:rsid w:val="3B954BE0"/>
    <w:rsid w:val="3B9F1620"/>
    <w:rsid w:val="3BB84161"/>
    <w:rsid w:val="3C0059A5"/>
    <w:rsid w:val="3C134E78"/>
    <w:rsid w:val="3C15518D"/>
    <w:rsid w:val="3C33057E"/>
    <w:rsid w:val="3C334EAF"/>
    <w:rsid w:val="3C3D49BD"/>
    <w:rsid w:val="3C6D16C6"/>
    <w:rsid w:val="3C921FB2"/>
    <w:rsid w:val="3C9E1EBC"/>
    <w:rsid w:val="3CF52957"/>
    <w:rsid w:val="3D147205"/>
    <w:rsid w:val="3D2E6923"/>
    <w:rsid w:val="3D506996"/>
    <w:rsid w:val="3D67163F"/>
    <w:rsid w:val="3D6871A7"/>
    <w:rsid w:val="3D817764"/>
    <w:rsid w:val="3D873FCE"/>
    <w:rsid w:val="3D89020A"/>
    <w:rsid w:val="3D8B4BB3"/>
    <w:rsid w:val="3DB36BC6"/>
    <w:rsid w:val="3DEC7285"/>
    <w:rsid w:val="3DF6345D"/>
    <w:rsid w:val="3E2B5515"/>
    <w:rsid w:val="3E3E5EF1"/>
    <w:rsid w:val="3E4746B3"/>
    <w:rsid w:val="3E4D4F28"/>
    <w:rsid w:val="3E77BA7B"/>
    <w:rsid w:val="3E7F32DC"/>
    <w:rsid w:val="3E9B70F5"/>
    <w:rsid w:val="3EB11AC7"/>
    <w:rsid w:val="3EC9706E"/>
    <w:rsid w:val="3ED16D67"/>
    <w:rsid w:val="3ED818CD"/>
    <w:rsid w:val="3EE13701"/>
    <w:rsid w:val="3EE25742"/>
    <w:rsid w:val="3F144FB4"/>
    <w:rsid w:val="3F1A4BB3"/>
    <w:rsid w:val="3F4A64D9"/>
    <w:rsid w:val="3F4EA636"/>
    <w:rsid w:val="3F60225A"/>
    <w:rsid w:val="3F934E86"/>
    <w:rsid w:val="3FBF988E"/>
    <w:rsid w:val="3FF317AE"/>
    <w:rsid w:val="3FFA2455"/>
    <w:rsid w:val="40192BA6"/>
    <w:rsid w:val="402C58F5"/>
    <w:rsid w:val="40484D68"/>
    <w:rsid w:val="406C324E"/>
    <w:rsid w:val="40761BDC"/>
    <w:rsid w:val="40963BF6"/>
    <w:rsid w:val="40991CAB"/>
    <w:rsid w:val="40B15F11"/>
    <w:rsid w:val="40BE68D5"/>
    <w:rsid w:val="40D43427"/>
    <w:rsid w:val="40E16D7E"/>
    <w:rsid w:val="41071387"/>
    <w:rsid w:val="41184017"/>
    <w:rsid w:val="41396F70"/>
    <w:rsid w:val="413D6CFA"/>
    <w:rsid w:val="4151394D"/>
    <w:rsid w:val="415560AD"/>
    <w:rsid w:val="41766EA9"/>
    <w:rsid w:val="4184325C"/>
    <w:rsid w:val="41AC45FF"/>
    <w:rsid w:val="41E40D4D"/>
    <w:rsid w:val="42145CCA"/>
    <w:rsid w:val="423035D9"/>
    <w:rsid w:val="4253716E"/>
    <w:rsid w:val="42550A18"/>
    <w:rsid w:val="425A4BD1"/>
    <w:rsid w:val="427B1BBB"/>
    <w:rsid w:val="429D496A"/>
    <w:rsid w:val="42BB1D1E"/>
    <w:rsid w:val="42CC751E"/>
    <w:rsid w:val="42E0276A"/>
    <w:rsid w:val="42EB6093"/>
    <w:rsid w:val="42F473A1"/>
    <w:rsid w:val="42F500EF"/>
    <w:rsid w:val="42F80FA5"/>
    <w:rsid w:val="4305361D"/>
    <w:rsid w:val="431C26D3"/>
    <w:rsid w:val="431F637C"/>
    <w:rsid w:val="434E3AB8"/>
    <w:rsid w:val="43537F8A"/>
    <w:rsid w:val="43773250"/>
    <w:rsid w:val="44107EE3"/>
    <w:rsid w:val="441E62C0"/>
    <w:rsid w:val="443E50E2"/>
    <w:rsid w:val="443F2FD9"/>
    <w:rsid w:val="44406167"/>
    <w:rsid w:val="44967985"/>
    <w:rsid w:val="44974521"/>
    <w:rsid w:val="44AC2A30"/>
    <w:rsid w:val="44FB65C3"/>
    <w:rsid w:val="45192471"/>
    <w:rsid w:val="451B7728"/>
    <w:rsid w:val="452F1A92"/>
    <w:rsid w:val="45325D14"/>
    <w:rsid w:val="454F4D0B"/>
    <w:rsid w:val="456A5852"/>
    <w:rsid w:val="45811C7C"/>
    <w:rsid w:val="45906116"/>
    <w:rsid w:val="45A0305D"/>
    <w:rsid w:val="45A03571"/>
    <w:rsid w:val="45C10D0F"/>
    <w:rsid w:val="45F51AEF"/>
    <w:rsid w:val="460B016C"/>
    <w:rsid w:val="463B007F"/>
    <w:rsid w:val="46830E83"/>
    <w:rsid w:val="468B3EFB"/>
    <w:rsid w:val="46D5130D"/>
    <w:rsid w:val="46DA141E"/>
    <w:rsid w:val="46E15B1B"/>
    <w:rsid w:val="470A6193"/>
    <w:rsid w:val="471B4E2C"/>
    <w:rsid w:val="47316652"/>
    <w:rsid w:val="47385210"/>
    <w:rsid w:val="474D5830"/>
    <w:rsid w:val="475C3001"/>
    <w:rsid w:val="47690E29"/>
    <w:rsid w:val="479A5F27"/>
    <w:rsid w:val="47A837E0"/>
    <w:rsid w:val="47C567E9"/>
    <w:rsid w:val="47D31E5D"/>
    <w:rsid w:val="47DC4F5C"/>
    <w:rsid w:val="47DD36B3"/>
    <w:rsid w:val="481C7304"/>
    <w:rsid w:val="482C6A5C"/>
    <w:rsid w:val="48495124"/>
    <w:rsid w:val="48B40671"/>
    <w:rsid w:val="48BA0D76"/>
    <w:rsid w:val="48DE6C7D"/>
    <w:rsid w:val="48F73DFC"/>
    <w:rsid w:val="490D112E"/>
    <w:rsid w:val="493C2711"/>
    <w:rsid w:val="49511A6F"/>
    <w:rsid w:val="495664BB"/>
    <w:rsid w:val="498945F3"/>
    <w:rsid w:val="49970DE0"/>
    <w:rsid w:val="499B5738"/>
    <w:rsid w:val="499F244D"/>
    <w:rsid w:val="49A40B61"/>
    <w:rsid w:val="4A0B0B6D"/>
    <w:rsid w:val="4A0D7D18"/>
    <w:rsid w:val="4A105051"/>
    <w:rsid w:val="4A2D0198"/>
    <w:rsid w:val="4A420EE7"/>
    <w:rsid w:val="4A5D424D"/>
    <w:rsid w:val="4A973F3F"/>
    <w:rsid w:val="4AC85AA2"/>
    <w:rsid w:val="4AE6282E"/>
    <w:rsid w:val="4AF4108E"/>
    <w:rsid w:val="4AF50338"/>
    <w:rsid w:val="4AF96BC7"/>
    <w:rsid w:val="4B136101"/>
    <w:rsid w:val="4B203103"/>
    <w:rsid w:val="4B293685"/>
    <w:rsid w:val="4B32607A"/>
    <w:rsid w:val="4B3B1040"/>
    <w:rsid w:val="4B415A54"/>
    <w:rsid w:val="4B464533"/>
    <w:rsid w:val="4B496045"/>
    <w:rsid w:val="4B545C08"/>
    <w:rsid w:val="4B5A416B"/>
    <w:rsid w:val="4B667F55"/>
    <w:rsid w:val="4B7C6990"/>
    <w:rsid w:val="4B862A85"/>
    <w:rsid w:val="4B8B200B"/>
    <w:rsid w:val="4B98008D"/>
    <w:rsid w:val="4BAC4867"/>
    <w:rsid w:val="4BD522BC"/>
    <w:rsid w:val="4BDE26E5"/>
    <w:rsid w:val="4BF417D4"/>
    <w:rsid w:val="4BF92147"/>
    <w:rsid w:val="4C3A28DD"/>
    <w:rsid w:val="4C8018E7"/>
    <w:rsid w:val="4C8624FC"/>
    <w:rsid w:val="4C8A38D4"/>
    <w:rsid w:val="4C9C27CC"/>
    <w:rsid w:val="4CA20A24"/>
    <w:rsid w:val="4CB755B1"/>
    <w:rsid w:val="4CEF28C5"/>
    <w:rsid w:val="4CEF36E2"/>
    <w:rsid w:val="4CEF4DC5"/>
    <w:rsid w:val="4CF25996"/>
    <w:rsid w:val="4D171C3B"/>
    <w:rsid w:val="4D482BAA"/>
    <w:rsid w:val="4D4873F2"/>
    <w:rsid w:val="4D54264D"/>
    <w:rsid w:val="4D6011AB"/>
    <w:rsid w:val="4D6A5813"/>
    <w:rsid w:val="4D922FBD"/>
    <w:rsid w:val="4D9A766C"/>
    <w:rsid w:val="4DA62246"/>
    <w:rsid w:val="4DC17B81"/>
    <w:rsid w:val="4DD62C9F"/>
    <w:rsid w:val="4DEE41E3"/>
    <w:rsid w:val="4DF71805"/>
    <w:rsid w:val="4E17231F"/>
    <w:rsid w:val="4E257655"/>
    <w:rsid w:val="4E8E7871"/>
    <w:rsid w:val="4EC4406A"/>
    <w:rsid w:val="4EC455C1"/>
    <w:rsid w:val="4ECF231D"/>
    <w:rsid w:val="4EF86E3C"/>
    <w:rsid w:val="4F06496B"/>
    <w:rsid w:val="4F0C1AC6"/>
    <w:rsid w:val="4F127C58"/>
    <w:rsid w:val="4F372380"/>
    <w:rsid w:val="4F372FFB"/>
    <w:rsid w:val="4F4E64E5"/>
    <w:rsid w:val="4F71142E"/>
    <w:rsid w:val="4F7A6CA5"/>
    <w:rsid w:val="4FA020CC"/>
    <w:rsid w:val="4FA7341A"/>
    <w:rsid w:val="4FB07B77"/>
    <w:rsid w:val="4FE34F88"/>
    <w:rsid w:val="4FEF4AC6"/>
    <w:rsid w:val="5016589E"/>
    <w:rsid w:val="5025116D"/>
    <w:rsid w:val="503D7DBA"/>
    <w:rsid w:val="50BF67C9"/>
    <w:rsid w:val="50ED7CC8"/>
    <w:rsid w:val="50FB62A0"/>
    <w:rsid w:val="511E0283"/>
    <w:rsid w:val="51277770"/>
    <w:rsid w:val="515158DB"/>
    <w:rsid w:val="516623C4"/>
    <w:rsid w:val="51B05107"/>
    <w:rsid w:val="51DA39DC"/>
    <w:rsid w:val="51DD73A8"/>
    <w:rsid w:val="51E0241A"/>
    <w:rsid w:val="51F1394A"/>
    <w:rsid w:val="522024E6"/>
    <w:rsid w:val="52314419"/>
    <w:rsid w:val="52395ECD"/>
    <w:rsid w:val="526D4E29"/>
    <w:rsid w:val="52735E8B"/>
    <w:rsid w:val="52B44696"/>
    <w:rsid w:val="52C10D75"/>
    <w:rsid w:val="52D55821"/>
    <w:rsid w:val="52EA215B"/>
    <w:rsid w:val="52EB2FB5"/>
    <w:rsid w:val="53591FD4"/>
    <w:rsid w:val="53655BA8"/>
    <w:rsid w:val="53A303CC"/>
    <w:rsid w:val="53C27FF8"/>
    <w:rsid w:val="53EC03B2"/>
    <w:rsid w:val="5409646C"/>
    <w:rsid w:val="541057A4"/>
    <w:rsid w:val="544E00F4"/>
    <w:rsid w:val="5475679C"/>
    <w:rsid w:val="548E485C"/>
    <w:rsid w:val="549E1A80"/>
    <w:rsid w:val="54AB108A"/>
    <w:rsid w:val="54C658F4"/>
    <w:rsid w:val="54CB45B1"/>
    <w:rsid w:val="54E0494C"/>
    <w:rsid w:val="54E171CD"/>
    <w:rsid w:val="550C4BD7"/>
    <w:rsid w:val="55162155"/>
    <w:rsid w:val="55322669"/>
    <w:rsid w:val="5539470A"/>
    <w:rsid w:val="554C1D56"/>
    <w:rsid w:val="554E0253"/>
    <w:rsid w:val="555230CF"/>
    <w:rsid w:val="55572986"/>
    <w:rsid w:val="555761AA"/>
    <w:rsid w:val="555E236D"/>
    <w:rsid w:val="55A82C22"/>
    <w:rsid w:val="55C062DD"/>
    <w:rsid w:val="5607446A"/>
    <w:rsid w:val="56081243"/>
    <w:rsid w:val="561535A4"/>
    <w:rsid w:val="56245CC2"/>
    <w:rsid w:val="56330E85"/>
    <w:rsid w:val="565340FA"/>
    <w:rsid w:val="565C3ECA"/>
    <w:rsid w:val="56636EEC"/>
    <w:rsid w:val="56790914"/>
    <w:rsid w:val="569A7860"/>
    <w:rsid w:val="56B20DB5"/>
    <w:rsid w:val="56B25952"/>
    <w:rsid w:val="56FC519F"/>
    <w:rsid w:val="571046EE"/>
    <w:rsid w:val="571B3688"/>
    <w:rsid w:val="571F4860"/>
    <w:rsid w:val="5723343E"/>
    <w:rsid w:val="573D7EAB"/>
    <w:rsid w:val="574249AC"/>
    <w:rsid w:val="57580904"/>
    <w:rsid w:val="578057C8"/>
    <w:rsid w:val="578231ED"/>
    <w:rsid w:val="57856002"/>
    <w:rsid w:val="57893184"/>
    <w:rsid w:val="57AA18F7"/>
    <w:rsid w:val="57C26B48"/>
    <w:rsid w:val="57DD34B9"/>
    <w:rsid w:val="57E6392C"/>
    <w:rsid w:val="57F706C9"/>
    <w:rsid w:val="58017793"/>
    <w:rsid w:val="583B38FC"/>
    <w:rsid w:val="58685C59"/>
    <w:rsid w:val="58697500"/>
    <w:rsid w:val="58843841"/>
    <w:rsid w:val="5891308F"/>
    <w:rsid w:val="589236B1"/>
    <w:rsid w:val="58C86B99"/>
    <w:rsid w:val="58EF3EF4"/>
    <w:rsid w:val="5904102E"/>
    <w:rsid w:val="590A564B"/>
    <w:rsid w:val="59415D84"/>
    <w:rsid w:val="594D2B53"/>
    <w:rsid w:val="595B5175"/>
    <w:rsid w:val="598813E0"/>
    <w:rsid w:val="5999679A"/>
    <w:rsid w:val="599C38F2"/>
    <w:rsid w:val="59A03BB4"/>
    <w:rsid w:val="59A0470A"/>
    <w:rsid w:val="59AA0FB1"/>
    <w:rsid w:val="59B91F8C"/>
    <w:rsid w:val="59EF6A42"/>
    <w:rsid w:val="59F20EF7"/>
    <w:rsid w:val="5A2F2CC8"/>
    <w:rsid w:val="5A673F93"/>
    <w:rsid w:val="5A723722"/>
    <w:rsid w:val="5A7D02BC"/>
    <w:rsid w:val="5A81226C"/>
    <w:rsid w:val="5A8D20F7"/>
    <w:rsid w:val="5AAA4EE2"/>
    <w:rsid w:val="5AC95C92"/>
    <w:rsid w:val="5B050AD9"/>
    <w:rsid w:val="5B2B276E"/>
    <w:rsid w:val="5B436D5A"/>
    <w:rsid w:val="5B487697"/>
    <w:rsid w:val="5B570637"/>
    <w:rsid w:val="5B79092D"/>
    <w:rsid w:val="5B7F28A2"/>
    <w:rsid w:val="5B9C3F03"/>
    <w:rsid w:val="5BA26962"/>
    <w:rsid w:val="5BA85879"/>
    <w:rsid w:val="5BC1259B"/>
    <w:rsid w:val="5BC95544"/>
    <w:rsid w:val="5C0B10D4"/>
    <w:rsid w:val="5C10205B"/>
    <w:rsid w:val="5C10702D"/>
    <w:rsid w:val="5C14136F"/>
    <w:rsid w:val="5C152601"/>
    <w:rsid w:val="5C20614F"/>
    <w:rsid w:val="5C591F03"/>
    <w:rsid w:val="5C615ED8"/>
    <w:rsid w:val="5C7B745F"/>
    <w:rsid w:val="5C8A1B2F"/>
    <w:rsid w:val="5C96399E"/>
    <w:rsid w:val="5CAF3DCD"/>
    <w:rsid w:val="5CB62246"/>
    <w:rsid w:val="5D172699"/>
    <w:rsid w:val="5D1E0652"/>
    <w:rsid w:val="5D2C1215"/>
    <w:rsid w:val="5D5831A8"/>
    <w:rsid w:val="5D857790"/>
    <w:rsid w:val="5D861815"/>
    <w:rsid w:val="5D8936D2"/>
    <w:rsid w:val="5D914004"/>
    <w:rsid w:val="5D9D0A76"/>
    <w:rsid w:val="5DD80331"/>
    <w:rsid w:val="5DD95E29"/>
    <w:rsid w:val="5DDD16DD"/>
    <w:rsid w:val="5DE63881"/>
    <w:rsid w:val="5DF41766"/>
    <w:rsid w:val="5E015F08"/>
    <w:rsid w:val="5E615889"/>
    <w:rsid w:val="5E727AB0"/>
    <w:rsid w:val="5E770129"/>
    <w:rsid w:val="5E847BF7"/>
    <w:rsid w:val="5EBD2F7D"/>
    <w:rsid w:val="5EC8520A"/>
    <w:rsid w:val="5F0341A4"/>
    <w:rsid w:val="5F174D94"/>
    <w:rsid w:val="5F4F5E24"/>
    <w:rsid w:val="5F561B72"/>
    <w:rsid w:val="5F7069FC"/>
    <w:rsid w:val="5F811AD3"/>
    <w:rsid w:val="5F8E3288"/>
    <w:rsid w:val="5F92448C"/>
    <w:rsid w:val="5FA13309"/>
    <w:rsid w:val="5FBB0ADC"/>
    <w:rsid w:val="5FE00927"/>
    <w:rsid w:val="5FE24EDD"/>
    <w:rsid w:val="5FE437FC"/>
    <w:rsid w:val="5FED0446"/>
    <w:rsid w:val="5FF87C07"/>
    <w:rsid w:val="60014470"/>
    <w:rsid w:val="602A626F"/>
    <w:rsid w:val="603E60FC"/>
    <w:rsid w:val="60504C82"/>
    <w:rsid w:val="606007BB"/>
    <w:rsid w:val="606107BE"/>
    <w:rsid w:val="606163EC"/>
    <w:rsid w:val="607B7CC3"/>
    <w:rsid w:val="608E10F9"/>
    <w:rsid w:val="60AC7F66"/>
    <w:rsid w:val="60B85C90"/>
    <w:rsid w:val="60C13070"/>
    <w:rsid w:val="60FB1B80"/>
    <w:rsid w:val="611C2257"/>
    <w:rsid w:val="611E12A8"/>
    <w:rsid w:val="61226064"/>
    <w:rsid w:val="61497909"/>
    <w:rsid w:val="614F0CAD"/>
    <w:rsid w:val="616D2399"/>
    <w:rsid w:val="6189448A"/>
    <w:rsid w:val="61A66546"/>
    <w:rsid w:val="61AE2CF2"/>
    <w:rsid w:val="61BD42A4"/>
    <w:rsid w:val="61BF10D9"/>
    <w:rsid w:val="61DA3D4C"/>
    <w:rsid w:val="61F215C9"/>
    <w:rsid w:val="62436FF9"/>
    <w:rsid w:val="6265481D"/>
    <w:rsid w:val="626A5412"/>
    <w:rsid w:val="629932BF"/>
    <w:rsid w:val="62AC22DC"/>
    <w:rsid w:val="62BF2D76"/>
    <w:rsid w:val="62CF7E75"/>
    <w:rsid w:val="62FA4283"/>
    <w:rsid w:val="630871F9"/>
    <w:rsid w:val="630A6917"/>
    <w:rsid w:val="63177FBC"/>
    <w:rsid w:val="633E67A6"/>
    <w:rsid w:val="635251C8"/>
    <w:rsid w:val="63554905"/>
    <w:rsid w:val="635A3E88"/>
    <w:rsid w:val="635C1FFD"/>
    <w:rsid w:val="63606311"/>
    <w:rsid w:val="63607FA4"/>
    <w:rsid w:val="63724593"/>
    <w:rsid w:val="637833E8"/>
    <w:rsid w:val="63B138F3"/>
    <w:rsid w:val="63DE0947"/>
    <w:rsid w:val="63F14628"/>
    <w:rsid w:val="63F30799"/>
    <w:rsid w:val="6414138E"/>
    <w:rsid w:val="64481274"/>
    <w:rsid w:val="646D1148"/>
    <w:rsid w:val="648743E5"/>
    <w:rsid w:val="64B10E28"/>
    <w:rsid w:val="64BB10E5"/>
    <w:rsid w:val="64C210FC"/>
    <w:rsid w:val="64D8014C"/>
    <w:rsid w:val="64E45EF7"/>
    <w:rsid w:val="64E77D23"/>
    <w:rsid w:val="651240A3"/>
    <w:rsid w:val="6528541A"/>
    <w:rsid w:val="653D1780"/>
    <w:rsid w:val="6544472C"/>
    <w:rsid w:val="65465871"/>
    <w:rsid w:val="654866C3"/>
    <w:rsid w:val="654E2D83"/>
    <w:rsid w:val="6555098E"/>
    <w:rsid w:val="65D06BA5"/>
    <w:rsid w:val="65E73470"/>
    <w:rsid w:val="65F12154"/>
    <w:rsid w:val="66265147"/>
    <w:rsid w:val="6630196A"/>
    <w:rsid w:val="665253D0"/>
    <w:rsid w:val="66873275"/>
    <w:rsid w:val="668F6FD2"/>
    <w:rsid w:val="6691014E"/>
    <w:rsid w:val="66C87CCE"/>
    <w:rsid w:val="66D147B6"/>
    <w:rsid w:val="66E73D86"/>
    <w:rsid w:val="66FB490A"/>
    <w:rsid w:val="671D7451"/>
    <w:rsid w:val="67264311"/>
    <w:rsid w:val="67525023"/>
    <w:rsid w:val="67592253"/>
    <w:rsid w:val="677435B2"/>
    <w:rsid w:val="6779688C"/>
    <w:rsid w:val="67814D8C"/>
    <w:rsid w:val="678801E7"/>
    <w:rsid w:val="678D2EAE"/>
    <w:rsid w:val="67E35B9E"/>
    <w:rsid w:val="67EF75F1"/>
    <w:rsid w:val="67F323FA"/>
    <w:rsid w:val="682062DD"/>
    <w:rsid w:val="68327BBE"/>
    <w:rsid w:val="689736F8"/>
    <w:rsid w:val="68B35F15"/>
    <w:rsid w:val="68B72539"/>
    <w:rsid w:val="69124F16"/>
    <w:rsid w:val="691E189E"/>
    <w:rsid w:val="69280117"/>
    <w:rsid w:val="693022D8"/>
    <w:rsid w:val="694A5205"/>
    <w:rsid w:val="69AD518D"/>
    <w:rsid w:val="69CD5C14"/>
    <w:rsid w:val="69CE068D"/>
    <w:rsid w:val="69CF0D33"/>
    <w:rsid w:val="69D8686C"/>
    <w:rsid w:val="69D96AC3"/>
    <w:rsid w:val="69F567A0"/>
    <w:rsid w:val="6A1A7186"/>
    <w:rsid w:val="6A36068B"/>
    <w:rsid w:val="6A434A35"/>
    <w:rsid w:val="6A4B2209"/>
    <w:rsid w:val="6A5066CB"/>
    <w:rsid w:val="6A512713"/>
    <w:rsid w:val="6A542D51"/>
    <w:rsid w:val="6A6030C4"/>
    <w:rsid w:val="6A7F05D0"/>
    <w:rsid w:val="6AB235AF"/>
    <w:rsid w:val="6ABD719F"/>
    <w:rsid w:val="6AE644C3"/>
    <w:rsid w:val="6AFD4928"/>
    <w:rsid w:val="6B061ADD"/>
    <w:rsid w:val="6B175FBC"/>
    <w:rsid w:val="6B297797"/>
    <w:rsid w:val="6B2F4D3E"/>
    <w:rsid w:val="6B303F71"/>
    <w:rsid w:val="6B374E7A"/>
    <w:rsid w:val="6B4317B4"/>
    <w:rsid w:val="6B4A10E4"/>
    <w:rsid w:val="6B5C4B71"/>
    <w:rsid w:val="6B9946B3"/>
    <w:rsid w:val="6B9B5061"/>
    <w:rsid w:val="6BBEC5D7"/>
    <w:rsid w:val="6BC10EDC"/>
    <w:rsid w:val="6BF5106A"/>
    <w:rsid w:val="6C072825"/>
    <w:rsid w:val="6C241930"/>
    <w:rsid w:val="6C2D0A9C"/>
    <w:rsid w:val="6C4052D5"/>
    <w:rsid w:val="6C431EF3"/>
    <w:rsid w:val="6C4E0DC0"/>
    <w:rsid w:val="6C4E6902"/>
    <w:rsid w:val="6C662189"/>
    <w:rsid w:val="6C6B22D7"/>
    <w:rsid w:val="6C6C2F38"/>
    <w:rsid w:val="6C7007C7"/>
    <w:rsid w:val="6C7E1A7A"/>
    <w:rsid w:val="6C8C2B67"/>
    <w:rsid w:val="6C8D38AF"/>
    <w:rsid w:val="6C8D7684"/>
    <w:rsid w:val="6CB04275"/>
    <w:rsid w:val="6CDC07DA"/>
    <w:rsid w:val="6CF001BF"/>
    <w:rsid w:val="6CF92C55"/>
    <w:rsid w:val="6D4C7D54"/>
    <w:rsid w:val="6D60703C"/>
    <w:rsid w:val="6D68310A"/>
    <w:rsid w:val="6D6D4330"/>
    <w:rsid w:val="6D915D95"/>
    <w:rsid w:val="6D94625C"/>
    <w:rsid w:val="6D9B53CB"/>
    <w:rsid w:val="6DB63374"/>
    <w:rsid w:val="6DE76850"/>
    <w:rsid w:val="6DF8337B"/>
    <w:rsid w:val="6E1A3980"/>
    <w:rsid w:val="6E2B50E3"/>
    <w:rsid w:val="6E506EFF"/>
    <w:rsid w:val="6E8059E4"/>
    <w:rsid w:val="6E853B85"/>
    <w:rsid w:val="6E9E45BF"/>
    <w:rsid w:val="6EA34CC4"/>
    <w:rsid w:val="6EC00BE3"/>
    <w:rsid w:val="6EE54F57"/>
    <w:rsid w:val="6F055DD7"/>
    <w:rsid w:val="6F6B76CB"/>
    <w:rsid w:val="6F6E0ACF"/>
    <w:rsid w:val="6F753C1F"/>
    <w:rsid w:val="6F97153C"/>
    <w:rsid w:val="6F9F5A45"/>
    <w:rsid w:val="6FB20BD4"/>
    <w:rsid w:val="6FB650F7"/>
    <w:rsid w:val="6FB75277"/>
    <w:rsid w:val="6FBA59BE"/>
    <w:rsid w:val="6FD7425E"/>
    <w:rsid w:val="6FF16C9A"/>
    <w:rsid w:val="6FF2418B"/>
    <w:rsid w:val="6FFC1A3E"/>
    <w:rsid w:val="702726F0"/>
    <w:rsid w:val="70296B3E"/>
    <w:rsid w:val="704255C1"/>
    <w:rsid w:val="704751B9"/>
    <w:rsid w:val="70497291"/>
    <w:rsid w:val="705B357E"/>
    <w:rsid w:val="70611204"/>
    <w:rsid w:val="70BF0EE0"/>
    <w:rsid w:val="70C20C9C"/>
    <w:rsid w:val="70D01410"/>
    <w:rsid w:val="70D32204"/>
    <w:rsid w:val="70F15847"/>
    <w:rsid w:val="713116FD"/>
    <w:rsid w:val="71370AC8"/>
    <w:rsid w:val="71434E47"/>
    <w:rsid w:val="71486F7F"/>
    <w:rsid w:val="71662A10"/>
    <w:rsid w:val="71982A8B"/>
    <w:rsid w:val="72204649"/>
    <w:rsid w:val="722C5869"/>
    <w:rsid w:val="727D6954"/>
    <w:rsid w:val="72844D41"/>
    <w:rsid w:val="72862C7E"/>
    <w:rsid w:val="728976DF"/>
    <w:rsid w:val="72AD2A3B"/>
    <w:rsid w:val="72CF4F19"/>
    <w:rsid w:val="72DD6937"/>
    <w:rsid w:val="72EC79FB"/>
    <w:rsid w:val="733D16A9"/>
    <w:rsid w:val="73425548"/>
    <w:rsid w:val="73445350"/>
    <w:rsid w:val="73514DB1"/>
    <w:rsid w:val="73530A61"/>
    <w:rsid w:val="736A73D7"/>
    <w:rsid w:val="737260A4"/>
    <w:rsid w:val="737C5261"/>
    <w:rsid w:val="738A77D2"/>
    <w:rsid w:val="73AC15DC"/>
    <w:rsid w:val="73C84F56"/>
    <w:rsid w:val="73F27930"/>
    <w:rsid w:val="74121260"/>
    <w:rsid w:val="743462D3"/>
    <w:rsid w:val="743E7D5E"/>
    <w:rsid w:val="7441374C"/>
    <w:rsid w:val="744149C3"/>
    <w:rsid w:val="74A93E5A"/>
    <w:rsid w:val="74C633BB"/>
    <w:rsid w:val="74FA2C30"/>
    <w:rsid w:val="75066EB4"/>
    <w:rsid w:val="751D1A0B"/>
    <w:rsid w:val="753B09F7"/>
    <w:rsid w:val="754D5C4B"/>
    <w:rsid w:val="756C78B0"/>
    <w:rsid w:val="757562BE"/>
    <w:rsid w:val="757E50F6"/>
    <w:rsid w:val="75855224"/>
    <w:rsid w:val="75A05064"/>
    <w:rsid w:val="75BB0241"/>
    <w:rsid w:val="75CB60C0"/>
    <w:rsid w:val="75D91695"/>
    <w:rsid w:val="75E76F6F"/>
    <w:rsid w:val="75E81238"/>
    <w:rsid w:val="75EA323F"/>
    <w:rsid w:val="75EC127C"/>
    <w:rsid w:val="75EE1167"/>
    <w:rsid w:val="75F142DB"/>
    <w:rsid w:val="75FF2D1C"/>
    <w:rsid w:val="760B3F34"/>
    <w:rsid w:val="76334397"/>
    <w:rsid w:val="765B4F30"/>
    <w:rsid w:val="766C4E79"/>
    <w:rsid w:val="767D07C6"/>
    <w:rsid w:val="76A143E8"/>
    <w:rsid w:val="76C240A7"/>
    <w:rsid w:val="76C8773D"/>
    <w:rsid w:val="770F3331"/>
    <w:rsid w:val="77315AC4"/>
    <w:rsid w:val="77336211"/>
    <w:rsid w:val="775246B7"/>
    <w:rsid w:val="77583C37"/>
    <w:rsid w:val="775974AF"/>
    <w:rsid w:val="777C5BED"/>
    <w:rsid w:val="77977DAD"/>
    <w:rsid w:val="77CA234A"/>
    <w:rsid w:val="77D27E83"/>
    <w:rsid w:val="77FA4C87"/>
    <w:rsid w:val="78137CF8"/>
    <w:rsid w:val="781E69D1"/>
    <w:rsid w:val="782A2DF7"/>
    <w:rsid w:val="7849255A"/>
    <w:rsid w:val="78AE2E33"/>
    <w:rsid w:val="78C0778B"/>
    <w:rsid w:val="78DE4305"/>
    <w:rsid w:val="797F0359"/>
    <w:rsid w:val="79962040"/>
    <w:rsid w:val="799A2861"/>
    <w:rsid w:val="79A25882"/>
    <w:rsid w:val="79BC014A"/>
    <w:rsid w:val="79BC34FC"/>
    <w:rsid w:val="79C95D86"/>
    <w:rsid w:val="79D042C8"/>
    <w:rsid w:val="7A263B6B"/>
    <w:rsid w:val="7A2D01BD"/>
    <w:rsid w:val="7A573C85"/>
    <w:rsid w:val="7A6D67DD"/>
    <w:rsid w:val="7A7106D0"/>
    <w:rsid w:val="7A8E7E6B"/>
    <w:rsid w:val="7A9F3904"/>
    <w:rsid w:val="7ABE07EB"/>
    <w:rsid w:val="7AE364A4"/>
    <w:rsid w:val="7AF46346"/>
    <w:rsid w:val="7AF753E6"/>
    <w:rsid w:val="7B0F5EBF"/>
    <w:rsid w:val="7B130FB9"/>
    <w:rsid w:val="7B14483E"/>
    <w:rsid w:val="7B1C0A25"/>
    <w:rsid w:val="7B2611AB"/>
    <w:rsid w:val="7B3ACA9D"/>
    <w:rsid w:val="7B4E6A0D"/>
    <w:rsid w:val="7B641BCE"/>
    <w:rsid w:val="7B770612"/>
    <w:rsid w:val="7B875F34"/>
    <w:rsid w:val="7BCC4FA8"/>
    <w:rsid w:val="7BDD6F19"/>
    <w:rsid w:val="7BF64EDE"/>
    <w:rsid w:val="7BF832B5"/>
    <w:rsid w:val="7BFD1D81"/>
    <w:rsid w:val="7C221C6B"/>
    <w:rsid w:val="7C400C1E"/>
    <w:rsid w:val="7C99714C"/>
    <w:rsid w:val="7CA07DE8"/>
    <w:rsid w:val="7CA53FD5"/>
    <w:rsid w:val="7CB416DE"/>
    <w:rsid w:val="7CB50883"/>
    <w:rsid w:val="7CBE6D5D"/>
    <w:rsid w:val="7CC61C8D"/>
    <w:rsid w:val="7CDD1808"/>
    <w:rsid w:val="7CF57CC1"/>
    <w:rsid w:val="7D0B5456"/>
    <w:rsid w:val="7D352792"/>
    <w:rsid w:val="7D563551"/>
    <w:rsid w:val="7D6F6791"/>
    <w:rsid w:val="7D7F289D"/>
    <w:rsid w:val="7D830B9D"/>
    <w:rsid w:val="7D95172F"/>
    <w:rsid w:val="7DB23C3E"/>
    <w:rsid w:val="7DC352A5"/>
    <w:rsid w:val="7DD11708"/>
    <w:rsid w:val="7DF46A68"/>
    <w:rsid w:val="7DF813B2"/>
    <w:rsid w:val="7E0763E6"/>
    <w:rsid w:val="7E110BB2"/>
    <w:rsid w:val="7E1202A7"/>
    <w:rsid w:val="7E156055"/>
    <w:rsid w:val="7E2D7872"/>
    <w:rsid w:val="7E417307"/>
    <w:rsid w:val="7E483654"/>
    <w:rsid w:val="7E522C19"/>
    <w:rsid w:val="7E5C0F61"/>
    <w:rsid w:val="7E8E6EBF"/>
    <w:rsid w:val="7EBD579E"/>
    <w:rsid w:val="7EC167BD"/>
    <w:rsid w:val="7ED56D33"/>
    <w:rsid w:val="7ED92E21"/>
    <w:rsid w:val="7EFC345C"/>
    <w:rsid w:val="7F1A6960"/>
    <w:rsid w:val="7F272D9E"/>
    <w:rsid w:val="7F507488"/>
    <w:rsid w:val="7F687D9B"/>
    <w:rsid w:val="7F6D75D4"/>
    <w:rsid w:val="7F6E49EE"/>
    <w:rsid w:val="7F7848F6"/>
    <w:rsid w:val="7F7BA36A"/>
    <w:rsid w:val="7FBA0A30"/>
    <w:rsid w:val="7FBF7AA1"/>
    <w:rsid w:val="7FC75C53"/>
    <w:rsid w:val="9A7F20ED"/>
    <w:rsid w:val="9FFD667B"/>
    <w:rsid w:val="BF3D1DE0"/>
    <w:rsid w:val="BFFF177F"/>
    <w:rsid w:val="DAF74B96"/>
    <w:rsid w:val="F4F64E95"/>
    <w:rsid w:val="F77FF9D5"/>
    <w:rsid w:val="FA9E340F"/>
    <w:rsid w:val="FF2D513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iPriority="9" w:name="heading 9"/>
    <w:lsdException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qFormat="1" w:uiPriority="99" w:semiHidden="0" w:name="endnote reference"/>
    <w:lsdException w:uiPriority="99" w:name="endnote text"/>
    <w:lsdException w:uiPriority="99" w:name="table of authorities"/>
    <w:lsdException w:uiPriority="99" w:name="macro"/>
    <w:lsdException w:uiPriority="99" w:name="toa heading"/>
    <w:lsdException w:qFormat="1" w:uiPriority="99" w:semiHidden="0"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40"/>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41"/>
    <w:qFormat/>
    <w:uiPriority w:val="9"/>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42"/>
    <w:qFormat/>
    <w:uiPriority w:val="9"/>
    <w:pPr>
      <w:keepNext/>
      <w:keepLines/>
      <w:spacing w:before="280" w:after="290" w:line="376" w:lineRule="auto"/>
      <w:outlineLvl w:val="4"/>
    </w:pPr>
    <w:rPr>
      <w:b/>
      <w:bCs/>
      <w:sz w:val="28"/>
      <w:szCs w:val="28"/>
    </w:rPr>
  </w:style>
  <w:style w:type="paragraph" w:styleId="9">
    <w:name w:val="heading 8"/>
    <w:basedOn w:val="1"/>
    <w:next w:val="1"/>
    <w:link w:val="43"/>
    <w:qFormat/>
    <w:uiPriority w:val="9"/>
    <w:pPr>
      <w:keepNext/>
      <w:keepLines/>
      <w:spacing w:before="240" w:after="64" w:line="320" w:lineRule="auto"/>
      <w:outlineLvl w:val="7"/>
    </w:pPr>
    <w:rPr>
      <w:rFonts w:ascii="等线 Light" w:hAnsi="等线 Light" w:eastAsia="等线 Light"/>
      <w:sz w:val="24"/>
    </w:rPr>
  </w:style>
  <w:style w:type="character" w:default="1" w:styleId="33">
    <w:name w:val="Default Paragraph Font"/>
    <w:unhideWhenUsed/>
    <w:qFormat/>
    <w:uiPriority w:val="1"/>
  </w:style>
  <w:style w:type="table" w:default="1" w:styleId="31">
    <w:name w:val="Normal Table"/>
    <w:unhideWhenUsed/>
    <w:qFormat/>
    <w:uiPriority w:val="99"/>
    <w:tblPr>
      <w:tblCellMar>
        <w:top w:w="0" w:type="dxa"/>
        <w:left w:w="108" w:type="dxa"/>
        <w:bottom w:w="0" w:type="dxa"/>
        <w:right w:w="108" w:type="dxa"/>
      </w:tblCellMar>
    </w:tblPr>
  </w:style>
  <w:style w:type="paragraph" w:styleId="2">
    <w:name w:val="footer"/>
    <w:basedOn w:val="1"/>
    <w:next w:val="1"/>
    <w:link w:val="50"/>
    <w:unhideWhenUsed/>
    <w:qFormat/>
    <w:uiPriority w:val="99"/>
    <w:pPr>
      <w:tabs>
        <w:tab w:val="center" w:pos="4153"/>
        <w:tab w:val="right" w:pos="8306"/>
      </w:tabs>
      <w:snapToGrid w:val="0"/>
      <w:jc w:val="left"/>
    </w:pPr>
    <w:rPr>
      <w:kern w:val="0"/>
      <w:sz w:val="18"/>
      <w:szCs w:val="18"/>
    </w:rPr>
  </w:style>
  <w:style w:type="paragraph" w:styleId="8">
    <w:name w:val="Normal Indent"/>
    <w:basedOn w:val="1"/>
    <w:qFormat/>
    <w:uiPriority w:val="0"/>
    <w:pPr>
      <w:ind w:firstLine="420"/>
    </w:pPr>
    <w:rPr>
      <w:szCs w:val="20"/>
    </w:rPr>
  </w:style>
  <w:style w:type="paragraph" w:styleId="10">
    <w:name w:val="index 8"/>
    <w:basedOn w:val="1"/>
    <w:next w:val="1"/>
    <w:qFormat/>
    <w:uiPriority w:val="0"/>
    <w:pPr>
      <w:ind w:left="2940"/>
    </w:pPr>
  </w:style>
  <w:style w:type="paragraph" w:styleId="11">
    <w:name w:val="List Number"/>
    <w:basedOn w:val="1"/>
    <w:qFormat/>
    <w:uiPriority w:val="0"/>
    <w:pPr>
      <w:widowControl/>
      <w:tabs>
        <w:tab w:val="left" w:pos="454"/>
        <w:tab w:val="left" w:pos="720"/>
        <w:tab w:val="left" w:pos="840"/>
      </w:tabs>
      <w:spacing w:afterLines="50"/>
      <w:ind w:left="454" w:hanging="284"/>
      <w:jc w:val="left"/>
    </w:pPr>
    <w:rPr>
      <w:kern w:val="0"/>
      <w:sz w:val="24"/>
      <w:szCs w:val="20"/>
    </w:rPr>
  </w:style>
  <w:style w:type="paragraph" w:styleId="12">
    <w:name w:val="annotation text"/>
    <w:basedOn w:val="1"/>
    <w:link w:val="44"/>
    <w:qFormat/>
    <w:uiPriority w:val="0"/>
    <w:pPr>
      <w:jc w:val="left"/>
    </w:pPr>
  </w:style>
  <w:style w:type="paragraph" w:styleId="13">
    <w:name w:val="Body Text 3"/>
    <w:basedOn w:val="1"/>
    <w:link w:val="45"/>
    <w:unhideWhenUsed/>
    <w:qFormat/>
    <w:uiPriority w:val="99"/>
    <w:pPr>
      <w:spacing w:after="120"/>
    </w:pPr>
    <w:rPr>
      <w:sz w:val="16"/>
      <w:szCs w:val="16"/>
    </w:rPr>
  </w:style>
  <w:style w:type="paragraph" w:styleId="14">
    <w:name w:val="Body Text"/>
    <w:basedOn w:val="1"/>
    <w:next w:val="15"/>
    <w:link w:val="46"/>
    <w:unhideWhenUsed/>
    <w:qFormat/>
    <w:uiPriority w:val="0"/>
    <w:pPr>
      <w:spacing w:after="120"/>
    </w:pPr>
  </w:style>
  <w:style w:type="paragraph" w:styleId="15">
    <w:name w:val="Body Text First Indent"/>
    <w:basedOn w:val="14"/>
    <w:qFormat/>
    <w:uiPriority w:val="99"/>
    <w:pPr>
      <w:ind w:firstLine="420" w:firstLineChars="100"/>
    </w:pPr>
  </w:style>
  <w:style w:type="paragraph" w:styleId="16">
    <w:name w:val="Body Text Indent"/>
    <w:basedOn w:val="1"/>
    <w:next w:val="17"/>
    <w:link w:val="47"/>
    <w:qFormat/>
    <w:uiPriority w:val="0"/>
    <w:pPr>
      <w:ind w:firstLine="830" w:firstLineChars="352"/>
    </w:pPr>
    <w:rPr>
      <w:rFonts w:ascii="仿宋_GB2312" w:eastAsia="仿宋_GB2312"/>
      <w:kern w:val="0"/>
      <w:sz w:val="32"/>
      <w:szCs w:val="20"/>
    </w:rPr>
  </w:style>
  <w:style w:type="paragraph" w:styleId="17">
    <w:name w:val="Body Text First Indent 2"/>
    <w:basedOn w:val="1"/>
    <w:next w:val="1"/>
    <w:qFormat/>
    <w:uiPriority w:val="0"/>
    <w:pPr>
      <w:autoSpaceDE w:val="0"/>
      <w:autoSpaceDN w:val="0"/>
      <w:spacing w:line="360" w:lineRule="auto"/>
      <w:ind w:left="420" w:leftChars="200" w:firstLine="420" w:firstLineChars="200"/>
    </w:pPr>
  </w:style>
  <w:style w:type="paragraph" w:styleId="18">
    <w:name w:val="List 2"/>
    <w:basedOn w:val="1"/>
    <w:unhideWhenUsed/>
    <w:qFormat/>
    <w:uiPriority w:val="99"/>
    <w:pPr>
      <w:ind w:left="100" w:leftChars="200" w:hanging="200" w:hangingChars="200"/>
      <w:contextualSpacing/>
    </w:pPr>
  </w:style>
  <w:style w:type="paragraph" w:styleId="19">
    <w:name w:val="index 4"/>
    <w:basedOn w:val="1"/>
    <w:next w:val="1"/>
    <w:unhideWhenUsed/>
    <w:qFormat/>
    <w:uiPriority w:val="99"/>
    <w:rPr>
      <w:b/>
      <w:sz w:val="24"/>
      <w:lang w:val="zh-CN"/>
    </w:rPr>
  </w:style>
  <w:style w:type="paragraph" w:styleId="20">
    <w:name w:val="toc 3"/>
    <w:basedOn w:val="1"/>
    <w:next w:val="1"/>
    <w:unhideWhenUsed/>
    <w:qFormat/>
    <w:uiPriority w:val="39"/>
    <w:pPr>
      <w:ind w:left="840" w:leftChars="400"/>
    </w:pPr>
  </w:style>
  <w:style w:type="paragraph" w:styleId="21">
    <w:name w:val="Plain Text"/>
    <w:basedOn w:val="1"/>
    <w:next w:val="6"/>
    <w:link w:val="48"/>
    <w:qFormat/>
    <w:uiPriority w:val="0"/>
    <w:rPr>
      <w:rFonts w:ascii="宋体" w:hAnsi="Courier New"/>
      <w:kern w:val="0"/>
      <w:sz w:val="20"/>
      <w:szCs w:val="21"/>
    </w:rPr>
  </w:style>
  <w:style w:type="paragraph" w:styleId="22">
    <w:name w:val="Date"/>
    <w:basedOn w:val="1"/>
    <w:next w:val="1"/>
    <w:link w:val="49"/>
    <w:unhideWhenUsed/>
    <w:qFormat/>
    <w:uiPriority w:val="99"/>
    <w:pPr>
      <w:ind w:left="100" w:leftChars="2500"/>
    </w:pPr>
  </w:style>
  <w:style w:type="paragraph" w:styleId="23">
    <w:name w:val="Balloon Text"/>
    <w:basedOn w:val="1"/>
    <w:semiHidden/>
    <w:qFormat/>
    <w:uiPriority w:val="0"/>
    <w:rPr>
      <w:sz w:val="18"/>
      <w:szCs w:val="18"/>
    </w:rPr>
  </w:style>
  <w:style w:type="paragraph" w:styleId="24">
    <w:name w:val="header"/>
    <w:basedOn w:val="1"/>
    <w:link w:val="51"/>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unhideWhenUsed/>
    <w:qFormat/>
    <w:uiPriority w:val="39"/>
  </w:style>
  <w:style w:type="paragraph" w:styleId="26">
    <w:name w:val="List"/>
    <w:basedOn w:val="1"/>
    <w:unhideWhenUsed/>
    <w:qFormat/>
    <w:uiPriority w:val="99"/>
    <w:pPr>
      <w:ind w:left="200" w:hanging="200" w:hangingChars="200"/>
      <w:contextualSpacing/>
    </w:pPr>
  </w:style>
  <w:style w:type="paragraph" w:styleId="27">
    <w:name w:val="toc 2"/>
    <w:basedOn w:val="1"/>
    <w:next w:val="1"/>
    <w:unhideWhenUsed/>
    <w:qFormat/>
    <w:uiPriority w:val="39"/>
    <w:pPr>
      <w:tabs>
        <w:tab w:val="right" w:leader="dot" w:pos="8296"/>
      </w:tabs>
      <w:ind w:left="420" w:leftChars="200"/>
    </w:pPr>
  </w:style>
  <w:style w:type="paragraph" w:styleId="28">
    <w:name w:val="Normal (Web)"/>
    <w:basedOn w:val="1"/>
    <w:unhideWhenUsed/>
    <w:qFormat/>
    <w:uiPriority w:val="99"/>
    <w:rPr>
      <w:rFonts w:ascii="Calibri" w:hAnsi="Calibri"/>
      <w:kern w:val="0"/>
      <w:sz w:val="24"/>
    </w:rPr>
  </w:style>
  <w:style w:type="paragraph" w:styleId="29">
    <w:name w:val="Title"/>
    <w:basedOn w:val="1"/>
    <w:next w:val="1"/>
    <w:qFormat/>
    <w:uiPriority w:val="10"/>
    <w:pPr>
      <w:spacing w:before="240" w:after="60"/>
      <w:jc w:val="center"/>
      <w:outlineLvl w:val="0"/>
    </w:pPr>
    <w:rPr>
      <w:rFonts w:ascii="Cambria" w:hAnsi="Cambria" w:cs="Times New Roman"/>
      <w:b/>
      <w:bCs/>
      <w:sz w:val="32"/>
      <w:szCs w:val="32"/>
    </w:rPr>
  </w:style>
  <w:style w:type="paragraph" w:styleId="30">
    <w:name w:val="annotation subject"/>
    <w:basedOn w:val="12"/>
    <w:next w:val="12"/>
    <w:link w:val="52"/>
    <w:qFormat/>
    <w:uiPriority w:val="99"/>
    <w:rPr>
      <w:b/>
      <w:bCs/>
    </w:rPr>
  </w:style>
  <w:style w:type="table" w:styleId="32">
    <w:name w:val="Table Grid"/>
    <w:basedOn w:val="31"/>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4">
    <w:name w:val="endnote reference"/>
    <w:unhideWhenUsed/>
    <w:qFormat/>
    <w:uiPriority w:val="99"/>
    <w:rPr>
      <w:vertAlign w:val="superscript"/>
    </w:rPr>
  </w:style>
  <w:style w:type="character" w:styleId="35">
    <w:name w:val="page number"/>
    <w:qFormat/>
    <w:uiPriority w:val="0"/>
  </w:style>
  <w:style w:type="character" w:styleId="36">
    <w:name w:val="FollowedHyperlink"/>
    <w:unhideWhenUsed/>
    <w:qFormat/>
    <w:uiPriority w:val="99"/>
    <w:rPr>
      <w:color w:val="800080"/>
      <w:u w:val="single"/>
    </w:rPr>
  </w:style>
  <w:style w:type="character" w:styleId="37">
    <w:name w:val="Hyperlink"/>
    <w:unhideWhenUsed/>
    <w:qFormat/>
    <w:uiPriority w:val="99"/>
    <w:rPr>
      <w:color w:val="0000FF"/>
      <w:u w:val="single"/>
    </w:rPr>
  </w:style>
  <w:style w:type="character" w:styleId="38">
    <w:name w:val="annotation reference"/>
    <w:qFormat/>
    <w:uiPriority w:val="99"/>
    <w:rPr>
      <w:sz w:val="21"/>
      <w:szCs w:val="21"/>
    </w:rPr>
  </w:style>
  <w:style w:type="character" w:customStyle="1" w:styleId="39">
    <w:name w:val="标题 1 Char"/>
    <w:link w:val="3"/>
    <w:qFormat/>
    <w:uiPriority w:val="9"/>
    <w:rPr>
      <w:b/>
      <w:bCs/>
      <w:kern w:val="44"/>
      <w:sz w:val="44"/>
      <w:szCs w:val="44"/>
    </w:rPr>
  </w:style>
  <w:style w:type="character" w:customStyle="1" w:styleId="40">
    <w:name w:val="标题 2 Char1"/>
    <w:link w:val="4"/>
    <w:qFormat/>
    <w:uiPriority w:val="9"/>
    <w:rPr>
      <w:rFonts w:ascii="Cambria" w:hAnsi="Cambria" w:eastAsia="宋体" w:cs="Times New Roman"/>
      <w:b/>
      <w:bCs/>
      <w:kern w:val="2"/>
      <w:sz w:val="32"/>
      <w:szCs w:val="32"/>
    </w:rPr>
  </w:style>
  <w:style w:type="character" w:customStyle="1" w:styleId="41">
    <w:name w:val="标题 3 Char"/>
    <w:link w:val="5"/>
    <w:semiHidden/>
    <w:qFormat/>
    <w:uiPriority w:val="9"/>
    <w:rPr>
      <w:b/>
      <w:bCs/>
      <w:kern w:val="2"/>
      <w:sz w:val="32"/>
      <w:szCs w:val="32"/>
    </w:rPr>
  </w:style>
  <w:style w:type="character" w:customStyle="1" w:styleId="42">
    <w:name w:val="标题 5 Char"/>
    <w:link w:val="7"/>
    <w:qFormat/>
    <w:uiPriority w:val="9"/>
    <w:rPr>
      <w:rFonts w:ascii="Times New Roman" w:hAnsi="Times New Roman"/>
      <w:b/>
      <w:bCs/>
      <w:kern w:val="2"/>
      <w:sz w:val="28"/>
      <w:szCs w:val="28"/>
    </w:rPr>
  </w:style>
  <w:style w:type="character" w:customStyle="1" w:styleId="43">
    <w:name w:val="标题 8 Char1"/>
    <w:link w:val="9"/>
    <w:semiHidden/>
    <w:qFormat/>
    <w:uiPriority w:val="9"/>
    <w:rPr>
      <w:rFonts w:ascii="等线 Light" w:hAnsi="等线 Light" w:eastAsia="等线 Light" w:cs="Times New Roman"/>
      <w:kern w:val="2"/>
      <w:sz w:val="24"/>
      <w:szCs w:val="24"/>
    </w:rPr>
  </w:style>
  <w:style w:type="character" w:customStyle="1" w:styleId="44">
    <w:name w:val="批注文字 Char1"/>
    <w:link w:val="12"/>
    <w:qFormat/>
    <w:uiPriority w:val="0"/>
    <w:rPr>
      <w:rFonts w:ascii="Times New Roman" w:hAnsi="Times New Roman"/>
      <w:kern w:val="2"/>
      <w:sz w:val="21"/>
      <w:szCs w:val="24"/>
    </w:rPr>
  </w:style>
  <w:style w:type="character" w:customStyle="1" w:styleId="45">
    <w:name w:val="正文文本 3 Char"/>
    <w:link w:val="13"/>
    <w:semiHidden/>
    <w:qFormat/>
    <w:uiPriority w:val="99"/>
    <w:rPr>
      <w:kern w:val="2"/>
      <w:sz w:val="16"/>
      <w:szCs w:val="16"/>
    </w:rPr>
  </w:style>
  <w:style w:type="character" w:customStyle="1" w:styleId="46">
    <w:name w:val="正文文本 Char1"/>
    <w:link w:val="14"/>
    <w:qFormat/>
    <w:uiPriority w:val="0"/>
    <w:rPr>
      <w:rFonts w:ascii="Times New Roman" w:hAnsi="Times New Roman"/>
      <w:kern w:val="2"/>
      <w:sz w:val="21"/>
      <w:szCs w:val="24"/>
    </w:rPr>
  </w:style>
  <w:style w:type="character" w:customStyle="1" w:styleId="47">
    <w:name w:val="正文文本缩进 Char"/>
    <w:link w:val="16"/>
    <w:qFormat/>
    <w:uiPriority w:val="0"/>
    <w:rPr>
      <w:rFonts w:ascii="仿宋_GB2312" w:hAnsi="Times New Roman" w:eastAsia="仿宋_GB2312" w:cs="Times New Roman"/>
      <w:sz w:val="32"/>
      <w:szCs w:val="20"/>
    </w:rPr>
  </w:style>
  <w:style w:type="character" w:customStyle="1" w:styleId="48">
    <w:name w:val="纯文本 Char1"/>
    <w:link w:val="21"/>
    <w:qFormat/>
    <w:uiPriority w:val="0"/>
    <w:rPr>
      <w:rFonts w:ascii="宋体" w:hAnsi="Courier New" w:eastAsia="宋体" w:cs="Courier New"/>
      <w:szCs w:val="21"/>
    </w:rPr>
  </w:style>
  <w:style w:type="character" w:customStyle="1" w:styleId="49">
    <w:name w:val="日期 Char"/>
    <w:link w:val="22"/>
    <w:qFormat/>
    <w:uiPriority w:val="99"/>
    <w:rPr>
      <w:rFonts w:ascii="Times New Roman" w:hAnsi="Times New Roman"/>
      <w:kern w:val="2"/>
      <w:sz w:val="21"/>
      <w:szCs w:val="24"/>
    </w:rPr>
  </w:style>
  <w:style w:type="character" w:customStyle="1" w:styleId="50">
    <w:name w:val="页脚 Char"/>
    <w:link w:val="2"/>
    <w:qFormat/>
    <w:uiPriority w:val="99"/>
    <w:rPr>
      <w:sz w:val="18"/>
      <w:szCs w:val="18"/>
    </w:rPr>
  </w:style>
  <w:style w:type="character" w:customStyle="1" w:styleId="51">
    <w:name w:val="页眉 Char"/>
    <w:link w:val="24"/>
    <w:qFormat/>
    <w:uiPriority w:val="99"/>
    <w:rPr>
      <w:sz w:val="18"/>
      <w:szCs w:val="18"/>
    </w:rPr>
  </w:style>
  <w:style w:type="character" w:customStyle="1" w:styleId="52">
    <w:name w:val="批注主题 Char"/>
    <w:link w:val="30"/>
    <w:qFormat/>
    <w:uiPriority w:val="99"/>
    <w:rPr>
      <w:rFonts w:ascii="Times New Roman" w:hAnsi="Times New Roman"/>
      <w:b/>
      <w:bCs/>
      <w:kern w:val="2"/>
      <w:sz w:val="21"/>
      <w:szCs w:val="24"/>
    </w:rPr>
  </w:style>
  <w:style w:type="character" w:customStyle="1" w:styleId="53">
    <w:name w:val="textcontents"/>
    <w:qFormat/>
    <w:uiPriority w:val="0"/>
  </w:style>
  <w:style w:type="character" w:customStyle="1" w:styleId="54">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55">
    <w:name w:val="批注文字 Char"/>
    <w:qFormat/>
    <w:uiPriority w:val="0"/>
    <w:rPr>
      <w:rFonts w:ascii="Times New Roman" w:hAnsi="Times New Roman"/>
      <w:kern w:val="2"/>
      <w:sz w:val="21"/>
      <w:szCs w:val="24"/>
    </w:rPr>
  </w:style>
  <w:style w:type="character" w:customStyle="1" w:styleId="56">
    <w:name w:val="纯文本 字符2"/>
    <w:qFormat/>
    <w:uiPriority w:val="0"/>
    <w:rPr>
      <w:rFonts w:ascii="宋体" w:hAnsi="Courier New" w:eastAsia="宋体" w:cs="Courier New"/>
      <w:szCs w:val="21"/>
    </w:rPr>
  </w:style>
  <w:style w:type="character" w:customStyle="1" w:styleId="57">
    <w:name w:val="标题 1 字符1"/>
    <w:qFormat/>
    <w:uiPriority w:val="0"/>
    <w:rPr>
      <w:b/>
      <w:bCs/>
      <w:kern w:val="44"/>
      <w:sz w:val="44"/>
      <w:szCs w:val="44"/>
    </w:rPr>
  </w:style>
  <w:style w:type="character" w:customStyle="1" w:styleId="58">
    <w:name w:val="apple-style-span"/>
    <w:qFormat/>
    <w:uiPriority w:val="0"/>
  </w:style>
  <w:style w:type="character" w:customStyle="1" w:styleId="59">
    <w:name w:val="批注文字 字符1"/>
    <w:qFormat/>
    <w:uiPriority w:val="0"/>
    <w:rPr>
      <w:rFonts w:ascii="Times New Roman" w:hAnsi="Times New Roman"/>
      <w:kern w:val="2"/>
      <w:sz w:val="21"/>
      <w:szCs w:val="24"/>
    </w:rPr>
  </w:style>
  <w:style w:type="character" w:customStyle="1" w:styleId="60">
    <w:name w:val="正文2 Char Char"/>
    <w:link w:val="61"/>
    <w:qFormat/>
    <w:uiPriority w:val="0"/>
    <w:rPr>
      <w:sz w:val="24"/>
    </w:rPr>
  </w:style>
  <w:style w:type="paragraph" w:customStyle="1" w:styleId="61">
    <w:name w:val="正文2"/>
    <w:basedOn w:val="1"/>
    <w:link w:val="60"/>
    <w:qFormat/>
    <w:uiPriority w:val="0"/>
    <w:pPr>
      <w:adjustRightInd w:val="0"/>
      <w:spacing w:before="156" w:line="360" w:lineRule="auto"/>
      <w:ind w:firstLine="510" w:firstLineChars="200"/>
    </w:pPr>
    <w:rPr>
      <w:kern w:val="0"/>
      <w:sz w:val="24"/>
      <w:szCs w:val="20"/>
    </w:rPr>
  </w:style>
  <w:style w:type="character" w:customStyle="1" w:styleId="62">
    <w:name w:val="font31"/>
    <w:qFormat/>
    <w:uiPriority w:val="0"/>
    <w:rPr>
      <w:rFonts w:hint="eastAsia" w:ascii="宋体" w:hAnsi="宋体" w:eastAsia="宋体" w:cs="宋体"/>
      <w:color w:val="000000"/>
      <w:sz w:val="21"/>
      <w:szCs w:val="21"/>
      <w:u w:val="none"/>
    </w:rPr>
  </w:style>
  <w:style w:type="character" w:customStyle="1" w:styleId="63">
    <w:name w:val="标题 8 Char"/>
    <w:qFormat/>
    <w:uiPriority w:val="0"/>
    <w:rPr>
      <w:rFonts w:ascii="Arial" w:hAnsi="Arial" w:eastAsia="黑体"/>
      <w:kern w:val="2"/>
      <w:sz w:val="24"/>
      <w:szCs w:val="24"/>
    </w:rPr>
  </w:style>
  <w:style w:type="character" w:customStyle="1" w:styleId="64">
    <w:name w:val="批注文字 字符"/>
    <w:qFormat/>
    <w:uiPriority w:val="0"/>
    <w:rPr>
      <w:rFonts w:ascii="Times New Roman" w:hAnsi="Times New Roman"/>
      <w:kern w:val="2"/>
      <w:sz w:val="21"/>
      <w:szCs w:val="24"/>
    </w:rPr>
  </w:style>
  <w:style w:type="character" w:customStyle="1" w:styleId="65">
    <w:name w:val="纯文本 字符"/>
    <w:qFormat/>
    <w:uiPriority w:val="0"/>
    <w:rPr>
      <w:rFonts w:ascii="宋体" w:hAnsi="Courier New" w:eastAsia="宋体" w:cs="Courier New"/>
      <w:szCs w:val="21"/>
    </w:rPr>
  </w:style>
  <w:style w:type="character" w:customStyle="1" w:styleId="66">
    <w:name w:val="纯文本 Char"/>
    <w:qFormat/>
    <w:uiPriority w:val="0"/>
    <w:rPr>
      <w:rFonts w:ascii="宋体" w:hAnsi="Courier New" w:eastAsia="宋体" w:cs="Courier New"/>
      <w:szCs w:val="21"/>
    </w:rPr>
  </w:style>
  <w:style w:type="character" w:customStyle="1" w:styleId="67">
    <w:name w:val="标题 2 Char"/>
    <w:qFormat/>
    <w:uiPriority w:val="9"/>
    <w:rPr>
      <w:rFonts w:ascii="Cambria" w:hAnsi="Cambria" w:eastAsia="宋体" w:cs="Times New Roman"/>
      <w:b/>
      <w:bCs/>
      <w:kern w:val="2"/>
      <w:sz w:val="32"/>
      <w:szCs w:val="32"/>
    </w:rPr>
  </w:style>
  <w:style w:type="character" w:customStyle="1" w:styleId="68">
    <w:name w:val="纯文本 字符1"/>
    <w:qFormat/>
    <w:uiPriority w:val="0"/>
    <w:rPr>
      <w:rFonts w:ascii="宋体" w:hAnsi="Courier New"/>
    </w:rPr>
  </w:style>
  <w:style w:type="character" w:customStyle="1" w:styleId="69">
    <w:name w:val="正文文本 字符"/>
    <w:qFormat/>
    <w:uiPriority w:val="0"/>
    <w:rPr>
      <w:rFonts w:ascii="Times New Roman" w:hAnsi="Times New Roman"/>
      <w:kern w:val="2"/>
      <w:sz w:val="21"/>
      <w:szCs w:val="24"/>
    </w:rPr>
  </w:style>
  <w:style w:type="character" w:customStyle="1" w:styleId="70">
    <w:name w:val="正文文本 Char"/>
    <w:qFormat/>
    <w:uiPriority w:val="0"/>
    <w:rPr>
      <w:rFonts w:ascii="Times New Roman" w:hAnsi="Times New Roman"/>
      <w:kern w:val="2"/>
      <w:sz w:val="21"/>
      <w:szCs w:val="24"/>
    </w:rPr>
  </w:style>
  <w:style w:type="character" w:customStyle="1" w:styleId="71">
    <w:name w:val="_Style 69"/>
    <w:unhideWhenUsed/>
    <w:qFormat/>
    <w:uiPriority w:val="99"/>
    <w:rPr>
      <w:color w:val="605E5C"/>
      <w:shd w:val="clear" w:color="auto" w:fill="E1DFDD"/>
    </w:rPr>
  </w:style>
  <w:style w:type="paragraph" w:customStyle="1" w:styleId="72">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73">
    <w:name w:val="正文-2字符首行缩进"/>
    <w:basedOn w:val="1"/>
    <w:qFormat/>
    <w:uiPriority w:val="0"/>
    <w:pPr>
      <w:spacing w:line="360" w:lineRule="auto"/>
      <w:ind w:firstLine="200" w:firstLineChars="200"/>
    </w:pPr>
    <w:rPr>
      <w:rFonts w:ascii="仿宋_GB2312" w:hAnsi="宋体" w:eastAsia="仿宋_GB2312"/>
      <w:sz w:val="28"/>
      <w:szCs w:val="22"/>
    </w:rPr>
  </w:style>
  <w:style w:type="paragraph" w:customStyle="1" w:styleId="74">
    <w:name w:val="默认段落字体 Para Char Char Char Char Char Char Char Char Char1 Char Char Char Char"/>
    <w:basedOn w:val="1"/>
    <w:qFormat/>
    <w:uiPriority w:val="0"/>
    <w:rPr>
      <w:rFonts w:ascii="Tahoma" w:hAnsi="Tahoma"/>
      <w:sz w:val="24"/>
      <w:szCs w:val="20"/>
    </w:rPr>
  </w:style>
  <w:style w:type="paragraph" w:customStyle="1" w:styleId="75">
    <w:name w:val="列出段落2"/>
    <w:basedOn w:val="1"/>
    <w:unhideWhenUsed/>
    <w:qFormat/>
    <w:uiPriority w:val="99"/>
    <w:pPr>
      <w:spacing w:line="360" w:lineRule="auto"/>
      <w:ind w:firstLine="420" w:firstLineChars="200"/>
    </w:pPr>
    <w:rPr>
      <w:rFonts w:ascii="Calibri" w:hAnsi="Calibri" w:eastAsia="仿宋"/>
      <w:sz w:val="28"/>
      <w:szCs w:val="22"/>
    </w:rPr>
  </w:style>
  <w:style w:type="paragraph" w:customStyle="1" w:styleId="76">
    <w:name w:val="正文缩进1"/>
    <w:basedOn w:val="1"/>
    <w:next w:val="16"/>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77">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78">
    <w:name w:val="Table Paragraph"/>
    <w:basedOn w:val="1"/>
    <w:qFormat/>
    <w:uiPriority w:val="1"/>
    <w:pPr>
      <w:jc w:val="left"/>
    </w:pPr>
    <w:rPr>
      <w:rFonts w:ascii="Calibri" w:hAnsi="Calibri"/>
      <w:kern w:val="0"/>
      <w:sz w:val="22"/>
      <w:szCs w:val="22"/>
      <w:lang w:eastAsia="en-US"/>
    </w:rPr>
  </w:style>
  <w:style w:type="paragraph" w:customStyle="1" w:styleId="79">
    <w:name w:val="p0"/>
    <w:basedOn w:val="1"/>
    <w:qFormat/>
    <w:uiPriority w:val="0"/>
    <w:pPr>
      <w:widowControl/>
    </w:pPr>
    <w:rPr>
      <w:kern w:val="0"/>
      <w:szCs w:val="21"/>
    </w:rPr>
  </w:style>
  <w:style w:type="paragraph" w:customStyle="1" w:styleId="80">
    <w:name w:val="_Style 78"/>
    <w:basedOn w:val="3"/>
    <w:next w:val="1"/>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paragraph" w:customStyle="1" w:styleId="81">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styleId="82">
    <w:name w:val="List Paragraph"/>
    <w:basedOn w:val="1"/>
    <w:qFormat/>
    <w:uiPriority w:val="34"/>
    <w:pPr>
      <w:ind w:firstLine="420" w:firstLineChars="200"/>
    </w:pPr>
  </w:style>
  <w:style w:type="paragraph" w:customStyle="1" w:styleId="83">
    <w:name w:val="Char Char Char Char"/>
    <w:basedOn w:val="1"/>
    <w:qFormat/>
    <w:uiPriority w:val="0"/>
    <w:pPr>
      <w:widowControl/>
      <w:spacing w:after="160" w:line="240" w:lineRule="exact"/>
      <w:jc w:val="left"/>
    </w:pPr>
  </w:style>
  <w:style w:type="paragraph" w:customStyle="1" w:styleId="84">
    <w:name w:val="Table Text"/>
    <w:semiHidden/>
    <w:qFormat/>
    <w:uiPriority w:val="0"/>
    <w:pPr>
      <w:kinsoku w:val="0"/>
      <w:autoSpaceDE w:val="0"/>
      <w:autoSpaceDN w:val="0"/>
      <w:adjustRightInd w:val="0"/>
      <w:snapToGrid w:val="0"/>
      <w:textAlignment w:val="baseline"/>
    </w:pPr>
    <w:rPr>
      <w:rFonts w:ascii="宋体" w:hAnsi="宋体" w:eastAsia="宋体" w:cs="宋体"/>
      <w:snapToGrid w:val="0"/>
      <w:color w:val="000000"/>
      <w:lang w:val="en-US" w:eastAsia="en-US" w:bidi="ar-SA"/>
    </w:rPr>
  </w:style>
  <w:style w:type="table" w:customStyle="1" w:styleId="85">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86">
    <w:name w:val="*正文"/>
    <w:qFormat/>
    <w:uiPriority w:val="0"/>
    <w:pPr>
      <w:widowControl w:val="0"/>
      <w:spacing w:line="360" w:lineRule="auto"/>
      <w:ind w:firstLine="200" w:firstLineChars="200"/>
      <w:jc w:val="both"/>
    </w:pPr>
    <w:rPr>
      <w:rFonts w:ascii="宋体" w:hAnsi="宋体" w:eastAsia="宋体" w:cs="Times New Roman"/>
      <w:kern w:val="2"/>
      <w:sz w:val="28"/>
      <w:szCs w:val="22"/>
      <w:lang w:val="zh-CN" w:eastAsia="zh-CN" w:bidi="ar-SA"/>
    </w:rPr>
  </w:style>
  <w:style w:type="paragraph" w:customStyle="1" w:styleId="87">
    <w:name w:val="表格"/>
    <w:qFormat/>
    <w:uiPriority w:val="0"/>
    <w:pPr>
      <w:widowControl w:val="0"/>
      <w:spacing w:line="400" w:lineRule="exact"/>
      <w:jc w:val="both"/>
    </w:pPr>
    <w:rPr>
      <w:rFonts w:ascii="Times New Roman" w:hAnsi="Times New Roman" w:eastAsia="宋体" w:cs="Times New Roman"/>
      <w:kern w:val="2"/>
      <w:sz w:val="24"/>
      <w:szCs w:val="24"/>
      <w:lang w:val="en-US" w:eastAsia="zh-CN" w:bidi="ar-SA"/>
    </w:rPr>
  </w:style>
  <w:style w:type="character" w:customStyle="1" w:styleId="88">
    <w:name w:val="font21"/>
    <w:qFormat/>
    <w:uiPriority w:val="0"/>
    <w:rPr>
      <w:rFonts w:ascii="黑体" w:hAnsi="宋体" w:eastAsia="黑体" w:cs="黑体"/>
      <w:color w:val="000000"/>
      <w:sz w:val="20"/>
      <w:szCs w:val="20"/>
      <w:u w:val="none"/>
    </w:rPr>
  </w:style>
  <w:style w:type="character" w:customStyle="1" w:styleId="89">
    <w:name w:val="font41"/>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广西云龙招标有限公司</Company>
  <Pages>92</Pages>
  <Words>3679</Words>
  <Characters>4295</Characters>
  <Lines>490</Lines>
  <Paragraphs>138</Paragraphs>
  <TotalTime>0</TotalTime>
  <ScaleCrop>false</ScaleCrop>
  <LinksUpToDate>false</LinksUpToDate>
  <CharactersWithSpaces>4346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2025-09-29T02:30:00Z</dcterms:created>
  <dc:creator>唐冰</dc:creator>
  <cp:lastModifiedBy>KL</cp:lastModifiedBy>
  <cp:lastPrinted>2025-09-30T07:23:00Z</cp:lastPrinted>
  <dcterms:modified xsi:type="dcterms:W3CDTF">2025-10-28T09:33:19Z</dcterms:modified>
  <dc:title>竞争性谈判文件规范</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D55314DB601E48AA8304E4C01F357ED0_13</vt:lpwstr>
  </property>
  <property fmtid="{D5CDD505-2E9C-101B-9397-08002B2CF9AE}" pid="4" name="KSOTemplateDocerSaveRecord">
    <vt:lpwstr>eyJoZGlkIjoiODkyZTgyNWQ2OGRjOTRhYTYxYjU0NTBkODZkNmUxYmEiLCJ1c2VySWQiOiIxNTkyNzIwOTYwIn0=</vt:lpwstr>
  </property>
</Properties>
</file>