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1E0E4B">
      <w:pPr>
        <w:spacing w:line="720" w:lineRule="auto"/>
        <w:jc w:val="center"/>
        <w:rPr>
          <w:rFonts w:ascii="宋体" w:hAnsi="宋体" w:eastAsia="宋体"/>
          <w:color w:val="000000" w:themeColor="text1"/>
          <w:sz w:val="52"/>
          <w:szCs w:val="52"/>
          <w14:textFill>
            <w14:solidFill>
              <w14:schemeClr w14:val="tx1"/>
            </w14:solidFill>
          </w14:textFill>
        </w:rPr>
      </w:pPr>
      <w:r>
        <w:rPr>
          <w:rFonts w:hint="eastAsia" w:ascii="宋体" w:hAnsi="宋体" w:eastAsia="宋体"/>
          <w:color w:val="000000" w:themeColor="text1"/>
          <w:sz w:val="52"/>
          <w:szCs w:val="52"/>
          <w14:textFill>
            <w14:solidFill>
              <w14:schemeClr w14:val="tx1"/>
            </w14:solidFill>
          </w14:textFill>
        </w:rPr>
        <w:t>南宁市政府采购</w:t>
      </w:r>
    </w:p>
    <w:p w14:paraId="5B17249E">
      <w:pPr>
        <w:spacing w:line="720" w:lineRule="auto"/>
        <w:jc w:val="center"/>
        <w:rPr>
          <w:rFonts w:ascii="宋体" w:hAnsi="宋体" w:eastAsia="宋体"/>
          <w:color w:val="000000" w:themeColor="text1"/>
          <w:sz w:val="52"/>
          <w:szCs w:val="52"/>
          <w14:textFill>
            <w14:solidFill>
              <w14:schemeClr w14:val="tx1"/>
            </w14:solidFill>
          </w14:textFill>
        </w:rPr>
      </w:pPr>
      <w:r>
        <w:rPr>
          <w:rFonts w:hint="eastAsia" w:ascii="宋体" w:hAnsi="宋体" w:eastAsia="宋体"/>
          <w:color w:val="000000" w:themeColor="text1"/>
          <w:sz w:val="52"/>
          <w:szCs w:val="52"/>
          <w14:textFill>
            <w14:solidFill>
              <w14:schemeClr w14:val="tx1"/>
            </w14:solidFill>
          </w14:textFill>
        </w:rPr>
        <w:t>公开招标文件（货物类）</w:t>
      </w:r>
    </w:p>
    <w:p w14:paraId="21E4A548">
      <w:pPr>
        <w:spacing w:line="720" w:lineRule="auto"/>
        <w:jc w:val="center"/>
        <w:rPr>
          <w:rFonts w:ascii="宋体" w:hAnsi="宋体" w:eastAsia="宋体"/>
          <w:color w:val="000000" w:themeColor="text1"/>
          <w:sz w:val="52"/>
          <w:szCs w:val="52"/>
          <w14:textFill>
            <w14:solidFill>
              <w14:schemeClr w14:val="tx1"/>
            </w14:solidFill>
          </w14:textFill>
        </w:rPr>
      </w:pPr>
    </w:p>
    <w:p w14:paraId="5BA57380">
      <w:pPr>
        <w:spacing w:line="720" w:lineRule="auto"/>
        <w:jc w:val="center"/>
        <w:rPr>
          <w:rFonts w:ascii="华文新魏" w:hAnsi="宋体" w:eastAsia="华文新魏"/>
          <w:color w:val="000000" w:themeColor="text1"/>
          <w:sz w:val="72"/>
          <w:szCs w:val="72"/>
          <w14:textFill>
            <w14:solidFill>
              <w14:schemeClr w14:val="tx1"/>
            </w14:solidFill>
          </w14:textFill>
        </w:rPr>
      </w:pPr>
      <w:r>
        <w:rPr>
          <w:rFonts w:hint="eastAsia" w:ascii="华文新魏" w:hAnsi="宋体" w:eastAsia="华文新魏"/>
          <w:color w:val="000000" w:themeColor="text1"/>
          <w:sz w:val="72"/>
          <w:szCs w:val="72"/>
          <w14:textFill>
            <w14:solidFill>
              <w14:schemeClr w14:val="tx1"/>
            </w14:solidFill>
          </w14:textFill>
        </w:rPr>
        <w:t>招 标 文 件</w:t>
      </w:r>
    </w:p>
    <w:p w14:paraId="754CE61D">
      <w:pPr>
        <w:spacing w:line="720" w:lineRule="auto"/>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（全流程电子化评标）</w:t>
      </w:r>
    </w:p>
    <w:p w14:paraId="2224E6F7">
      <w:pPr>
        <w:spacing w:line="720" w:lineRule="auto"/>
        <w:ind w:firstLine="600" w:firstLineChars="200"/>
        <w:rPr>
          <w:rFonts w:ascii="仿宋" w:hAnsi="仿宋" w:eastAsia="仿宋"/>
          <w:color w:val="000000" w:themeColor="text1"/>
          <w:sz w:val="30"/>
          <w:szCs w:val="30"/>
          <w14:textFill>
            <w14:solidFill>
              <w14:schemeClr w14:val="tx1"/>
            </w14:solidFill>
          </w14:textFill>
        </w:rPr>
      </w:pPr>
    </w:p>
    <w:p w14:paraId="7CBD5217">
      <w:pPr>
        <w:spacing w:line="720" w:lineRule="auto"/>
        <w:ind w:firstLine="602" w:firstLineChars="200"/>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项目名称：采购智勘取证终端等一批设备</w:t>
      </w:r>
    </w:p>
    <w:p w14:paraId="456229D5">
      <w:pPr>
        <w:spacing w:line="720" w:lineRule="auto"/>
        <w:ind w:firstLine="602" w:firstLineChars="200"/>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项目编号：</w:t>
      </w:r>
      <w:r>
        <w:rPr>
          <w:rFonts w:ascii="仿宋" w:hAnsi="仿宋" w:eastAsia="仿宋"/>
          <w:b/>
          <w:color w:val="000000" w:themeColor="text1"/>
          <w:sz w:val="30"/>
          <w:szCs w:val="30"/>
          <w14:textFill>
            <w14:solidFill>
              <w14:schemeClr w14:val="tx1"/>
            </w14:solidFill>
          </w14:textFill>
        </w:rPr>
        <w:t>NNZC2025-G1-990314-KWZB</w:t>
      </w:r>
    </w:p>
    <w:p w14:paraId="61EBA040">
      <w:pPr>
        <w:spacing w:line="720" w:lineRule="auto"/>
        <w:ind w:firstLine="602" w:firstLineChars="200"/>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采购计划编号：NNZC[2025]1946号</w:t>
      </w:r>
    </w:p>
    <w:p w14:paraId="276FA938">
      <w:pPr>
        <w:spacing w:line="720" w:lineRule="auto"/>
        <w:ind w:firstLine="602" w:firstLineChars="200"/>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所属行政区划：南宁市本级项目</w:t>
      </w:r>
    </w:p>
    <w:p w14:paraId="01BB8763">
      <w:pPr>
        <w:spacing w:line="720" w:lineRule="auto"/>
        <w:ind w:firstLine="602" w:firstLineChars="200"/>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采购人：南宁市公安局刑事侦查支队</w:t>
      </w:r>
    </w:p>
    <w:p w14:paraId="1245A3BB">
      <w:pPr>
        <w:spacing w:line="720" w:lineRule="auto"/>
        <w:ind w:firstLine="602" w:firstLineChars="200"/>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采购代理机构：广西科文招标有限公司</w:t>
      </w:r>
    </w:p>
    <w:p w14:paraId="14A6EA58">
      <w:pPr>
        <w:spacing w:line="72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2025年</w:t>
      </w:r>
      <w:r>
        <w:rPr>
          <w:rFonts w:ascii="仿宋" w:hAnsi="仿宋" w:eastAsia="仿宋"/>
          <w:b/>
          <w:color w:val="000000" w:themeColor="text1"/>
          <w:sz w:val="30"/>
          <w:szCs w:val="30"/>
          <w14:textFill>
            <w14:solidFill>
              <w14:schemeClr w14:val="tx1"/>
            </w14:solidFill>
          </w14:textFill>
        </w:rPr>
        <w:t>6</w:t>
      </w:r>
      <w:r>
        <w:rPr>
          <w:rFonts w:hint="eastAsia" w:ascii="仿宋" w:hAnsi="仿宋" w:eastAsia="仿宋"/>
          <w:b/>
          <w:color w:val="000000" w:themeColor="text1"/>
          <w:sz w:val="30"/>
          <w:szCs w:val="30"/>
          <w14:textFill>
            <w14:solidFill>
              <w14:schemeClr w14:val="tx1"/>
            </w14:solidFill>
          </w14:textFill>
        </w:rPr>
        <w:t>月</w:t>
      </w:r>
      <w:r>
        <w:rPr>
          <w:rFonts w:ascii="仿宋" w:hAnsi="仿宋" w:eastAsia="仿宋"/>
          <w:b/>
          <w:color w:val="000000" w:themeColor="text1"/>
          <w:sz w:val="30"/>
          <w:szCs w:val="30"/>
          <w14:textFill>
            <w14:solidFill>
              <w14:schemeClr w14:val="tx1"/>
            </w14:solidFill>
          </w14:textFill>
        </w:rPr>
        <w:t>6</w:t>
      </w:r>
      <w:r>
        <w:rPr>
          <w:rFonts w:hint="eastAsia" w:ascii="仿宋" w:hAnsi="仿宋" w:eastAsia="仿宋"/>
          <w:b/>
          <w:color w:val="000000" w:themeColor="text1"/>
          <w:sz w:val="30"/>
          <w:szCs w:val="30"/>
          <w14:textFill>
            <w14:solidFill>
              <w14:schemeClr w14:val="tx1"/>
            </w14:solidFill>
          </w14:textFill>
        </w:rPr>
        <w:t>日</w:t>
      </w:r>
    </w:p>
    <w:p w14:paraId="6278FF4B">
      <w:pPr>
        <w:spacing w:line="720" w:lineRule="auto"/>
        <w:jc w:val="center"/>
        <w:rPr>
          <w:rFonts w:ascii="仿宋" w:hAnsi="仿宋" w:eastAsia="仿宋"/>
          <w:b/>
          <w:color w:val="000000" w:themeColor="text1"/>
          <w:sz w:val="30"/>
          <w:szCs w:val="30"/>
          <w14:textFill>
            <w14:solidFill>
              <w14:schemeClr w14:val="tx1"/>
            </w14:solidFill>
          </w14:textFill>
        </w:rPr>
        <w:sectPr>
          <w:headerReference r:id="rId3" w:type="default"/>
          <w:pgSz w:w="11906" w:h="16838"/>
          <w:pgMar w:top="1418" w:right="1418" w:bottom="1418" w:left="1418" w:header="851" w:footer="992" w:gutter="0"/>
          <w:cols w:space="425" w:num="1"/>
          <w:docGrid w:type="lines" w:linePitch="312" w:charSpace="0"/>
        </w:sectPr>
      </w:pPr>
    </w:p>
    <w:p w14:paraId="56E6CB78">
      <w:pPr>
        <w:spacing w:line="360" w:lineRule="auto"/>
        <w:jc w:val="center"/>
        <w:rPr>
          <w:rFonts w:ascii="Times New Roman" w:hAnsi="Times New Roman" w:eastAsia="宋体" w:cs="Times New Roman"/>
          <w:b/>
          <w:color w:val="000000" w:themeColor="text1"/>
          <w:sz w:val="48"/>
          <w:szCs w:val="48"/>
          <w14:textFill>
            <w14:solidFill>
              <w14:schemeClr w14:val="tx1"/>
            </w14:solidFill>
          </w14:textFill>
        </w:rPr>
      </w:pPr>
      <w:r>
        <w:rPr>
          <w:rFonts w:hint="eastAsia" w:ascii="Times New Roman" w:hAnsi="Times New Roman" w:eastAsia="宋体" w:cs="Times New Roman"/>
          <w:b/>
          <w:color w:val="000000" w:themeColor="text1"/>
          <w:sz w:val="48"/>
          <w:szCs w:val="48"/>
          <w14:textFill>
            <w14:solidFill>
              <w14:schemeClr w14:val="tx1"/>
            </w14:solidFill>
          </w14:textFill>
        </w:rPr>
        <w:t>目录</w:t>
      </w:r>
    </w:p>
    <w:p w14:paraId="6F1891A8">
      <w:pPr>
        <w:spacing w:line="360" w:lineRule="auto"/>
        <w:rPr>
          <w:rFonts w:ascii="宋体" w:hAnsi="宋体" w:eastAsia="宋体"/>
          <w:color w:val="000000" w:themeColor="text1"/>
          <w:szCs w:val="21"/>
          <w14:textFill>
            <w14:solidFill>
              <w14:schemeClr w14:val="tx1"/>
            </w14:solidFill>
          </w14:textFill>
        </w:rPr>
      </w:pPr>
    </w:p>
    <w:p w14:paraId="1C98DCC9">
      <w:pPr>
        <w:pStyle w:val="10"/>
        <w:tabs>
          <w:tab w:val="right" w:leader="dot" w:pos="9060"/>
        </w:tabs>
        <w:rPr>
          <w:color w:val="000000" w:themeColor="text1"/>
          <w14:textFill>
            <w14:solidFill>
              <w14:schemeClr w14:val="tx1"/>
            </w14:solidFill>
          </w14:textFill>
        </w:rPr>
      </w:pP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TOC \o "1-3" \u </w:instrText>
      </w:r>
      <w:r>
        <w:rPr>
          <w:rFonts w:ascii="宋体" w:hAnsi="宋体" w:eastAsia="宋体"/>
          <w:color w:val="000000" w:themeColor="text1"/>
          <w:szCs w:val="2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第一</w:t>
      </w:r>
      <w:r>
        <w:rPr>
          <w:rFonts w:hint="eastAsia" w:ascii="宋体" w:hAnsi="宋体" w:eastAsia="宋体"/>
          <w:color w:val="000000" w:themeColor="text1"/>
          <w:spacing w:val="120"/>
          <w14:textFill>
            <w14:solidFill>
              <w14:schemeClr w14:val="tx1"/>
            </w14:solidFill>
          </w14:textFill>
        </w:rPr>
        <w:t>章</w:t>
      </w:r>
      <w:r>
        <w:rPr>
          <w:rFonts w:hint="eastAsia" w:ascii="宋体" w:hAnsi="宋体" w:eastAsia="宋体"/>
          <w:color w:val="000000" w:themeColor="text1"/>
          <w14:textFill>
            <w14:solidFill>
              <w14:schemeClr w14:val="tx1"/>
            </w14:solidFill>
          </w14:textFill>
        </w:rPr>
        <w:t>招标公告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_Toc198316055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p>
    <w:p w14:paraId="2F5ABD26">
      <w:pPr>
        <w:pStyle w:val="10"/>
        <w:tabs>
          <w:tab w:val="right" w:leader="dot" w:pos="9060"/>
        </w:tabs>
        <w:rPr>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第二</w:t>
      </w:r>
      <w:r>
        <w:rPr>
          <w:rFonts w:hint="eastAsia" w:ascii="宋体" w:hAnsi="宋体" w:eastAsia="宋体"/>
          <w:color w:val="000000" w:themeColor="text1"/>
          <w:spacing w:val="120"/>
          <w14:textFill>
            <w14:solidFill>
              <w14:schemeClr w14:val="tx1"/>
            </w14:solidFill>
          </w14:textFill>
        </w:rPr>
        <w:t>章</w:t>
      </w:r>
      <w:r>
        <w:rPr>
          <w:rFonts w:hint="eastAsia" w:ascii="宋体" w:hAnsi="宋体" w:eastAsia="宋体"/>
          <w:color w:val="000000" w:themeColor="text1"/>
          <w14:textFill>
            <w14:solidFill>
              <w14:schemeClr w14:val="tx1"/>
            </w14:solidFill>
          </w14:textFill>
        </w:rPr>
        <w:t>采购需求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_Toc198316056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p>
    <w:p w14:paraId="47172223">
      <w:pPr>
        <w:pStyle w:val="10"/>
        <w:tabs>
          <w:tab w:val="right" w:leader="dot" w:pos="9060"/>
        </w:tabs>
        <w:rPr>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第三</w:t>
      </w:r>
      <w:r>
        <w:rPr>
          <w:rFonts w:hint="eastAsia" w:ascii="宋体" w:hAnsi="宋体" w:eastAsia="宋体"/>
          <w:color w:val="000000" w:themeColor="text1"/>
          <w:spacing w:val="120"/>
          <w14:textFill>
            <w14:solidFill>
              <w14:schemeClr w14:val="tx1"/>
            </w14:solidFill>
          </w14:textFill>
        </w:rPr>
        <w:t>章</w:t>
      </w:r>
      <w:r>
        <w:rPr>
          <w:rFonts w:hint="eastAsia" w:ascii="宋体" w:hAnsi="宋体" w:eastAsia="宋体"/>
          <w:color w:val="000000" w:themeColor="text1"/>
          <w14:textFill>
            <w14:solidFill>
              <w14:schemeClr w14:val="tx1"/>
            </w14:solidFill>
          </w14:textFill>
        </w:rPr>
        <w:t>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_Toc198316057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40</w:t>
      </w:r>
      <w:r>
        <w:rPr>
          <w:color w:val="000000" w:themeColor="text1"/>
          <w14:textFill>
            <w14:solidFill>
              <w14:schemeClr w14:val="tx1"/>
            </w14:solidFill>
          </w14:textFill>
        </w:rPr>
        <w:fldChar w:fldCharType="end"/>
      </w:r>
    </w:p>
    <w:p w14:paraId="5D856F8E">
      <w:pPr>
        <w:pStyle w:val="11"/>
        <w:tabs>
          <w:tab w:val="right" w:leader="dot" w:pos="9060"/>
        </w:tabs>
        <w:rPr>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第一</w:t>
      </w:r>
      <w:r>
        <w:rPr>
          <w:rFonts w:hint="eastAsia" w:ascii="宋体" w:hAnsi="宋体" w:eastAsia="宋体"/>
          <w:color w:val="000000" w:themeColor="text1"/>
          <w:spacing w:val="120"/>
          <w14:textFill>
            <w14:solidFill>
              <w14:schemeClr w14:val="tx1"/>
            </w14:solidFill>
          </w14:textFill>
        </w:rPr>
        <w:t>节</w:t>
      </w:r>
      <w:r>
        <w:rPr>
          <w:rFonts w:hint="eastAsia" w:ascii="宋体" w:hAnsi="宋体" w:eastAsia="宋体"/>
          <w:color w:val="000000" w:themeColor="text1"/>
          <w14:textFill>
            <w14:solidFill>
              <w14:schemeClr w14:val="tx1"/>
            </w14:solidFill>
          </w14:textFill>
        </w:rPr>
        <w:t>投标人须知前附表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_Toc198316058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40</w:t>
      </w:r>
      <w:r>
        <w:rPr>
          <w:color w:val="000000" w:themeColor="text1"/>
          <w14:textFill>
            <w14:solidFill>
              <w14:schemeClr w14:val="tx1"/>
            </w14:solidFill>
          </w14:textFill>
        </w:rPr>
        <w:fldChar w:fldCharType="end"/>
      </w:r>
    </w:p>
    <w:p w14:paraId="6315886E">
      <w:pPr>
        <w:pStyle w:val="11"/>
        <w:tabs>
          <w:tab w:val="right" w:leader="dot" w:pos="9060"/>
        </w:tabs>
        <w:rPr>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第二</w:t>
      </w:r>
      <w:r>
        <w:rPr>
          <w:rFonts w:hint="eastAsia" w:ascii="宋体" w:hAnsi="宋体" w:eastAsia="宋体"/>
          <w:color w:val="000000" w:themeColor="text1"/>
          <w:spacing w:val="120"/>
          <w14:textFill>
            <w14:solidFill>
              <w14:schemeClr w14:val="tx1"/>
            </w14:solidFill>
          </w14:textFill>
        </w:rPr>
        <w:t>节</w:t>
      </w:r>
      <w:r>
        <w:rPr>
          <w:rFonts w:hint="eastAsia" w:ascii="宋体" w:hAnsi="宋体" w:eastAsia="宋体"/>
          <w:color w:val="000000" w:themeColor="text1"/>
          <w14:textFill>
            <w14:solidFill>
              <w14:schemeClr w14:val="tx1"/>
            </w14:solidFill>
          </w14:textFill>
        </w:rPr>
        <w:t>投标人须知正文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_Toc198316059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48</w:t>
      </w:r>
      <w:r>
        <w:rPr>
          <w:color w:val="000000" w:themeColor="text1"/>
          <w14:textFill>
            <w14:solidFill>
              <w14:schemeClr w14:val="tx1"/>
            </w14:solidFill>
          </w14:textFill>
        </w:rPr>
        <w:fldChar w:fldCharType="end"/>
      </w:r>
    </w:p>
    <w:p w14:paraId="4C1FC8BD">
      <w:pPr>
        <w:pStyle w:val="6"/>
        <w:tabs>
          <w:tab w:val="right" w:leader="dot" w:pos="9060"/>
        </w:tabs>
        <w:rPr>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一、总则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_Toc198316060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48</w:t>
      </w:r>
      <w:r>
        <w:rPr>
          <w:color w:val="000000" w:themeColor="text1"/>
          <w14:textFill>
            <w14:solidFill>
              <w14:schemeClr w14:val="tx1"/>
            </w14:solidFill>
          </w14:textFill>
        </w:rPr>
        <w:fldChar w:fldCharType="end"/>
      </w:r>
    </w:p>
    <w:p w14:paraId="7A64E042">
      <w:pPr>
        <w:pStyle w:val="6"/>
        <w:tabs>
          <w:tab w:val="right" w:leader="dot" w:pos="9060"/>
        </w:tabs>
        <w:rPr>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二、招标文件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_Toc198316061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51</w:t>
      </w:r>
      <w:r>
        <w:rPr>
          <w:color w:val="000000" w:themeColor="text1"/>
          <w14:textFill>
            <w14:solidFill>
              <w14:schemeClr w14:val="tx1"/>
            </w14:solidFill>
          </w14:textFill>
        </w:rPr>
        <w:fldChar w:fldCharType="end"/>
      </w:r>
    </w:p>
    <w:p w14:paraId="0AFC4FDF">
      <w:pPr>
        <w:pStyle w:val="6"/>
        <w:tabs>
          <w:tab w:val="right" w:leader="dot" w:pos="9060"/>
        </w:tabs>
        <w:rPr>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三、投标文件的编制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_Toc198316062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51</w:t>
      </w:r>
      <w:r>
        <w:rPr>
          <w:color w:val="000000" w:themeColor="text1"/>
          <w14:textFill>
            <w14:solidFill>
              <w14:schemeClr w14:val="tx1"/>
            </w14:solidFill>
          </w14:textFill>
        </w:rPr>
        <w:fldChar w:fldCharType="end"/>
      </w:r>
    </w:p>
    <w:p w14:paraId="0C90D649">
      <w:pPr>
        <w:pStyle w:val="6"/>
        <w:tabs>
          <w:tab w:val="right" w:leader="dot" w:pos="9060"/>
        </w:tabs>
        <w:rPr>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四、开标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_Toc198316063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54</w:t>
      </w:r>
      <w:r>
        <w:rPr>
          <w:color w:val="000000" w:themeColor="text1"/>
          <w14:textFill>
            <w14:solidFill>
              <w14:schemeClr w14:val="tx1"/>
            </w14:solidFill>
          </w14:textFill>
        </w:rPr>
        <w:fldChar w:fldCharType="end"/>
      </w:r>
    </w:p>
    <w:p w14:paraId="2B7971CF">
      <w:pPr>
        <w:pStyle w:val="6"/>
        <w:tabs>
          <w:tab w:val="right" w:leader="dot" w:pos="9060"/>
        </w:tabs>
        <w:rPr>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五、资格审查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_Toc198316064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55</w:t>
      </w:r>
      <w:r>
        <w:rPr>
          <w:color w:val="000000" w:themeColor="text1"/>
          <w14:textFill>
            <w14:solidFill>
              <w14:schemeClr w14:val="tx1"/>
            </w14:solidFill>
          </w14:textFill>
        </w:rPr>
        <w:fldChar w:fldCharType="end"/>
      </w:r>
    </w:p>
    <w:p w14:paraId="6D0FCA05">
      <w:pPr>
        <w:pStyle w:val="6"/>
        <w:tabs>
          <w:tab w:val="right" w:leader="dot" w:pos="9060"/>
        </w:tabs>
        <w:rPr>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六、评标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_Toc198316065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56</w:t>
      </w:r>
      <w:r>
        <w:rPr>
          <w:color w:val="000000" w:themeColor="text1"/>
          <w14:textFill>
            <w14:solidFill>
              <w14:schemeClr w14:val="tx1"/>
            </w14:solidFill>
          </w14:textFill>
        </w:rPr>
        <w:fldChar w:fldCharType="end"/>
      </w:r>
    </w:p>
    <w:p w14:paraId="11C60806">
      <w:pPr>
        <w:pStyle w:val="6"/>
        <w:tabs>
          <w:tab w:val="right" w:leader="dot" w:pos="9060"/>
        </w:tabs>
        <w:rPr>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七、中标和合同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_Toc198316066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57</w:t>
      </w:r>
      <w:r>
        <w:rPr>
          <w:color w:val="000000" w:themeColor="text1"/>
          <w14:textFill>
            <w14:solidFill>
              <w14:schemeClr w14:val="tx1"/>
            </w14:solidFill>
          </w14:textFill>
        </w:rPr>
        <w:fldChar w:fldCharType="end"/>
      </w:r>
    </w:p>
    <w:p w14:paraId="752E785D">
      <w:pPr>
        <w:pStyle w:val="6"/>
        <w:tabs>
          <w:tab w:val="right" w:leader="dot" w:pos="9060"/>
        </w:tabs>
        <w:rPr>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八、验收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_Toc198316067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62</w:t>
      </w:r>
      <w:r>
        <w:rPr>
          <w:color w:val="000000" w:themeColor="text1"/>
          <w14:textFill>
            <w14:solidFill>
              <w14:schemeClr w14:val="tx1"/>
            </w14:solidFill>
          </w14:textFill>
        </w:rPr>
        <w:fldChar w:fldCharType="end"/>
      </w:r>
    </w:p>
    <w:p w14:paraId="12CC6BBE">
      <w:pPr>
        <w:pStyle w:val="6"/>
        <w:tabs>
          <w:tab w:val="right" w:leader="dot" w:pos="9060"/>
        </w:tabs>
        <w:rPr>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九、其他事项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_Toc198316068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63</w:t>
      </w:r>
      <w:r>
        <w:rPr>
          <w:color w:val="000000" w:themeColor="text1"/>
          <w14:textFill>
            <w14:solidFill>
              <w14:schemeClr w14:val="tx1"/>
            </w14:solidFill>
          </w14:textFill>
        </w:rPr>
        <w:fldChar w:fldCharType="end"/>
      </w:r>
    </w:p>
    <w:p w14:paraId="474E177D">
      <w:pPr>
        <w:pStyle w:val="10"/>
        <w:tabs>
          <w:tab w:val="right" w:leader="dot" w:pos="9060"/>
        </w:tabs>
        <w:rPr>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第四</w:t>
      </w:r>
      <w:r>
        <w:rPr>
          <w:rFonts w:hint="eastAsia" w:ascii="宋体" w:hAnsi="宋体" w:eastAsia="宋体"/>
          <w:color w:val="000000" w:themeColor="text1"/>
          <w:spacing w:val="120"/>
          <w14:textFill>
            <w14:solidFill>
              <w14:schemeClr w14:val="tx1"/>
            </w14:solidFill>
          </w14:textFill>
        </w:rPr>
        <w:t>章</w:t>
      </w:r>
      <w:r>
        <w:rPr>
          <w:rFonts w:hint="eastAsia" w:ascii="宋体" w:hAnsi="宋体" w:eastAsia="宋体"/>
          <w:color w:val="000000" w:themeColor="text1"/>
          <w14:textFill>
            <w14:solidFill>
              <w14:schemeClr w14:val="tx1"/>
            </w14:solidFill>
          </w14:textFill>
        </w:rPr>
        <w:t>评标方法及评分标准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_Toc198316069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65</w:t>
      </w:r>
      <w:r>
        <w:rPr>
          <w:color w:val="000000" w:themeColor="text1"/>
          <w14:textFill>
            <w14:solidFill>
              <w14:schemeClr w14:val="tx1"/>
            </w14:solidFill>
          </w14:textFill>
        </w:rPr>
        <w:fldChar w:fldCharType="end"/>
      </w:r>
    </w:p>
    <w:p w14:paraId="19E7EA7B">
      <w:pPr>
        <w:pStyle w:val="11"/>
        <w:tabs>
          <w:tab w:val="right" w:leader="dot" w:pos="9060"/>
        </w:tabs>
        <w:rPr>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第一</w:t>
      </w:r>
      <w:r>
        <w:rPr>
          <w:rFonts w:hint="eastAsia" w:ascii="宋体" w:hAnsi="宋体" w:eastAsia="宋体"/>
          <w:color w:val="000000" w:themeColor="text1"/>
          <w:spacing w:val="120"/>
          <w14:textFill>
            <w14:solidFill>
              <w14:schemeClr w14:val="tx1"/>
            </w14:solidFill>
          </w14:textFill>
        </w:rPr>
        <w:t>节</w:t>
      </w:r>
      <w:r>
        <w:rPr>
          <w:rFonts w:hint="eastAsia" w:ascii="宋体" w:hAnsi="宋体" w:eastAsia="宋体"/>
          <w:color w:val="000000" w:themeColor="text1"/>
          <w14:textFill>
            <w14:solidFill>
              <w14:schemeClr w14:val="tx1"/>
            </w14:solidFill>
          </w14:textFill>
        </w:rPr>
        <w:t>评标方法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_Toc198316070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65</w:t>
      </w:r>
      <w:r>
        <w:rPr>
          <w:color w:val="000000" w:themeColor="text1"/>
          <w14:textFill>
            <w14:solidFill>
              <w14:schemeClr w14:val="tx1"/>
            </w14:solidFill>
          </w14:textFill>
        </w:rPr>
        <w:fldChar w:fldCharType="end"/>
      </w:r>
    </w:p>
    <w:p w14:paraId="711B42E1">
      <w:pPr>
        <w:pStyle w:val="11"/>
        <w:tabs>
          <w:tab w:val="right" w:leader="dot" w:pos="9060"/>
        </w:tabs>
        <w:rPr>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第二</w:t>
      </w:r>
      <w:r>
        <w:rPr>
          <w:rFonts w:hint="eastAsia" w:ascii="宋体" w:hAnsi="宋体" w:eastAsia="宋体"/>
          <w:color w:val="000000" w:themeColor="text1"/>
          <w:spacing w:val="120"/>
          <w14:textFill>
            <w14:solidFill>
              <w14:schemeClr w14:val="tx1"/>
            </w14:solidFill>
          </w14:textFill>
        </w:rPr>
        <w:t>节</w:t>
      </w:r>
      <w:r>
        <w:rPr>
          <w:rFonts w:hint="eastAsia" w:ascii="宋体" w:hAnsi="宋体" w:eastAsia="宋体"/>
          <w:color w:val="000000" w:themeColor="text1"/>
          <w14:textFill>
            <w14:solidFill>
              <w14:schemeClr w14:val="tx1"/>
            </w14:solidFill>
          </w14:textFill>
        </w:rPr>
        <w:t>评标程序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_Toc198316071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65</w:t>
      </w:r>
      <w:r>
        <w:rPr>
          <w:color w:val="000000" w:themeColor="text1"/>
          <w14:textFill>
            <w14:solidFill>
              <w14:schemeClr w14:val="tx1"/>
            </w14:solidFill>
          </w14:textFill>
        </w:rPr>
        <w:fldChar w:fldCharType="end"/>
      </w:r>
    </w:p>
    <w:p w14:paraId="3DE1958B">
      <w:pPr>
        <w:pStyle w:val="11"/>
        <w:tabs>
          <w:tab w:val="right" w:leader="dot" w:pos="9060"/>
        </w:tabs>
        <w:rPr>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第三</w:t>
      </w:r>
      <w:r>
        <w:rPr>
          <w:rFonts w:hint="eastAsia" w:ascii="宋体" w:hAnsi="宋体" w:eastAsia="宋体"/>
          <w:color w:val="000000" w:themeColor="text1"/>
          <w:spacing w:val="120"/>
          <w14:textFill>
            <w14:solidFill>
              <w14:schemeClr w14:val="tx1"/>
            </w14:solidFill>
          </w14:textFill>
        </w:rPr>
        <w:t>节</w:t>
      </w:r>
      <w:r>
        <w:rPr>
          <w:rFonts w:hint="eastAsia" w:ascii="宋体" w:hAnsi="宋体" w:eastAsia="宋体"/>
          <w:color w:val="000000" w:themeColor="text1"/>
          <w14:textFill>
            <w14:solidFill>
              <w14:schemeClr w14:val="tx1"/>
            </w14:solidFill>
          </w14:textFill>
        </w:rPr>
        <w:t>评分标准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_Toc198316072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68</w:t>
      </w:r>
      <w:r>
        <w:rPr>
          <w:color w:val="000000" w:themeColor="text1"/>
          <w14:textFill>
            <w14:solidFill>
              <w14:schemeClr w14:val="tx1"/>
            </w14:solidFill>
          </w14:textFill>
        </w:rPr>
        <w:fldChar w:fldCharType="end"/>
      </w:r>
    </w:p>
    <w:p w14:paraId="1232CD3E">
      <w:pPr>
        <w:pStyle w:val="11"/>
        <w:tabs>
          <w:tab w:val="right" w:leader="dot" w:pos="9060"/>
        </w:tabs>
        <w:rPr>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第四</w:t>
      </w:r>
      <w:r>
        <w:rPr>
          <w:rFonts w:hint="eastAsia" w:ascii="宋体" w:hAnsi="宋体" w:eastAsia="宋体"/>
          <w:color w:val="000000" w:themeColor="text1"/>
          <w:spacing w:val="120"/>
          <w14:textFill>
            <w14:solidFill>
              <w14:schemeClr w14:val="tx1"/>
            </w14:solidFill>
          </w14:textFill>
        </w:rPr>
        <w:t>节</w:t>
      </w:r>
      <w:r>
        <w:rPr>
          <w:rFonts w:hint="eastAsia" w:ascii="宋体" w:hAnsi="宋体" w:eastAsia="宋体"/>
          <w:color w:val="000000" w:themeColor="text1"/>
          <w14:textFill>
            <w14:solidFill>
              <w14:schemeClr w14:val="tx1"/>
            </w14:solidFill>
          </w14:textFill>
        </w:rPr>
        <w:t>中标候选人推荐原则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_Toc198316073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72</w:t>
      </w:r>
      <w:r>
        <w:rPr>
          <w:color w:val="000000" w:themeColor="text1"/>
          <w14:textFill>
            <w14:solidFill>
              <w14:schemeClr w14:val="tx1"/>
            </w14:solidFill>
          </w14:textFill>
        </w:rPr>
        <w:fldChar w:fldCharType="end"/>
      </w:r>
    </w:p>
    <w:p w14:paraId="41F86B89">
      <w:pPr>
        <w:pStyle w:val="11"/>
        <w:tabs>
          <w:tab w:val="right" w:leader="dot" w:pos="9060"/>
        </w:tabs>
        <w:rPr>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第五</w:t>
      </w:r>
      <w:r>
        <w:rPr>
          <w:rFonts w:hint="eastAsia" w:ascii="宋体" w:hAnsi="宋体" w:eastAsia="宋体"/>
          <w:color w:val="000000" w:themeColor="text1"/>
          <w:spacing w:val="120"/>
          <w14:textFill>
            <w14:solidFill>
              <w14:schemeClr w14:val="tx1"/>
            </w14:solidFill>
          </w14:textFill>
        </w:rPr>
        <w:t>节</w:t>
      </w:r>
      <w:r>
        <w:rPr>
          <w:rFonts w:hint="eastAsia" w:ascii="宋体" w:hAnsi="宋体" w:eastAsia="宋体"/>
          <w:color w:val="000000" w:themeColor="text1"/>
          <w14:textFill>
            <w14:solidFill>
              <w14:schemeClr w14:val="tx1"/>
            </w14:solidFill>
          </w14:textFill>
        </w:rPr>
        <w:t>评标报告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_Toc198316074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72</w:t>
      </w:r>
      <w:r>
        <w:rPr>
          <w:color w:val="000000" w:themeColor="text1"/>
          <w14:textFill>
            <w14:solidFill>
              <w14:schemeClr w14:val="tx1"/>
            </w14:solidFill>
          </w14:textFill>
        </w:rPr>
        <w:fldChar w:fldCharType="end"/>
      </w:r>
    </w:p>
    <w:p w14:paraId="72424075">
      <w:pPr>
        <w:pStyle w:val="10"/>
        <w:tabs>
          <w:tab w:val="right" w:leader="dot" w:pos="9060"/>
        </w:tabs>
        <w:rPr>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第五</w:t>
      </w:r>
      <w:r>
        <w:rPr>
          <w:rFonts w:hint="eastAsia" w:ascii="宋体" w:hAnsi="宋体" w:eastAsia="宋体"/>
          <w:color w:val="000000" w:themeColor="text1"/>
          <w:spacing w:val="120"/>
          <w14:textFill>
            <w14:solidFill>
              <w14:schemeClr w14:val="tx1"/>
            </w14:solidFill>
          </w14:textFill>
        </w:rPr>
        <w:t>章</w:t>
      </w:r>
      <w:r>
        <w:rPr>
          <w:rFonts w:hint="eastAsia" w:ascii="宋体" w:hAnsi="宋体" w:eastAsia="宋体"/>
          <w:color w:val="000000" w:themeColor="text1"/>
          <w14:textFill>
            <w14:solidFill>
              <w14:schemeClr w14:val="tx1"/>
            </w14:solidFill>
          </w14:textFill>
        </w:rPr>
        <w:t>拟签订的合同文本</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_Toc198316075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73</w:t>
      </w:r>
      <w:r>
        <w:rPr>
          <w:color w:val="000000" w:themeColor="text1"/>
          <w14:textFill>
            <w14:solidFill>
              <w14:schemeClr w14:val="tx1"/>
            </w14:solidFill>
          </w14:textFill>
        </w:rPr>
        <w:fldChar w:fldCharType="end"/>
      </w:r>
    </w:p>
    <w:p w14:paraId="72AFB299">
      <w:pPr>
        <w:pStyle w:val="11"/>
        <w:tabs>
          <w:tab w:val="right" w:leader="dot" w:pos="9060"/>
        </w:tabs>
        <w:rPr>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第一部</w:t>
      </w:r>
      <w:r>
        <w:rPr>
          <w:rFonts w:hint="eastAsia" w:ascii="宋体" w:hAnsi="宋体" w:eastAsia="宋体"/>
          <w:color w:val="000000" w:themeColor="text1"/>
          <w:spacing w:val="120"/>
          <w14:textFill>
            <w14:solidFill>
              <w14:schemeClr w14:val="tx1"/>
            </w14:solidFill>
          </w14:textFill>
        </w:rPr>
        <w:t>分</w:t>
      </w:r>
      <w:r>
        <w:rPr>
          <w:rFonts w:hint="eastAsia" w:ascii="宋体" w:hAnsi="宋体" w:eastAsia="宋体"/>
          <w:color w:val="000000" w:themeColor="text1"/>
          <w14:textFill>
            <w14:solidFill>
              <w14:schemeClr w14:val="tx1"/>
            </w14:solidFill>
          </w14:textFill>
        </w:rPr>
        <w:t>合同书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_Toc198316076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76</w:t>
      </w:r>
      <w:r>
        <w:rPr>
          <w:color w:val="000000" w:themeColor="text1"/>
          <w14:textFill>
            <w14:solidFill>
              <w14:schemeClr w14:val="tx1"/>
            </w14:solidFill>
          </w14:textFill>
        </w:rPr>
        <w:fldChar w:fldCharType="end"/>
      </w:r>
    </w:p>
    <w:p w14:paraId="59639F93">
      <w:pPr>
        <w:pStyle w:val="11"/>
        <w:tabs>
          <w:tab w:val="right" w:leader="dot" w:pos="9060"/>
        </w:tabs>
        <w:rPr>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第二部</w:t>
      </w:r>
      <w:r>
        <w:rPr>
          <w:rFonts w:hint="eastAsia" w:ascii="宋体" w:hAnsi="宋体" w:eastAsia="宋体"/>
          <w:color w:val="000000" w:themeColor="text1"/>
          <w:spacing w:val="120"/>
          <w14:textFill>
            <w14:solidFill>
              <w14:schemeClr w14:val="tx1"/>
            </w14:solidFill>
          </w14:textFill>
        </w:rPr>
        <w:t>分</w:t>
      </w:r>
      <w:r>
        <w:rPr>
          <w:rFonts w:hint="eastAsia" w:ascii="宋体" w:hAnsi="宋体" w:eastAsia="宋体"/>
          <w:color w:val="000000" w:themeColor="text1"/>
          <w14:textFill>
            <w14:solidFill>
              <w14:schemeClr w14:val="tx1"/>
            </w14:solidFill>
          </w14:textFill>
        </w:rPr>
        <w:t>合同一般条款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_Toc198316077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79</w:t>
      </w:r>
      <w:r>
        <w:rPr>
          <w:color w:val="000000" w:themeColor="text1"/>
          <w14:textFill>
            <w14:solidFill>
              <w14:schemeClr w14:val="tx1"/>
            </w14:solidFill>
          </w14:textFill>
        </w:rPr>
        <w:fldChar w:fldCharType="end"/>
      </w:r>
    </w:p>
    <w:p w14:paraId="5DEDBE51">
      <w:pPr>
        <w:pStyle w:val="11"/>
        <w:tabs>
          <w:tab w:val="right" w:leader="dot" w:pos="9060"/>
        </w:tabs>
        <w:rPr>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第三部</w:t>
      </w:r>
      <w:r>
        <w:rPr>
          <w:rFonts w:hint="eastAsia" w:ascii="宋体" w:hAnsi="宋体" w:eastAsia="宋体"/>
          <w:color w:val="000000" w:themeColor="text1"/>
          <w:spacing w:val="120"/>
          <w14:textFill>
            <w14:solidFill>
              <w14:schemeClr w14:val="tx1"/>
            </w14:solidFill>
          </w14:textFill>
        </w:rPr>
        <w:t>分</w:t>
      </w:r>
      <w:r>
        <w:rPr>
          <w:rFonts w:hint="eastAsia" w:ascii="宋体" w:hAnsi="宋体" w:eastAsia="宋体"/>
          <w:color w:val="000000" w:themeColor="text1"/>
          <w14:textFill>
            <w14:solidFill>
              <w14:schemeClr w14:val="tx1"/>
            </w14:solidFill>
          </w14:textFill>
        </w:rPr>
        <w:t>合同专用条款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_Toc198316078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84</w:t>
      </w:r>
      <w:r>
        <w:rPr>
          <w:color w:val="000000" w:themeColor="text1"/>
          <w14:textFill>
            <w14:solidFill>
              <w14:schemeClr w14:val="tx1"/>
            </w14:solidFill>
          </w14:textFill>
        </w:rPr>
        <w:fldChar w:fldCharType="end"/>
      </w:r>
    </w:p>
    <w:p w14:paraId="04AB0332">
      <w:pPr>
        <w:pStyle w:val="10"/>
        <w:tabs>
          <w:tab w:val="right" w:leader="dot" w:pos="9060"/>
        </w:tabs>
        <w:rPr>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第六</w:t>
      </w:r>
      <w:r>
        <w:rPr>
          <w:rFonts w:hint="eastAsia" w:ascii="宋体" w:hAnsi="宋体" w:eastAsia="宋体"/>
          <w:color w:val="000000" w:themeColor="text1"/>
          <w:spacing w:val="120"/>
          <w14:textFill>
            <w14:solidFill>
              <w14:schemeClr w14:val="tx1"/>
            </w14:solidFill>
          </w14:textFill>
        </w:rPr>
        <w:t>章</w:t>
      </w:r>
      <w:r>
        <w:rPr>
          <w:rFonts w:hint="eastAsia" w:ascii="宋体" w:hAnsi="宋体" w:eastAsia="宋体"/>
          <w:color w:val="000000" w:themeColor="text1"/>
          <w14:textFill>
            <w14:solidFill>
              <w14:schemeClr w14:val="tx1"/>
            </w14:solidFill>
          </w14:textFill>
        </w:rPr>
        <w:t>投标文件格式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_Toc198316079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87</w:t>
      </w:r>
      <w:r>
        <w:rPr>
          <w:color w:val="000000" w:themeColor="text1"/>
          <w14:textFill>
            <w14:solidFill>
              <w14:schemeClr w14:val="tx1"/>
            </w14:solidFill>
          </w14:textFill>
        </w:rPr>
        <w:fldChar w:fldCharType="end"/>
      </w:r>
    </w:p>
    <w:p w14:paraId="2FA63981">
      <w:pPr>
        <w:pStyle w:val="11"/>
        <w:tabs>
          <w:tab w:val="right" w:leader="dot" w:pos="9060"/>
        </w:tabs>
        <w:rPr>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第一</w:t>
      </w:r>
      <w:r>
        <w:rPr>
          <w:rFonts w:hint="eastAsia" w:ascii="宋体" w:hAnsi="宋体" w:eastAsia="宋体"/>
          <w:color w:val="000000" w:themeColor="text1"/>
          <w:spacing w:val="120"/>
          <w14:textFill>
            <w14:solidFill>
              <w14:schemeClr w14:val="tx1"/>
            </w14:solidFill>
          </w14:textFill>
        </w:rPr>
        <w:t>节</w:t>
      </w:r>
      <w:r>
        <w:rPr>
          <w:rFonts w:hint="eastAsia" w:ascii="宋体" w:hAnsi="宋体" w:eastAsia="宋体"/>
          <w:color w:val="000000" w:themeColor="text1"/>
          <w14:textFill>
            <w14:solidFill>
              <w14:schemeClr w14:val="tx1"/>
            </w14:solidFill>
          </w14:textFill>
        </w:rPr>
        <w:t>投标文件外层包装封面</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_Toc198316080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88</w:t>
      </w:r>
      <w:r>
        <w:rPr>
          <w:color w:val="000000" w:themeColor="text1"/>
          <w14:textFill>
            <w14:solidFill>
              <w14:schemeClr w14:val="tx1"/>
            </w14:solidFill>
          </w14:textFill>
        </w:rPr>
        <w:fldChar w:fldCharType="end"/>
      </w:r>
    </w:p>
    <w:p w14:paraId="16F8E760">
      <w:pPr>
        <w:pStyle w:val="11"/>
        <w:tabs>
          <w:tab w:val="right" w:leader="dot" w:pos="9060"/>
        </w:tabs>
        <w:rPr>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第二</w:t>
      </w:r>
      <w:r>
        <w:rPr>
          <w:rFonts w:hint="eastAsia" w:ascii="宋体" w:hAnsi="宋体" w:eastAsia="宋体"/>
          <w:color w:val="000000" w:themeColor="text1"/>
          <w:spacing w:val="120"/>
          <w14:textFill>
            <w14:solidFill>
              <w14:schemeClr w14:val="tx1"/>
            </w14:solidFill>
          </w14:textFill>
        </w:rPr>
        <w:t>节</w:t>
      </w:r>
      <w:r>
        <w:rPr>
          <w:rFonts w:hint="eastAsia" w:ascii="宋体" w:hAnsi="宋体" w:eastAsia="宋体"/>
          <w:color w:val="000000" w:themeColor="text1"/>
          <w14:textFill>
            <w14:solidFill>
              <w14:schemeClr w14:val="tx1"/>
            </w14:solidFill>
          </w14:textFill>
        </w:rPr>
        <w:t>资格证明文件格式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_Toc198316081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89</w:t>
      </w:r>
      <w:r>
        <w:rPr>
          <w:color w:val="000000" w:themeColor="text1"/>
          <w14:textFill>
            <w14:solidFill>
              <w14:schemeClr w14:val="tx1"/>
            </w14:solidFill>
          </w14:textFill>
        </w:rPr>
        <w:fldChar w:fldCharType="end"/>
      </w:r>
    </w:p>
    <w:p w14:paraId="65D11BB9">
      <w:pPr>
        <w:pStyle w:val="11"/>
        <w:tabs>
          <w:tab w:val="right" w:leader="dot" w:pos="9060"/>
        </w:tabs>
        <w:rPr>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第三</w:t>
      </w:r>
      <w:r>
        <w:rPr>
          <w:rFonts w:hint="eastAsia" w:ascii="宋体" w:hAnsi="宋体" w:eastAsia="宋体"/>
          <w:color w:val="000000" w:themeColor="text1"/>
          <w:spacing w:val="120"/>
          <w14:textFill>
            <w14:solidFill>
              <w14:schemeClr w14:val="tx1"/>
            </w14:solidFill>
          </w14:textFill>
        </w:rPr>
        <w:t>节</w:t>
      </w:r>
      <w:r>
        <w:rPr>
          <w:rFonts w:hint="eastAsia" w:ascii="宋体" w:hAnsi="宋体" w:eastAsia="宋体"/>
          <w:color w:val="000000" w:themeColor="text1"/>
          <w14:textFill>
            <w14:solidFill>
              <w14:schemeClr w14:val="tx1"/>
            </w14:solidFill>
          </w14:textFill>
        </w:rPr>
        <w:t>商务文件格式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_Toc198316082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97</w:t>
      </w:r>
      <w:r>
        <w:rPr>
          <w:color w:val="000000" w:themeColor="text1"/>
          <w14:textFill>
            <w14:solidFill>
              <w14:schemeClr w14:val="tx1"/>
            </w14:solidFill>
          </w14:textFill>
        </w:rPr>
        <w:fldChar w:fldCharType="end"/>
      </w:r>
    </w:p>
    <w:p w14:paraId="22217DD9">
      <w:pPr>
        <w:pStyle w:val="11"/>
        <w:tabs>
          <w:tab w:val="right" w:leader="dot" w:pos="9060"/>
        </w:tabs>
        <w:rPr>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第四</w:t>
      </w:r>
      <w:r>
        <w:rPr>
          <w:rFonts w:hint="eastAsia" w:ascii="宋体" w:hAnsi="宋体" w:eastAsia="宋体"/>
          <w:color w:val="000000" w:themeColor="text1"/>
          <w:spacing w:val="120"/>
          <w14:textFill>
            <w14:solidFill>
              <w14:schemeClr w14:val="tx1"/>
            </w14:solidFill>
          </w14:textFill>
        </w:rPr>
        <w:t>节</w:t>
      </w:r>
      <w:r>
        <w:rPr>
          <w:rFonts w:hint="eastAsia" w:ascii="宋体" w:hAnsi="宋体" w:eastAsia="宋体"/>
          <w:color w:val="000000" w:themeColor="text1"/>
          <w14:textFill>
            <w14:solidFill>
              <w14:schemeClr w14:val="tx1"/>
            </w14:solidFill>
          </w14:textFill>
        </w:rPr>
        <w:t>技术文件格式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_Toc198316083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107</w:t>
      </w:r>
      <w:r>
        <w:rPr>
          <w:color w:val="000000" w:themeColor="text1"/>
          <w14:textFill>
            <w14:solidFill>
              <w14:schemeClr w14:val="tx1"/>
            </w14:solidFill>
          </w14:textFill>
        </w:rPr>
        <w:fldChar w:fldCharType="end"/>
      </w:r>
    </w:p>
    <w:p w14:paraId="79E5A80C">
      <w:pPr>
        <w:pStyle w:val="11"/>
        <w:tabs>
          <w:tab w:val="right" w:leader="dot" w:pos="9060"/>
        </w:tabs>
        <w:rPr>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第五</w:t>
      </w:r>
      <w:r>
        <w:rPr>
          <w:rFonts w:hint="eastAsia" w:ascii="宋体" w:hAnsi="宋体" w:eastAsia="宋体"/>
          <w:color w:val="000000" w:themeColor="text1"/>
          <w:spacing w:val="120"/>
          <w14:textFill>
            <w14:solidFill>
              <w14:schemeClr w14:val="tx1"/>
            </w14:solidFill>
          </w14:textFill>
        </w:rPr>
        <w:t>节</w:t>
      </w:r>
      <w:r>
        <w:rPr>
          <w:rFonts w:hint="eastAsia" w:ascii="宋体" w:hAnsi="宋体" w:eastAsia="宋体"/>
          <w:color w:val="000000" w:themeColor="text1"/>
          <w14:textFill>
            <w14:solidFill>
              <w14:schemeClr w14:val="tx1"/>
            </w14:solidFill>
          </w14:textFill>
        </w:rPr>
        <w:t>报价文件格式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_Toc198316084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114</w:t>
      </w:r>
      <w:r>
        <w:rPr>
          <w:color w:val="000000" w:themeColor="text1"/>
          <w14:textFill>
            <w14:solidFill>
              <w14:schemeClr w14:val="tx1"/>
            </w14:solidFill>
          </w14:textFill>
        </w:rPr>
        <w:fldChar w:fldCharType="end"/>
      </w:r>
    </w:p>
    <w:p w14:paraId="7A6CD9BA">
      <w:pPr>
        <w:pStyle w:val="11"/>
        <w:tabs>
          <w:tab w:val="right" w:leader="dot" w:pos="9060"/>
        </w:tabs>
        <w:rPr>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第六</w:t>
      </w:r>
      <w:r>
        <w:rPr>
          <w:rFonts w:hint="eastAsia" w:ascii="宋体" w:hAnsi="宋体" w:eastAsia="宋体"/>
          <w:color w:val="000000" w:themeColor="text1"/>
          <w:spacing w:val="120"/>
          <w14:textFill>
            <w14:solidFill>
              <w14:schemeClr w14:val="tx1"/>
            </w14:solidFill>
          </w14:textFill>
        </w:rPr>
        <w:t>节</w:t>
      </w:r>
      <w:r>
        <w:rPr>
          <w:rFonts w:hint="eastAsia" w:ascii="宋体" w:hAnsi="宋体" w:eastAsia="宋体"/>
          <w:color w:val="000000" w:themeColor="text1"/>
          <w14:textFill>
            <w14:solidFill>
              <w14:schemeClr w14:val="tx1"/>
            </w14:solidFill>
          </w14:textFill>
        </w:rPr>
        <w:t>其他文书、文件格式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_Toc198316085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120</w:t>
      </w:r>
      <w:r>
        <w:rPr>
          <w:color w:val="000000" w:themeColor="text1"/>
          <w14:textFill>
            <w14:solidFill>
              <w14:schemeClr w14:val="tx1"/>
            </w14:solidFill>
          </w14:textFill>
        </w:rPr>
        <w:fldChar w:fldCharType="end"/>
      </w:r>
    </w:p>
    <w:p w14:paraId="3CE9C110">
      <w:pPr>
        <w:pStyle w:val="10"/>
        <w:tabs>
          <w:tab w:val="right" w:leader="dot" w:pos="9060"/>
        </w:tabs>
        <w:rPr>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第七</w:t>
      </w:r>
      <w:r>
        <w:rPr>
          <w:rFonts w:hint="eastAsia" w:ascii="宋体" w:hAnsi="宋体" w:eastAsia="宋体"/>
          <w:color w:val="000000" w:themeColor="text1"/>
          <w:spacing w:val="120"/>
          <w14:textFill>
            <w14:solidFill>
              <w14:schemeClr w14:val="tx1"/>
            </w14:solidFill>
          </w14:textFill>
        </w:rPr>
        <w:t>章</w:t>
      </w:r>
      <w:r>
        <w:rPr>
          <w:rFonts w:hint="eastAsia" w:ascii="宋体" w:hAnsi="宋体" w:eastAsia="宋体"/>
          <w:color w:val="000000" w:themeColor="text1"/>
          <w14:textFill>
            <w14:solidFill>
              <w14:schemeClr w14:val="tx1"/>
            </w14:solidFill>
          </w14:textFill>
        </w:rPr>
        <w:t>质疑、投诉证明材料格式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_Toc198316086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122</w:t>
      </w:r>
      <w:r>
        <w:rPr>
          <w:color w:val="000000" w:themeColor="text1"/>
          <w14:textFill>
            <w14:solidFill>
              <w14:schemeClr w14:val="tx1"/>
            </w14:solidFill>
          </w14:textFill>
        </w:rPr>
        <w:fldChar w:fldCharType="end"/>
      </w:r>
    </w:p>
    <w:p w14:paraId="6EA04C77">
      <w:pPr>
        <w:pStyle w:val="11"/>
        <w:tabs>
          <w:tab w:val="right" w:leader="dot" w:pos="9060"/>
        </w:tabs>
        <w:rPr>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第一</w:t>
      </w:r>
      <w:r>
        <w:rPr>
          <w:rFonts w:hint="eastAsia" w:ascii="宋体" w:hAnsi="宋体" w:eastAsia="宋体"/>
          <w:color w:val="000000" w:themeColor="text1"/>
          <w:spacing w:val="120"/>
          <w14:textFill>
            <w14:solidFill>
              <w14:schemeClr w14:val="tx1"/>
            </w14:solidFill>
          </w14:textFill>
        </w:rPr>
        <w:t>节</w:t>
      </w:r>
      <w:r>
        <w:rPr>
          <w:rFonts w:hint="eastAsia" w:ascii="宋体" w:hAnsi="宋体" w:eastAsia="宋体"/>
          <w:color w:val="000000" w:themeColor="text1"/>
          <w14:textFill>
            <w14:solidFill>
              <w14:schemeClr w14:val="tx1"/>
            </w14:solidFill>
          </w14:textFill>
        </w:rPr>
        <w:t>质疑函（格式）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_Toc198316087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123</w:t>
      </w:r>
      <w:r>
        <w:rPr>
          <w:color w:val="000000" w:themeColor="text1"/>
          <w14:textFill>
            <w14:solidFill>
              <w14:schemeClr w14:val="tx1"/>
            </w14:solidFill>
          </w14:textFill>
        </w:rPr>
        <w:fldChar w:fldCharType="end"/>
      </w:r>
    </w:p>
    <w:p w14:paraId="16A26047">
      <w:pPr>
        <w:pStyle w:val="11"/>
        <w:tabs>
          <w:tab w:val="right" w:leader="dot" w:pos="9060"/>
        </w:tabs>
        <w:rPr>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第二</w:t>
      </w:r>
      <w:r>
        <w:rPr>
          <w:rFonts w:hint="eastAsia" w:ascii="宋体" w:hAnsi="宋体" w:eastAsia="宋体"/>
          <w:color w:val="000000" w:themeColor="text1"/>
          <w:spacing w:val="120"/>
          <w14:textFill>
            <w14:solidFill>
              <w14:schemeClr w14:val="tx1"/>
            </w14:solidFill>
          </w14:textFill>
        </w:rPr>
        <w:t>节</w:t>
      </w:r>
      <w:r>
        <w:rPr>
          <w:rFonts w:hint="eastAsia" w:ascii="宋体" w:hAnsi="宋体" w:eastAsia="宋体"/>
          <w:color w:val="000000" w:themeColor="text1"/>
          <w14:textFill>
            <w14:solidFill>
              <w14:schemeClr w14:val="tx1"/>
            </w14:solidFill>
          </w14:textFill>
        </w:rPr>
        <w:t>投诉书（格式）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_Toc198316088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125</w:t>
      </w:r>
      <w:r>
        <w:rPr>
          <w:color w:val="000000" w:themeColor="text1"/>
          <w14:textFill>
            <w14:solidFill>
              <w14:schemeClr w14:val="tx1"/>
            </w14:solidFill>
          </w14:textFill>
        </w:rPr>
        <w:fldChar w:fldCharType="end"/>
      </w:r>
    </w:p>
    <w:p w14:paraId="6E543EC2">
      <w:pPr>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fldChar w:fldCharType="end"/>
      </w:r>
    </w:p>
    <w:p w14:paraId="30F896CF">
      <w:pPr>
        <w:spacing w:line="360" w:lineRule="auto"/>
        <w:ind w:firstLine="420" w:firstLineChars="200"/>
        <w:rPr>
          <w:rFonts w:ascii="宋体" w:hAnsi="宋体" w:eastAsia="宋体"/>
          <w:color w:val="000000" w:themeColor="text1"/>
          <w:szCs w:val="21"/>
          <w14:textFill>
            <w14:solidFill>
              <w14:schemeClr w14:val="tx1"/>
            </w14:solidFill>
          </w14:textFill>
        </w:rPr>
        <w:sectPr>
          <w:footerReference r:id="rId4" w:type="default"/>
          <w:pgSz w:w="11906" w:h="16838"/>
          <w:pgMar w:top="1418" w:right="1418" w:bottom="1418" w:left="1418" w:header="851" w:footer="992" w:gutter="0"/>
          <w:pgNumType w:start="1"/>
          <w:cols w:space="425" w:num="1"/>
          <w:docGrid w:type="lines" w:linePitch="312" w:charSpace="0"/>
        </w:sectPr>
      </w:pPr>
    </w:p>
    <w:p w14:paraId="4BBE4044">
      <w:pPr>
        <w:pStyle w:val="2"/>
        <w:spacing w:before="0" w:after="0" w:line="240" w:lineRule="auto"/>
        <w:jc w:val="center"/>
        <w:rPr>
          <w:rFonts w:ascii="宋体" w:hAnsi="宋体" w:eastAsia="宋体"/>
          <w:color w:val="000000" w:themeColor="text1"/>
          <w:sz w:val="36"/>
          <w:szCs w:val="36"/>
          <w14:textFill>
            <w14:solidFill>
              <w14:schemeClr w14:val="tx1"/>
            </w14:solidFill>
          </w14:textFill>
        </w:rPr>
      </w:pPr>
      <w:bookmarkStart w:id="0" w:name="_Toc198316055"/>
      <w:r>
        <w:rPr>
          <w:rFonts w:hint="eastAsia" w:ascii="宋体" w:hAnsi="宋体" w:eastAsia="宋体"/>
          <w:color w:val="000000" w:themeColor="text1"/>
          <w:sz w:val="36"/>
          <w:szCs w:val="36"/>
          <w14:textFill>
            <w14:solidFill>
              <w14:schemeClr w14:val="tx1"/>
            </w14:solidFill>
          </w14:textFill>
        </w:rPr>
        <w:t>第一</w:t>
      </w:r>
      <w:r>
        <w:rPr>
          <w:rFonts w:hint="eastAsia" w:ascii="宋体" w:hAnsi="宋体" w:eastAsia="宋体"/>
          <w:color w:val="000000" w:themeColor="text1"/>
          <w:spacing w:val="120"/>
          <w:sz w:val="36"/>
          <w:szCs w:val="36"/>
          <w14:textFill>
            <w14:solidFill>
              <w14:schemeClr w14:val="tx1"/>
            </w14:solidFill>
          </w14:textFill>
        </w:rPr>
        <w:t>章</w:t>
      </w:r>
      <w:r>
        <w:rPr>
          <w:rFonts w:hint="eastAsia" w:ascii="宋体" w:hAnsi="宋体" w:eastAsia="宋体"/>
          <w:color w:val="000000" w:themeColor="text1"/>
          <w:sz w:val="36"/>
          <w:szCs w:val="36"/>
          <w14:textFill>
            <w14:solidFill>
              <w14:schemeClr w14:val="tx1"/>
            </w14:solidFill>
          </w14:textFill>
        </w:rPr>
        <w:t>招标公告</w:t>
      </w:r>
      <w:bookmarkEnd w:id="0"/>
    </w:p>
    <w:p w14:paraId="5CB44BF7">
      <w:pPr>
        <w:spacing w:line="360" w:lineRule="auto"/>
        <w:jc w:val="center"/>
        <w:rPr>
          <w:rFonts w:ascii="宋体" w:hAnsi="宋体" w:eastAsia="宋体"/>
          <w:b/>
          <w:color w:val="000000" w:themeColor="text1"/>
          <w:sz w:val="30"/>
          <w:szCs w:val="30"/>
          <w14:textFill>
            <w14:solidFill>
              <w14:schemeClr w14:val="tx1"/>
            </w14:solidFill>
          </w14:textFill>
        </w:rPr>
      </w:pPr>
      <w:r>
        <w:rPr>
          <w:rFonts w:hint="eastAsia" w:ascii="宋体" w:hAnsi="宋体" w:eastAsia="宋体"/>
          <w:b/>
          <w:color w:val="000000" w:themeColor="text1"/>
          <w:sz w:val="30"/>
          <w:szCs w:val="30"/>
          <w14:textFill>
            <w14:solidFill>
              <w14:schemeClr w14:val="tx1"/>
            </w14:solidFill>
          </w14:textFill>
        </w:rPr>
        <w:t>公开招标公告</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332A3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0BD325B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项目概况</w:t>
            </w:r>
          </w:p>
          <w:p w14:paraId="3E5A8EEF">
            <w:pPr>
              <w:spacing w:line="360" w:lineRule="auto"/>
              <w:ind w:firstLine="420" w:firstLineChars="20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采购智勘取证终端等一批设备</w:t>
            </w:r>
            <w:r>
              <w:rPr>
                <w:rFonts w:hint="eastAsia" w:ascii="宋体" w:hAnsi="宋体" w:eastAsia="宋体"/>
                <w:color w:val="000000" w:themeColor="text1"/>
                <w:szCs w:val="21"/>
                <w14:textFill>
                  <w14:solidFill>
                    <w14:schemeClr w14:val="tx1"/>
                  </w14:solidFill>
                </w14:textFill>
              </w:rPr>
              <w:t>的潜在投标人须在广西政府采购云平台（https：//login.gcy.zfcg.gxzf.gov.cn）获取（下载）招标文件，并于</w:t>
            </w:r>
            <w:r>
              <w:rPr>
                <w:rFonts w:hint="eastAsia" w:ascii="宋体" w:hAnsi="宋体" w:eastAsia="宋体"/>
                <w:color w:val="000000" w:themeColor="text1"/>
                <w:szCs w:val="21"/>
                <w:u w:val="single"/>
                <w14:textFill>
                  <w14:solidFill>
                    <w14:schemeClr w14:val="tx1"/>
                  </w14:solidFill>
                </w14:textFill>
              </w:rPr>
              <w:t>2025年</w:t>
            </w:r>
            <w:r>
              <w:rPr>
                <w:rFonts w:ascii="宋体" w:hAnsi="宋体" w:eastAsia="宋体"/>
                <w:color w:val="000000" w:themeColor="text1"/>
                <w:szCs w:val="21"/>
                <w:u w:val="single"/>
                <w14:textFill>
                  <w14:solidFill>
                    <w14:schemeClr w14:val="tx1"/>
                  </w14:solidFill>
                </w14:textFill>
              </w:rPr>
              <w:t>6</w:t>
            </w:r>
            <w:r>
              <w:rPr>
                <w:rFonts w:hint="eastAsia" w:ascii="宋体" w:hAnsi="宋体" w:eastAsia="宋体"/>
                <w:color w:val="000000" w:themeColor="text1"/>
                <w:szCs w:val="21"/>
                <w:u w:val="single"/>
                <w14:textFill>
                  <w14:solidFill>
                    <w14:schemeClr w14:val="tx1"/>
                  </w14:solidFill>
                </w14:textFill>
              </w:rPr>
              <w:t>月</w:t>
            </w:r>
            <w:r>
              <w:rPr>
                <w:rFonts w:ascii="宋体" w:hAnsi="宋体" w:eastAsia="宋体"/>
                <w:color w:val="000000" w:themeColor="text1"/>
                <w:szCs w:val="21"/>
                <w:u w:val="single"/>
                <w14:textFill>
                  <w14:solidFill>
                    <w14:schemeClr w14:val="tx1"/>
                  </w14:solidFill>
                </w14:textFill>
              </w:rPr>
              <w:t>27</w:t>
            </w:r>
            <w:r>
              <w:rPr>
                <w:rFonts w:hint="eastAsia" w:ascii="宋体" w:hAnsi="宋体" w:eastAsia="宋体"/>
                <w:color w:val="000000" w:themeColor="text1"/>
                <w:szCs w:val="21"/>
                <w:u w:val="single"/>
                <w14:textFill>
                  <w14:solidFill>
                    <w14:schemeClr w14:val="tx1"/>
                  </w14:solidFill>
                </w14:textFill>
              </w:rPr>
              <w:t>日0</w:t>
            </w:r>
            <w:r>
              <w:rPr>
                <w:rFonts w:ascii="宋体" w:hAnsi="宋体" w:eastAsia="宋体"/>
                <w:color w:val="000000" w:themeColor="text1"/>
                <w:szCs w:val="21"/>
                <w:u w:val="single"/>
                <w14:textFill>
                  <w14:solidFill>
                    <w14:schemeClr w14:val="tx1"/>
                  </w14:solidFill>
                </w14:textFill>
              </w:rPr>
              <w:t>9</w:t>
            </w:r>
            <w:r>
              <w:rPr>
                <w:rFonts w:hint="eastAsia" w:ascii="宋体" w:hAnsi="宋体" w:eastAsia="宋体"/>
                <w:color w:val="000000" w:themeColor="text1"/>
                <w:szCs w:val="21"/>
                <w:u w:val="single"/>
                <w14:textFill>
                  <w14:solidFill>
                    <w14:schemeClr w14:val="tx1"/>
                  </w14:solidFill>
                </w14:textFill>
              </w:rPr>
              <w:t>时3</w:t>
            </w:r>
            <w:r>
              <w:rPr>
                <w:rFonts w:ascii="宋体" w:hAnsi="宋体" w:eastAsia="宋体"/>
                <w:color w:val="000000" w:themeColor="text1"/>
                <w:szCs w:val="21"/>
                <w:u w:val="single"/>
                <w14:textFill>
                  <w14:solidFill>
                    <w14:schemeClr w14:val="tx1"/>
                  </w14:solidFill>
                </w14:textFill>
              </w:rPr>
              <w:t>0</w:t>
            </w:r>
            <w:r>
              <w:rPr>
                <w:rFonts w:hint="eastAsia" w:ascii="宋体" w:hAnsi="宋体" w:eastAsia="宋体"/>
                <w:color w:val="000000" w:themeColor="text1"/>
                <w:szCs w:val="21"/>
                <w:u w:val="single"/>
                <w14:textFill>
                  <w14:solidFill>
                    <w14:schemeClr w14:val="tx1"/>
                  </w14:solidFill>
                </w14:textFill>
              </w:rPr>
              <w:t>分</w:t>
            </w:r>
            <w:r>
              <w:rPr>
                <w:rFonts w:hint="eastAsia" w:ascii="宋体" w:hAnsi="宋体" w:eastAsia="宋体"/>
                <w:color w:val="000000" w:themeColor="text1"/>
                <w:szCs w:val="21"/>
                <w14:textFill>
                  <w14:solidFill>
                    <w14:schemeClr w14:val="tx1"/>
                  </w14:solidFill>
                </w14:textFill>
              </w:rPr>
              <w:t>（北京时间）前递交（上传）投标文件。</w:t>
            </w:r>
          </w:p>
        </w:tc>
      </w:tr>
    </w:tbl>
    <w:p w14:paraId="76531330">
      <w:pPr>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一、项目基本情况</w:t>
      </w:r>
    </w:p>
    <w:p w14:paraId="6C1402E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项目编号：</w:t>
      </w:r>
      <w:r>
        <w:rPr>
          <w:rFonts w:ascii="宋体" w:hAnsi="宋体" w:eastAsia="宋体"/>
          <w:color w:val="000000" w:themeColor="text1"/>
          <w:szCs w:val="21"/>
          <w:u w:val="single"/>
          <w14:textFill>
            <w14:solidFill>
              <w14:schemeClr w14:val="tx1"/>
            </w14:solidFill>
          </w14:textFill>
        </w:rPr>
        <w:t>NNZC2025-G1-990314-KWZB</w:t>
      </w:r>
    </w:p>
    <w:p w14:paraId="56C082D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项目名称：采购智勘取证终端等一批设备</w:t>
      </w:r>
    </w:p>
    <w:p w14:paraId="3267E54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预算金额：人民币</w:t>
      </w:r>
      <w:r>
        <w:rPr>
          <w:rFonts w:ascii="宋体" w:hAnsi="宋体" w:eastAsia="宋体"/>
          <w:color w:val="000000" w:themeColor="text1"/>
          <w:szCs w:val="21"/>
          <w14:textFill>
            <w14:solidFill>
              <w14:schemeClr w14:val="tx1"/>
            </w14:solidFill>
          </w14:textFill>
        </w:rPr>
        <w:t>3288000.00</w:t>
      </w:r>
      <w:r>
        <w:rPr>
          <w:rFonts w:hint="eastAsia" w:ascii="宋体" w:hAnsi="宋体" w:eastAsia="宋体"/>
          <w:color w:val="000000" w:themeColor="text1"/>
          <w:szCs w:val="21"/>
          <w14:textFill>
            <w14:solidFill>
              <w14:schemeClr w14:val="tx1"/>
            </w14:solidFill>
          </w14:textFill>
        </w:rPr>
        <w:t>元</w:t>
      </w:r>
    </w:p>
    <w:p w14:paraId="56D445C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采购需求：新型涉网犯罪一站式智勘取证终端5</w:t>
      </w:r>
      <w:r>
        <w:rPr>
          <w:rFonts w:ascii="宋体" w:hAnsi="宋体" w:eastAsia="宋体"/>
          <w:color w:val="000000" w:themeColor="text1"/>
          <w:szCs w:val="21"/>
          <w14:textFill>
            <w14:solidFill>
              <w14:schemeClr w14:val="tx1"/>
            </w14:solidFill>
          </w14:textFill>
        </w:rPr>
        <w:t>0</w:t>
      </w:r>
      <w:r>
        <w:rPr>
          <w:rFonts w:hint="eastAsia" w:ascii="宋体" w:hAnsi="宋体" w:eastAsia="宋体"/>
          <w:color w:val="000000" w:themeColor="text1"/>
          <w:szCs w:val="21"/>
          <w14:textFill>
            <w14:solidFill>
              <w14:schemeClr w14:val="tx1"/>
            </w14:solidFill>
          </w14:textFill>
        </w:rPr>
        <w:t>套、新型涉网案件智勘联侦分析系统1套、手机分析专用机1套、通讯设备全数据采集仪2</w:t>
      </w:r>
      <w:r>
        <w:rPr>
          <w:rFonts w:ascii="宋体" w:hAnsi="宋体" w:eastAsia="宋体"/>
          <w:color w:val="000000" w:themeColor="text1"/>
          <w:szCs w:val="21"/>
          <w14:textFill>
            <w14:solidFill>
              <w14:schemeClr w14:val="tx1"/>
            </w14:solidFill>
          </w14:textFill>
        </w:rPr>
        <w:t>8</w:t>
      </w:r>
      <w:r>
        <w:rPr>
          <w:rFonts w:hint="eastAsia" w:ascii="宋体" w:hAnsi="宋体" w:eastAsia="宋体"/>
          <w:color w:val="000000" w:themeColor="text1"/>
          <w:szCs w:val="21"/>
          <w14:textFill>
            <w14:solidFill>
              <w14:schemeClr w14:val="tx1"/>
            </w14:solidFill>
          </w14:textFill>
        </w:rPr>
        <w:t>套。具体技术参数详见第二章货物需求一览表。</w:t>
      </w:r>
    </w:p>
    <w:p w14:paraId="288529A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合同履行期限：详见采购需求商务条款。</w:t>
      </w:r>
    </w:p>
    <w:p w14:paraId="179C918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本项目是否接受联合体投标：否。</w:t>
      </w:r>
    </w:p>
    <w:p w14:paraId="6C881DBE">
      <w:pPr>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二、投标人的资格要求</w:t>
      </w:r>
    </w:p>
    <w:p w14:paraId="3CE9EE3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1.满足《中华人民共和国政府采购法》第二十二条规定；</w:t>
      </w:r>
    </w:p>
    <w:p w14:paraId="7564BF4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2.落实政府采购政策需满足的资格要求：非专门面向中小企业采购。</w:t>
      </w:r>
    </w:p>
    <w:p w14:paraId="350AAD9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3.本项目的特定资格要求：无。</w:t>
      </w:r>
    </w:p>
    <w:p w14:paraId="75B2F0B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4.本项目的特定条件：无</w:t>
      </w:r>
    </w:p>
    <w:p w14:paraId="6CCA964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2F3A89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489856E4">
      <w:pPr>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三、获取招标文件</w:t>
      </w:r>
    </w:p>
    <w:p w14:paraId="174A4A1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时间：自公告发布之日起。</w:t>
      </w:r>
    </w:p>
    <w:p w14:paraId="1808FEF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获取方式：网上下载。本项目不发放纸质文件，供应商可自行在广西政府采购云平台（https：//www.gcy.zfcg.gxzf.gov.cn）下载招标文件（操作路径：登录广西政府采购云平台－项目采购－获取采购文件－找到本项目－点击“申请获取采购文件”），电子投标文件制作需要基于广西政府采购云平台（https：//www.gcy.zfcg.gxzf.gov.cn）获取的招标文件编制。</w:t>
      </w:r>
    </w:p>
    <w:p w14:paraId="2C2B175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售价：0元。</w:t>
      </w:r>
    </w:p>
    <w:p w14:paraId="0C2A2504">
      <w:pPr>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四、提交投标文件截止时间、开标时间和地点</w:t>
      </w:r>
    </w:p>
    <w:p w14:paraId="47DAD2D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1.提交投标文件截止时间和开标时间：</w:t>
      </w:r>
      <w:r>
        <w:rPr>
          <w:rFonts w:hint="eastAsia" w:ascii="宋体" w:hAnsi="宋体" w:eastAsia="宋体"/>
          <w:color w:val="000000" w:themeColor="text1"/>
          <w:szCs w:val="21"/>
          <w:u w:val="single"/>
          <w14:textFill>
            <w14:solidFill>
              <w14:schemeClr w14:val="tx1"/>
            </w14:solidFill>
          </w14:textFill>
        </w:rPr>
        <w:t>2025年</w:t>
      </w:r>
      <w:r>
        <w:rPr>
          <w:rFonts w:ascii="宋体" w:hAnsi="宋体" w:eastAsia="宋体"/>
          <w:color w:val="000000" w:themeColor="text1"/>
          <w:szCs w:val="21"/>
          <w:u w:val="single"/>
          <w14:textFill>
            <w14:solidFill>
              <w14:schemeClr w14:val="tx1"/>
            </w14:solidFill>
          </w14:textFill>
        </w:rPr>
        <w:t>6</w:t>
      </w:r>
      <w:r>
        <w:rPr>
          <w:rFonts w:hint="eastAsia" w:ascii="宋体" w:hAnsi="宋体" w:eastAsia="宋体"/>
          <w:color w:val="000000" w:themeColor="text1"/>
          <w:szCs w:val="21"/>
          <w:u w:val="single"/>
          <w14:textFill>
            <w14:solidFill>
              <w14:schemeClr w14:val="tx1"/>
            </w14:solidFill>
          </w14:textFill>
        </w:rPr>
        <w:t>月</w:t>
      </w:r>
      <w:r>
        <w:rPr>
          <w:rFonts w:ascii="宋体" w:hAnsi="宋体" w:eastAsia="宋体"/>
          <w:color w:val="000000" w:themeColor="text1"/>
          <w:szCs w:val="21"/>
          <w:u w:val="single"/>
          <w14:textFill>
            <w14:solidFill>
              <w14:schemeClr w14:val="tx1"/>
            </w14:solidFill>
          </w14:textFill>
        </w:rPr>
        <w:t>27</w:t>
      </w:r>
      <w:r>
        <w:rPr>
          <w:rFonts w:hint="eastAsia" w:ascii="宋体" w:hAnsi="宋体" w:eastAsia="宋体"/>
          <w:color w:val="000000" w:themeColor="text1"/>
          <w:szCs w:val="21"/>
          <w:u w:val="single"/>
          <w14:textFill>
            <w14:solidFill>
              <w14:schemeClr w14:val="tx1"/>
            </w14:solidFill>
          </w14:textFill>
        </w:rPr>
        <w:t>日0</w:t>
      </w:r>
      <w:r>
        <w:rPr>
          <w:rFonts w:ascii="宋体" w:hAnsi="宋体" w:eastAsia="宋体"/>
          <w:color w:val="000000" w:themeColor="text1"/>
          <w:szCs w:val="21"/>
          <w:u w:val="single"/>
          <w14:textFill>
            <w14:solidFill>
              <w14:schemeClr w14:val="tx1"/>
            </w14:solidFill>
          </w14:textFill>
        </w:rPr>
        <w:t>9</w:t>
      </w:r>
      <w:r>
        <w:rPr>
          <w:rFonts w:hint="eastAsia" w:ascii="宋体" w:hAnsi="宋体" w:eastAsia="宋体"/>
          <w:color w:val="000000" w:themeColor="text1"/>
          <w:szCs w:val="21"/>
          <w:u w:val="single"/>
          <w14:textFill>
            <w14:solidFill>
              <w14:schemeClr w14:val="tx1"/>
            </w14:solidFill>
          </w14:textFill>
        </w:rPr>
        <w:t>时3</w:t>
      </w:r>
      <w:r>
        <w:rPr>
          <w:rFonts w:ascii="宋体" w:hAnsi="宋体" w:eastAsia="宋体"/>
          <w:color w:val="000000" w:themeColor="text1"/>
          <w:szCs w:val="21"/>
          <w:u w:val="single"/>
          <w14:textFill>
            <w14:solidFill>
              <w14:schemeClr w14:val="tx1"/>
            </w14:solidFill>
          </w14:textFill>
        </w:rPr>
        <w:t>0</w:t>
      </w:r>
      <w:r>
        <w:rPr>
          <w:rFonts w:hint="eastAsia" w:ascii="宋体" w:hAnsi="宋体" w:eastAsia="宋体"/>
          <w:color w:val="000000" w:themeColor="text1"/>
          <w:szCs w:val="21"/>
          <w:u w:val="single"/>
          <w14:textFill>
            <w14:solidFill>
              <w14:schemeClr w14:val="tx1"/>
            </w14:solidFill>
          </w14:textFill>
        </w:rPr>
        <w:t>分</w:t>
      </w:r>
      <w:r>
        <w:rPr>
          <w:rFonts w:hint="eastAsia" w:ascii="宋体" w:hAnsi="宋体" w:eastAsia="宋体"/>
          <w:color w:val="000000" w:themeColor="text1"/>
          <w:szCs w:val="21"/>
          <w14:textFill>
            <w14:solidFill>
              <w14:schemeClr w14:val="tx1"/>
            </w14:solidFill>
          </w14:textFill>
        </w:rPr>
        <w:t>（北京时间）</w:t>
      </w:r>
    </w:p>
    <w:p w14:paraId="30D7210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2.投标和开标地点：</w:t>
      </w:r>
    </w:p>
    <w:p w14:paraId="481BCA3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投标文件提交方式：本项目为南宁市全流程电子化项目，通过广西政府采购云平台（https：//www.gcy.zfcg.gxzf.gov.cn）实行在线电子投标，供应商应先安装“广西政府采购云平台电子交易客户端”（请自行前往广西政府采购云平台进行下载），并按照本项目招标文件和广西政府采购云平台的要求编制、加密后在投标截止时间前通过网络上传至广西政府采购云平台，</w:t>
      </w:r>
      <w:r>
        <w:rPr>
          <w:rFonts w:hint="eastAsia" w:ascii="宋体" w:hAnsi="宋体" w:eastAsia="宋体"/>
          <w:b/>
          <w:color w:val="000000" w:themeColor="text1"/>
          <w:szCs w:val="21"/>
          <w14:textFill>
            <w14:solidFill>
              <w14:schemeClr w14:val="tx1"/>
            </w14:solidFill>
          </w14:textFill>
        </w:rPr>
        <w:t>供应商在广西政府采购云平台提交电子版投标文件时，请填写参加远程开标活动经办人联系方式，</w:t>
      </w:r>
      <w:r>
        <w:rPr>
          <w:rFonts w:hint="eastAsia" w:ascii="宋体" w:hAnsi="宋体" w:eastAsia="宋体"/>
          <w:color w:val="000000" w:themeColor="text1"/>
          <w:szCs w:val="21"/>
          <w14:textFill>
            <w14:solidFill>
              <w14:schemeClr w14:val="tx1"/>
            </w14:solidFill>
          </w14:textFill>
        </w:rPr>
        <w:t>电子投标具体操作流程详见本公告附件。</w:t>
      </w:r>
    </w:p>
    <w:p w14:paraId="6D2A49D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投标人只需办理其中一家CA数字证书及签章，建议各投标人抓紧时间办理。</w:t>
      </w:r>
    </w:p>
    <w:p w14:paraId="0A5ED7F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（3）为确保网上操作合法、有效和安全，请投标供应商确保在电子投标过程中能够对相关数据电文进行加密和使用电子签章，妥善保管CA数字证书并使用有效的CA数字证书参与整个招标活动。</w:t>
      </w:r>
    </w:p>
    <w:p w14:paraId="738F7D62">
      <w:pPr>
        <w:spacing w:line="360" w:lineRule="auto"/>
        <w:ind w:firstLine="420" w:firstLineChars="20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62CA1F5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（4）开标地点：本次招标将于</w:t>
      </w:r>
      <w:r>
        <w:rPr>
          <w:rFonts w:hint="eastAsia" w:ascii="宋体" w:hAnsi="宋体" w:eastAsia="宋体"/>
          <w:color w:val="000000" w:themeColor="text1"/>
          <w:szCs w:val="21"/>
          <w:u w:val="single"/>
          <w14:textFill>
            <w14:solidFill>
              <w14:schemeClr w14:val="tx1"/>
            </w14:solidFill>
          </w14:textFill>
        </w:rPr>
        <w:t>2025年</w:t>
      </w:r>
      <w:r>
        <w:rPr>
          <w:rFonts w:ascii="宋体" w:hAnsi="宋体" w:eastAsia="宋体"/>
          <w:color w:val="000000" w:themeColor="text1"/>
          <w:szCs w:val="21"/>
          <w:u w:val="single"/>
          <w14:textFill>
            <w14:solidFill>
              <w14:schemeClr w14:val="tx1"/>
            </w14:solidFill>
          </w14:textFill>
        </w:rPr>
        <w:t>6</w:t>
      </w:r>
      <w:r>
        <w:rPr>
          <w:rFonts w:hint="eastAsia" w:ascii="宋体" w:hAnsi="宋体" w:eastAsia="宋体"/>
          <w:color w:val="000000" w:themeColor="text1"/>
          <w:szCs w:val="21"/>
          <w:u w:val="single"/>
          <w14:textFill>
            <w14:solidFill>
              <w14:schemeClr w14:val="tx1"/>
            </w14:solidFill>
          </w14:textFill>
        </w:rPr>
        <w:t>月</w:t>
      </w:r>
      <w:r>
        <w:rPr>
          <w:rFonts w:ascii="宋体" w:hAnsi="宋体" w:eastAsia="宋体"/>
          <w:color w:val="000000" w:themeColor="text1"/>
          <w:szCs w:val="21"/>
          <w:u w:val="single"/>
          <w14:textFill>
            <w14:solidFill>
              <w14:schemeClr w14:val="tx1"/>
            </w14:solidFill>
          </w14:textFill>
        </w:rPr>
        <w:t>27</w:t>
      </w:r>
      <w:r>
        <w:rPr>
          <w:rFonts w:hint="eastAsia" w:ascii="宋体" w:hAnsi="宋体" w:eastAsia="宋体"/>
          <w:color w:val="000000" w:themeColor="text1"/>
          <w:szCs w:val="21"/>
          <w:u w:val="single"/>
          <w14:textFill>
            <w14:solidFill>
              <w14:schemeClr w14:val="tx1"/>
            </w14:solidFill>
          </w14:textFill>
        </w:rPr>
        <w:t>日0</w:t>
      </w:r>
      <w:r>
        <w:rPr>
          <w:rFonts w:ascii="宋体" w:hAnsi="宋体" w:eastAsia="宋体"/>
          <w:color w:val="000000" w:themeColor="text1"/>
          <w:szCs w:val="21"/>
          <w:u w:val="single"/>
          <w14:textFill>
            <w14:solidFill>
              <w14:schemeClr w14:val="tx1"/>
            </w14:solidFill>
          </w14:textFill>
        </w:rPr>
        <w:t>9</w:t>
      </w:r>
      <w:r>
        <w:rPr>
          <w:rFonts w:hint="eastAsia" w:ascii="宋体" w:hAnsi="宋体" w:eastAsia="宋体"/>
          <w:color w:val="000000" w:themeColor="text1"/>
          <w:szCs w:val="21"/>
          <w:u w:val="single"/>
          <w14:textFill>
            <w14:solidFill>
              <w14:schemeClr w14:val="tx1"/>
            </w14:solidFill>
          </w14:textFill>
        </w:rPr>
        <w:t>时3</w:t>
      </w:r>
      <w:r>
        <w:rPr>
          <w:rFonts w:ascii="宋体" w:hAnsi="宋体" w:eastAsia="宋体"/>
          <w:color w:val="000000" w:themeColor="text1"/>
          <w:szCs w:val="21"/>
          <w:u w:val="single"/>
          <w14:textFill>
            <w14:solidFill>
              <w14:schemeClr w14:val="tx1"/>
            </w14:solidFill>
          </w14:textFill>
        </w:rPr>
        <w:t>0</w:t>
      </w:r>
      <w:r>
        <w:rPr>
          <w:rFonts w:hint="eastAsia" w:ascii="宋体" w:hAnsi="宋体" w:eastAsia="宋体"/>
          <w:color w:val="000000" w:themeColor="text1"/>
          <w:szCs w:val="21"/>
          <w:u w:val="single"/>
          <w14:textFill>
            <w14:solidFill>
              <w14:schemeClr w14:val="tx1"/>
            </w14:solidFill>
          </w14:textFill>
        </w:rPr>
        <w:t>分</w:t>
      </w:r>
      <w:r>
        <w:rPr>
          <w:rFonts w:hint="eastAsia" w:ascii="宋体" w:hAnsi="宋体" w:eastAsia="宋体"/>
          <w:color w:val="000000" w:themeColor="text1"/>
          <w:szCs w:val="21"/>
          <w14:textFill>
            <w14:solidFill>
              <w14:schemeClr w14:val="tx1"/>
            </w14:solidFill>
          </w14:textFill>
        </w:rPr>
        <w:t>在广西政府采购云平台电子开标大厅开标。</w:t>
      </w:r>
    </w:p>
    <w:p w14:paraId="7F207D6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CA证书在线解密：供应商投标时，需携带制作投标文件时用来加密的有效数字证书（CA认证）登录广西政府采购云平台电子开标大厅现场按规定时间对加密的投标文件进行解密，未能按要求进行解密的，由此产生的后果由投标人自行承担。</w:t>
      </w:r>
    </w:p>
    <w:p w14:paraId="1C77D8D9">
      <w:pPr>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五、公告期限</w:t>
      </w:r>
    </w:p>
    <w:p w14:paraId="3CC6BD3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自本公告发布之日起5个工作日。</w:t>
      </w:r>
    </w:p>
    <w:p w14:paraId="2F550221">
      <w:pPr>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六、其他补充事宜</w:t>
      </w:r>
    </w:p>
    <w:p w14:paraId="6B3F731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1.投标保证金：本项目不收取投标保证金。</w:t>
      </w:r>
    </w:p>
    <w:p w14:paraId="7C2F480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2.采购意向公开链接：</w:t>
      </w:r>
    </w:p>
    <w:p w14:paraId="3CEABBA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http://www.ccgp-guangxi.gov.cn/site/detail?parentId=66601&amp;articleId=hiBvNENhUqm2sjNF6b7IHA==</w:t>
      </w:r>
    </w:p>
    <w:p w14:paraId="142E262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3.网上查询地址</w:t>
      </w:r>
    </w:p>
    <w:p w14:paraId="49796A6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中国政府采购网（http：//www.ccgp.gov.cn），广西政府采购网（http：//zfcg.gxzf.gov.cn），全国公共资源交易平台（广西南宁）（http：//ggzy.jgswj.gxzf.gov.cn/nnggzy/）。</w:t>
      </w:r>
    </w:p>
    <w:p w14:paraId="51F39D8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4.本项目需要落实的政府采购政策：</w:t>
      </w:r>
    </w:p>
    <w:p w14:paraId="09F0038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（1）政府采购促进中小企业发展。</w:t>
      </w:r>
    </w:p>
    <w:p w14:paraId="57C48C6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（2）政府采购支持采用本国产品的政策。</w:t>
      </w:r>
    </w:p>
    <w:p w14:paraId="2A4AA83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（3）强制采购节能产品；优先采购节能产品、环境标志产品。</w:t>
      </w:r>
    </w:p>
    <w:p w14:paraId="0D239E7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（4）政府采购促进残疾人就业政策。</w:t>
      </w:r>
    </w:p>
    <w:p w14:paraId="2A842C2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2B9FA37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若对项目采购电子交易系统操作有疑问，可登录广西政府采购云平台（https：//www.gcy.zfcg.gxzf.gov.cn），点击右侧咨询小采，获取采小蜜智能服务管家帮助，或拨打广西政府采购云平台服务热线95763获取热线服务帮助。</w:t>
      </w:r>
    </w:p>
    <w:p w14:paraId="264F2CBB">
      <w:pPr>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七、对本次招标提出询问，请按以下方式联系</w:t>
      </w:r>
    </w:p>
    <w:p w14:paraId="4673B84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1.采购人信息</w:t>
      </w:r>
    </w:p>
    <w:p w14:paraId="607089E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名称：南宁市公安局刑事侦查支队</w:t>
      </w:r>
    </w:p>
    <w:p w14:paraId="5867392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地址：广西壮族自治区南宁市青秀区葛村路6号</w:t>
      </w:r>
    </w:p>
    <w:p w14:paraId="0B08B65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项目联系人：徐警官</w:t>
      </w:r>
    </w:p>
    <w:p w14:paraId="6848A07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联系电话：0771-</w:t>
      </w:r>
      <w:r>
        <w:rPr>
          <w:rFonts w:ascii="宋体" w:hAnsi="宋体" w:eastAsia="宋体"/>
          <w:color w:val="000000" w:themeColor="text1"/>
          <w:szCs w:val="21"/>
          <w14:textFill>
            <w14:solidFill>
              <w14:schemeClr w14:val="tx1"/>
            </w14:solidFill>
          </w14:textFill>
        </w:rPr>
        <w:t>5881111</w:t>
      </w:r>
    </w:p>
    <w:p w14:paraId="453FF1A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2.采购代理机构信息</w:t>
      </w:r>
    </w:p>
    <w:p w14:paraId="4126955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名称：广西科文招标有限公司</w:t>
      </w:r>
    </w:p>
    <w:p w14:paraId="003D211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地址：广西壮族自治区南宁市民族大道141号中鼎万象东方D座5楼</w:t>
      </w:r>
    </w:p>
    <w:p w14:paraId="442B8FC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联系电话：0771-2023</w:t>
      </w:r>
      <w:r>
        <w:rPr>
          <w:rFonts w:ascii="宋体" w:hAnsi="宋体" w:eastAsia="宋体"/>
          <w:color w:val="000000" w:themeColor="text1"/>
          <w:szCs w:val="21"/>
          <w14:textFill>
            <w14:solidFill>
              <w14:schemeClr w14:val="tx1"/>
            </w14:solidFill>
          </w14:textFill>
        </w:rPr>
        <w:t>903</w:t>
      </w:r>
    </w:p>
    <w:p w14:paraId="56379B0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3.项目联系方式</w:t>
      </w:r>
    </w:p>
    <w:p w14:paraId="2E42A28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项目联系人：刘忠虎、严广廷</w:t>
      </w:r>
    </w:p>
    <w:p w14:paraId="4D61BFC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联系电话：0771-2023</w:t>
      </w:r>
      <w:r>
        <w:rPr>
          <w:rFonts w:ascii="宋体" w:hAnsi="宋体" w:eastAsia="宋体"/>
          <w:color w:val="000000" w:themeColor="text1"/>
          <w:szCs w:val="21"/>
          <w14:textFill>
            <w14:solidFill>
              <w14:schemeClr w14:val="tx1"/>
            </w14:solidFill>
          </w14:textFill>
        </w:rPr>
        <w:t>903</w:t>
      </w:r>
    </w:p>
    <w:p w14:paraId="3A06171F">
      <w:pPr>
        <w:spacing w:line="360" w:lineRule="auto"/>
        <w:ind w:firstLine="420" w:firstLineChars="200"/>
        <w:rPr>
          <w:rFonts w:ascii="宋体" w:hAnsi="宋体" w:eastAsia="宋体"/>
          <w:color w:val="000000" w:themeColor="text1"/>
          <w:szCs w:val="21"/>
          <w14:textFill>
            <w14:solidFill>
              <w14:schemeClr w14:val="tx1"/>
            </w14:solidFill>
          </w14:textFill>
        </w:rPr>
      </w:pPr>
    </w:p>
    <w:p w14:paraId="16B1C91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附件：1.CA证书申请方式及操作指南下载地址（登陆http：//nncz.nanning.gov.cn/（南宁市财政局官网）－业务专题－政府采购监督管理－资料下载－“广西政采云西部CA办理方式”或“南宁市政采云CA证书办理操作指南”）。</w:t>
      </w:r>
    </w:p>
    <w:p w14:paraId="3D7C667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2.电子投标文件制作与投送教程（在此网址下载：http：//nncz.nanning.gov.cn/（南宁市财政局官网）－业务专题－政府采购监督管理－资料下载－南宁市政府采购项目全流程电子化交易操作指南）。</w:t>
      </w:r>
    </w:p>
    <w:p w14:paraId="6874181B">
      <w:pPr>
        <w:spacing w:line="360" w:lineRule="auto"/>
        <w:ind w:firstLine="420" w:firstLineChars="200"/>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广西科文招标有限公司</w:t>
      </w:r>
    </w:p>
    <w:p w14:paraId="48CDB014">
      <w:pPr>
        <w:wordWrap w:val="0"/>
        <w:spacing w:line="360" w:lineRule="auto"/>
        <w:ind w:firstLine="420" w:firstLineChars="200"/>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2025年</w:t>
      </w:r>
      <w:r>
        <w:rPr>
          <w:rFonts w:ascii="宋体" w:hAnsi="宋体" w:eastAsia="宋体"/>
          <w:color w:val="000000" w:themeColor="text1"/>
          <w:szCs w:val="21"/>
          <w14:textFill>
            <w14:solidFill>
              <w14:schemeClr w14:val="tx1"/>
            </w14:solidFill>
          </w14:textFill>
        </w:rPr>
        <w:t>6</w:t>
      </w:r>
      <w:r>
        <w:rPr>
          <w:rFonts w:hint="eastAsia" w:ascii="宋体" w:hAnsi="宋体" w:eastAsia="宋体"/>
          <w:color w:val="000000" w:themeColor="text1"/>
          <w:szCs w:val="21"/>
          <w14:textFill>
            <w14:solidFill>
              <w14:schemeClr w14:val="tx1"/>
            </w14:solidFill>
          </w14:textFill>
        </w:rPr>
        <w:t>月</w:t>
      </w:r>
      <w:r>
        <w:rPr>
          <w:rFonts w:ascii="宋体" w:hAnsi="宋体" w:eastAsia="宋体"/>
          <w:color w:val="000000" w:themeColor="text1"/>
          <w:szCs w:val="21"/>
          <w14:textFill>
            <w14:solidFill>
              <w14:schemeClr w14:val="tx1"/>
            </w14:solidFill>
          </w14:textFill>
        </w:rPr>
        <w:t>6</w:t>
      </w:r>
      <w:r>
        <w:rPr>
          <w:rFonts w:hint="eastAsia" w:ascii="宋体" w:hAnsi="宋体" w:eastAsia="宋体"/>
          <w:color w:val="000000" w:themeColor="text1"/>
          <w:szCs w:val="21"/>
          <w14:textFill>
            <w14:solidFill>
              <w14:schemeClr w14:val="tx1"/>
            </w14:solidFill>
          </w14:textFill>
        </w:rPr>
        <w:t>日</w:t>
      </w:r>
    </w:p>
    <w:p w14:paraId="15E8DB2A">
      <w:pPr>
        <w:spacing w:line="360" w:lineRule="auto"/>
        <w:ind w:firstLine="420" w:firstLineChars="200"/>
        <w:rPr>
          <w:rFonts w:ascii="宋体" w:hAnsi="宋体" w:eastAsia="宋体"/>
          <w:color w:val="000000" w:themeColor="text1"/>
          <w:szCs w:val="21"/>
          <w14:textFill>
            <w14:solidFill>
              <w14:schemeClr w14:val="tx1"/>
            </w14:solidFill>
          </w14:textFill>
        </w:rPr>
        <w:sectPr>
          <w:footerReference r:id="rId5" w:type="default"/>
          <w:pgSz w:w="11906" w:h="16838"/>
          <w:pgMar w:top="1418" w:right="1418" w:bottom="1418" w:left="1418" w:header="851" w:footer="992" w:gutter="0"/>
          <w:pgNumType w:start="1"/>
          <w:cols w:space="425" w:num="1"/>
          <w:docGrid w:type="lines" w:linePitch="312" w:charSpace="0"/>
        </w:sectPr>
      </w:pPr>
    </w:p>
    <w:p w14:paraId="212CA351">
      <w:pPr>
        <w:pStyle w:val="2"/>
        <w:spacing w:before="0" w:after="0" w:line="240" w:lineRule="auto"/>
        <w:jc w:val="center"/>
        <w:rPr>
          <w:rFonts w:ascii="宋体" w:hAnsi="宋体" w:eastAsia="宋体"/>
          <w:color w:val="000000" w:themeColor="text1"/>
          <w:sz w:val="36"/>
          <w:szCs w:val="36"/>
          <w14:textFill>
            <w14:solidFill>
              <w14:schemeClr w14:val="tx1"/>
            </w14:solidFill>
          </w14:textFill>
        </w:rPr>
      </w:pPr>
      <w:bookmarkStart w:id="1" w:name="_Toc198316056"/>
      <w:r>
        <w:rPr>
          <w:rFonts w:hint="eastAsia" w:ascii="宋体" w:hAnsi="宋体" w:eastAsia="宋体"/>
          <w:color w:val="000000" w:themeColor="text1"/>
          <w:sz w:val="36"/>
          <w:szCs w:val="36"/>
          <w14:textFill>
            <w14:solidFill>
              <w14:schemeClr w14:val="tx1"/>
            </w14:solidFill>
          </w14:textFill>
        </w:rPr>
        <w:t>第二</w:t>
      </w:r>
      <w:r>
        <w:rPr>
          <w:rFonts w:hint="eastAsia" w:ascii="宋体" w:hAnsi="宋体" w:eastAsia="宋体"/>
          <w:color w:val="000000" w:themeColor="text1"/>
          <w:spacing w:val="120"/>
          <w:sz w:val="36"/>
          <w:szCs w:val="36"/>
          <w14:textFill>
            <w14:solidFill>
              <w14:schemeClr w14:val="tx1"/>
            </w14:solidFill>
          </w14:textFill>
        </w:rPr>
        <w:t>章</w:t>
      </w:r>
      <w:r>
        <w:rPr>
          <w:rFonts w:hint="eastAsia" w:ascii="宋体" w:hAnsi="宋体" w:eastAsia="宋体"/>
          <w:color w:val="000000" w:themeColor="text1"/>
          <w:sz w:val="36"/>
          <w:szCs w:val="36"/>
          <w14:textFill>
            <w14:solidFill>
              <w14:schemeClr w14:val="tx1"/>
            </w14:solidFill>
          </w14:textFill>
        </w:rPr>
        <w:t>采购需求</w:t>
      </w:r>
      <w:bookmarkEnd w:id="1"/>
    </w:p>
    <w:p w14:paraId="488211B9">
      <w:pPr>
        <w:spacing w:line="360" w:lineRule="auto"/>
        <w:ind w:firstLine="420" w:firstLineChars="200"/>
        <w:rPr>
          <w:rFonts w:ascii="宋体" w:hAnsi="宋体" w:eastAsia="宋体"/>
          <w:color w:val="000000" w:themeColor="text1"/>
          <w:szCs w:val="21"/>
          <w14:textFill>
            <w14:solidFill>
              <w14:schemeClr w14:val="tx1"/>
            </w14:solidFill>
          </w14:textFill>
        </w:rPr>
      </w:pPr>
    </w:p>
    <w:p w14:paraId="40EEC1FF">
      <w:pPr>
        <w:spacing w:line="360" w:lineRule="auto"/>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说明：</w:t>
      </w:r>
    </w:p>
    <w:p w14:paraId="22951AA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1.为落实政府采购政策需满足的要求：</w:t>
      </w:r>
    </w:p>
    <w:p w14:paraId="4D2CF37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（1）本招标文件所称中小企业必须符合《政府采购促进中小企业发展管理办法》（财库〔2020〕46号）的规定。</w:t>
      </w:r>
    </w:p>
    <w:p w14:paraId="5084811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根据《财政部发展改革委生态环境部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w:t>
      </w:r>
      <w:r>
        <w:rPr>
          <w:rFonts w:hint="eastAsia" w:ascii="宋体" w:hAnsi="宋体" w:eastAsia="宋体"/>
          <w:b/>
          <w:color w:val="000000" w:themeColor="text1"/>
          <w:szCs w:val="21"/>
          <w14:textFill>
            <w14:solidFill>
              <w14:schemeClr w14:val="tx1"/>
            </w14:solidFill>
          </w14:textFill>
        </w:rPr>
        <w:t>否则投标文件作无效处理</w:t>
      </w:r>
      <w:r>
        <w:rPr>
          <w:rFonts w:hint="eastAsia" w:ascii="宋体" w:hAnsi="宋体" w:eastAsia="宋体"/>
          <w:color w:val="000000" w:themeColor="text1"/>
          <w:szCs w:val="21"/>
          <w14:textFill>
            <w14:solidFill>
              <w14:schemeClr w14:val="tx1"/>
            </w14:solidFill>
          </w14:textFill>
        </w:rPr>
        <w:t>。如本项目包含的货物属于品目清单内非标注“★”的产品时，应优先采购，具体详见“第四章评标方法及评标标准”。</w:t>
      </w:r>
    </w:p>
    <w:p w14:paraId="0659CC1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w:t>
      </w:r>
      <w:r>
        <w:rPr>
          <w:rFonts w:hint="eastAsia" w:ascii="宋体" w:hAnsi="宋体" w:eastAsia="宋体"/>
          <w:b/>
          <w:color w:val="000000" w:themeColor="text1"/>
          <w:szCs w:val="21"/>
          <w14:textFill>
            <w14:solidFill>
              <w14:schemeClr w14:val="tx1"/>
            </w14:solidFill>
          </w14:textFill>
        </w:rPr>
        <w:t>根据《关于信息安全产品实施政府采购的通知》（财库〔2010〕48号）的规定，本项目采购范围包含信息安全产品的（信息安全产品包括：</w:t>
      </w:r>
      <w:r>
        <w:rPr>
          <w:rFonts w:hint="eastAsia" w:ascii="宋体" w:hAnsi="宋体" w:eastAsia="宋体"/>
          <w:b/>
          <w:color w:val="000000" w:themeColor="text1"/>
          <w:szCs w:val="21"/>
          <w:u w:val="single"/>
          <w14:textFill>
            <w14:solidFill>
              <w14:schemeClr w14:val="tx1"/>
            </w14:solidFill>
          </w14:textFill>
        </w:rPr>
        <w:t>防火墙、网络安全隔离卡与线路选择器、安全隔离与信息交换产品、安全路由器、智能卡COS、数据备份与恢复产品、安全操作系统、安全数据库系统、反垃圾邮件产品、入侵检测系统（IDS）、网络脆弱扫描产品、安全审计产品、网站恢复产品），投标人必须在投标文件中提供中国信息安全认证中心授予的有效的信息安全产品认证证书</w:t>
      </w:r>
      <w:r>
        <w:rPr>
          <w:rFonts w:hint="eastAsia" w:ascii="宋体" w:hAnsi="宋体" w:eastAsia="宋体"/>
          <w:b/>
          <w:color w:val="000000" w:themeColor="text1"/>
          <w:szCs w:val="21"/>
          <w14:textFill>
            <w14:solidFill>
              <w14:schemeClr w14:val="tx1"/>
            </w14:solidFill>
          </w14:textFill>
        </w:rPr>
        <w:t>（加盖投标人公章），否则投标文件作无效处理</w:t>
      </w:r>
      <w:r>
        <w:rPr>
          <w:rFonts w:hint="eastAsia" w:ascii="宋体" w:hAnsi="宋体" w:eastAsia="宋体"/>
          <w:color w:val="000000" w:themeColor="text1"/>
          <w:szCs w:val="21"/>
          <w14:textFill>
            <w14:solidFill>
              <w14:schemeClr w14:val="tx1"/>
            </w14:solidFill>
          </w14:textFill>
        </w:rPr>
        <w:t>。</w:t>
      </w:r>
    </w:p>
    <w:p w14:paraId="3DF75BA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2.“实质性要求”是指招标文件中已经指明不满足则投标无效的条款，或者不能负偏离的条款，或者采购需求中带“▲”的条款。</w:t>
      </w:r>
    </w:p>
    <w:p w14:paraId="55850D6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3.不需要投标人对采购需求响应为具体数值的，此采购需求的数值后将以◆号标注。</w:t>
      </w:r>
    </w:p>
    <w:p w14:paraId="6C61326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4.如投标人投标产品存在侵犯他人的知识产权或者专利成果行为的，应承担相应法律责任。</w:t>
      </w:r>
    </w:p>
    <w:p w14:paraId="3E8FFEF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5</w:t>
      </w:r>
      <w:r>
        <w:rPr>
          <w:rFonts w:hint="eastAsia" w:ascii="宋体" w:hAnsi="宋体" w:eastAsia="宋体"/>
          <w:color w:val="000000" w:themeColor="text1"/>
          <w:szCs w:val="21"/>
          <w14:textFill>
            <w14:solidFill>
              <w14:schemeClr w14:val="tx1"/>
            </w14:solidFill>
          </w14:textFill>
        </w:rPr>
        <w:t>.本项目采购总预算为</w:t>
      </w:r>
      <w:r>
        <w:rPr>
          <w:rFonts w:ascii="宋体" w:hAnsi="宋体" w:eastAsia="宋体"/>
          <w:color w:val="000000" w:themeColor="text1"/>
          <w:szCs w:val="21"/>
          <w14:textFill>
            <w14:solidFill>
              <w14:schemeClr w14:val="tx1"/>
            </w14:solidFill>
          </w14:textFill>
        </w:rPr>
        <w:t>3288000.00</w:t>
      </w:r>
      <w:r>
        <w:rPr>
          <w:rFonts w:hint="eastAsia" w:ascii="宋体" w:hAnsi="宋体" w:eastAsia="宋体"/>
          <w:color w:val="000000" w:themeColor="text1"/>
          <w:szCs w:val="21"/>
          <w14:textFill>
            <w14:solidFill>
              <w14:schemeClr w14:val="tx1"/>
            </w14:solidFill>
          </w14:textFill>
        </w:rPr>
        <w:t>元，投标总报价或某分项报价若超采购预算的作投标无效处理。</w:t>
      </w:r>
    </w:p>
    <w:p w14:paraId="35355DCA">
      <w:pPr>
        <w:spacing w:line="360" w:lineRule="auto"/>
        <w:ind w:firstLine="420" w:firstLineChars="200"/>
        <w:rPr>
          <w:rFonts w:ascii="宋体" w:hAnsi="宋体" w:eastAsia="宋体"/>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tbl>
      <w:tblPr>
        <w:tblStyle w:val="14"/>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426"/>
        <w:gridCol w:w="709"/>
        <w:gridCol w:w="425"/>
        <w:gridCol w:w="567"/>
        <w:gridCol w:w="4678"/>
        <w:gridCol w:w="708"/>
        <w:gridCol w:w="708"/>
        <w:gridCol w:w="710"/>
      </w:tblGrid>
      <w:tr w14:paraId="6F75A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1" w:type="dxa"/>
            <w:gridSpan w:val="9"/>
            <w:vAlign w:val="center"/>
          </w:tcPr>
          <w:p w14:paraId="5B5BE539">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货物或服务需求一览表</w:t>
            </w:r>
          </w:p>
        </w:tc>
      </w:tr>
      <w:tr w14:paraId="234D0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gridSpan w:val="2"/>
            <w:vAlign w:val="center"/>
          </w:tcPr>
          <w:p w14:paraId="0FF66B01">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标段</w:t>
            </w:r>
          </w:p>
        </w:tc>
        <w:tc>
          <w:tcPr>
            <w:tcW w:w="8505" w:type="dxa"/>
            <w:gridSpan w:val="7"/>
            <w:vAlign w:val="center"/>
          </w:tcPr>
          <w:p w14:paraId="7B73C4AD">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/分标</w:t>
            </w:r>
          </w:p>
        </w:tc>
      </w:tr>
      <w:tr w14:paraId="329CB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0" w:type="dxa"/>
            <w:vMerge w:val="restart"/>
            <w:vAlign w:val="center"/>
          </w:tcPr>
          <w:p w14:paraId="5E05C368">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采购清单及技术参数</w:t>
            </w:r>
          </w:p>
        </w:tc>
        <w:tc>
          <w:tcPr>
            <w:tcW w:w="426" w:type="dxa"/>
            <w:vAlign w:val="center"/>
          </w:tcPr>
          <w:p w14:paraId="1E264FD7">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序号</w:t>
            </w:r>
          </w:p>
        </w:tc>
        <w:tc>
          <w:tcPr>
            <w:tcW w:w="709" w:type="dxa"/>
            <w:vAlign w:val="center"/>
          </w:tcPr>
          <w:p w14:paraId="3ED1A387">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采购货物名称</w:t>
            </w:r>
          </w:p>
        </w:tc>
        <w:tc>
          <w:tcPr>
            <w:tcW w:w="425" w:type="dxa"/>
            <w:vAlign w:val="center"/>
          </w:tcPr>
          <w:p w14:paraId="0B7B4345">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单位</w:t>
            </w:r>
          </w:p>
        </w:tc>
        <w:tc>
          <w:tcPr>
            <w:tcW w:w="567" w:type="dxa"/>
            <w:vAlign w:val="center"/>
          </w:tcPr>
          <w:p w14:paraId="12D05DA6">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数量</w:t>
            </w:r>
          </w:p>
        </w:tc>
        <w:tc>
          <w:tcPr>
            <w:tcW w:w="4678" w:type="dxa"/>
            <w:vAlign w:val="center"/>
          </w:tcPr>
          <w:p w14:paraId="5EA569E4">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技术参数</w:t>
            </w:r>
          </w:p>
        </w:tc>
        <w:tc>
          <w:tcPr>
            <w:tcW w:w="708" w:type="dxa"/>
            <w:vAlign w:val="center"/>
          </w:tcPr>
          <w:p w14:paraId="0ADC3FB3">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单价（元）</w:t>
            </w:r>
          </w:p>
        </w:tc>
        <w:tc>
          <w:tcPr>
            <w:tcW w:w="708" w:type="dxa"/>
            <w:vAlign w:val="center"/>
          </w:tcPr>
          <w:p w14:paraId="3E8470C6">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分项预算合计（元）</w:t>
            </w:r>
          </w:p>
        </w:tc>
        <w:tc>
          <w:tcPr>
            <w:tcW w:w="710" w:type="dxa"/>
            <w:vAlign w:val="center"/>
          </w:tcPr>
          <w:p w14:paraId="79E71EFD">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中小企业划分标准所属行业名称</w:t>
            </w:r>
          </w:p>
        </w:tc>
      </w:tr>
      <w:tr w14:paraId="4C0E2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0" w:type="dxa"/>
            <w:vMerge w:val="continue"/>
            <w:vAlign w:val="center"/>
          </w:tcPr>
          <w:p w14:paraId="426D76F0">
            <w:pPr>
              <w:spacing w:line="360" w:lineRule="auto"/>
              <w:jc w:val="center"/>
              <w:rPr>
                <w:rFonts w:ascii="宋体" w:hAnsi="宋体" w:eastAsia="宋体"/>
                <w:color w:val="000000" w:themeColor="text1"/>
                <w:szCs w:val="21"/>
                <w14:textFill>
                  <w14:solidFill>
                    <w14:schemeClr w14:val="tx1"/>
                  </w14:solidFill>
                </w14:textFill>
              </w:rPr>
            </w:pPr>
          </w:p>
        </w:tc>
        <w:tc>
          <w:tcPr>
            <w:tcW w:w="426" w:type="dxa"/>
            <w:vAlign w:val="center"/>
          </w:tcPr>
          <w:p w14:paraId="7C78B28B">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tc>
        <w:tc>
          <w:tcPr>
            <w:tcW w:w="709" w:type="dxa"/>
            <w:vAlign w:val="center"/>
          </w:tcPr>
          <w:p w14:paraId="3D668B23">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新型涉网犯罪一站式智勘取证终端</w:t>
            </w:r>
          </w:p>
        </w:tc>
        <w:tc>
          <w:tcPr>
            <w:tcW w:w="425" w:type="dxa"/>
            <w:vAlign w:val="center"/>
          </w:tcPr>
          <w:p w14:paraId="21F4954F">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套</w:t>
            </w:r>
          </w:p>
        </w:tc>
        <w:tc>
          <w:tcPr>
            <w:tcW w:w="567" w:type="dxa"/>
            <w:vAlign w:val="center"/>
          </w:tcPr>
          <w:p w14:paraId="3F10B823">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50</w:t>
            </w:r>
          </w:p>
        </w:tc>
        <w:tc>
          <w:tcPr>
            <w:tcW w:w="4678" w:type="dxa"/>
            <w:vAlign w:val="center"/>
          </w:tcPr>
          <w:p w14:paraId="322CC89B">
            <w:pPr>
              <w:spacing w:line="360" w:lineRule="auto"/>
              <w:jc w:val="lef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一、参数</w:t>
            </w:r>
          </w:p>
          <w:p w14:paraId="7B18B4E0">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设备由多功能高清摄像头、可视化交互与电子手写签名板组成。实现电子证据一站式规范化、流程化、无纸化、透明化的高效提取。</w:t>
            </w:r>
          </w:p>
          <w:p w14:paraId="7DDFFC05">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1.多功能高清摄像头：主摄像头支持快速录入人员证件信息以及采集固定物证信息（手机、相关票据与银行卡等信息）；副摄像头支持拍摄人像。</w:t>
            </w:r>
          </w:p>
          <w:p w14:paraId="14D43565">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2.可视化交互：支持查看数据提取过程、确认取证结果和电子数据现场提取笔录内容，实现取证过程透明化。</w:t>
            </w:r>
          </w:p>
          <w:p w14:paraId="2C11149F">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●3.电子手写签名板：优化电子数据现场提取笔录的归档流程，实现一站式快速无纸化电子数据现场提取笔录的制作、签名与归档，提升工作效率。</w:t>
            </w:r>
          </w:p>
          <w:p w14:paraId="2650E2B1">
            <w:pPr>
              <w:spacing w:line="360" w:lineRule="auto"/>
              <w:jc w:val="lef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二、功能要求</w:t>
            </w:r>
          </w:p>
          <w:p w14:paraId="08156C5B">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设备能够辅助用户按照现场勘查规范精准高效完成涉网案件勘查工作。支持数据自动导入现场勘查系统，并在现场勘查系统内对数据进行关联建库和管理应用。</w:t>
            </w:r>
          </w:p>
          <w:p w14:paraId="38EAA08C">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1.案件信息录入</w:t>
            </w:r>
          </w:p>
          <w:p w14:paraId="1C1DEB43">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（1）基本信息编辑录入</w:t>
            </w:r>
          </w:p>
          <w:p w14:paraId="42D718FF">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1）支持录入案件的各项案件信息，包括案件编号、警情编号、涉案金额、发案开始时间、发案结束时间、简要案情和备注信息等内容；</w:t>
            </w:r>
          </w:p>
          <w:p w14:paraId="50E6B631">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2）支持信息校验。</w:t>
            </w:r>
          </w:p>
          <w:p w14:paraId="3DE8618C">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（2）案件类别录入</w:t>
            </w:r>
          </w:p>
          <w:p w14:paraId="16F31958">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支持对电诈类案件类别进行关键词检索、首字母检索和录入。</w:t>
            </w:r>
          </w:p>
          <w:p w14:paraId="07200483">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（3）勘验时间</w:t>
            </w:r>
          </w:p>
          <w:p w14:paraId="7259CA43">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支持自动录入当前时间作为勘验时间。</w:t>
            </w:r>
          </w:p>
          <w:p w14:paraId="79B160C6">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（4）侦查员信息录入</w:t>
            </w:r>
          </w:p>
          <w:p w14:paraId="24DA96A0">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1）支持自动录入当前侦查员账号、姓名与单位的基本信息；</w:t>
            </w:r>
          </w:p>
          <w:p w14:paraId="70D133FD">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2）支持侦查员历史记录选择与手动录入；</w:t>
            </w:r>
          </w:p>
          <w:p w14:paraId="24C47622">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3）支持勘验地点历史记录选择与手动录入。</w:t>
            </w:r>
          </w:p>
          <w:p w14:paraId="1FF4CEB2">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（5）案发地点录入</w:t>
            </w:r>
          </w:p>
          <w:p w14:paraId="0DAA3C10">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支持通过地图搜索录入地址信息。</w:t>
            </w:r>
          </w:p>
          <w:p w14:paraId="56CEEA88">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2.人员信息采集</w:t>
            </w:r>
          </w:p>
          <w:p w14:paraId="5B085080">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（1）报案人/受害人信息</w:t>
            </w:r>
          </w:p>
          <w:p w14:paraId="69052A52">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1）支持录入或通过身份证智能识别录入（OCR识别）报案人/受害人基本信息；</w:t>
            </w:r>
          </w:p>
          <w:p w14:paraId="0635743E">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2）支持录入报案人/受害人手机号码、现住地址、文化程度、职业信息；</w:t>
            </w:r>
          </w:p>
          <w:p w14:paraId="4BB929F1">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3）支持对身份证、手机号码内容进行校验。</w:t>
            </w:r>
          </w:p>
          <w:p w14:paraId="198ADDF7">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4）支持对报案人/受害人的人像信息进行采集。</w:t>
            </w:r>
          </w:p>
          <w:p w14:paraId="7F721748">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5）户籍地址/现居住地址：支持通过地图搜索录入地址信息。</w:t>
            </w:r>
          </w:p>
          <w:p w14:paraId="56F41B18">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（2）嫌疑人信息</w:t>
            </w:r>
          </w:p>
          <w:p w14:paraId="6DC03DF5">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1）支持对嫌疑人相关信息进行录入，包括人员姓名、支付宝账号、银行账号、手机号码、QQ账号、财付通账号和其它自定义账号信息录入；</w:t>
            </w:r>
          </w:p>
          <w:p w14:paraId="0315E2D5">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2）支持录入多个嫌疑人员信息；</w:t>
            </w:r>
          </w:p>
          <w:p w14:paraId="79ABBE8C">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3）支持对手机号码内容进行校验；</w:t>
            </w:r>
          </w:p>
          <w:p w14:paraId="4CB9F167">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3.物证信息采集</w:t>
            </w:r>
          </w:p>
          <w:p w14:paraId="146EE698">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（1）支持物证正反面图片（包含比例尺）采集和物证信息录入；</w:t>
            </w:r>
          </w:p>
          <w:p w14:paraId="7D911774">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（2）支持物证参数智能采集，自动识别提取手机品牌、手机系统、系统版本、手机型号、IMEI1、IMEI2、MEID、序列号、MAC地址、机身容量信息。</w:t>
            </w:r>
          </w:p>
          <w:p w14:paraId="423DACDC">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（3）多物证提取</w:t>
            </w:r>
          </w:p>
          <w:p w14:paraId="531D472B">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支持对多个物证进行引导式提取和管理，可添加/删除/编辑物证信息。</w:t>
            </w:r>
          </w:p>
          <w:p w14:paraId="25400EE5">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4.电子数据提取</w:t>
            </w:r>
          </w:p>
          <w:p w14:paraId="25882B9A">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（1）数据提取</w:t>
            </w:r>
          </w:p>
          <w:p w14:paraId="73FD8690">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1）支持通过接触式与非接触式精准、快速提取微信、QQ、TIM、陌陌、旺信、闲鱼、易信、邮箱、支付宝、财付通、银行转账、扫码转账等应用的相关涉案信息。</w:t>
            </w:r>
          </w:p>
          <w:p w14:paraId="6020376C">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支持通过非接触式精准、快速提取微信、QQ、TIM等即时通讯APP内事主指定的与嫌疑人之间的全部通联记录。提取的数据内容包括：事主与嫌疑人的账号ID、昵称、聊天记录、嫌疑人语音、视频、图片、文件、红包、转账、网址、二维码等。</w:t>
            </w:r>
          </w:p>
          <w:p w14:paraId="4EFB26D7">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3）支持精准提取多账号及多会话的聊天记录内容。</w:t>
            </w:r>
          </w:p>
          <w:p w14:paraId="140DE292">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4）支持非接触式精准提取支付宝账单。</w:t>
            </w:r>
          </w:p>
          <w:p w14:paraId="73B9B40F">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5）支持通过截屏/录屏/拍照/手机导入/本地导入/无线导入/无线投屏截屏方式对事主手机中的涉案数据进行提取并分类。</w:t>
            </w:r>
          </w:p>
          <w:p w14:paraId="363D860E">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支持通过智能OCR识别技术对转账记录、交易记录、银行卡、票据等资金流数据进行全面提取和智能识别；支持账单信息、红包/转账信息智能识别与结构化处理。转账记录数据包含：转账方式、付款人账号和姓名、收款人账号和姓名、转账时间、金额等。</w:t>
            </w:r>
          </w:p>
          <w:p w14:paraId="714CA26C">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7）支持无线导入。无需安装插件，无需消耗流量，可按分类直接无线导入截屏、录屏、语音等涉案文件。</w:t>
            </w:r>
          </w:p>
          <w:p w14:paraId="23FFF32F">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8）支持对Android系统手机的滚动截屏，支持将一段聊天记录或账单信息自动截取成多张照片。</w:t>
            </w:r>
          </w:p>
          <w:p w14:paraId="2D2125EC">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（2）手机通联记录提取</w:t>
            </w:r>
          </w:p>
          <w:p w14:paraId="6BB88C06">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1）支持通讯录、通话记录、短信、通话录音提取；</w:t>
            </w:r>
          </w:p>
          <w:p w14:paraId="21E0B259">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2）支持对安卓手机内的涉案通讯录、通话记录、通话录音、手机短信进行精准提取。</w:t>
            </w:r>
          </w:p>
          <w:p w14:paraId="4426D706">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（3）嫌疑人语音提取</w:t>
            </w:r>
          </w:p>
          <w:p w14:paraId="2113E117">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1）支持对常见APP和小众APP的涉案语音进行采集。</w:t>
            </w:r>
          </w:p>
          <w:p w14:paraId="12AEF604">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2）支持通过录屏和导入方式提取嫌疑人语音。</w:t>
            </w:r>
          </w:p>
          <w:p w14:paraId="5D20B5F1">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3）支持嫌疑人语音（含通话录音）裁剪。</w:t>
            </w:r>
          </w:p>
          <w:p w14:paraId="4AF0CB1F">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（4）邮件内容提取。</w:t>
            </w:r>
          </w:p>
          <w:p w14:paraId="12AD45AC">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支持通过导入eml文件提取邮件结构化数据。</w:t>
            </w:r>
          </w:p>
          <w:p w14:paraId="1C56900F">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5.涉诈APP检测分析</w:t>
            </w:r>
          </w:p>
          <w:p w14:paraId="3FE1483F">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（1）涉诈APP采集</w:t>
            </w:r>
          </w:p>
          <w:p w14:paraId="409D6696">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1）APP来源信息提取：支持通过拍照识别、连接手机截屏、本地导入等方式，提取APP的二维码链接、下载网址等来源信息。支持从聊天记录中自动识别来源信息。</w:t>
            </w:r>
          </w:p>
          <w:p w14:paraId="71757031">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2）APP安装包提取：支持从手机直接提取或从本地导入APP安装包。支持从聊天记录附件中获取APP安装包，同时支持以扫描二维码、输入下载网址从网络下载APP安装包。</w:t>
            </w:r>
          </w:p>
          <w:p w14:paraId="415DF0A0">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APP安装包信息：支持从安装包中读取APP的名称、图标、包名、版本号等基本信息，以及APP的打包者、所有者、发布者、序列号、有效期、证书指纹、签名算法、签名版本等签名信息，支持计算APP安装包文件的MD5值。</w:t>
            </w:r>
          </w:p>
          <w:p w14:paraId="4BE50876">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4）APP及网站账号信息录入：支持录入APP及网站账号、密码、邀请码等信息。</w:t>
            </w:r>
          </w:p>
          <w:p w14:paraId="2C8264A5">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5）支持通过拍照、截屏方式对APP及网站进行取证。</w:t>
            </w:r>
          </w:p>
          <w:p w14:paraId="215BD640">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6）支持苹果APP安装包（IPA文件）提取。</w:t>
            </w:r>
          </w:p>
          <w:p w14:paraId="5B371397">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（2）涉诈APP分析检测（该功能按年收取费用）</w:t>
            </w:r>
          </w:p>
          <w:p w14:paraId="6AF7667D">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静态分析检测：</w:t>
            </w:r>
          </w:p>
          <w:p w14:paraId="3023B30F">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1）APP打包信息：支持利用逆向技术智能分析出APP的打包工具信息及APP在打包平台的身份ID。</w:t>
            </w:r>
          </w:p>
          <w:p w14:paraId="649924C8">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2）支持APP及网站应用服务器信息获取：支持智能分析出APP应用服务器的IP、域名，IP归属地、域名注册商等信息。</w:t>
            </w:r>
          </w:p>
          <w:p w14:paraId="622500CB">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3）APP及网站客服信息：支持利用逆向技术智能分析出APP的客服系统信息及APP在客服平台的身份ID。</w:t>
            </w:r>
          </w:p>
          <w:p w14:paraId="409C5A6A">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4）APP推送服务信息：支持利用逆向技术智能分析出APP的推送服务信息及APP在推送平台的身份ID。</w:t>
            </w:r>
          </w:p>
          <w:p w14:paraId="49457936">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5）支持APP权限分析及高危权限标识。</w:t>
            </w:r>
          </w:p>
          <w:p w14:paraId="0947EB41">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6）支持其他第三方服务ID分析。</w:t>
            </w:r>
          </w:p>
          <w:p w14:paraId="2718DFE7">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7）支持加壳APK自动脱壳分析。</w:t>
            </w:r>
          </w:p>
          <w:p w14:paraId="005258BE">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8）支持获取代码中的邮箱、URL、IP地址、GUID、哈希值、BASE64编码的URL，和手机号码。</w:t>
            </w:r>
          </w:p>
          <w:p w14:paraId="722330DC">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9）支持获取资源文件和配置文件中的字符串列表。</w:t>
            </w:r>
          </w:p>
          <w:p w14:paraId="4B165ED6">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10）支持加密APK分析。</w:t>
            </w:r>
          </w:p>
          <w:p w14:paraId="344103CC">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动态分析检测：</w:t>
            </w:r>
          </w:p>
          <w:p w14:paraId="3D3B6A99">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1）支持对处于运行状态的APP或访问状态的网站进行分析，分析APP运行过程或网站访问过程产生的网络数据及系统日志数据和应用行为数据等。</w:t>
            </w:r>
          </w:p>
          <w:p w14:paraId="2B753FFB">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2）支持实时网络数据包获取：支持获取APP或网站的实时网络数据包，包括数据包流向、时间、大小、协议类型、发送地址、接收地址等。</w:t>
            </w:r>
          </w:p>
          <w:p w14:paraId="4C245633">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3）支持网络访问记录获取：支持对获取的实时网络数据包自动分析及统计，按协议类型分类显示地址信息，支持对地址信息进行智能标注，标注地址关联的APP打包商、APP或网站客服运营商等。</w:t>
            </w:r>
          </w:p>
          <w:p w14:paraId="290BD073">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4）支持实时系统日志信息获取：支持获取APP的实时系统日志。</w:t>
            </w:r>
          </w:p>
          <w:p w14:paraId="45489129">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支持应用行为记录获取：支持获取APP或网站的行为记录信息，包括APP是否有获取联系人、通话记录、日历、短信等行为，以及是否有获取粗略的位置信息、获得精确的位置信息、访问GPS、修改联系人、修改通话记录、修改日历、搜索WiFi、搜索基站、拨打电话、写短信、发送短信、修改/更新系统设置、访问摄像头、访问麦克风、访问电话状态、读外部存储、写外部存储、获取设备账号等操作手机行为。</w:t>
            </w:r>
          </w:p>
          <w:p w14:paraId="0BF5B361">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6）支持网络行为记录获取：支持获取APP或网站的网络行为记录信息，包括APP或网站启动、登录、注册等至少10种行为。</w:t>
            </w:r>
          </w:p>
          <w:p w14:paraId="6BEF4FC6">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支持APP或网站应用服务器分析：支持智能分析出APP或网站应用服务器的IP、域名、DNS、CDN，以及IP归属地、域名提供商、DNS提供商、CDN服务提供商等信息，同时支持服务器IP标签功能，可识别无效IP、CDN节点IP、反诈封堵IP等。</w:t>
            </w:r>
          </w:p>
          <w:p w14:paraId="56D46054">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8）支持利用实时网络数据智能分析出APP的打包工具信息及APP在打包平台的身份ID，且支持不少于24个打包平台的数据分析。</w:t>
            </w:r>
          </w:p>
          <w:p w14:paraId="2C806B08">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9）支持利用实时网络数据智能分析出APP或网站的客服系统信息及APP或网站在客服平台的身份ID，且支持不少于80个客服平台的数据分析。</w:t>
            </w:r>
          </w:p>
          <w:p w14:paraId="5596D6B0">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10）支持利用实时网络数据智能分析出APP或网站的推送服务信息及APP或网站在推送平台的身份ID，且支持不少于10个推送平台的数据分析。</w:t>
            </w:r>
          </w:p>
          <w:p w14:paraId="16B71467">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11）支持利用实时网络数据智能分析出对象存储服务信息，且支持不少于13个对象存储服务的数据分析。</w:t>
            </w:r>
          </w:p>
          <w:p w14:paraId="08966D91">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12）支持服务器面板信息、WEB指纹信息、HTTPS服务器证书信息分析。</w:t>
            </w:r>
          </w:p>
          <w:p w14:paraId="0DF6055B">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13）支持获取HTTP（S）报文中邮箱、URL、IP地址、手机号码、电话号码、QQ号码、微信号码。</w:t>
            </w:r>
          </w:p>
          <w:p w14:paraId="323837F2">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14）支持截屏标记：检测及回放过程支持一键截屏，并支持对截屏图片进行标注说明。</w:t>
            </w:r>
          </w:p>
          <w:p w14:paraId="31C7081F">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15）检测过程录屏：支持检测过程自动屏幕录像。</w:t>
            </w:r>
          </w:p>
          <w:p w14:paraId="3B8F527F">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16）支持查看和搜索HTTP（S）详细数据。</w:t>
            </w:r>
          </w:p>
          <w:p w14:paraId="045CA5B0">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可视化分析：</w:t>
            </w:r>
          </w:p>
          <w:p w14:paraId="714CF25A">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1）支持对APP或网站动态分析检测过程进行可视化回放分析，回放内容包括实时网络数据、实时系统日志、网络访问记录、应用行为记录和APP或网站操作过程录像。</w:t>
            </w:r>
          </w:p>
          <w:p w14:paraId="2FFA6759">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2）支持网络访问记录导出CSV文件。</w:t>
            </w:r>
          </w:p>
          <w:p w14:paraId="345B9687">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3）支持自动翻译网络地址关联的运营商、服务器位置、注册时间等信息。</w:t>
            </w:r>
          </w:p>
          <w:p w14:paraId="38AA80AD">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4）支持查看检测过程对地址信息进行智能标注的结果信息，包括地址关联的APP打包商、APP或网站客服运营商等。</w:t>
            </w:r>
          </w:p>
          <w:p w14:paraId="00173934">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5）支持网络访问记录溯源到抓取的对应网络数据包。</w:t>
            </w:r>
          </w:p>
          <w:p w14:paraId="15FA36E4">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6）支持拖动播放进度条上的时间范围对检测结果数据进行过滤显示，辅助用户准确分析并标注涉案线索，同时支持将数据过滤范围标记添加到书签，并支持导出书签对应录屏视频用于证件固定。</w:t>
            </w:r>
          </w:p>
          <w:p w14:paraId="3B1888BE">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7）支持对检测过程中选定的部分范围进行循环播放。</w:t>
            </w:r>
          </w:p>
          <w:p w14:paraId="3742C632">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8）支持实时网络数据、实时系统日志数据和网络访问记录数据的关键词检索；支持对网络访问地址首次出现的时间进行自动定位。</w:t>
            </w:r>
          </w:p>
          <w:p w14:paraId="17BA4661">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9）自动卡点：回放过程支持一键自动卡点到播放位置。</w:t>
            </w:r>
          </w:p>
          <w:p w14:paraId="602AC563">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10）人工标记：支持对网络地址进行快速标记，快速标记应用服务器、客服系统、打包工具、推送服务、统计服务等。</w:t>
            </w:r>
          </w:p>
          <w:p w14:paraId="63E3521C">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11）选中某条网络访问记录时，支持一键自动卡点到该记录首次出现的位置。</w:t>
            </w:r>
          </w:p>
          <w:p w14:paraId="22D1F2A3">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（3）支持涉诈APP/涉诈网站数据一键上传汇聚到专业分析平台，可进行重新检测分析，分析结果可上传到现勘自动进行汇聚和关联。</w:t>
            </w:r>
          </w:p>
          <w:p w14:paraId="6B56115B">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●（4）APP同步解析功能支持采集的APP和网站数据能够自动同步至新型涉网案件智勘联侦分析系统，实现APP动态、深度检测分析。满足APP动态解析同步的能力，解决技术民警快速完善新型涉网案件勘查勘验。</w:t>
            </w:r>
          </w:p>
          <w:p w14:paraId="5FE4CE76">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6.涉诈网站检测分析</w:t>
            </w:r>
          </w:p>
          <w:p w14:paraId="67D16F30">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支持对安卓APP和苹果APP，以及手机网站和PC网站进行检测分析。</w:t>
            </w:r>
          </w:p>
          <w:p w14:paraId="68A37AF9">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7.数据质量检查与确认</w:t>
            </w:r>
          </w:p>
          <w:p w14:paraId="62B189EE">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支持对录入信息和提取数据自动进行合规数据质量评估检查，并自动根据提取内容项进行评估，支持跳转对应模块采集或补录数据。评估内容包括：电子数据、物证照片信息、物证基本信息、案件信息、报案人/受害人信息等。</w:t>
            </w:r>
          </w:p>
          <w:p w14:paraId="500569BE">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（2）支持涉案金额自动计算和大额提醒。</w:t>
            </w:r>
          </w:p>
          <w:p w14:paraId="7AB688A5">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（3）支持对提取的数据进行预览与分类统计汇总。</w:t>
            </w:r>
          </w:p>
          <w:p w14:paraId="47A50DFD">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（4）支持时序分析，对已采集数据进行智能时序分析，智能还原案件发案过程，辅助用户快速确认相关信息。</w:t>
            </w:r>
          </w:p>
          <w:p w14:paraId="22167A0E">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8.数据管理</w:t>
            </w:r>
          </w:p>
          <w:p w14:paraId="53552814">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（1）数据浏览</w:t>
            </w:r>
          </w:p>
          <w:p w14:paraId="04EF5B90">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1）支持通过多维度对案件信息进行搜索。通过提取时间、关键词、人员姓名、手机号码、涉案金额、证件号码进行搜索查询。</w:t>
            </w:r>
          </w:p>
          <w:p w14:paraId="6D98640C">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2）支持列表中对数据进行查看、删除、上传等操作。</w:t>
            </w:r>
          </w:p>
          <w:p w14:paraId="0A431E2B">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3）支持对提取的各类信息进行详细浏览。</w:t>
            </w:r>
          </w:p>
          <w:p w14:paraId="4BE90A33">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4）支持以会话模式浏览聊天记录。</w:t>
            </w:r>
          </w:p>
          <w:p w14:paraId="4639114E">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（2）数据上传</w:t>
            </w:r>
          </w:p>
          <w:p w14:paraId="1659C1D1">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1）支持单条或多条勘查记录数据实时上传至现勘系统。</w:t>
            </w:r>
          </w:p>
          <w:p w14:paraId="0C6D38A9">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2）支持上传提醒功能。</w:t>
            </w:r>
          </w:p>
          <w:p w14:paraId="552354AE">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（3）语音导出</w:t>
            </w:r>
          </w:p>
          <w:p w14:paraId="47747446">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支持对提取的通话录音和聊天记录中的嫌疑人语音进行批量导出，可通过选择嫌疑人昵称、账号实现特定嫌疑人关联语音的精确导出。</w:t>
            </w:r>
          </w:p>
          <w:p w14:paraId="599D6BD5">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（4）待办事项</w:t>
            </w:r>
          </w:p>
          <w:p w14:paraId="073EB262">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支持管理待上传、正在上传、暂存数据。</w:t>
            </w:r>
          </w:p>
          <w:p w14:paraId="0B4E1194">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9.提取报告与智能笔录</w:t>
            </w:r>
          </w:p>
          <w:p w14:paraId="4D05022D">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（1）提取报告</w:t>
            </w:r>
          </w:p>
          <w:p w14:paraId="54316704">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对提取的数据自动生成提取报告并生成MD5值，可导出报告。</w:t>
            </w:r>
          </w:p>
          <w:p w14:paraId="0649E929">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（2）智能笔录</w:t>
            </w:r>
          </w:p>
          <w:p w14:paraId="5C82822A">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支持按笔录模板一键自动生成电子数据现场提取笔录、电子数据提取固定清单、图片记录表、电子数据分析报告，并支持内容编辑修改。</w:t>
            </w:r>
          </w:p>
          <w:p w14:paraId="15C86EE9">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（3）电子签名</w:t>
            </w:r>
          </w:p>
          <w:p w14:paraId="45539877">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支持通过电子签名对笔录内容进行确认，签名自动填入智能笔录。</w:t>
            </w:r>
          </w:p>
          <w:p w14:paraId="330CF36F">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10.笔录助手</w:t>
            </w:r>
          </w:p>
          <w:p w14:paraId="12E3B9E0">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支持对已采集数据进行智能分析提炼，按照询问笔录模板智能生成简要询问笔录内容，支持笔录内容编辑修改。</w:t>
            </w:r>
          </w:p>
          <w:p w14:paraId="455E83F7">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11.系统功能</w:t>
            </w:r>
          </w:p>
          <w:p w14:paraId="55F98068">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（1）用户注册</w:t>
            </w:r>
          </w:p>
          <w:p w14:paraId="5FC00247">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支持用户通过手机号等信息进行注册。</w:t>
            </w:r>
          </w:p>
          <w:p w14:paraId="6424383B">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（2）用户登录</w:t>
            </w:r>
          </w:p>
          <w:p w14:paraId="5C8E127D">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支持手机号码登录系统。</w:t>
            </w:r>
          </w:p>
          <w:p w14:paraId="51682432">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（3）系统升级</w:t>
            </w:r>
          </w:p>
          <w:p w14:paraId="23416363">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支持系统自动升级。</w:t>
            </w:r>
          </w:p>
          <w:p w14:paraId="1E8EA2E9">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（4）修改密码</w:t>
            </w:r>
          </w:p>
          <w:p w14:paraId="610C853B">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支持用户进行密码修改。</w:t>
            </w:r>
          </w:p>
          <w:p w14:paraId="3860184D">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（5）必填项在线配置</w:t>
            </w:r>
          </w:p>
          <w:p w14:paraId="59912314">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支持按照现场勘查规范和工作要求对必填项进行在线配置。</w:t>
            </w:r>
          </w:p>
          <w:p w14:paraId="2FFB9FB1">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（6）智能在线客服模块</w:t>
            </w:r>
          </w:p>
          <w:p w14:paraId="632A1294">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支持提供7*24小时智能机器人或人工在线答疑服务。</w:t>
            </w:r>
          </w:p>
          <w:p w14:paraId="6017AA54">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12.在线化运营管理</w:t>
            </w:r>
          </w:p>
          <w:p w14:paraId="06EE4E4F">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（1）支持在线化授权管理，实现用户权限管理与数据安全管控。</w:t>
            </w:r>
          </w:p>
          <w:p w14:paraId="7F3ECE7D">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（2）支持数据上传的前置服务器地址统一配置和修改。</w:t>
            </w:r>
          </w:p>
          <w:p w14:paraId="27848E8B">
            <w:pPr>
              <w:spacing w:line="360" w:lineRule="auto"/>
              <w:jc w:val="lef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三、其他技术要求</w:t>
            </w:r>
          </w:p>
          <w:p w14:paraId="235D2B29">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▲1.支持数据与“全国公安机关现场勘验信息系统”进行</w:t>
            </w:r>
            <w:r>
              <w:rPr>
                <w:rFonts w:hint="eastAsia" w:ascii="宋体" w:hAnsi="宋体" w:eastAsia="宋体"/>
                <w:color w:val="auto"/>
                <w:szCs w:val="21"/>
              </w:rPr>
              <w:t>无缝对接</w:t>
            </w:r>
            <w:r>
              <w:rPr>
                <w:rFonts w:hint="eastAsia" w:ascii="宋体" w:hAnsi="宋体" w:eastAsia="宋体"/>
                <w:color w:val="000000" w:themeColor="text1"/>
                <w:szCs w:val="21"/>
                <w14:textFill>
                  <w14:solidFill>
                    <w14:schemeClr w14:val="tx1"/>
                  </w14:solidFill>
                </w14:textFill>
              </w:rPr>
              <w:t>，满足涉网新型案件勘查数据同步上报的要求，同时实现数据的统一汇聚、统一关联、统一管理等功能，为后续涉网新型案件侦查研判和诉讼提供基础。</w:t>
            </w:r>
          </w:p>
          <w:p w14:paraId="418A34B9">
            <w:pPr>
              <w:spacing w:line="360" w:lineRule="auto"/>
              <w:jc w:val="lef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2.产品含3年沙箱服务、3年质保。</w:t>
            </w:r>
          </w:p>
        </w:tc>
        <w:tc>
          <w:tcPr>
            <w:tcW w:w="708" w:type="dxa"/>
            <w:vAlign w:val="center"/>
          </w:tcPr>
          <w:p w14:paraId="6E1584C1">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w:t>
            </w:r>
            <w:r>
              <w:rPr>
                <w:rFonts w:ascii="宋体" w:hAnsi="宋体" w:eastAsia="宋体"/>
                <w:color w:val="000000" w:themeColor="text1"/>
                <w:szCs w:val="21"/>
                <w14:textFill>
                  <w14:solidFill>
                    <w14:schemeClr w14:val="tx1"/>
                  </w14:solidFill>
                </w14:textFill>
              </w:rPr>
              <w:t>8400.00</w:t>
            </w:r>
          </w:p>
        </w:tc>
        <w:tc>
          <w:tcPr>
            <w:tcW w:w="708" w:type="dxa"/>
            <w:vAlign w:val="center"/>
          </w:tcPr>
          <w:p w14:paraId="4A92E15D">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920000.00</w:t>
            </w:r>
          </w:p>
        </w:tc>
        <w:tc>
          <w:tcPr>
            <w:tcW w:w="710" w:type="dxa"/>
            <w:vAlign w:val="center"/>
          </w:tcPr>
          <w:p w14:paraId="7FDC935C">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工业</w:t>
            </w:r>
          </w:p>
        </w:tc>
      </w:tr>
      <w:tr w14:paraId="72193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0" w:type="dxa"/>
            <w:vMerge w:val="continue"/>
            <w:vAlign w:val="center"/>
          </w:tcPr>
          <w:p w14:paraId="5580B1E9">
            <w:pPr>
              <w:spacing w:line="360" w:lineRule="auto"/>
              <w:jc w:val="center"/>
              <w:rPr>
                <w:rFonts w:ascii="宋体" w:hAnsi="宋体" w:eastAsia="宋体"/>
                <w:color w:val="000000" w:themeColor="text1"/>
                <w:szCs w:val="21"/>
                <w14:textFill>
                  <w14:solidFill>
                    <w14:schemeClr w14:val="tx1"/>
                  </w14:solidFill>
                </w14:textFill>
              </w:rPr>
            </w:pPr>
          </w:p>
        </w:tc>
        <w:tc>
          <w:tcPr>
            <w:tcW w:w="426" w:type="dxa"/>
            <w:vAlign w:val="center"/>
          </w:tcPr>
          <w:p w14:paraId="45361F32">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p>
        </w:tc>
        <w:tc>
          <w:tcPr>
            <w:tcW w:w="709" w:type="dxa"/>
            <w:vAlign w:val="center"/>
          </w:tcPr>
          <w:p w14:paraId="48579C0D">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新型涉网案件智勘联侦分析系统</w:t>
            </w:r>
          </w:p>
        </w:tc>
        <w:tc>
          <w:tcPr>
            <w:tcW w:w="425" w:type="dxa"/>
            <w:vAlign w:val="center"/>
          </w:tcPr>
          <w:p w14:paraId="640A8539">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套</w:t>
            </w:r>
          </w:p>
        </w:tc>
        <w:tc>
          <w:tcPr>
            <w:tcW w:w="567" w:type="dxa"/>
            <w:vAlign w:val="center"/>
          </w:tcPr>
          <w:p w14:paraId="02A5C822">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tc>
        <w:tc>
          <w:tcPr>
            <w:tcW w:w="4678" w:type="dxa"/>
            <w:vAlign w:val="center"/>
          </w:tcPr>
          <w:p w14:paraId="1C45D946">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设备能通过汇聚辖区内勘查的涉诈APP和网站，并深度解析涉案要素信息，建立黑灰库，实现态势分析、智能搜索、要素分析、线索经营、多跨协同、联网共享等智能应用，构建新型涉网案件勘侦防三位一体智能应用平台，高效完成涉网案件在互联网端勘查取证及研判分析。</w:t>
            </w:r>
          </w:p>
          <w:p w14:paraId="3EAD21A1">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（一）基础应用服务</w:t>
            </w:r>
          </w:p>
          <w:p w14:paraId="12EFF71B">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提供涉诈APP和网站检测分析、黑灰要素管理与业务运营、态势感知、智能搜索、黑灰要素全网关联分析、可视化线索经营（不含互联网数据服务）、联网共享、消息推送等基础应用服务，支撑多跨协同的工作模式。同时包含相关计算服务、网络服务、系统运行技术服务、安全防御服务、定期升级服务等基础支撑服务。</w:t>
            </w:r>
          </w:p>
          <w:p w14:paraId="1AE78394">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1.涉诈APP和网站检测分析</w:t>
            </w:r>
          </w:p>
          <w:p w14:paraId="3EAF8428">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支持对各类手机APP和网站进行智能检测分析。</w:t>
            </w:r>
          </w:p>
          <w:p w14:paraId="6E6DBFA1">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（1）涉诈APP和网站采集</w:t>
            </w:r>
          </w:p>
          <w:p w14:paraId="035D802C">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全面支持安卓APP安装包（APK文件）、苹果APP安装包（IPA文件）和网站信息提取，可从手机直接提取APP安装包或批量导入APP安装包，同时支持识别二维码、输入下载网址从网络下载APP安装包。系统自动提取APP名称、包名、版本号、图标、签名、安装包文件MD5值等基础信息，并支持涉诈APP和网站的来源信息及账号、密码、邀请码等信息采集，支持拍照或截屏。</w:t>
            </w:r>
          </w:p>
          <w:p w14:paraId="350AD50D">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（2）涉诈APP和网站分析检测</w:t>
            </w:r>
          </w:p>
          <w:p w14:paraId="7B9C2EFB">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涉诈APP检测支持对安卓APK和苹果IPA进行动静态智能检测，其中安卓APK支持多引擎检测，同时支持加密、加壳、反ROOT、反代理及反调试保护的APP检测。智能识别APP的应用服务器、第三方服务（打包、客服、推送、对象存储等）及其服务ID信息、高危权限、网络行为数据。自动挖掘源代码、资源文件、配置文件和HTTP（S）报文中的邮箱、URL、IP地址、手机号码等关键信息。</w:t>
            </w:r>
          </w:p>
          <w:p w14:paraId="31C35C87">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2）涉诈网站检测支持多引擎对网站网址进行动态检测分析，智能识别网站的应用服务器信息、第三方服务（客服、推送、对象存储等）及其服务ID信息、HTTP（S）详细数据。</w:t>
            </w:r>
          </w:p>
          <w:p w14:paraId="2EC17EEF">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3）智能分析APP和网站应用服务器的IP归属地、IP运营商、IP所属机构、域名提供商、DNS解析商、CDN提供商、云服务器提供商、运维面板服务提供商、WEB指纹、SSL证书、SSH等信息。</w:t>
            </w:r>
          </w:p>
          <w:p w14:paraId="502F7323">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●4）检测过程全程录屏，对实时网络数据流进行标签化处理，自动生成书签记录检测过程关键时间节点及其对应的网络行为信息，用于快速溯源。</w:t>
            </w:r>
          </w:p>
          <w:p w14:paraId="4760D729">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支持录屏视频、网络访问记录、网络数据、系统日志按时序联动回放分析，同时支持搜索、倍速播放、暂停、拖动、卡点等多种方法高效挖掘更多要素信息。支持将关键检测过程添加到书签，辅助准确分析并标注涉案线索，同时支持导出书签标记的关键检测过程。</w:t>
            </w:r>
          </w:p>
          <w:p w14:paraId="692B2ABD">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●6）数据对接支持解析数据自动推送至《全国公安机关现场勘验信息系统》内的新型涉网案件勘查取证管理模块进行统一管理应用，并实现与刑侦各业务平台的数据及应用对接。</w:t>
            </w:r>
          </w:p>
          <w:p w14:paraId="3813959D">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2.黑灰要素管理与业务运营</w:t>
            </w:r>
          </w:p>
          <w:p w14:paraId="625F72A9">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（1）数据汇聚</w:t>
            </w:r>
          </w:p>
          <w:p w14:paraId="02BEBA4E">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支持汇聚辖区内前端勘查设备采集的涉诈APP和涉诈网站数据，同时支持导入其他来源的涉诈APP和涉诈网站数据，并安全加密存储，形成涉案要素黑灰库，支撑二次检测和研判分析。</w:t>
            </w:r>
          </w:p>
          <w:p w14:paraId="69FDEDF1">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（2）黑灰要素管理</w:t>
            </w:r>
          </w:p>
          <w:p w14:paraId="4D9E2BD1">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支持通过专用VPN加密安全通道对本辖区及下级单位采集的涉诈APP/网站数据进行统一管理和多维度查询统计，可下载、浏览检测分析结果及历史检测记录，对检测结果进行对比分析。支持二次检测补勘要素信息并上传至现勘系统，为研判分析夯实数据基础。支持导出检测分析报告，包含检测分析结果和下一步侦查建议，为调证提供指引，同时可关联本地和全网检测情况开展研判。</w:t>
            </w:r>
          </w:p>
          <w:p w14:paraId="4803C5AB">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（3）业务管理与考核</w:t>
            </w:r>
          </w:p>
          <w:p w14:paraId="53C31BAB">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系统自动对辖区范围内勘查的涉诈APP和网站进行全面质量检查，对检测质量不达标的APP/网站进行提醒，同时可对相关涉诈APP/网站的分析结果进行查看及二次检测，保证数据检测质量。</w:t>
            </w:r>
          </w:p>
          <w:p w14:paraId="7F095432">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对辖区范围内涉网案件勘查应用进行统一管理，包含APP/网站检测情况、质量达标情况、调证情况、研判分析情况。并对本辖区及下级单位和个人的采集率和检测率进行排名。</w:t>
            </w:r>
          </w:p>
          <w:p w14:paraId="23F003A4">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3.态势感知</w:t>
            </w:r>
          </w:p>
          <w:p w14:paraId="49C87F9F">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实现本辖区涉诈APP/网站及其关联要素（打包、客服、推送、对象存储、服务器分布等）的态势分析，通过同比、环比、特征、来源、区域等分析，实时可视化反映本辖区涉案要素变化趋势。</w:t>
            </w:r>
          </w:p>
          <w:p w14:paraId="2BD4D6D2">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实现本辖区涉诈APP/网站及其关联要素与全网黑灰库要素关联分析，实时感知全网高发和新发涉诈APP/网站，及时发现新的作案工具和手段，为打击和宣防提供决策辅助。</w:t>
            </w:r>
          </w:p>
          <w:p w14:paraId="1F420AE3">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4.智能搜索</w:t>
            </w:r>
          </w:p>
          <w:p w14:paraId="43A85CB7">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依托搜索引擎技术，提供一站式智能检索能力，实现多数据的关联搜索，并通过数据计算实现搜索结果的智能化推荐及可视化交互。支持查询APP、网站、域名、IP、第三方服务以及关联的勘查分析数据、调证数据、黑灰库、互联网开源数据等。</w:t>
            </w:r>
          </w:p>
          <w:p w14:paraId="2CF99F70">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5.黑灰要素全网关联分析</w:t>
            </w:r>
          </w:p>
          <w:p w14:paraId="7F66660C">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将本辖区内涉诈APP/网站信息与全网黑灰库进行要素关联分析，实现跨区域要素关联分析，为案件研判提供有力支撑。</w:t>
            </w:r>
          </w:p>
          <w:p w14:paraId="1665DCD0">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6.可视化线索经营（不含互联网数据服务）</w:t>
            </w:r>
          </w:p>
          <w:p w14:paraId="5CD4D42E">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为涉网案件在互联网端的研判工作提供基础支撑服务，支持对接互联网及第三方数据服务，并结合侦查思维构建数据分析模型，通过线索导图辅助用户开展数据研判。对辖区内已勘涉网案件的涉诈APP、涉诈网站及手动录入的黑灰要素进行可视化线索经营。支持跨层级、跨区域、跨部门的多人实时协同在线研判分析，分析结果可上传至公安内网分析平台。提供可视化智能引导、在线化协同侦查的应用服务。</w:t>
            </w:r>
          </w:p>
          <w:p w14:paraId="6BDCC086">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7.联网共享</w:t>
            </w:r>
          </w:p>
          <w:p w14:paraId="0ED2D064">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融合本地和全国勘查采集的涉诈APP和涉诈网站，建立黑灰要素库。通过构建“一张网”，实现数据联网共享应用。</w:t>
            </w:r>
          </w:p>
          <w:p w14:paraId="48913B9C">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（二）基础信息服务</w:t>
            </w:r>
          </w:p>
          <w:p w14:paraId="06A89AC1">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提供APP网站检测分析、调证及研判等业务需要的基础信息服务。</w:t>
            </w:r>
          </w:p>
          <w:p w14:paraId="0D4591BE">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1.IP区县级位置查询服务</w:t>
            </w:r>
          </w:p>
          <w:p w14:paraId="40F4DF45">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提供IP位置查询服务，定位精度可达区县级别。支持IP查询归属地、所属机构、运营商、自治区编码（ASN）、国家编码、邮政编码、行政编码信息。</w:t>
            </w:r>
          </w:p>
          <w:p w14:paraId="0D262B38">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2.网站备案查询服务</w:t>
            </w:r>
          </w:p>
          <w:p w14:paraId="0C54ABF5">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提供域名备案查询服务。支持查询域名备案的公司名称、公司类型、主页、备案许可证号、网站名称、审核时间、ICP备案号信息。</w:t>
            </w:r>
          </w:p>
          <w:p w14:paraId="27559AB7">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3.域名信息查询服务</w:t>
            </w:r>
          </w:p>
          <w:p w14:paraId="1A1D279D">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提供域名所有者等信息（WHOIS）查询服务。支持查询域名注册商、联系人、联系邮箱、创建时间、过期时间、DNS服务器信息。</w:t>
            </w:r>
          </w:p>
          <w:p w14:paraId="6B85704C">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4.子域名查询服务</w:t>
            </w:r>
          </w:p>
          <w:p w14:paraId="793211A3">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提供基于黑灰库查询域名的相关子域名信息。</w:t>
            </w:r>
          </w:p>
          <w:p w14:paraId="10DB8823">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5.IP历史域名查询服务</w:t>
            </w:r>
          </w:p>
          <w:p w14:paraId="51026C2C">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提供基于黑灰库查询IP历史关联的域名信息，包含关联的域名、首次发现时间、最新发现时间。</w:t>
            </w:r>
          </w:p>
          <w:p w14:paraId="64FCBC6F">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6.域名历史IP查询服务</w:t>
            </w:r>
          </w:p>
          <w:p w14:paraId="4ED5D01B">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提供基于黑灰库查询域名历史关联的IP信息。包含IP、位置、所属机构、运营商、首次发现时间、最新发现时间。</w:t>
            </w:r>
          </w:p>
          <w:p w14:paraId="7B9D7738">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7.黑白名单查询服务</w:t>
            </w:r>
          </w:p>
          <w:p w14:paraId="62F39042">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提供APP包名、APP签名、网站域名、网站IP黑白名单查询服务。</w:t>
            </w:r>
          </w:p>
          <w:p w14:paraId="34F229FD">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8.DNS查询服务</w:t>
            </w:r>
          </w:p>
          <w:p w14:paraId="4941ABF9">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提供域名DNS信息查询服务，包含DNS解析服务器、DNS解析服务公司名称、服务商联系方式。</w:t>
            </w:r>
          </w:p>
          <w:p w14:paraId="776F39DC">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9.CDN查询服务</w:t>
            </w:r>
          </w:p>
          <w:p w14:paraId="010B94ED">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提供域名CDN信息查询服务，包含是否使用CDN服务、CDN提供商、跳转域名、节点IP、服务商联系方式。</w:t>
            </w:r>
          </w:p>
          <w:p w14:paraId="345D0012">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10.短信运营商查询服务</w:t>
            </w:r>
          </w:p>
          <w:p w14:paraId="6ED88050">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提供短信服务运营商查询服务，支持短信号码查询短信服务运营商信息。</w:t>
            </w:r>
          </w:p>
          <w:p w14:paraId="02BF773D">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11.第三方服务商查询服务</w:t>
            </w:r>
          </w:p>
          <w:p w14:paraId="064E05E7">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提供第三方服务商查询服务，可查询用于调证的第三方服务ID信息、第三方服务类型、服务名称、服务公司联系方式。</w:t>
            </w:r>
          </w:p>
          <w:p w14:paraId="7A451EDF">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12.调证指引查询服务</w:t>
            </w:r>
          </w:p>
          <w:p w14:paraId="48BE4B6F">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提供300+国内第三方服务提供商调证指引查询服务。</w:t>
            </w:r>
          </w:p>
          <w:p w14:paraId="4760CAC0">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（三）专家服务</w:t>
            </w:r>
          </w:p>
          <w:p w14:paraId="674EF107">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支持专家服务申请，可提供数据统计服务。</w:t>
            </w:r>
          </w:p>
          <w:p w14:paraId="5A818C1B">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1.深度检测专家服务</w:t>
            </w:r>
          </w:p>
          <w:p w14:paraId="36E8DD99">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支持在线申请专家服务对涉诈APP和网站进行深度检测，实时查看服务进度，检测结果下载后支持一键上传到现勘系统。</w:t>
            </w:r>
          </w:p>
          <w:p w14:paraId="1E89FEBE">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2.数据统计服务</w:t>
            </w:r>
          </w:p>
          <w:p w14:paraId="73DF1531">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根据使用单位的需求，提供勘查采集情况、设备使用情况、发案态势、发案特征等数据的统计服务，并配合用户完成考核统计。</w:t>
            </w:r>
          </w:p>
        </w:tc>
        <w:tc>
          <w:tcPr>
            <w:tcW w:w="708" w:type="dxa"/>
            <w:vAlign w:val="center"/>
          </w:tcPr>
          <w:p w14:paraId="503CFD0C">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r>
              <w:rPr>
                <w:rFonts w:ascii="宋体" w:hAnsi="宋体" w:eastAsia="宋体"/>
                <w:color w:val="000000" w:themeColor="text1"/>
                <w:szCs w:val="21"/>
                <w14:textFill>
                  <w14:solidFill>
                    <w14:schemeClr w14:val="tx1"/>
                  </w14:solidFill>
                </w14:textFill>
              </w:rPr>
              <w:t>88000.00</w:t>
            </w:r>
          </w:p>
        </w:tc>
        <w:tc>
          <w:tcPr>
            <w:tcW w:w="708" w:type="dxa"/>
            <w:vAlign w:val="center"/>
          </w:tcPr>
          <w:p w14:paraId="4EC4A620">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r>
              <w:rPr>
                <w:rFonts w:ascii="宋体" w:hAnsi="宋体" w:eastAsia="宋体"/>
                <w:color w:val="000000" w:themeColor="text1"/>
                <w:szCs w:val="21"/>
                <w14:textFill>
                  <w14:solidFill>
                    <w14:schemeClr w14:val="tx1"/>
                  </w14:solidFill>
                </w14:textFill>
              </w:rPr>
              <w:t>88000.00</w:t>
            </w:r>
          </w:p>
        </w:tc>
        <w:tc>
          <w:tcPr>
            <w:tcW w:w="710" w:type="dxa"/>
            <w:vAlign w:val="center"/>
          </w:tcPr>
          <w:p w14:paraId="692601A0">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工业</w:t>
            </w:r>
          </w:p>
        </w:tc>
      </w:tr>
      <w:tr w14:paraId="747D7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0" w:type="dxa"/>
            <w:vMerge w:val="continue"/>
            <w:vAlign w:val="center"/>
          </w:tcPr>
          <w:p w14:paraId="4C24BDA4">
            <w:pPr>
              <w:spacing w:line="360" w:lineRule="auto"/>
              <w:jc w:val="center"/>
              <w:rPr>
                <w:rFonts w:ascii="宋体" w:hAnsi="宋体" w:eastAsia="宋体"/>
                <w:color w:val="000000" w:themeColor="text1"/>
                <w:szCs w:val="21"/>
                <w14:textFill>
                  <w14:solidFill>
                    <w14:schemeClr w14:val="tx1"/>
                  </w14:solidFill>
                </w14:textFill>
              </w:rPr>
            </w:pPr>
          </w:p>
        </w:tc>
        <w:tc>
          <w:tcPr>
            <w:tcW w:w="426" w:type="dxa"/>
            <w:vAlign w:val="center"/>
          </w:tcPr>
          <w:p w14:paraId="388C2B66">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w:t>
            </w:r>
          </w:p>
        </w:tc>
        <w:tc>
          <w:tcPr>
            <w:tcW w:w="709" w:type="dxa"/>
            <w:vAlign w:val="center"/>
          </w:tcPr>
          <w:p w14:paraId="7469B454">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手机分析专用机</w:t>
            </w:r>
          </w:p>
        </w:tc>
        <w:tc>
          <w:tcPr>
            <w:tcW w:w="425" w:type="dxa"/>
            <w:vAlign w:val="center"/>
          </w:tcPr>
          <w:p w14:paraId="1637F746">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套</w:t>
            </w:r>
          </w:p>
        </w:tc>
        <w:tc>
          <w:tcPr>
            <w:tcW w:w="567" w:type="dxa"/>
            <w:vAlign w:val="center"/>
          </w:tcPr>
          <w:p w14:paraId="7C15FC89">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tc>
        <w:tc>
          <w:tcPr>
            <w:tcW w:w="4678" w:type="dxa"/>
            <w:vAlign w:val="center"/>
          </w:tcPr>
          <w:p w14:paraId="20A59474">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一、功能参数：</w:t>
            </w:r>
          </w:p>
          <w:p w14:paraId="0B3CE216">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一款集成多功能模块、多路手机并行高速取证、智能数据分析的设备，支持智能机和山寨机/功能手机取证，支持手机应用程序解析和恢复。支持手机密码绕过、文件提取、镜像下载、数据分析等功能，可满足手机取证的多种场景，支持多人参与的案件合作和交互。内置取证录像软件，可以单独使用完成手机取证分析功能，实现对案件中的存储介质/手机证据等内容的集中分析。</w:t>
            </w:r>
          </w:p>
          <w:p w14:paraId="39BA2575">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二、技术要求</w:t>
            </w:r>
          </w:p>
          <w:p w14:paraId="353BCD93">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1.支持检材管理功能，可添加检材（Apk、XApk格式）、安装、卸载、删除等操作，检材添加完成后自动进行静态分析；</w:t>
            </w:r>
          </w:p>
          <w:p w14:paraId="524A5299">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2.支持分析Apk&amp;Ipa应用名称、应用包名、文件哈希、文件大小、权限概览（按危险、正常、其它等分类统计）；</w:t>
            </w:r>
          </w:p>
          <w:p w14:paraId="084F9B64">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3.支持对第三方SDK服务商和打包公司的分析；</w:t>
            </w:r>
          </w:p>
          <w:p w14:paraId="7108FCB4">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4.支持IOS隐私报告文件和微信小程序的分析，支持一键打开微信小程序反编译源码目录及脱壳文件目录；</w:t>
            </w:r>
          </w:p>
          <w:p w14:paraId="00D37A22">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支持对应用程序抓取网络数据包，并支持多种网络数据包的获取方式（TCP、HTTP、代理、TCPDump）；支持对获取的网络数据包进行深度分析，关键字搜索，包括备案信息、whois、位置信息等，分析结果区分已读/未读；</w:t>
            </w:r>
          </w:p>
          <w:p w14:paraId="4C011DD4">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6.支持自动绕过SSL证书校验；</w:t>
            </w:r>
          </w:p>
          <w:p w14:paraId="61E21FB0">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7.支持自动绕过ROOT检测、模拟器检测脚本；</w:t>
            </w:r>
          </w:p>
          <w:p w14:paraId="3AE687CB">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支持360加固宝、腾讯乐固、阿里聚安全、梆梆加固、爱加密、百度应用加固、娜迦加固、顶象加固、通付盾、盛大加固、瑞星加固、海云安加固、网秦加固、几维安全、UU安全、中国移动加固、珊瑚灵御、apktoolplus、梆梆加固企业版、腾讯御安全、网易易盾、APKProtect、VirboxProtector、Arm Pro等加固方式自动检测识别；</w:t>
            </w:r>
          </w:p>
          <w:p w14:paraId="38F43CF4">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9.支持360加固宝、百度应用加固、梆梆安全加固、腾讯加固、娜迦加固、Arm Pro、梆梆加固等加固方式一键脱壳；</w:t>
            </w:r>
          </w:p>
          <w:p w14:paraId="0CD33E0D">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10.支持一键Apk反编译，内置反编译代码分析工具；</w:t>
            </w:r>
          </w:p>
          <w:p w14:paraId="1F00314C">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11.支持通过界面选择目标函数/库，自动生成Frida脚本，支持用户导入自定义脚本执行，Frida脚本重要信息高亮显示，Frida页面显示堆栈信息开关；</w:t>
            </w:r>
          </w:p>
          <w:p w14:paraId="656FE967">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12.内置多种常用Frida脚本，包括Native方法注册、JustTrustMe、SQLite数据库、realmDB数据库、AES/DES/RSA等加解密、日志信息，okhttp框架抓包、字符串相等判断等多种脚本；</w:t>
            </w:r>
          </w:p>
          <w:p w14:paraId="115A087C">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13.内置多种常用Frida脚本，包括Native方法注册、JustTrustMe、SQLite数据库、realmDB数据库、AES/DES/RSA等加解密、日志信息，okhttp框架抓包、字符串相等判断等多种脚本，支持将Frida脚本组合运行；</w:t>
            </w:r>
          </w:p>
          <w:p w14:paraId="46043E62">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14.支持多种SQLite加密数据库的密码、SQL语句、文件路径等信息跟踪；</w:t>
            </w:r>
          </w:p>
          <w:p w14:paraId="2BDA1E6E">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15.支持加解密算法、Key、IV、加解密前后内容的跟踪；</w:t>
            </w:r>
          </w:p>
          <w:p w14:paraId="69CE19DB">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16.支持对apk&amp;ipa代码中的URL、IP、Hash、邮箱地址、手机号码、其它关键字等敏感信息进行快速分析；</w:t>
            </w:r>
          </w:p>
          <w:p w14:paraId="22C2D3BB">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17.支持对Apk从多种分析维度进行评估、智能打分，协助用户对Apk恶意行为进行评估；</w:t>
            </w:r>
          </w:p>
          <w:p w14:paraId="2741795D">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18.支持敏感信息分析设置IP、URL等字段黑白名单；敏感信息分析结果支持隐藏/仅看黑白名单标记的内容；</w:t>
            </w:r>
          </w:p>
          <w:p w14:paraId="15D9A2C1">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19.支持一键生成Word、PDF、Html等多种格式的分析报告，支持选择分析结果范围导出Html报告；</w:t>
            </w:r>
          </w:p>
          <w:p w14:paraId="594581E8">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20.内置常用工具箱，包括Apk安装包导出工具、端口扫描工具，编解码分析工具、查询服务、情报中心、网络空间搜索等常用工具，重新签名工具；</w:t>
            </w:r>
          </w:p>
          <w:p w14:paraId="5A95792C">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21.支持直接从Android设备上选择和提取APK安装包；</w:t>
            </w:r>
          </w:p>
          <w:p w14:paraId="3356694C">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22.支持iOS动态监控功能、iOS一键脱壳功能、iOS截屏功能；</w:t>
            </w:r>
          </w:p>
          <w:p w14:paraId="15125A0F">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23.支持无需数据线连接的iOS手机进行代理模式抓包；</w:t>
            </w:r>
          </w:p>
          <w:p w14:paraId="7C15B5EE">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24.支持iOS Frida脚本功能；</w:t>
            </w:r>
          </w:p>
          <w:p w14:paraId="67F16C69">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25.支持设置全局frida脚本；</w:t>
            </w:r>
          </w:p>
          <w:p w14:paraId="33D8E936">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26.支持显示诊断信息；</w:t>
            </w:r>
          </w:p>
          <w:p w14:paraId="23779A21">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27.支持使用第三方AI平台提供的API进行对话问答；</w:t>
            </w:r>
          </w:p>
          <w:p w14:paraId="4D18B029">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28.支持直接对安卓系统文件导出与导入；</w:t>
            </w:r>
          </w:p>
        </w:tc>
        <w:tc>
          <w:tcPr>
            <w:tcW w:w="708" w:type="dxa"/>
            <w:vAlign w:val="center"/>
          </w:tcPr>
          <w:p w14:paraId="472AF241">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r>
              <w:rPr>
                <w:rFonts w:ascii="宋体" w:hAnsi="宋体" w:eastAsia="宋体"/>
                <w:color w:val="000000" w:themeColor="text1"/>
                <w:szCs w:val="21"/>
                <w14:textFill>
                  <w14:solidFill>
                    <w14:schemeClr w14:val="tx1"/>
                  </w14:solidFill>
                </w14:textFill>
              </w:rPr>
              <w:t>68000.00</w:t>
            </w:r>
          </w:p>
        </w:tc>
        <w:tc>
          <w:tcPr>
            <w:tcW w:w="708" w:type="dxa"/>
            <w:vAlign w:val="center"/>
          </w:tcPr>
          <w:p w14:paraId="559C8DE4">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r>
              <w:rPr>
                <w:rFonts w:ascii="宋体" w:hAnsi="宋体" w:eastAsia="宋体"/>
                <w:color w:val="000000" w:themeColor="text1"/>
                <w:szCs w:val="21"/>
                <w14:textFill>
                  <w14:solidFill>
                    <w14:schemeClr w14:val="tx1"/>
                  </w14:solidFill>
                </w14:textFill>
              </w:rPr>
              <w:t>68000.00</w:t>
            </w:r>
          </w:p>
        </w:tc>
        <w:tc>
          <w:tcPr>
            <w:tcW w:w="710" w:type="dxa"/>
            <w:vAlign w:val="center"/>
          </w:tcPr>
          <w:p w14:paraId="71FC3B57">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工业</w:t>
            </w:r>
          </w:p>
        </w:tc>
      </w:tr>
      <w:tr w14:paraId="0246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0" w:type="dxa"/>
            <w:vMerge w:val="continue"/>
            <w:vAlign w:val="center"/>
          </w:tcPr>
          <w:p w14:paraId="0D76649A">
            <w:pPr>
              <w:spacing w:line="360" w:lineRule="auto"/>
              <w:jc w:val="center"/>
              <w:rPr>
                <w:rFonts w:ascii="宋体" w:hAnsi="宋体" w:eastAsia="宋体"/>
                <w:color w:val="000000" w:themeColor="text1"/>
                <w:szCs w:val="21"/>
                <w14:textFill>
                  <w14:solidFill>
                    <w14:schemeClr w14:val="tx1"/>
                  </w14:solidFill>
                </w14:textFill>
              </w:rPr>
            </w:pPr>
          </w:p>
        </w:tc>
        <w:tc>
          <w:tcPr>
            <w:tcW w:w="426" w:type="dxa"/>
            <w:vAlign w:val="center"/>
          </w:tcPr>
          <w:p w14:paraId="11FE319A">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w:t>
            </w:r>
          </w:p>
        </w:tc>
        <w:tc>
          <w:tcPr>
            <w:tcW w:w="709" w:type="dxa"/>
            <w:vAlign w:val="center"/>
          </w:tcPr>
          <w:p w14:paraId="5FC1A9A0">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通讯设备全数据采集仪</w:t>
            </w:r>
          </w:p>
        </w:tc>
        <w:tc>
          <w:tcPr>
            <w:tcW w:w="425" w:type="dxa"/>
            <w:vAlign w:val="center"/>
          </w:tcPr>
          <w:p w14:paraId="2395404F">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套</w:t>
            </w:r>
          </w:p>
        </w:tc>
        <w:tc>
          <w:tcPr>
            <w:tcW w:w="567" w:type="dxa"/>
            <w:vAlign w:val="center"/>
          </w:tcPr>
          <w:p w14:paraId="2FD0E0BB">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r>
              <w:rPr>
                <w:rFonts w:ascii="宋体" w:hAnsi="宋体" w:eastAsia="宋体"/>
                <w:color w:val="000000" w:themeColor="text1"/>
                <w:szCs w:val="21"/>
                <w14:textFill>
                  <w14:solidFill>
                    <w14:schemeClr w14:val="tx1"/>
                  </w14:solidFill>
                </w14:textFill>
              </w:rPr>
              <w:t>8</w:t>
            </w:r>
          </w:p>
        </w:tc>
        <w:tc>
          <w:tcPr>
            <w:tcW w:w="4678" w:type="dxa"/>
            <w:vAlign w:val="center"/>
          </w:tcPr>
          <w:p w14:paraId="5A59C767">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1.智能提取</w:t>
            </w:r>
          </w:p>
          <w:p w14:paraId="4143AF15">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支持通过多种连接通道（数据线、WiFi、蓝牙、物理读取、SIM卡）实现数据智能提取。系统智能适配并加载各类驱动，智能识别品牌机和智能机型号、操作系统等信息，实现智能化一键式提取。智能提取助手可根据手机型号检索，推荐提取方式，智能引导快捷完成数据提取。支持提取检材基本信息、存储文件和应用信息，包括常用APP与重点关注的高危敏感APP以及应用分身信息。</w:t>
            </w:r>
          </w:p>
          <w:p w14:paraId="5CA08B59">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2.并行提取</w:t>
            </w:r>
          </w:p>
          <w:p w14:paraId="160EC38E">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产品支持多个案件手机并行提取，支持4路并行智能提取。</w:t>
            </w:r>
          </w:p>
          <w:p w14:paraId="4F70D97B">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3.补充提取</w:t>
            </w:r>
          </w:p>
          <w:p w14:paraId="375414AF">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支持对已完成数据提取的检材进行补充提取，用户可自定义补充提取数据。</w:t>
            </w:r>
          </w:p>
          <w:p w14:paraId="2FAA3E9D">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4.WiFi提取</w:t>
            </w:r>
          </w:p>
          <w:p w14:paraId="3130D9FD">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支持WiFi无线备份读取华为、荣耀、小米、OPPO、vivo、realme、一加等品牌应用数据。</w:t>
            </w:r>
          </w:p>
          <w:p w14:paraId="3A27874B">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5.扫码提取</w:t>
            </w:r>
          </w:p>
          <w:p w14:paraId="197E0D8F">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支持对所有智能手机（含安卓、苹果、鸿蒙系统）进行微信、QQ、TIM扫码提取所有或指定会话的聊天记录。提取的数据内容包括：账号ID、昵称、聊天记录、语音、视频、图片、文件、红包、转账、网址、二维码等。</w:t>
            </w:r>
          </w:p>
          <w:p w14:paraId="13DADB1A">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6.SIM卡信息提取</w:t>
            </w:r>
          </w:p>
          <w:p w14:paraId="4E14381B">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支持SIM卡数据提取：通讯录、短信息、运营商、SIM串号、SIM识别码。</w:t>
            </w:r>
          </w:p>
          <w:p w14:paraId="78B93E78">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7.物证采集</w:t>
            </w:r>
          </w:p>
          <w:p w14:paraId="759E798D">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支持快速采集物证正面照、反面照和参数照等物证照片。</w:t>
            </w:r>
          </w:p>
          <w:p w14:paraId="5BAA0F15">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8.身份证智能识别</w:t>
            </w:r>
          </w:p>
          <w:p w14:paraId="26117205">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支持身份证智能识别录入（OCR识别），可快速提取身份证信息。</w:t>
            </w:r>
          </w:p>
          <w:p w14:paraId="064FF80C">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9.支持解析检材基本信息、存储文件和应用信息</w:t>
            </w:r>
          </w:p>
          <w:p w14:paraId="44EB89C0">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（1）基本信息：IMEI、IMSI、SIM卡ICCID、MAC地址、本机号码、通讯录、通话记录、短信息、备忘录、日历、系统日志、SIM卡使用记录、同步账号、蓝牙信息、蓝牙连接记录、WiFi信息、WiFi连接记录、应用列表等；</w:t>
            </w:r>
          </w:p>
          <w:p w14:paraId="1B1056BB">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（2）存储文件：图片、视频、语音、文档等文件；</w:t>
            </w:r>
          </w:p>
          <w:p w14:paraId="5CDBFE73">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即时通讯：QQ、微信、TIM、陌陌、Skype、Line、易信、旺信、YY、人人、Facebook、Talkbox、Voxer、Viber、WhatsApp、遇见、COCO、Zello、Telegram、Tango、ooVoo、BBM、Zalo、钉钉、Kik、探探、有信、百度Hi、ICQ、全民K歌、Kakaotalk、Instagram、Blued、安司密信、土豆聊天、百度贴吧、TT语音、连信、Marco Polo、Group Me、乐信、闲聊等140款以上应用；</w:t>
            </w:r>
          </w:p>
          <w:p w14:paraId="7EBD7CA8">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电子商务：支付金融（支付宝、京东钱包、京东金融、同花顺、我来贷、来分期、人人贷财富、点点、暖薪贷、贷上钱）、电商购物（拍拍、京东商城、淘宝、天猫、美团、大众点评、QQ网购）、网银（光大银行、工商银行、农业银行、交通银行、建设银行）等24款以上应用；</w:t>
            </w:r>
          </w:p>
          <w:p w14:paraId="4664350A">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（5）微博：新浪微博、Twitter；</w:t>
            </w:r>
          </w:p>
          <w:p w14:paraId="0D538BCA">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网页历史：QQ浏览器、UC浏览器、Opera、百度浏览器、手机百度、Chrome浏览器、联想浏览器、遨游浏览器、搜狗浏览器、搜狗极速版浏览器、猎豹浏览器、今日头条、火狐浏览器、360浏览器、Safari、黑莓自带浏览器、Nokia自带浏览器、WinMobile自带浏览器、Opera Mini、互联网（HTC）等30款以上应用；</w:t>
            </w:r>
          </w:p>
          <w:p w14:paraId="59267EFA">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位置轨迹：地图导航（谷歌地图、百度地图、高德地图、搜狗地图、凯立德导航、腾讯地图）、共享出行（滴滴出行、嘀嗒拼车、曹操出行）、旅行订票（携程旅行、去哪儿旅行、航旅纵横、途牛旅行、艺龙酒店、智行火车票）、快递（顺丰速运、菜鸟）、其他（墨迹天气）等20款以上应用；</w:t>
            </w:r>
          </w:p>
          <w:p w14:paraId="34E2184F">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（8）邮箱：Gmail邮箱、139邮箱、189邮箱、沃邮箱、QQ邮箱、网易邮箱、安卓邮箱、iOS邮箱；</w:t>
            </w:r>
          </w:p>
          <w:p w14:paraId="60CB6038">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（9）安全软件：360隐私保险箱、360安全卫士、腾讯管家；</w:t>
            </w:r>
          </w:p>
          <w:p w14:paraId="75373628">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（10）输入法：搜狗输入法、百度输入法、QQ输入法、讯飞输入法；</w:t>
            </w:r>
          </w:p>
          <w:p w14:paraId="6225995C">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（11）视频直播：腾讯视频、哔哩哔哩、抖音、快手、快手极速版等应用；</w:t>
            </w:r>
          </w:p>
          <w:p w14:paraId="57794FF0">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（12）云盘：茄子快传、快牙、115网盘、百度云盘、WPS Office等应用；</w:t>
            </w:r>
          </w:p>
          <w:p w14:paraId="63FC8B25">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（13）支持安卓应用使用记录数据提取，包括：应用包名、应用名称、运行总时长、运行次数等。</w:t>
            </w:r>
          </w:p>
          <w:p w14:paraId="6A72E5ED">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10.应用分身</w:t>
            </w:r>
          </w:p>
          <w:p w14:paraId="54EBACFB">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（1）支持QQ、微信、陌陌应用分身数据及分身应用列表的提取；</w:t>
            </w:r>
          </w:p>
          <w:p w14:paraId="70580AFF">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支持华为系统分身、OPPO系统分身、vivo系统分身、分身大师（上海云致）、分身大师（北京奇虎）、分身大师多开版、双开助手（多开分身）、双开小助手、X-分身、微信领袖、平行空间、悟空分身等50款以上分身工具。</w:t>
            </w:r>
          </w:p>
          <w:p w14:paraId="7CAAD577">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11.密码破解</w:t>
            </w:r>
          </w:p>
          <w:p w14:paraId="40CC27BF">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支持针对部分主流Android系统手机及鸿蒙系统手机，如华为、OPPO、vivo、小米、三星等，在设置屏幕锁且调试模式关闭的情况下，支持对部分手机密码绕过、密码破解、密码擦除。</w:t>
            </w:r>
          </w:p>
          <w:p w14:paraId="731DAB6B">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12.物理提取</w:t>
            </w:r>
          </w:p>
          <w:p w14:paraId="54460A53">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（1）支持自定义选择镜像分区；</w:t>
            </w:r>
          </w:p>
          <w:p w14:paraId="1E070612">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（2）支持华为、vivo、OPPO、小米、中兴、8848、三星等30个以上手机品牌，无需root、无需打开USB调试模式，免拆机获取物理镜像，并可深度恢复通讯录、短信、QQ、微信等删除数据。</w:t>
            </w:r>
          </w:p>
          <w:p w14:paraId="0E8093F1">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13.云数据采集（选配）</w:t>
            </w:r>
          </w:p>
          <w:p w14:paraId="75B84F40">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支持短信验证码、二维码、账号密码等登录方式提取存储在云服务器上的应用信息；支持对所有智能手机（含安卓、苹果、鸿蒙系统）进行云数据提取。支持应用包括微信、支付宝、京东、淘宝、抖音、新浪微博、美团、百度地图、高德地图、12306、滴滴出行、QQ邮箱、爱奇艺等150款以上应用；</w:t>
            </w:r>
          </w:p>
          <w:p w14:paraId="3AC54E20">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（2）支持通过手机号一键查询手机号关联的应用账号，支持查询150款以上应用；</w:t>
            </w:r>
          </w:p>
          <w:p w14:paraId="3E52EF7A">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（3）支持云数据提取内容的报表导出。</w:t>
            </w:r>
          </w:p>
          <w:p w14:paraId="0EB9EA99">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14.文件解析</w:t>
            </w:r>
          </w:p>
          <w:p w14:paraId="0D69A9CE">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（1）支持iOS备份文件解析，在已知密码情况下实现对加密备份文件的解析；</w:t>
            </w:r>
          </w:p>
          <w:p w14:paraId="29A3FC7C">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（2）支持Android、鸿蒙备份文件解析，支持ADB备份解析，支持主流安卓手机品牌及鸿蒙手机自带备份工具备份解析，包含华为、小米、OPPO、vivo、魅族、一加等16个以上主流品牌；</w:t>
            </w:r>
          </w:p>
          <w:p w14:paraId="1319E0D0">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（3）支持华为OTG备份文件解析；</w:t>
            </w:r>
          </w:p>
          <w:p w14:paraId="62D25524">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（4）支持镜像文件解析，包含Android、iPhone、功能机等镜像文件解析；</w:t>
            </w:r>
          </w:p>
          <w:p w14:paraId="3A192E27">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（5）应用数据文件解析，包含QQ、微信、邮箱、钉钉等300款以上应用数据文件解析。</w:t>
            </w:r>
          </w:p>
          <w:p w14:paraId="730C7378">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15.数据恢复</w:t>
            </w:r>
          </w:p>
          <w:p w14:paraId="3FB6B29D">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（1）支持对所有智能手机（含安卓、苹果、鸿蒙系统）及部分功能手机进行已删除数据恢复，支持恢复手机通讯录、通话记录、短信、日历、记事本和系统日志等；</w:t>
            </w:r>
          </w:p>
          <w:p w14:paraId="5EEEF9CA">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（2）支持恢复所有智能手机（含安卓、苹果、鸿蒙系统）应用程序中已删除的文字、图片、文档等数据，手机应用程序包括QQ、微信、TIM、钉钉、陌陌、Telegram等300款以上应用程序；</w:t>
            </w:r>
          </w:p>
          <w:p w14:paraId="10F1A289">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（3）支持Android手机基于镜像的深度恢复已删除数据及文件，包括图片、视频、音频、XML、PDF、doc、docx、xls、xlsx、ZIP、HTML、sqlite db等文件。</w:t>
            </w:r>
          </w:p>
          <w:p w14:paraId="20F527AE">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16.数据浏览查看</w:t>
            </w:r>
          </w:p>
          <w:p w14:paraId="780003BE">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（1）支持聊天记录会话模式数据查看；</w:t>
            </w:r>
          </w:p>
          <w:p w14:paraId="339C7F71">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（2）支持手机图片查看及音视频播放；</w:t>
            </w:r>
          </w:p>
          <w:p w14:paraId="15D1EFCA">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（3）支持多语言显示，能显示提取内容中的中文、英语等多国语言。</w:t>
            </w:r>
          </w:p>
          <w:p w14:paraId="31E8D4C7">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17.自定义提取方案</w:t>
            </w:r>
          </w:p>
          <w:p w14:paraId="4C379934">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（1）产品支持多种提取方案，包括默认方案、快速采集、全量采集、自定义等，可根据需要配置或选择提取方案进行数据读取；</w:t>
            </w:r>
          </w:p>
          <w:p w14:paraId="0BFD419A">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（2）产品支持单独设置各类应用是否读取附件；</w:t>
            </w:r>
          </w:p>
          <w:p w14:paraId="0DCA5F08">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（3）产品支持单独配置即时通讯各个APP是否读取图片、是否读取音频、是否读取视频、是否读取聊天内容；</w:t>
            </w:r>
          </w:p>
          <w:p w14:paraId="27AC5E38">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（4）产品支持必采数据项配置，以使得采集满足考核要求；</w:t>
            </w:r>
          </w:p>
          <w:p w14:paraId="1AA7598C">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（5）支持在线统一配置读取方案，方案内容包括读取的各项内容，支持配置每一项是否允许终端修改。</w:t>
            </w:r>
          </w:p>
          <w:p w14:paraId="2123031D">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18.智能汇聚</w:t>
            </w:r>
          </w:p>
          <w:p w14:paraId="573B2C4D">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支持自动进行人像、资金、位置、文档等数据的智能聚合分析，便于快速分析关键数据，提升研判效率。</w:t>
            </w:r>
          </w:p>
          <w:p w14:paraId="141F6BBA">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（1）智能人像信息：智能识别手机图片中是否包含人脸头像；</w:t>
            </w:r>
          </w:p>
          <w:p w14:paraId="14748BAD">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（2）收付款信息：短信、社交应用等涉及资金往来的收付款信息；</w:t>
            </w:r>
          </w:p>
          <w:p w14:paraId="561F1BCD">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（3）时间线分析：以时间为主线，按时序展示提取到的信息；</w:t>
            </w:r>
          </w:p>
          <w:p w14:paraId="027A6AE8">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（4）应用位置信息：提取并展示所有应用内的位置数据，包括详细地址、经纬度、时间；</w:t>
            </w:r>
          </w:p>
          <w:p w14:paraId="2D63FB2F">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（5）轨迹分析：聚合展示出行、导航、照片、即时通讯等位置信息，应支持离线地图可视化展示；</w:t>
            </w:r>
          </w:p>
          <w:p w14:paraId="6FA7F6B1">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（6）手机文档分类：提取手机内所有应用的文档，包括WORD、EXCEL、PPT等；</w:t>
            </w:r>
          </w:p>
          <w:p w14:paraId="19AFD31F">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（7）智能稽查预警（选配）：支持异常交易、敏感应用APP、敏感网站、敏感音视频及关键词预警。</w:t>
            </w:r>
          </w:p>
          <w:p w14:paraId="0943189E">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19.数据管理</w:t>
            </w:r>
          </w:p>
          <w:p w14:paraId="6E141C65">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（1）对接在线平台：提取的手机数据可通过USB安全传输线上传至通讯信息云研判平台系统，实现无缝对接；</w:t>
            </w:r>
          </w:p>
          <w:p w14:paraId="149234F9">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（2）内容检索：支持手机数据、人员信息的关键字检索；</w:t>
            </w:r>
          </w:p>
          <w:p w14:paraId="4806E5AF">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（3）数据导入：支持导入同系列采集设备生成的GED文件；</w:t>
            </w:r>
          </w:p>
          <w:p w14:paraId="4BA65160">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（4）数据导出：支持数据以GED、BCP、EFP格式导出；</w:t>
            </w:r>
          </w:p>
          <w:p w14:paraId="468CB1CE">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（5）智能笔录：支持按笔录模板一键自动生成《电子数据检查笔录》并支持内容编辑；</w:t>
            </w:r>
          </w:p>
          <w:p w14:paraId="1E8E1530">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（6）检验记录（选配）：支持导出符合用户需求和实验室标准的检验记录、设备使用记录和取证报告；</w:t>
            </w:r>
          </w:p>
          <w:p w14:paraId="4BCF94C0">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（7）报告导出：支持导出符合用户需求和相关标准的取证报告，支持导出HTML、EXCEL、WORD等文件格式报告。</w:t>
            </w:r>
          </w:p>
          <w:p w14:paraId="758A5A12">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20.系统管理</w:t>
            </w:r>
          </w:p>
          <w:p w14:paraId="57AE59F3">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（1）系统日志：包括登录、信息提取、数据同步、数据管理及用户管理等日志信息；</w:t>
            </w:r>
          </w:p>
          <w:p w14:paraId="56BDB164">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（2）系统管理：包含系统参数设置、提取方案设置、授权文件配置、密码管理、用户管理、导出上传设置等。</w:t>
            </w:r>
          </w:p>
          <w:p w14:paraId="26695304">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（3）在线客服：支持提供7*24小时智能机器人或人工在线答疑服务。</w:t>
            </w:r>
          </w:p>
        </w:tc>
        <w:tc>
          <w:tcPr>
            <w:tcW w:w="708" w:type="dxa"/>
            <w:vAlign w:val="center"/>
          </w:tcPr>
          <w:p w14:paraId="31A275E1">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r>
              <w:rPr>
                <w:rFonts w:ascii="宋体" w:hAnsi="宋体" w:eastAsia="宋体"/>
                <w:color w:val="000000" w:themeColor="text1"/>
                <w:szCs w:val="21"/>
                <w14:textFill>
                  <w14:solidFill>
                    <w14:schemeClr w14:val="tx1"/>
                  </w14:solidFill>
                </w14:textFill>
              </w:rPr>
              <w:t>9000.00</w:t>
            </w:r>
          </w:p>
        </w:tc>
        <w:tc>
          <w:tcPr>
            <w:tcW w:w="708" w:type="dxa"/>
            <w:vAlign w:val="center"/>
          </w:tcPr>
          <w:p w14:paraId="409116C6">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812000.00</w:t>
            </w:r>
          </w:p>
        </w:tc>
        <w:tc>
          <w:tcPr>
            <w:tcW w:w="710" w:type="dxa"/>
            <w:vAlign w:val="center"/>
          </w:tcPr>
          <w:p w14:paraId="19238233">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工业</w:t>
            </w:r>
          </w:p>
        </w:tc>
      </w:tr>
      <w:tr w14:paraId="44E96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gridSpan w:val="2"/>
            <w:vAlign w:val="center"/>
          </w:tcPr>
          <w:p w14:paraId="4D315B4F">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商务条款</w:t>
            </w:r>
          </w:p>
        </w:tc>
        <w:tc>
          <w:tcPr>
            <w:tcW w:w="8505" w:type="dxa"/>
            <w:gridSpan w:val="7"/>
            <w:vAlign w:val="center"/>
          </w:tcPr>
          <w:p w14:paraId="0D8E5044">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一、合同签订期：自中标通知书发出之日起25个日历日内；</w:t>
            </w:r>
          </w:p>
          <w:p w14:paraId="27AA02DE">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二、交货期：自合同签订之日起15个工作日内交货、安装、调试及试运行完毕并通过验收，交付采购人投入正常使用；</w:t>
            </w:r>
          </w:p>
          <w:p w14:paraId="403CC109">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三、交货地点：采购单位指定地址；</w:t>
            </w:r>
          </w:p>
          <w:p w14:paraId="75C64D8F">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四、交货方式：现场交货；</w:t>
            </w:r>
          </w:p>
          <w:p w14:paraId="539A583D">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五、售后服务要求：</w:t>
            </w:r>
          </w:p>
          <w:p w14:paraId="63380E93">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（1）供应商提供的硬件设备及软件的技术参数、配置和性能指标必须为真实有效，如有提供虚假材料谋取中标的，按政府采购相关法规处罚，并追究其相应的法律责任；</w:t>
            </w:r>
          </w:p>
          <w:p w14:paraId="78940540">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新型涉网犯罪一站式智勘取证终端”、“新型涉网案件智勘联侦分析系统”采集的数据须自动同步至《全国公安机关现场勘验信息系统》内的新型涉网案件勘查取证管理模块进行统一管理应用（需投标人提供全国公安机关现场勘验信息系统对接授权书或投标人提供对接承诺函），并实现与刑侦各业务平台的数据及应用对接，无法实现对接的采购人拒绝验收。数据接口对接产生的费用由供应商自行承担；</w:t>
            </w:r>
          </w:p>
          <w:p w14:paraId="619A5F02">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（3）质量保证期3年（自交货并验收合格之日起计）；</w:t>
            </w:r>
          </w:p>
          <w:p w14:paraId="7A3BCC2E">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（4）故障响应时间：质保期内，供应商应当提供7×</w:t>
            </w:r>
            <w:r>
              <w:rPr>
                <w:rFonts w:ascii="宋体" w:hAnsi="宋体" w:eastAsia="宋体"/>
                <w:color w:val="000000" w:themeColor="text1"/>
                <w:szCs w:val="21"/>
                <w14:textFill>
                  <w14:solidFill>
                    <w14:schemeClr w14:val="tx1"/>
                  </w14:solidFill>
                </w14:textFill>
              </w:rPr>
              <w:t>24</w:t>
            </w:r>
            <w:r>
              <w:rPr>
                <w:rFonts w:hint="eastAsia" w:ascii="宋体" w:hAnsi="宋体" w:eastAsia="宋体"/>
                <w:color w:val="000000" w:themeColor="text1"/>
                <w:szCs w:val="21"/>
                <w14:textFill>
                  <w14:solidFill>
                    <w14:schemeClr w14:val="tx1"/>
                  </w14:solidFill>
                </w14:textFill>
              </w:rPr>
              <w:t>小时电话支持服务。供应商接到采购人故障通知后2个小时内响应，24个小时内排除故障。对于质保期内不能修复的产品部件或无法完善相关服务内容的，供应商应在五个工作日内提供与原设备技术参数要求相同或高于原设备技术参数要求的备用产品，以保证采购人的正常工作；</w:t>
            </w:r>
          </w:p>
          <w:p w14:paraId="6314F599">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（5）免费送货上门、安装、调试，免费培训使用人员和维护人员，培训内容主要为：设备的软硬件安装、维护使用。</w:t>
            </w:r>
          </w:p>
          <w:p w14:paraId="361ED635">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六、响应报价包含：</w:t>
            </w:r>
          </w:p>
          <w:p w14:paraId="580C911C">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（1）货物及标准附件、备品备件、专用工具的价格；</w:t>
            </w:r>
          </w:p>
          <w:p w14:paraId="7527C18D">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（2）运输、装卸、调试、培训、技术支持、售后服务、咨询服务等费用；</w:t>
            </w:r>
          </w:p>
          <w:p w14:paraId="11392B06">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（3）必要的保险费用和各项税费；</w:t>
            </w:r>
          </w:p>
          <w:p w14:paraId="59342EC4">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（4）包括安装费用；</w:t>
            </w:r>
          </w:p>
          <w:p w14:paraId="41F2E7C6">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（5）到现场验收的费用；</w:t>
            </w:r>
          </w:p>
          <w:p w14:paraId="1EB27737">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（6）本次项目采购货物所需人工各项费用；</w:t>
            </w:r>
          </w:p>
          <w:p w14:paraId="3F943C1E">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（7）采购文件要求提供的货物所有伴随服务、工程等费用和税费。</w:t>
            </w:r>
          </w:p>
          <w:p w14:paraId="34D31B26">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七、付款方式：本项目无预付款，本合同项下的全部设备安装调试完毕经采购人验收合格并收到正式发票后10个工作日内，采购人向中标人一次性支付全部合同款。</w:t>
            </w:r>
          </w:p>
          <w:p w14:paraId="21C548E3">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八、验收条件及标准：</w:t>
            </w:r>
          </w:p>
          <w:p w14:paraId="2889FC44">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货物到达现场后，供应商应在采购人单位人员在场情况下当面开箱，共同清点、检查外观，作出开箱记录，双方签字确认。供应商应保证货物到达采购人所在地完好无损，如有缺漏、损坏，由供应商负责调换、补齐或赔偿。</w:t>
            </w:r>
          </w:p>
          <w:p w14:paraId="509F8156">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2、供应商提供的货物需全新、完好、无破损，应提供完备的技术或服务资料等，并派遣专业人员进行现场安装调试。验收合格条件如下：</w:t>
            </w:r>
          </w:p>
          <w:p w14:paraId="1231A8C5">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（1）货物技术参数与采购合同一致，性能或指标达到规定的标准。</w:t>
            </w:r>
          </w:p>
          <w:p w14:paraId="16244FF5">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（2）技术或资料、装箱单、合格证等资料齐全。</w:t>
            </w:r>
          </w:p>
          <w:p w14:paraId="0A1C1AF0">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（3）在测试或试运行期间所出现的问题得到解决，并运行或工作正常。</w:t>
            </w:r>
          </w:p>
          <w:p w14:paraId="73420DC0">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（4）在规定时间内完成交货及验收，并经采购人确认。</w:t>
            </w:r>
          </w:p>
          <w:p w14:paraId="4816712A">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3、项目验收应遵循国家及行业相关验收标准：供应商在安装调试完成后需提交全部配置资料、验收报告、测试报告（如有）等。</w:t>
            </w:r>
          </w:p>
          <w:p w14:paraId="20004030">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4、在安装调试并试运行符合要求后，才作最终验收。</w:t>
            </w:r>
          </w:p>
          <w:p w14:paraId="7543CBAC">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为保证中带有“▲”号的技术指标和性能达到采购文件要求及与合同相符，如采购人对供应商所竞标货物的技术指标有质疑，供货时须进行现场演示，以确认是否达到合同、采购文件中所规定的技术功能要求；供应商未提供的或演示效果达不到合同、采购文件中所规定的技术功能要求，则视为合同违约，采购人有权拒绝验收，对采购单位造成的所有损失由供应商承担。中标人提供所采购的货物、配套设备、所属装置等有关技术资料作为验收的参考依据。</w:t>
            </w:r>
          </w:p>
        </w:tc>
      </w:tr>
      <w:tr w14:paraId="2D0EF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gridSpan w:val="2"/>
            <w:vAlign w:val="center"/>
          </w:tcPr>
          <w:p w14:paraId="405007F7">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其他说明</w:t>
            </w:r>
          </w:p>
        </w:tc>
        <w:tc>
          <w:tcPr>
            <w:tcW w:w="8505" w:type="dxa"/>
            <w:gridSpan w:val="7"/>
            <w:vAlign w:val="center"/>
          </w:tcPr>
          <w:p w14:paraId="3C85D223">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一、</w:t>
            </w:r>
            <w:r>
              <w:rPr>
                <w:rFonts w:hint="eastAsia" w:ascii="宋体" w:hAnsi="宋体" w:eastAsia="宋体"/>
                <w:color w:val="000000" w:themeColor="text1"/>
                <w:szCs w:val="21"/>
                <w14:textFill>
                  <w14:solidFill>
                    <w14:schemeClr w14:val="tx1"/>
                  </w14:solidFill>
                </w14:textFill>
              </w:rPr>
              <w:t>进口产品说明：</w:t>
            </w:r>
          </w:p>
          <w:p w14:paraId="594E5490">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本项目货物不接受进口产品（即通过中国海关报关验放进入中国境内且产自关境外的产品）参与投标，如有进口产品参与投标的，其投标文件作无效处理。</w:t>
            </w:r>
          </w:p>
          <w:p w14:paraId="0D14E136">
            <w:pPr>
              <w:tabs>
                <w:tab w:val="left" w:pos="180"/>
                <w:tab w:val="left" w:pos="1620"/>
              </w:tabs>
              <w:spacing w:line="288" w:lineRule="auto"/>
              <w:rPr>
                <w:rFonts w:ascii="宋体" w:hAnsi="宋体" w:cs="宋体"/>
                <w:b/>
                <w:bCs/>
                <w:color w:val="auto"/>
                <w:szCs w:val="21"/>
                <w:highlight w:val="none"/>
              </w:rPr>
            </w:pPr>
            <w:r>
              <w:rPr>
                <w:rFonts w:hint="eastAsia" w:ascii="宋体" w:hAnsi="宋体" w:cs="宋体"/>
                <w:b/>
                <w:bCs/>
                <w:color w:val="auto"/>
                <w:szCs w:val="21"/>
                <w:highlight w:val="none"/>
                <w:lang w:val="en-US" w:eastAsia="zh-CN" w:bidi="ar"/>
              </w:rPr>
              <w:t>二</w:t>
            </w:r>
            <w:r>
              <w:rPr>
                <w:rFonts w:hint="eastAsia" w:ascii="宋体" w:hAnsi="宋体" w:cs="宋体"/>
                <w:b/>
                <w:bCs/>
                <w:color w:val="auto"/>
                <w:szCs w:val="21"/>
                <w:highlight w:val="none"/>
                <w:lang w:bidi="ar"/>
              </w:rPr>
              <w:t>、核心产品</w:t>
            </w:r>
          </w:p>
          <w:p w14:paraId="7CDDF37F">
            <w:pPr>
              <w:widowControl/>
              <w:shd w:val="clear" w:color="auto" w:fill="FFFFFF"/>
              <w:spacing w:line="288" w:lineRule="auto"/>
              <w:rPr>
                <w:rFonts w:ascii="宋体" w:hAnsi="宋体" w:cs="宋体"/>
                <w:color w:val="auto"/>
                <w:kern w:val="0"/>
                <w:szCs w:val="21"/>
                <w:highlight w:val="none"/>
                <w:shd w:val="clear" w:color="auto" w:fill="FFFFFF"/>
              </w:rPr>
            </w:pPr>
            <w:r>
              <w:rPr>
                <w:rFonts w:hint="eastAsia" w:ascii="宋体" w:hAnsi="宋体" w:cs="宋体"/>
                <w:b/>
                <w:bCs/>
                <w:color w:val="auto"/>
                <w:kern w:val="0"/>
                <w:szCs w:val="21"/>
                <w:highlight w:val="none"/>
                <w:shd w:val="clear" w:color="auto" w:fill="FFFFFF"/>
                <w:lang w:bidi="ar"/>
              </w:rPr>
              <w:t>“采购清单及技术参数”表中的核心产品：</w:t>
            </w:r>
            <w:bookmarkStart w:id="36" w:name="_GoBack"/>
            <w:bookmarkEnd w:id="36"/>
            <w:r>
              <w:rPr>
                <w:rFonts w:hint="eastAsia" w:ascii="宋体" w:hAnsi="宋体" w:cs="宋体"/>
                <w:b/>
                <w:bCs/>
                <w:color w:val="auto"/>
                <w:kern w:val="0"/>
                <w:szCs w:val="21"/>
                <w:highlight w:val="none"/>
                <w:shd w:val="clear" w:color="auto" w:fill="FFFFFF"/>
                <w:lang w:bidi="ar"/>
              </w:rPr>
              <w:t>第</w:t>
            </w:r>
            <w:r>
              <w:rPr>
                <w:rFonts w:hint="eastAsia" w:ascii="宋体" w:hAnsi="宋体" w:cs="宋体"/>
                <w:b/>
                <w:bCs/>
                <w:color w:val="auto"/>
                <w:kern w:val="0"/>
                <w:szCs w:val="21"/>
                <w:highlight w:val="none"/>
                <w:shd w:val="clear" w:color="auto" w:fill="FFFFFF"/>
                <w:lang w:val="en-US" w:eastAsia="zh-CN" w:bidi="ar"/>
              </w:rPr>
              <w:t>1</w:t>
            </w:r>
            <w:r>
              <w:rPr>
                <w:rFonts w:hint="eastAsia" w:ascii="宋体" w:hAnsi="宋体" w:cs="宋体"/>
                <w:b/>
                <w:bCs/>
                <w:color w:val="auto"/>
                <w:kern w:val="0"/>
                <w:szCs w:val="21"/>
                <w:highlight w:val="none"/>
                <w:shd w:val="clear" w:color="auto" w:fill="FFFFFF"/>
                <w:lang w:bidi="ar"/>
              </w:rPr>
              <w:t>项：新型涉网犯罪一站式智勘取证终端。</w:t>
            </w:r>
            <w:r>
              <w:rPr>
                <w:rFonts w:hint="eastAsia" w:ascii="宋体" w:hAnsi="宋体" w:cs="宋体"/>
                <w:color w:val="auto"/>
                <w:kern w:val="0"/>
                <w:szCs w:val="21"/>
                <w:highlight w:val="none"/>
                <w:shd w:val="clear" w:color="auto" w:fill="FFFFFF"/>
                <w:lang w:bidi="ar"/>
              </w:rPr>
              <w:t>（核心产品品牌相同的，视为提供同品牌产品）</w:t>
            </w:r>
          </w:p>
          <w:p w14:paraId="6CA06199">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cs="宋体"/>
                <w:color w:val="auto"/>
                <w:kern w:val="0"/>
                <w:szCs w:val="21"/>
                <w:highlight w:val="none"/>
                <w:shd w:val="clear" w:color="auto" w:fill="FFFFFF"/>
                <w:lang w:bidi="ar"/>
              </w:rPr>
              <w:t>注：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报价低优先、按技术指标优劣）确定一个投标人获得中标人推荐资格，招标文件未规定的采取随机抽取方式确定，其他同品牌投标人不作为中标候选人。</w:t>
            </w:r>
          </w:p>
        </w:tc>
      </w:tr>
    </w:tbl>
    <w:p w14:paraId="49735408">
      <w:pPr>
        <w:spacing w:line="360" w:lineRule="auto"/>
        <w:jc w:val="center"/>
        <w:rPr>
          <w:rFonts w:ascii="宋体" w:hAnsi="宋体" w:eastAsia="宋体"/>
          <w:color w:val="000000" w:themeColor="text1"/>
          <w:szCs w:val="21"/>
          <w14:textFill>
            <w14:solidFill>
              <w14:schemeClr w14:val="tx1"/>
            </w14:solidFill>
          </w14:textFill>
        </w:rPr>
      </w:pPr>
    </w:p>
    <w:p w14:paraId="686B9B75">
      <w:pPr>
        <w:spacing w:line="360" w:lineRule="auto"/>
        <w:ind w:firstLine="420" w:firstLineChars="200"/>
        <w:rPr>
          <w:rFonts w:ascii="宋体" w:hAnsi="宋体" w:eastAsia="宋体"/>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0337CE92">
      <w:pPr>
        <w:spacing w:line="360" w:lineRule="auto"/>
        <w:rPr>
          <w:rFonts w:ascii="微软雅黑" w:hAnsi="微软雅黑" w:eastAsia="微软雅黑"/>
          <w:color w:val="000000" w:themeColor="text1"/>
          <w:sz w:val="32"/>
          <w:szCs w:val="32"/>
          <w14:textFill>
            <w14:solidFill>
              <w14:schemeClr w14:val="tx1"/>
            </w14:solidFill>
          </w14:textFill>
        </w:rPr>
      </w:pPr>
      <w:r>
        <w:rPr>
          <w:rFonts w:hint="eastAsia" w:ascii="微软雅黑" w:hAnsi="微软雅黑" w:eastAsia="微软雅黑"/>
          <w:color w:val="000000" w:themeColor="text1"/>
          <w:sz w:val="32"/>
          <w:szCs w:val="32"/>
          <w14:textFill>
            <w14:solidFill>
              <w14:schemeClr w14:val="tx1"/>
            </w14:solidFill>
          </w14:textFill>
        </w:rPr>
        <w:t>附件1：</w:t>
      </w:r>
    </w:p>
    <w:p w14:paraId="0EFC5C35">
      <w:pPr>
        <w:spacing w:line="360" w:lineRule="auto"/>
        <w:jc w:val="center"/>
        <w:rPr>
          <w:rFonts w:ascii="微软雅黑" w:hAnsi="微软雅黑" w:eastAsia="微软雅黑"/>
          <w:color w:val="000000" w:themeColor="text1"/>
          <w:sz w:val="40"/>
          <w:szCs w:val="40"/>
          <w14:textFill>
            <w14:solidFill>
              <w14:schemeClr w14:val="tx1"/>
            </w14:solidFill>
          </w14:textFill>
        </w:rPr>
      </w:pPr>
      <w:r>
        <w:rPr>
          <w:rFonts w:hint="eastAsia" w:ascii="微软雅黑" w:hAnsi="微软雅黑" w:eastAsia="微软雅黑"/>
          <w:color w:val="000000" w:themeColor="text1"/>
          <w:sz w:val="40"/>
          <w:szCs w:val="40"/>
          <w14:textFill>
            <w14:solidFill>
              <w14:schemeClr w14:val="tx1"/>
            </w14:solidFill>
          </w14:textFill>
        </w:rPr>
        <w:t>节能产品政府采购品目清单</w:t>
      </w:r>
    </w:p>
    <w:tbl>
      <w:tblPr>
        <w:tblStyle w:val="14"/>
        <w:tblW w:w="53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
        <w:gridCol w:w="1202"/>
        <w:gridCol w:w="1765"/>
        <w:gridCol w:w="1517"/>
        <w:gridCol w:w="5047"/>
      </w:tblGrid>
      <w:tr w14:paraId="2A32C46C">
        <w:tblPrEx>
          <w:tblCellMar>
            <w:top w:w="0" w:type="dxa"/>
            <w:left w:w="108" w:type="dxa"/>
            <w:bottom w:w="0" w:type="dxa"/>
            <w:right w:w="108" w:type="dxa"/>
          </w:tblCellMar>
        </w:tblPrEx>
        <w:trPr>
          <w:trHeight w:val="454" w:hRule="atLeast"/>
          <w:jc w:val="center"/>
        </w:trPr>
        <w:tc>
          <w:tcPr>
            <w:tcW w:w="225" w:type="pct"/>
            <w:vAlign w:val="center"/>
          </w:tcPr>
          <w:p w14:paraId="026A1455">
            <w:pPr>
              <w:spacing w:line="300" w:lineRule="auto"/>
              <w:jc w:val="center"/>
              <w:rPr>
                <w:rFonts w:ascii="宋体" w:hAnsi="宋体" w:eastAsia="宋体"/>
                <w:b/>
                <w:color w:val="000000" w:themeColor="text1"/>
                <w:sz w:val="22"/>
                <w14:textFill>
                  <w14:solidFill>
                    <w14:schemeClr w14:val="tx1"/>
                  </w14:solidFill>
                </w14:textFill>
              </w:rPr>
            </w:pPr>
            <w:r>
              <w:rPr>
                <w:rFonts w:hint="eastAsia" w:ascii="宋体" w:hAnsi="宋体" w:eastAsia="宋体"/>
                <w:b/>
                <w:color w:val="000000" w:themeColor="text1"/>
                <w:sz w:val="22"/>
                <w14:textFill>
                  <w14:solidFill>
                    <w14:schemeClr w14:val="tx1"/>
                  </w14:solidFill>
                </w14:textFill>
              </w:rPr>
              <w:t>品目序号</w:t>
            </w:r>
          </w:p>
        </w:tc>
        <w:tc>
          <w:tcPr>
            <w:tcW w:w="2243" w:type="pct"/>
            <w:gridSpan w:val="3"/>
            <w:vAlign w:val="center"/>
          </w:tcPr>
          <w:p w14:paraId="3A9AB867">
            <w:pPr>
              <w:spacing w:line="300" w:lineRule="auto"/>
              <w:jc w:val="center"/>
              <w:rPr>
                <w:rFonts w:ascii="宋体" w:hAnsi="宋体" w:eastAsia="宋体"/>
                <w:b/>
                <w:color w:val="000000" w:themeColor="text1"/>
                <w:sz w:val="22"/>
                <w14:textFill>
                  <w14:solidFill>
                    <w14:schemeClr w14:val="tx1"/>
                  </w14:solidFill>
                </w14:textFill>
              </w:rPr>
            </w:pPr>
            <w:r>
              <w:rPr>
                <w:rFonts w:hint="eastAsia" w:ascii="宋体" w:hAnsi="宋体" w:eastAsia="宋体"/>
                <w:b/>
                <w:color w:val="000000" w:themeColor="text1"/>
                <w:sz w:val="22"/>
                <w14:textFill>
                  <w14:solidFill>
                    <w14:schemeClr w14:val="tx1"/>
                  </w14:solidFill>
                </w14:textFill>
              </w:rPr>
              <w:t>名称</w:t>
            </w:r>
          </w:p>
        </w:tc>
        <w:tc>
          <w:tcPr>
            <w:tcW w:w="2533" w:type="pct"/>
            <w:vAlign w:val="center"/>
          </w:tcPr>
          <w:p w14:paraId="5CA111BF">
            <w:pPr>
              <w:spacing w:line="300" w:lineRule="auto"/>
              <w:jc w:val="center"/>
              <w:rPr>
                <w:rFonts w:ascii="宋体" w:hAnsi="宋体" w:eastAsia="宋体"/>
                <w:b/>
                <w:color w:val="000000" w:themeColor="text1"/>
                <w:sz w:val="22"/>
                <w14:textFill>
                  <w14:solidFill>
                    <w14:schemeClr w14:val="tx1"/>
                  </w14:solidFill>
                </w14:textFill>
              </w:rPr>
            </w:pPr>
            <w:r>
              <w:rPr>
                <w:rFonts w:hint="eastAsia" w:ascii="宋体" w:hAnsi="宋体" w:eastAsia="宋体"/>
                <w:b/>
                <w:color w:val="000000" w:themeColor="text1"/>
                <w:sz w:val="22"/>
                <w14:textFill>
                  <w14:solidFill>
                    <w14:schemeClr w14:val="tx1"/>
                  </w14:solidFill>
                </w14:textFill>
              </w:rPr>
              <w:t>依据的标准</w:t>
            </w:r>
          </w:p>
        </w:tc>
      </w:tr>
      <w:tr w14:paraId="47A0E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 w:type="pct"/>
            <w:vMerge w:val="restart"/>
            <w:vAlign w:val="center"/>
          </w:tcPr>
          <w:p w14:paraId="78A63C9F">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w:t>
            </w:r>
          </w:p>
        </w:tc>
        <w:tc>
          <w:tcPr>
            <w:tcW w:w="605" w:type="pct"/>
            <w:vMerge w:val="restart"/>
            <w:vAlign w:val="center"/>
          </w:tcPr>
          <w:p w14:paraId="1C70945A">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A020101计算机设备</w:t>
            </w:r>
          </w:p>
        </w:tc>
        <w:tc>
          <w:tcPr>
            <w:tcW w:w="887" w:type="pct"/>
            <w:vAlign w:val="center"/>
          </w:tcPr>
          <w:p w14:paraId="25F80C73">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★A02010104台式计算机</w:t>
            </w:r>
          </w:p>
        </w:tc>
        <w:tc>
          <w:tcPr>
            <w:tcW w:w="750" w:type="pct"/>
            <w:vAlign w:val="center"/>
          </w:tcPr>
          <w:p w14:paraId="380263C1">
            <w:pPr>
              <w:spacing w:line="300" w:lineRule="auto"/>
              <w:jc w:val="center"/>
              <w:rPr>
                <w:rFonts w:ascii="宋体" w:hAnsi="宋体" w:eastAsia="宋体"/>
                <w:color w:val="000000" w:themeColor="text1"/>
                <w:sz w:val="20"/>
                <w:szCs w:val="20"/>
                <w14:textFill>
                  <w14:solidFill>
                    <w14:schemeClr w14:val="tx1"/>
                  </w14:solidFill>
                </w14:textFill>
              </w:rPr>
            </w:pPr>
          </w:p>
        </w:tc>
        <w:tc>
          <w:tcPr>
            <w:tcW w:w="2533" w:type="pct"/>
            <w:vAlign w:val="center"/>
          </w:tcPr>
          <w:p w14:paraId="4EB9C3FF">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《微型计算机能效限定值及能效等级》（GB28380）</w:t>
            </w:r>
          </w:p>
        </w:tc>
      </w:tr>
      <w:tr w14:paraId="7CAE7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 w:type="pct"/>
            <w:vMerge w:val="continue"/>
            <w:vAlign w:val="center"/>
          </w:tcPr>
          <w:p w14:paraId="0210EE2E">
            <w:pPr>
              <w:spacing w:line="300" w:lineRule="auto"/>
              <w:jc w:val="center"/>
              <w:rPr>
                <w:rFonts w:ascii="宋体" w:hAnsi="宋体" w:eastAsia="宋体"/>
                <w:color w:val="000000" w:themeColor="text1"/>
                <w:sz w:val="20"/>
                <w:szCs w:val="20"/>
                <w14:textFill>
                  <w14:solidFill>
                    <w14:schemeClr w14:val="tx1"/>
                  </w14:solidFill>
                </w14:textFill>
              </w:rPr>
            </w:pPr>
          </w:p>
        </w:tc>
        <w:tc>
          <w:tcPr>
            <w:tcW w:w="605" w:type="pct"/>
            <w:vMerge w:val="continue"/>
            <w:vAlign w:val="center"/>
          </w:tcPr>
          <w:p w14:paraId="5E8DFF6D">
            <w:pPr>
              <w:spacing w:line="300" w:lineRule="auto"/>
              <w:jc w:val="center"/>
              <w:rPr>
                <w:rFonts w:ascii="宋体" w:hAnsi="宋体" w:eastAsia="宋体"/>
                <w:color w:val="000000" w:themeColor="text1"/>
                <w:sz w:val="20"/>
                <w:szCs w:val="20"/>
                <w14:textFill>
                  <w14:solidFill>
                    <w14:schemeClr w14:val="tx1"/>
                  </w14:solidFill>
                </w14:textFill>
              </w:rPr>
            </w:pPr>
          </w:p>
        </w:tc>
        <w:tc>
          <w:tcPr>
            <w:tcW w:w="887" w:type="pct"/>
            <w:vAlign w:val="center"/>
          </w:tcPr>
          <w:p w14:paraId="088CD298">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★A02010105便携式计算机</w:t>
            </w:r>
          </w:p>
        </w:tc>
        <w:tc>
          <w:tcPr>
            <w:tcW w:w="750" w:type="pct"/>
            <w:vAlign w:val="center"/>
          </w:tcPr>
          <w:p w14:paraId="1D77BB1B">
            <w:pPr>
              <w:spacing w:line="300" w:lineRule="auto"/>
              <w:jc w:val="center"/>
              <w:rPr>
                <w:rFonts w:ascii="宋体" w:hAnsi="宋体" w:eastAsia="宋体"/>
                <w:color w:val="000000" w:themeColor="text1"/>
                <w:sz w:val="20"/>
                <w:szCs w:val="20"/>
                <w14:textFill>
                  <w14:solidFill>
                    <w14:schemeClr w14:val="tx1"/>
                  </w14:solidFill>
                </w14:textFill>
              </w:rPr>
            </w:pPr>
          </w:p>
        </w:tc>
        <w:tc>
          <w:tcPr>
            <w:tcW w:w="2533" w:type="pct"/>
            <w:vAlign w:val="center"/>
          </w:tcPr>
          <w:p w14:paraId="1551C2E4">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《微型计算机能效限定值及能效等级》（GB28380）</w:t>
            </w:r>
          </w:p>
        </w:tc>
      </w:tr>
      <w:tr w14:paraId="45C2C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 w:type="pct"/>
            <w:vMerge w:val="continue"/>
            <w:vAlign w:val="center"/>
          </w:tcPr>
          <w:p w14:paraId="4BBD091F">
            <w:pPr>
              <w:spacing w:line="300" w:lineRule="auto"/>
              <w:jc w:val="center"/>
              <w:rPr>
                <w:rFonts w:ascii="宋体" w:hAnsi="宋体" w:eastAsia="宋体"/>
                <w:color w:val="000000" w:themeColor="text1"/>
                <w:sz w:val="20"/>
                <w:szCs w:val="20"/>
                <w14:textFill>
                  <w14:solidFill>
                    <w14:schemeClr w14:val="tx1"/>
                  </w14:solidFill>
                </w14:textFill>
              </w:rPr>
            </w:pPr>
          </w:p>
        </w:tc>
        <w:tc>
          <w:tcPr>
            <w:tcW w:w="605" w:type="pct"/>
            <w:vMerge w:val="continue"/>
            <w:vAlign w:val="center"/>
          </w:tcPr>
          <w:p w14:paraId="2E13D2CA">
            <w:pPr>
              <w:spacing w:line="300" w:lineRule="auto"/>
              <w:jc w:val="center"/>
              <w:rPr>
                <w:rFonts w:ascii="宋体" w:hAnsi="宋体" w:eastAsia="宋体"/>
                <w:color w:val="000000" w:themeColor="text1"/>
                <w:sz w:val="20"/>
                <w:szCs w:val="20"/>
                <w14:textFill>
                  <w14:solidFill>
                    <w14:schemeClr w14:val="tx1"/>
                  </w14:solidFill>
                </w14:textFill>
              </w:rPr>
            </w:pPr>
          </w:p>
        </w:tc>
        <w:tc>
          <w:tcPr>
            <w:tcW w:w="887" w:type="pct"/>
            <w:vAlign w:val="center"/>
          </w:tcPr>
          <w:p w14:paraId="498A51C5">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★A02010107平板式微型计算机</w:t>
            </w:r>
          </w:p>
        </w:tc>
        <w:tc>
          <w:tcPr>
            <w:tcW w:w="750" w:type="pct"/>
            <w:vAlign w:val="center"/>
          </w:tcPr>
          <w:p w14:paraId="5A6FC9DB">
            <w:pPr>
              <w:spacing w:line="300" w:lineRule="auto"/>
              <w:jc w:val="center"/>
              <w:rPr>
                <w:rFonts w:ascii="宋体" w:hAnsi="宋体" w:eastAsia="宋体"/>
                <w:color w:val="000000" w:themeColor="text1"/>
                <w:sz w:val="20"/>
                <w:szCs w:val="20"/>
                <w14:textFill>
                  <w14:solidFill>
                    <w14:schemeClr w14:val="tx1"/>
                  </w14:solidFill>
                </w14:textFill>
              </w:rPr>
            </w:pPr>
          </w:p>
        </w:tc>
        <w:tc>
          <w:tcPr>
            <w:tcW w:w="2533" w:type="pct"/>
            <w:vAlign w:val="center"/>
          </w:tcPr>
          <w:p w14:paraId="0D9FC7DB">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《微型计算机能效限定值及能效等级》（GB28380）</w:t>
            </w:r>
          </w:p>
        </w:tc>
      </w:tr>
      <w:tr w14:paraId="0EA38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 w:type="pct"/>
            <w:vMerge w:val="restart"/>
            <w:vAlign w:val="center"/>
          </w:tcPr>
          <w:p w14:paraId="5BA2D2BC">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2</w:t>
            </w:r>
          </w:p>
        </w:tc>
        <w:tc>
          <w:tcPr>
            <w:tcW w:w="605" w:type="pct"/>
            <w:vMerge w:val="restart"/>
            <w:vAlign w:val="center"/>
          </w:tcPr>
          <w:p w14:paraId="107B6D10">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A020106输入输出设备</w:t>
            </w:r>
          </w:p>
        </w:tc>
        <w:tc>
          <w:tcPr>
            <w:tcW w:w="887" w:type="pct"/>
            <w:vMerge w:val="restart"/>
            <w:vAlign w:val="center"/>
          </w:tcPr>
          <w:p w14:paraId="6A13AE77">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A02010601打印设备</w:t>
            </w:r>
          </w:p>
        </w:tc>
        <w:tc>
          <w:tcPr>
            <w:tcW w:w="750" w:type="pct"/>
            <w:vAlign w:val="center"/>
          </w:tcPr>
          <w:p w14:paraId="1018F927">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A0201060101喷墨打印机</w:t>
            </w:r>
          </w:p>
        </w:tc>
        <w:tc>
          <w:tcPr>
            <w:tcW w:w="2533" w:type="pct"/>
            <w:vAlign w:val="center"/>
          </w:tcPr>
          <w:p w14:paraId="291B128E">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《复印机、打印机和传真机能效限定值及能效等级》（GB21521）</w:t>
            </w:r>
          </w:p>
        </w:tc>
      </w:tr>
      <w:tr w14:paraId="617C9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 w:type="pct"/>
            <w:vMerge w:val="continue"/>
            <w:vAlign w:val="center"/>
          </w:tcPr>
          <w:p w14:paraId="3359BB4B">
            <w:pPr>
              <w:spacing w:line="300" w:lineRule="auto"/>
              <w:jc w:val="center"/>
              <w:rPr>
                <w:rFonts w:ascii="宋体" w:hAnsi="宋体" w:eastAsia="宋体"/>
                <w:color w:val="000000" w:themeColor="text1"/>
                <w:sz w:val="20"/>
                <w:szCs w:val="20"/>
                <w14:textFill>
                  <w14:solidFill>
                    <w14:schemeClr w14:val="tx1"/>
                  </w14:solidFill>
                </w14:textFill>
              </w:rPr>
            </w:pPr>
          </w:p>
        </w:tc>
        <w:tc>
          <w:tcPr>
            <w:tcW w:w="605" w:type="pct"/>
            <w:vMerge w:val="continue"/>
            <w:vAlign w:val="center"/>
          </w:tcPr>
          <w:p w14:paraId="14730749">
            <w:pPr>
              <w:spacing w:line="300" w:lineRule="auto"/>
              <w:jc w:val="center"/>
              <w:rPr>
                <w:rFonts w:ascii="宋体" w:hAnsi="宋体" w:eastAsia="宋体"/>
                <w:color w:val="000000" w:themeColor="text1"/>
                <w:sz w:val="20"/>
                <w:szCs w:val="20"/>
                <w14:textFill>
                  <w14:solidFill>
                    <w14:schemeClr w14:val="tx1"/>
                  </w14:solidFill>
                </w14:textFill>
              </w:rPr>
            </w:pPr>
          </w:p>
        </w:tc>
        <w:tc>
          <w:tcPr>
            <w:tcW w:w="887" w:type="pct"/>
            <w:vMerge w:val="continue"/>
            <w:vAlign w:val="center"/>
          </w:tcPr>
          <w:p w14:paraId="1BEB4999">
            <w:pPr>
              <w:spacing w:line="300" w:lineRule="auto"/>
              <w:jc w:val="center"/>
              <w:rPr>
                <w:rFonts w:ascii="宋体" w:hAnsi="宋体" w:eastAsia="宋体"/>
                <w:color w:val="000000" w:themeColor="text1"/>
                <w:sz w:val="20"/>
                <w:szCs w:val="20"/>
                <w14:textFill>
                  <w14:solidFill>
                    <w14:schemeClr w14:val="tx1"/>
                  </w14:solidFill>
                </w14:textFill>
              </w:rPr>
            </w:pPr>
          </w:p>
        </w:tc>
        <w:tc>
          <w:tcPr>
            <w:tcW w:w="750" w:type="pct"/>
            <w:vAlign w:val="center"/>
          </w:tcPr>
          <w:p w14:paraId="2C733066">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★A0201060102激光打印机</w:t>
            </w:r>
          </w:p>
        </w:tc>
        <w:tc>
          <w:tcPr>
            <w:tcW w:w="2533" w:type="pct"/>
            <w:vAlign w:val="center"/>
          </w:tcPr>
          <w:p w14:paraId="5A148D46">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《复印机、打印机和传真机能效限定值及能效等级》（GB21521）</w:t>
            </w:r>
          </w:p>
        </w:tc>
      </w:tr>
      <w:tr w14:paraId="3C4FB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 w:type="pct"/>
            <w:vMerge w:val="continue"/>
            <w:vAlign w:val="center"/>
          </w:tcPr>
          <w:p w14:paraId="03A8EDE1">
            <w:pPr>
              <w:spacing w:line="300" w:lineRule="auto"/>
              <w:jc w:val="center"/>
              <w:rPr>
                <w:rFonts w:ascii="宋体" w:hAnsi="宋体" w:eastAsia="宋体"/>
                <w:color w:val="000000" w:themeColor="text1"/>
                <w:sz w:val="20"/>
                <w:szCs w:val="20"/>
                <w14:textFill>
                  <w14:solidFill>
                    <w14:schemeClr w14:val="tx1"/>
                  </w14:solidFill>
                </w14:textFill>
              </w:rPr>
            </w:pPr>
          </w:p>
        </w:tc>
        <w:tc>
          <w:tcPr>
            <w:tcW w:w="605" w:type="pct"/>
            <w:vMerge w:val="continue"/>
            <w:vAlign w:val="center"/>
          </w:tcPr>
          <w:p w14:paraId="02BA82DF">
            <w:pPr>
              <w:spacing w:line="300" w:lineRule="auto"/>
              <w:jc w:val="center"/>
              <w:rPr>
                <w:rFonts w:ascii="宋体" w:hAnsi="宋体" w:eastAsia="宋体"/>
                <w:color w:val="000000" w:themeColor="text1"/>
                <w:sz w:val="20"/>
                <w:szCs w:val="20"/>
                <w14:textFill>
                  <w14:solidFill>
                    <w14:schemeClr w14:val="tx1"/>
                  </w14:solidFill>
                </w14:textFill>
              </w:rPr>
            </w:pPr>
          </w:p>
        </w:tc>
        <w:tc>
          <w:tcPr>
            <w:tcW w:w="887" w:type="pct"/>
            <w:vMerge w:val="continue"/>
            <w:vAlign w:val="center"/>
          </w:tcPr>
          <w:p w14:paraId="483B45FB">
            <w:pPr>
              <w:spacing w:line="300" w:lineRule="auto"/>
              <w:jc w:val="center"/>
              <w:rPr>
                <w:rFonts w:ascii="宋体" w:hAnsi="宋体" w:eastAsia="宋体"/>
                <w:color w:val="000000" w:themeColor="text1"/>
                <w:sz w:val="20"/>
                <w:szCs w:val="20"/>
                <w14:textFill>
                  <w14:solidFill>
                    <w14:schemeClr w14:val="tx1"/>
                  </w14:solidFill>
                </w14:textFill>
              </w:rPr>
            </w:pPr>
          </w:p>
        </w:tc>
        <w:tc>
          <w:tcPr>
            <w:tcW w:w="750" w:type="pct"/>
            <w:vAlign w:val="center"/>
          </w:tcPr>
          <w:p w14:paraId="24F88508">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★A0201060104针式打印机</w:t>
            </w:r>
          </w:p>
        </w:tc>
        <w:tc>
          <w:tcPr>
            <w:tcW w:w="2533" w:type="pct"/>
            <w:vAlign w:val="center"/>
          </w:tcPr>
          <w:p w14:paraId="6D143C06">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《复印机、打印机和传真机能效限定值及能效等级》（GB21521）</w:t>
            </w:r>
          </w:p>
        </w:tc>
      </w:tr>
      <w:tr w14:paraId="1A7BD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 w:type="pct"/>
            <w:vMerge w:val="continue"/>
            <w:vAlign w:val="center"/>
          </w:tcPr>
          <w:p w14:paraId="58C3080A">
            <w:pPr>
              <w:spacing w:line="300" w:lineRule="auto"/>
              <w:jc w:val="center"/>
              <w:rPr>
                <w:rFonts w:ascii="宋体" w:hAnsi="宋体" w:eastAsia="宋体"/>
                <w:color w:val="000000" w:themeColor="text1"/>
                <w:sz w:val="20"/>
                <w:szCs w:val="20"/>
                <w14:textFill>
                  <w14:solidFill>
                    <w14:schemeClr w14:val="tx1"/>
                  </w14:solidFill>
                </w14:textFill>
              </w:rPr>
            </w:pPr>
          </w:p>
        </w:tc>
        <w:tc>
          <w:tcPr>
            <w:tcW w:w="605" w:type="pct"/>
            <w:vMerge w:val="continue"/>
            <w:vAlign w:val="center"/>
          </w:tcPr>
          <w:p w14:paraId="4D184D16">
            <w:pPr>
              <w:spacing w:line="300" w:lineRule="auto"/>
              <w:jc w:val="center"/>
              <w:rPr>
                <w:rFonts w:ascii="宋体" w:hAnsi="宋体" w:eastAsia="宋体"/>
                <w:color w:val="000000" w:themeColor="text1"/>
                <w:sz w:val="20"/>
                <w:szCs w:val="20"/>
                <w14:textFill>
                  <w14:solidFill>
                    <w14:schemeClr w14:val="tx1"/>
                  </w14:solidFill>
                </w14:textFill>
              </w:rPr>
            </w:pPr>
          </w:p>
        </w:tc>
        <w:tc>
          <w:tcPr>
            <w:tcW w:w="887" w:type="pct"/>
            <w:vAlign w:val="center"/>
          </w:tcPr>
          <w:p w14:paraId="38521C96">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A02010604显示设备</w:t>
            </w:r>
          </w:p>
        </w:tc>
        <w:tc>
          <w:tcPr>
            <w:tcW w:w="750" w:type="pct"/>
            <w:vAlign w:val="center"/>
          </w:tcPr>
          <w:p w14:paraId="411F66EE">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★A0201060401液晶显示器</w:t>
            </w:r>
          </w:p>
        </w:tc>
        <w:tc>
          <w:tcPr>
            <w:tcW w:w="2533" w:type="pct"/>
            <w:vAlign w:val="center"/>
          </w:tcPr>
          <w:p w14:paraId="6CBC9A64">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《计算机显示器能效限定值及能效等级》（GB21520）</w:t>
            </w:r>
          </w:p>
        </w:tc>
      </w:tr>
      <w:tr w14:paraId="2D776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 w:type="pct"/>
            <w:vMerge w:val="continue"/>
            <w:vAlign w:val="center"/>
          </w:tcPr>
          <w:p w14:paraId="1C0DF0AD">
            <w:pPr>
              <w:spacing w:line="300" w:lineRule="auto"/>
              <w:jc w:val="center"/>
              <w:rPr>
                <w:rFonts w:ascii="宋体" w:hAnsi="宋体" w:eastAsia="宋体"/>
                <w:color w:val="000000" w:themeColor="text1"/>
                <w:sz w:val="20"/>
                <w:szCs w:val="20"/>
                <w14:textFill>
                  <w14:solidFill>
                    <w14:schemeClr w14:val="tx1"/>
                  </w14:solidFill>
                </w14:textFill>
              </w:rPr>
            </w:pPr>
          </w:p>
        </w:tc>
        <w:tc>
          <w:tcPr>
            <w:tcW w:w="605" w:type="pct"/>
            <w:vMerge w:val="continue"/>
            <w:vAlign w:val="center"/>
          </w:tcPr>
          <w:p w14:paraId="5DD6D4BE">
            <w:pPr>
              <w:spacing w:line="300" w:lineRule="auto"/>
              <w:jc w:val="center"/>
              <w:rPr>
                <w:rFonts w:ascii="宋体" w:hAnsi="宋体" w:eastAsia="宋体"/>
                <w:color w:val="000000" w:themeColor="text1"/>
                <w:sz w:val="20"/>
                <w:szCs w:val="20"/>
                <w14:textFill>
                  <w14:solidFill>
                    <w14:schemeClr w14:val="tx1"/>
                  </w14:solidFill>
                </w14:textFill>
              </w:rPr>
            </w:pPr>
          </w:p>
        </w:tc>
        <w:tc>
          <w:tcPr>
            <w:tcW w:w="887" w:type="pct"/>
            <w:vAlign w:val="center"/>
          </w:tcPr>
          <w:p w14:paraId="15AC6A32">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A02010609图形图像输入设备</w:t>
            </w:r>
          </w:p>
        </w:tc>
        <w:tc>
          <w:tcPr>
            <w:tcW w:w="750" w:type="pct"/>
            <w:vAlign w:val="center"/>
          </w:tcPr>
          <w:p w14:paraId="1272CC98">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A0201060901扫描仪</w:t>
            </w:r>
          </w:p>
        </w:tc>
        <w:tc>
          <w:tcPr>
            <w:tcW w:w="2533" w:type="pct"/>
            <w:vAlign w:val="center"/>
          </w:tcPr>
          <w:p w14:paraId="591FA12F">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参照《复印机、打印机和传真机能效限定值及能效等级》（GB21521中打印速度为15页/分的针式打印机相关要求中打印速度为15页/分的针式打印机相关要求</w:t>
            </w:r>
          </w:p>
        </w:tc>
      </w:tr>
      <w:tr w14:paraId="509B0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 w:type="pct"/>
            <w:vAlign w:val="center"/>
          </w:tcPr>
          <w:p w14:paraId="59333153">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w:t>
            </w:r>
          </w:p>
        </w:tc>
        <w:tc>
          <w:tcPr>
            <w:tcW w:w="605" w:type="pct"/>
            <w:vAlign w:val="center"/>
          </w:tcPr>
          <w:p w14:paraId="1BF81977">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A020202投影仪</w:t>
            </w:r>
          </w:p>
        </w:tc>
        <w:tc>
          <w:tcPr>
            <w:tcW w:w="887" w:type="pct"/>
            <w:vAlign w:val="center"/>
          </w:tcPr>
          <w:p w14:paraId="17F5BBAE">
            <w:pPr>
              <w:spacing w:line="300" w:lineRule="auto"/>
              <w:jc w:val="center"/>
              <w:rPr>
                <w:rFonts w:ascii="宋体" w:hAnsi="宋体" w:eastAsia="宋体"/>
                <w:color w:val="000000" w:themeColor="text1"/>
                <w:sz w:val="20"/>
                <w:szCs w:val="20"/>
                <w14:textFill>
                  <w14:solidFill>
                    <w14:schemeClr w14:val="tx1"/>
                  </w14:solidFill>
                </w14:textFill>
              </w:rPr>
            </w:pPr>
          </w:p>
        </w:tc>
        <w:tc>
          <w:tcPr>
            <w:tcW w:w="750" w:type="pct"/>
            <w:vAlign w:val="center"/>
          </w:tcPr>
          <w:p w14:paraId="492DC6B2">
            <w:pPr>
              <w:spacing w:line="300" w:lineRule="auto"/>
              <w:jc w:val="center"/>
              <w:rPr>
                <w:rFonts w:ascii="宋体" w:hAnsi="宋体" w:eastAsia="宋体"/>
                <w:color w:val="000000" w:themeColor="text1"/>
                <w:sz w:val="20"/>
                <w:szCs w:val="20"/>
                <w14:textFill>
                  <w14:solidFill>
                    <w14:schemeClr w14:val="tx1"/>
                  </w14:solidFill>
                </w14:textFill>
              </w:rPr>
            </w:pPr>
          </w:p>
        </w:tc>
        <w:tc>
          <w:tcPr>
            <w:tcW w:w="2533" w:type="pct"/>
            <w:vAlign w:val="center"/>
          </w:tcPr>
          <w:p w14:paraId="7C2C7540">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《投影机能效限定值及能效等级》（GB32028）</w:t>
            </w:r>
          </w:p>
        </w:tc>
      </w:tr>
      <w:tr w14:paraId="19A64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 w:type="pct"/>
            <w:vAlign w:val="center"/>
          </w:tcPr>
          <w:p w14:paraId="66BE6610">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4</w:t>
            </w:r>
          </w:p>
        </w:tc>
        <w:tc>
          <w:tcPr>
            <w:tcW w:w="605" w:type="pct"/>
            <w:vAlign w:val="center"/>
          </w:tcPr>
          <w:p w14:paraId="315E6C26">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A020204多功能一体机</w:t>
            </w:r>
          </w:p>
        </w:tc>
        <w:tc>
          <w:tcPr>
            <w:tcW w:w="887" w:type="pct"/>
            <w:vAlign w:val="center"/>
          </w:tcPr>
          <w:p w14:paraId="0E67BCB5">
            <w:pPr>
              <w:spacing w:line="300" w:lineRule="auto"/>
              <w:jc w:val="center"/>
              <w:rPr>
                <w:rFonts w:ascii="宋体" w:hAnsi="宋体" w:eastAsia="宋体"/>
                <w:color w:val="000000" w:themeColor="text1"/>
                <w:sz w:val="20"/>
                <w:szCs w:val="20"/>
                <w14:textFill>
                  <w14:solidFill>
                    <w14:schemeClr w14:val="tx1"/>
                  </w14:solidFill>
                </w14:textFill>
              </w:rPr>
            </w:pPr>
          </w:p>
        </w:tc>
        <w:tc>
          <w:tcPr>
            <w:tcW w:w="750" w:type="pct"/>
            <w:vAlign w:val="center"/>
          </w:tcPr>
          <w:p w14:paraId="3CBF297F">
            <w:pPr>
              <w:spacing w:line="300" w:lineRule="auto"/>
              <w:jc w:val="center"/>
              <w:rPr>
                <w:rFonts w:ascii="宋体" w:hAnsi="宋体" w:eastAsia="宋体"/>
                <w:color w:val="000000" w:themeColor="text1"/>
                <w:sz w:val="20"/>
                <w:szCs w:val="20"/>
                <w14:textFill>
                  <w14:solidFill>
                    <w14:schemeClr w14:val="tx1"/>
                  </w14:solidFill>
                </w14:textFill>
              </w:rPr>
            </w:pPr>
          </w:p>
        </w:tc>
        <w:tc>
          <w:tcPr>
            <w:tcW w:w="2533" w:type="pct"/>
            <w:vAlign w:val="center"/>
          </w:tcPr>
          <w:p w14:paraId="0CA7BA64">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《复印机、打印机和传真机能效限定值及能效等级》（GB21521）</w:t>
            </w:r>
          </w:p>
        </w:tc>
      </w:tr>
      <w:tr w14:paraId="6ED12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 w:type="pct"/>
            <w:vAlign w:val="center"/>
          </w:tcPr>
          <w:p w14:paraId="1BC6DB89">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5</w:t>
            </w:r>
          </w:p>
        </w:tc>
        <w:tc>
          <w:tcPr>
            <w:tcW w:w="605" w:type="pct"/>
            <w:vAlign w:val="center"/>
          </w:tcPr>
          <w:p w14:paraId="36E0CC6B">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A020519泵</w:t>
            </w:r>
          </w:p>
        </w:tc>
        <w:tc>
          <w:tcPr>
            <w:tcW w:w="887" w:type="pct"/>
            <w:vAlign w:val="center"/>
          </w:tcPr>
          <w:p w14:paraId="690F00CE">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A02051901离心泵</w:t>
            </w:r>
          </w:p>
        </w:tc>
        <w:tc>
          <w:tcPr>
            <w:tcW w:w="750" w:type="pct"/>
            <w:vAlign w:val="center"/>
          </w:tcPr>
          <w:p w14:paraId="7F9EDA2A">
            <w:pPr>
              <w:spacing w:line="300" w:lineRule="auto"/>
              <w:jc w:val="center"/>
              <w:rPr>
                <w:rFonts w:ascii="宋体" w:hAnsi="宋体" w:eastAsia="宋体"/>
                <w:color w:val="000000" w:themeColor="text1"/>
                <w:sz w:val="20"/>
                <w:szCs w:val="20"/>
                <w14:textFill>
                  <w14:solidFill>
                    <w14:schemeClr w14:val="tx1"/>
                  </w14:solidFill>
                </w14:textFill>
              </w:rPr>
            </w:pPr>
          </w:p>
        </w:tc>
        <w:tc>
          <w:tcPr>
            <w:tcW w:w="2533" w:type="pct"/>
            <w:vAlign w:val="center"/>
          </w:tcPr>
          <w:p w14:paraId="0C247CB7">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《清水离心泵能效限定值及节能评价值》（GB19762）</w:t>
            </w:r>
          </w:p>
        </w:tc>
      </w:tr>
      <w:tr w14:paraId="4920C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 w:type="pct"/>
            <w:vMerge w:val="restart"/>
            <w:vAlign w:val="center"/>
          </w:tcPr>
          <w:p w14:paraId="6967E97C">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6</w:t>
            </w:r>
          </w:p>
        </w:tc>
        <w:tc>
          <w:tcPr>
            <w:tcW w:w="605" w:type="pct"/>
            <w:vMerge w:val="restart"/>
            <w:vAlign w:val="center"/>
          </w:tcPr>
          <w:p w14:paraId="527526C4">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A020523制冷空调设备</w:t>
            </w:r>
          </w:p>
        </w:tc>
        <w:tc>
          <w:tcPr>
            <w:tcW w:w="887" w:type="pct"/>
            <w:vMerge w:val="restart"/>
            <w:vAlign w:val="center"/>
          </w:tcPr>
          <w:p w14:paraId="735D1C8B">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★A02052301制冷压缩机</w:t>
            </w:r>
          </w:p>
        </w:tc>
        <w:tc>
          <w:tcPr>
            <w:tcW w:w="750" w:type="pct"/>
            <w:vAlign w:val="center"/>
          </w:tcPr>
          <w:p w14:paraId="561CFD8D">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冷水机组</w:t>
            </w:r>
          </w:p>
        </w:tc>
        <w:tc>
          <w:tcPr>
            <w:tcW w:w="2533" w:type="pct"/>
            <w:vAlign w:val="center"/>
          </w:tcPr>
          <w:p w14:paraId="3137EA35">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《冷水机组能效限定值及能效等级》（GB19577），《低环境温度空气源热泵（冷水）机组能效限定值及能效等级》（GB37480）</w:t>
            </w:r>
          </w:p>
        </w:tc>
      </w:tr>
      <w:tr w14:paraId="45EC3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 w:type="pct"/>
            <w:vMerge w:val="continue"/>
            <w:vAlign w:val="center"/>
          </w:tcPr>
          <w:p w14:paraId="08945879">
            <w:pPr>
              <w:spacing w:line="300" w:lineRule="auto"/>
              <w:jc w:val="center"/>
              <w:rPr>
                <w:rFonts w:ascii="宋体" w:hAnsi="宋体" w:eastAsia="宋体"/>
                <w:color w:val="000000" w:themeColor="text1"/>
                <w:sz w:val="20"/>
                <w:szCs w:val="20"/>
                <w14:textFill>
                  <w14:solidFill>
                    <w14:schemeClr w14:val="tx1"/>
                  </w14:solidFill>
                </w14:textFill>
              </w:rPr>
            </w:pPr>
          </w:p>
        </w:tc>
        <w:tc>
          <w:tcPr>
            <w:tcW w:w="605" w:type="pct"/>
            <w:vMerge w:val="continue"/>
            <w:vAlign w:val="center"/>
          </w:tcPr>
          <w:p w14:paraId="3E12E08A">
            <w:pPr>
              <w:spacing w:line="300" w:lineRule="auto"/>
              <w:jc w:val="center"/>
              <w:rPr>
                <w:rFonts w:ascii="宋体" w:hAnsi="宋体" w:eastAsia="宋体"/>
                <w:color w:val="000000" w:themeColor="text1"/>
                <w:sz w:val="20"/>
                <w:szCs w:val="20"/>
                <w14:textFill>
                  <w14:solidFill>
                    <w14:schemeClr w14:val="tx1"/>
                  </w14:solidFill>
                </w14:textFill>
              </w:rPr>
            </w:pPr>
          </w:p>
        </w:tc>
        <w:tc>
          <w:tcPr>
            <w:tcW w:w="887" w:type="pct"/>
            <w:vMerge w:val="continue"/>
            <w:vAlign w:val="center"/>
          </w:tcPr>
          <w:p w14:paraId="753CEC04">
            <w:pPr>
              <w:spacing w:line="300" w:lineRule="auto"/>
              <w:jc w:val="center"/>
              <w:rPr>
                <w:rFonts w:ascii="宋体" w:hAnsi="宋体" w:eastAsia="宋体"/>
                <w:color w:val="000000" w:themeColor="text1"/>
                <w:sz w:val="20"/>
                <w:szCs w:val="20"/>
                <w14:textFill>
                  <w14:solidFill>
                    <w14:schemeClr w14:val="tx1"/>
                  </w14:solidFill>
                </w14:textFill>
              </w:rPr>
            </w:pPr>
          </w:p>
        </w:tc>
        <w:tc>
          <w:tcPr>
            <w:tcW w:w="750" w:type="pct"/>
            <w:vAlign w:val="center"/>
          </w:tcPr>
          <w:p w14:paraId="3D374625">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水源热泵机组</w:t>
            </w:r>
          </w:p>
        </w:tc>
        <w:tc>
          <w:tcPr>
            <w:tcW w:w="2533" w:type="pct"/>
            <w:vAlign w:val="center"/>
          </w:tcPr>
          <w:p w14:paraId="0C8ADA7A">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《水（地）源热泵机组能效限定值及能效等级》（GB30721）</w:t>
            </w:r>
          </w:p>
        </w:tc>
      </w:tr>
      <w:tr w14:paraId="0A67A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 w:type="pct"/>
            <w:vMerge w:val="continue"/>
            <w:vAlign w:val="center"/>
          </w:tcPr>
          <w:p w14:paraId="11F04DE9">
            <w:pPr>
              <w:spacing w:line="300" w:lineRule="auto"/>
              <w:jc w:val="center"/>
              <w:rPr>
                <w:rFonts w:ascii="宋体" w:hAnsi="宋体" w:eastAsia="宋体"/>
                <w:color w:val="000000" w:themeColor="text1"/>
                <w:sz w:val="20"/>
                <w:szCs w:val="20"/>
                <w14:textFill>
                  <w14:solidFill>
                    <w14:schemeClr w14:val="tx1"/>
                  </w14:solidFill>
                </w14:textFill>
              </w:rPr>
            </w:pPr>
          </w:p>
        </w:tc>
        <w:tc>
          <w:tcPr>
            <w:tcW w:w="605" w:type="pct"/>
            <w:vMerge w:val="continue"/>
            <w:vAlign w:val="center"/>
          </w:tcPr>
          <w:p w14:paraId="4AE9AF79">
            <w:pPr>
              <w:spacing w:line="300" w:lineRule="auto"/>
              <w:jc w:val="center"/>
              <w:rPr>
                <w:rFonts w:ascii="宋体" w:hAnsi="宋体" w:eastAsia="宋体"/>
                <w:color w:val="000000" w:themeColor="text1"/>
                <w:sz w:val="20"/>
                <w:szCs w:val="20"/>
                <w14:textFill>
                  <w14:solidFill>
                    <w14:schemeClr w14:val="tx1"/>
                  </w14:solidFill>
                </w14:textFill>
              </w:rPr>
            </w:pPr>
          </w:p>
        </w:tc>
        <w:tc>
          <w:tcPr>
            <w:tcW w:w="887" w:type="pct"/>
            <w:vMerge w:val="continue"/>
            <w:vAlign w:val="center"/>
          </w:tcPr>
          <w:p w14:paraId="01FD87E8">
            <w:pPr>
              <w:spacing w:line="300" w:lineRule="auto"/>
              <w:jc w:val="center"/>
              <w:rPr>
                <w:rFonts w:ascii="宋体" w:hAnsi="宋体" w:eastAsia="宋体"/>
                <w:color w:val="000000" w:themeColor="text1"/>
                <w:sz w:val="20"/>
                <w:szCs w:val="20"/>
                <w14:textFill>
                  <w14:solidFill>
                    <w14:schemeClr w14:val="tx1"/>
                  </w14:solidFill>
                </w14:textFill>
              </w:rPr>
            </w:pPr>
          </w:p>
        </w:tc>
        <w:tc>
          <w:tcPr>
            <w:tcW w:w="750" w:type="pct"/>
            <w:vAlign w:val="center"/>
          </w:tcPr>
          <w:p w14:paraId="765385AD">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溴化锂吸收式冷水机组</w:t>
            </w:r>
          </w:p>
        </w:tc>
        <w:tc>
          <w:tcPr>
            <w:tcW w:w="2533" w:type="pct"/>
            <w:vAlign w:val="center"/>
          </w:tcPr>
          <w:p w14:paraId="7D3C391B">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《溴化锂吸收式冷水机组能效限定值及能效等级》（GB29540）</w:t>
            </w:r>
          </w:p>
        </w:tc>
      </w:tr>
      <w:tr w14:paraId="490BC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 w:type="pct"/>
            <w:vMerge w:val="continue"/>
            <w:vAlign w:val="center"/>
          </w:tcPr>
          <w:p w14:paraId="45EF09AB">
            <w:pPr>
              <w:spacing w:line="300" w:lineRule="auto"/>
              <w:jc w:val="center"/>
              <w:rPr>
                <w:rFonts w:ascii="宋体" w:hAnsi="宋体" w:eastAsia="宋体"/>
                <w:color w:val="000000" w:themeColor="text1"/>
                <w:sz w:val="20"/>
                <w:szCs w:val="20"/>
                <w14:textFill>
                  <w14:solidFill>
                    <w14:schemeClr w14:val="tx1"/>
                  </w14:solidFill>
                </w14:textFill>
              </w:rPr>
            </w:pPr>
          </w:p>
        </w:tc>
        <w:tc>
          <w:tcPr>
            <w:tcW w:w="605" w:type="pct"/>
            <w:vMerge w:val="continue"/>
            <w:vAlign w:val="center"/>
          </w:tcPr>
          <w:p w14:paraId="7E52C8C6">
            <w:pPr>
              <w:spacing w:line="300" w:lineRule="auto"/>
              <w:jc w:val="center"/>
              <w:rPr>
                <w:rFonts w:ascii="宋体" w:hAnsi="宋体" w:eastAsia="宋体"/>
                <w:color w:val="000000" w:themeColor="text1"/>
                <w:sz w:val="20"/>
                <w:szCs w:val="20"/>
                <w14:textFill>
                  <w14:solidFill>
                    <w14:schemeClr w14:val="tx1"/>
                  </w14:solidFill>
                </w14:textFill>
              </w:rPr>
            </w:pPr>
          </w:p>
        </w:tc>
        <w:tc>
          <w:tcPr>
            <w:tcW w:w="887" w:type="pct"/>
            <w:vMerge w:val="restart"/>
            <w:vAlign w:val="center"/>
          </w:tcPr>
          <w:p w14:paraId="48ED4419">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★A02052305空调机组</w:t>
            </w:r>
          </w:p>
        </w:tc>
        <w:tc>
          <w:tcPr>
            <w:tcW w:w="750" w:type="pct"/>
            <w:vAlign w:val="center"/>
          </w:tcPr>
          <w:p w14:paraId="515A49C6">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多联式空调（热泵）机组（制冷量&gt;14000W）</w:t>
            </w:r>
          </w:p>
        </w:tc>
        <w:tc>
          <w:tcPr>
            <w:tcW w:w="2533" w:type="pct"/>
            <w:vAlign w:val="center"/>
          </w:tcPr>
          <w:p w14:paraId="0FCD10D7">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《多联式空调（热泵）机组能效限定值及能源效率等级》（GB21454）</w:t>
            </w:r>
          </w:p>
        </w:tc>
      </w:tr>
      <w:tr w14:paraId="1B8A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 w:type="pct"/>
            <w:vMerge w:val="continue"/>
            <w:vAlign w:val="center"/>
          </w:tcPr>
          <w:p w14:paraId="6507F3B1">
            <w:pPr>
              <w:spacing w:line="300" w:lineRule="auto"/>
              <w:jc w:val="center"/>
              <w:rPr>
                <w:rFonts w:ascii="宋体" w:hAnsi="宋体" w:eastAsia="宋体"/>
                <w:color w:val="000000" w:themeColor="text1"/>
                <w:sz w:val="20"/>
                <w:szCs w:val="20"/>
                <w14:textFill>
                  <w14:solidFill>
                    <w14:schemeClr w14:val="tx1"/>
                  </w14:solidFill>
                </w14:textFill>
              </w:rPr>
            </w:pPr>
          </w:p>
        </w:tc>
        <w:tc>
          <w:tcPr>
            <w:tcW w:w="605" w:type="pct"/>
            <w:vMerge w:val="continue"/>
            <w:vAlign w:val="center"/>
          </w:tcPr>
          <w:p w14:paraId="7D1CB9DE">
            <w:pPr>
              <w:spacing w:line="300" w:lineRule="auto"/>
              <w:jc w:val="center"/>
              <w:rPr>
                <w:rFonts w:ascii="宋体" w:hAnsi="宋体" w:eastAsia="宋体"/>
                <w:color w:val="000000" w:themeColor="text1"/>
                <w:sz w:val="20"/>
                <w:szCs w:val="20"/>
                <w14:textFill>
                  <w14:solidFill>
                    <w14:schemeClr w14:val="tx1"/>
                  </w14:solidFill>
                </w14:textFill>
              </w:rPr>
            </w:pPr>
          </w:p>
        </w:tc>
        <w:tc>
          <w:tcPr>
            <w:tcW w:w="887" w:type="pct"/>
            <w:vMerge w:val="continue"/>
            <w:vAlign w:val="center"/>
          </w:tcPr>
          <w:p w14:paraId="5213816B">
            <w:pPr>
              <w:spacing w:line="300" w:lineRule="auto"/>
              <w:jc w:val="center"/>
              <w:rPr>
                <w:rFonts w:ascii="宋体" w:hAnsi="宋体" w:eastAsia="宋体"/>
                <w:color w:val="000000" w:themeColor="text1"/>
                <w:sz w:val="20"/>
                <w:szCs w:val="20"/>
                <w14:textFill>
                  <w14:solidFill>
                    <w14:schemeClr w14:val="tx1"/>
                  </w14:solidFill>
                </w14:textFill>
              </w:rPr>
            </w:pPr>
          </w:p>
        </w:tc>
        <w:tc>
          <w:tcPr>
            <w:tcW w:w="750" w:type="pct"/>
            <w:vAlign w:val="center"/>
          </w:tcPr>
          <w:p w14:paraId="5158C4CE">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单元式空气调节机（制冷量&gt;14000W</w:t>
            </w:r>
          </w:p>
        </w:tc>
        <w:tc>
          <w:tcPr>
            <w:tcW w:w="2533" w:type="pct"/>
            <w:vAlign w:val="center"/>
          </w:tcPr>
          <w:p w14:paraId="5582F1FE">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《单元式空气调节机能效限定值及能效等级》（GB19576）《风管送风式空调机组能效限定值及能效等级》（GB37479）</w:t>
            </w:r>
          </w:p>
        </w:tc>
      </w:tr>
      <w:tr w14:paraId="218FF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 w:type="pct"/>
            <w:vMerge w:val="continue"/>
            <w:vAlign w:val="center"/>
          </w:tcPr>
          <w:p w14:paraId="2DF677F2">
            <w:pPr>
              <w:spacing w:line="300" w:lineRule="auto"/>
              <w:jc w:val="center"/>
              <w:rPr>
                <w:rFonts w:ascii="宋体" w:hAnsi="宋体" w:eastAsia="宋体"/>
                <w:color w:val="000000" w:themeColor="text1"/>
                <w:sz w:val="20"/>
                <w:szCs w:val="20"/>
                <w14:textFill>
                  <w14:solidFill>
                    <w14:schemeClr w14:val="tx1"/>
                  </w14:solidFill>
                </w14:textFill>
              </w:rPr>
            </w:pPr>
          </w:p>
        </w:tc>
        <w:tc>
          <w:tcPr>
            <w:tcW w:w="605" w:type="pct"/>
            <w:vMerge w:val="continue"/>
            <w:vAlign w:val="center"/>
          </w:tcPr>
          <w:p w14:paraId="63644160">
            <w:pPr>
              <w:spacing w:line="300" w:lineRule="auto"/>
              <w:jc w:val="center"/>
              <w:rPr>
                <w:rFonts w:ascii="宋体" w:hAnsi="宋体" w:eastAsia="宋体"/>
                <w:color w:val="000000" w:themeColor="text1"/>
                <w:sz w:val="20"/>
                <w:szCs w:val="20"/>
                <w14:textFill>
                  <w14:solidFill>
                    <w14:schemeClr w14:val="tx1"/>
                  </w14:solidFill>
                </w14:textFill>
              </w:rPr>
            </w:pPr>
          </w:p>
        </w:tc>
        <w:tc>
          <w:tcPr>
            <w:tcW w:w="887" w:type="pct"/>
            <w:vAlign w:val="center"/>
          </w:tcPr>
          <w:p w14:paraId="182CDE23">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★A02052309专用制冷、空调设备</w:t>
            </w:r>
          </w:p>
        </w:tc>
        <w:tc>
          <w:tcPr>
            <w:tcW w:w="750" w:type="pct"/>
            <w:vAlign w:val="center"/>
          </w:tcPr>
          <w:p w14:paraId="0C52AB87">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机房空调</w:t>
            </w:r>
          </w:p>
        </w:tc>
        <w:tc>
          <w:tcPr>
            <w:tcW w:w="2533" w:type="pct"/>
            <w:vAlign w:val="center"/>
          </w:tcPr>
          <w:p w14:paraId="5A8B001B">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《单元式空气调节机能效限定值及能效等级》（GB19576）</w:t>
            </w:r>
          </w:p>
        </w:tc>
      </w:tr>
      <w:tr w14:paraId="440E6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 w:type="pct"/>
            <w:vMerge w:val="continue"/>
            <w:vAlign w:val="center"/>
          </w:tcPr>
          <w:p w14:paraId="29FC50DF">
            <w:pPr>
              <w:spacing w:line="300" w:lineRule="auto"/>
              <w:jc w:val="center"/>
              <w:rPr>
                <w:rFonts w:ascii="宋体" w:hAnsi="宋体" w:eastAsia="宋体"/>
                <w:color w:val="000000" w:themeColor="text1"/>
                <w:sz w:val="20"/>
                <w:szCs w:val="20"/>
                <w14:textFill>
                  <w14:solidFill>
                    <w14:schemeClr w14:val="tx1"/>
                  </w14:solidFill>
                </w14:textFill>
              </w:rPr>
            </w:pPr>
          </w:p>
        </w:tc>
        <w:tc>
          <w:tcPr>
            <w:tcW w:w="605" w:type="pct"/>
            <w:vMerge w:val="continue"/>
            <w:vAlign w:val="center"/>
          </w:tcPr>
          <w:p w14:paraId="4FB752E7">
            <w:pPr>
              <w:spacing w:line="300" w:lineRule="auto"/>
              <w:jc w:val="center"/>
              <w:rPr>
                <w:rFonts w:ascii="宋体" w:hAnsi="宋体" w:eastAsia="宋体"/>
                <w:color w:val="000000" w:themeColor="text1"/>
                <w:sz w:val="20"/>
                <w:szCs w:val="20"/>
                <w14:textFill>
                  <w14:solidFill>
                    <w14:schemeClr w14:val="tx1"/>
                  </w14:solidFill>
                </w14:textFill>
              </w:rPr>
            </w:pPr>
          </w:p>
        </w:tc>
        <w:tc>
          <w:tcPr>
            <w:tcW w:w="887" w:type="pct"/>
            <w:vAlign w:val="center"/>
          </w:tcPr>
          <w:p w14:paraId="46F4443B">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A02052399其他制冷空调设备</w:t>
            </w:r>
          </w:p>
        </w:tc>
        <w:tc>
          <w:tcPr>
            <w:tcW w:w="750" w:type="pct"/>
            <w:vAlign w:val="center"/>
          </w:tcPr>
          <w:p w14:paraId="23EA5CE2">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冷却塔</w:t>
            </w:r>
          </w:p>
        </w:tc>
        <w:tc>
          <w:tcPr>
            <w:tcW w:w="2533" w:type="pct"/>
            <w:vAlign w:val="center"/>
          </w:tcPr>
          <w:p w14:paraId="70FA0E95">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《机械通风冷却塔第1部分：中小型开式冷却塔》（GB/T7190.1）；《机械通风冷却塔第2部分：大型开式冷却塔》（GB/T7190.2）</w:t>
            </w:r>
          </w:p>
        </w:tc>
      </w:tr>
      <w:tr w14:paraId="18FF3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 w:type="pct"/>
            <w:vAlign w:val="center"/>
          </w:tcPr>
          <w:p w14:paraId="782ECF54">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7</w:t>
            </w:r>
          </w:p>
        </w:tc>
        <w:tc>
          <w:tcPr>
            <w:tcW w:w="605" w:type="pct"/>
            <w:vAlign w:val="center"/>
          </w:tcPr>
          <w:p w14:paraId="36D4CD64">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A020601电机</w:t>
            </w:r>
          </w:p>
        </w:tc>
        <w:tc>
          <w:tcPr>
            <w:tcW w:w="887" w:type="pct"/>
            <w:vAlign w:val="center"/>
          </w:tcPr>
          <w:p w14:paraId="1CD8432E">
            <w:pPr>
              <w:spacing w:line="300" w:lineRule="auto"/>
              <w:jc w:val="center"/>
              <w:rPr>
                <w:rFonts w:ascii="宋体" w:hAnsi="宋体" w:eastAsia="宋体"/>
                <w:color w:val="000000" w:themeColor="text1"/>
                <w:sz w:val="20"/>
                <w:szCs w:val="20"/>
                <w14:textFill>
                  <w14:solidFill>
                    <w14:schemeClr w14:val="tx1"/>
                  </w14:solidFill>
                </w14:textFill>
              </w:rPr>
            </w:pPr>
          </w:p>
        </w:tc>
        <w:tc>
          <w:tcPr>
            <w:tcW w:w="750" w:type="pct"/>
            <w:vAlign w:val="center"/>
          </w:tcPr>
          <w:p w14:paraId="2F960AFD">
            <w:pPr>
              <w:spacing w:line="300" w:lineRule="auto"/>
              <w:jc w:val="center"/>
              <w:rPr>
                <w:rFonts w:ascii="宋体" w:hAnsi="宋体" w:eastAsia="宋体"/>
                <w:color w:val="000000" w:themeColor="text1"/>
                <w:sz w:val="20"/>
                <w:szCs w:val="20"/>
                <w14:textFill>
                  <w14:solidFill>
                    <w14:schemeClr w14:val="tx1"/>
                  </w14:solidFill>
                </w14:textFill>
              </w:rPr>
            </w:pPr>
          </w:p>
        </w:tc>
        <w:tc>
          <w:tcPr>
            <w:tcW w:w="2533" w:type="pct"/>
            <w:vAlign w:val="center"/>
          </w:tcPr>
          <w:p w14:paraId="2A304622">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《中小型三相异步电动机能效限定值及能效等级》（GB18613）</w:t>
            </w:r>
          </w:p>
        </w:tc>
      </w:tr>
      <w:tr w14:paraId="2377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 w:type="pct"/>
            <w:vAlign w:val="center"/>
          </w:tcPr>
          <w:p w14:paraId="1320A2C4">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8</w:t>
            </w:r>
          </w:p>
        </w:tc>
        <w:tc>
          <w:tcPr>
            <w:tcW w:w="605" w:type="pct"/>
            <w:vAlign w:val="center"/>
          </w:tcPr>
          <w:p w14:paraId="661102C8">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A020602变压器</w:t>
            </w:r>
          </w:p>
        </w:tc>
        <w:tc>
          <w:tcPr>
            <w:tcW w:w="887" w:type="pct"/>
            <w:vAlign w:val="center"/>
          </w:tcPr>
          <w:p w14:paraId="35A49ABC">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配电变压器</w:t>
            </w:r>
          </w:p>
        </w:tc>
        <w:tc>
          <w:tcPr>
            <w:tcW w:w="750" w:type="pct"/>
            <w:vAlign w:val="center"/>
          </w:tcPr>
          <w:p w14:paraId="06D0DD3E">
            <w:pPr>
              <w:spacing w:line="300" w:lineRule="auto"/>
              <w:jc w:val="center"/>
              <w:rPr>
                <w:rFonts w:ascii="宋体" w:hAnsi="宋体" w:eastAsia="宋体"/>
                <w:color w:val="000000" w:themeColor="text1"/>
                <w:sz w:val="20"/>
                <w:szCs w:val="20"/>
                <w14:textFill>
                  <w14:solidFill>
                    <w14:schemeClr w14:val="tx1"/>
                  </w14:solidFill>
                </w14:textFill>
              </w:rPr>
            </w:pPr>
          </w:p>
        </w:tc>
        <w:tc>
          <w:tcPr>
            <w:tcW w:w="2533" w:type="pct"/>
            <w:vAlign w:val="center"/>
          </w:tcPr>
          <w:p w14:paraId="15C436D1">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《三相配电变压器能效限定值及能效等级》（GB20052）</w:t>
            </w:r>
          </w:p>
        </w:tc>
      </w:tr>
      <w:tr w14:paraId="5FB91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 w:type="pct"/>
            <w:vAlign w:val="center"/>
          </w:tcPr>
          <w:p w14:paraId="42F1F37E">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9</w:t>
            </w:r>
          </w:p>
        </w:tc>
        <w:tc>
          <w:tcPr>
            <w:tcW w:w="605" w:type="pct"/>
            <w:vAlign w:val="center"/>
          </w:tcPr>
          <w:p w14:paraId="5716F2CD">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★A020609镇流器</w:t>
            </w:r>
          </w:p>
        </w:tc>
        <w:tc>
          <w:tcPr>
            <w:tcW w:w="887" w:type="pct"/>
            <w:vAlign w:val="center"/>
          </w:tcPr>
          <w:p w14:paraId="266D8DFF">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管型荧光灯镇流器</w:t>
            </w:r>
          </w:p>
        </w:tc>
        <w:tc>
          <w:tcPr>
            <w:tcW w:w="750" w:type="pct"/>
            <w:vAlign w:val="center"/>
          </w:tcPr>
          <w:p w14:paraId="53ED3C36">
            <w:pPr>
              <w:spacing w:line="300" w:lineRule="auto"/>
              <w:jc w:val="center"/>
              <w:rPr>
                <w:rFonts w:ascii="宋体" w:hAnsi="宋体" w:eastAsia="宋体"/>
                <w:color w:val="000000" w:themeColor="text1"/>
                <w:sz w:val="20"/>
                <w:szCs w:val="20"/>
                <w14:textFill>
                  <w14:solidFill>
                    <w14:schemeClr w14:val="tx1"/>
                  </w14:solidFill>
                </w14:textFill>
              </w:rPr>
            </w:pPr>
          </w:p>
        </w:tc>
        <w:tc>
          <w:tcPr>
            <w:tcW w:w="2533" w:type="pct"/>
            <w:vAlign w:val="center"/>
          </w:tcPr>
          <w:p w14:paraId="4F2BD5E2">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《管形荧光灯镇流器能效限定值及能效等级》（GB17896）</w:t>
            </w:r>
          </w:p>
        </w:tc>
      </w:tr>
      <w:tr w14:paraId="65740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 w:type="pct"/>
            <w:vMerge w:val="restart"/>
            <w:vAlign w:val="center"/>
          </w:tcPr>
          <w:p w14:paraId="5B018718">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10</w:t>
            </w:r>
          </w:p>
        </w:tc>
        <w:tc>
          <w:tcPr>
            <w:tcW w:w="605" w:type="pct"/>
            <w:vMerge w:val="restart"/>
            <w:vAlign w:val="center"/>
          </w:tcPr>
          <w:p w14:paraId="64A878FC">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A020618生活用电器</w:t>
            </w:r>
          </w:p>
        </w:tc>
        <w:tc>
          <w:tcPr>
            <w:tcW w:w="887" w:type="pct"/>
            <w:vAlign w:val="center"/>
          </w:tcPr>
          <w:p w14:paraId="2E365083">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A0206180101电冰箱</w:t>
            </w:r>
          </w:p>
        </w:tc>
        <w:tc>
          <w:tcPr>
            <w:tcW w:w="750" w:type="pct"/>
            <w:vAlign w:val="center"/>
          </w:tcPr>
          <w:p w14:paraId="74BB79D1">
            <w:pPr>
              <w:spacing w:line="300" w:lineRule="auto"/>
              <w:jc w:val="center"/>
              <w:rPr>
                <w:rFonts w:ascii="宋体" w:hAnsi="宋体" w:eastAsia="宋体"/>
                <w:color w:val="000000" w:themeColor="text1"/>
                <w:sz w:val="20"/>
                <w:szCs w:val="20"/>
                <w14:textFill>
                  <w14:solidFill>
                    <w14:schemeClr w14:val="tx1"/>
                  </w14:solidFill>
                </w14:textFill>
              </w:rPr>
            </w:pPr>
          </w:p>
        </w:tc>
        <w:tc>
          <w:tcPr>
            <w:tcW w:w="2533" w:type="pct"/>
            <w:vAlign w:val="center"/>
          </w:tcPr>
          <w:p w14:paraId="573D4B06">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《家用电冰箱耗电量限定值及能效等级》（GB12021.2）</w:t>
            </w:r>
          </w:p>
        </w:tc>
      </w:tr>
      <w:tr w14:paraId="7EAE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 w:type="pct"/>
            <w:vMerge w:val="continue"/>
            <w:vAlign w:val="center"/>
          </w:tcPr>
          <w:p w14:paraId="2F6424F8">
            <w:pPr>
              <w:spacing w:line="300" w:lineRule="auto"/>
              <w:jc w:val="center"/>
              <w:rPr>
                <w:rFonts w:ascii="宋体" w:hAnsi="宋体" w:eastAsia="宋体"/>
                <w:color w:val="000000" w:themeColor="text1"/>
                <w:sz w:val="20"/>
                <w:szCs w:val="20"/>
                <w14:textFill>
                  <w14:solidFill>
                    <w14:schemeClr w14:val="tx1"/>
                  </w14:solidFill>
                </w14:textFill>
              </w:rPr>
            </w:pPr>
          </w:p>
        </w:tc>
        <w:tc>
          <w:tcPr>
            <w:tcW w:w="605" w:type="pct"/>
            <w:vMerge w:val="continue"/>
            <w:vAlign w:val="center"/>
          </w:tcPr>
          <w:p w14:paraId="2FEB1BAE">
            <w:pPr>
              <w:spacing w:line="300" w:lineRule="auto"/>
              <w:jc w:val="center"/>
              <w:rPr>
                <w:rFonts w:ascii="宋体" w:hAnsi="宋体" w:eastAsia="宋体"/>
                <w:color w:val="000000" w:themeColor="text1"/>
                <w:sz w:val="20"/>
                <w:szCs w:val="20"/>
                <w14:textFill>
                  <w14:solidFill>
                    <w14:schemeClr w14:val="tx1"/>
                  </w14:solidFill>
                </w14:textFill>
              </w:rPr>
            </w:pPr>
          </w:p>
        </w:tc>
        <w:tc>
          <w:tcPr>
            <w:tcW w:w="887" w:type="pct"/>
            <w:vMerge w:val="restart"/>
            <w:vAlign w:val="center"/>
          </w:tcPr>
          <w:p w14:paraId="6991B707">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★A0206180203空调机</w:t>
            </w:r>
          </w:p>
        </w:tc>
        <w:tc>
          <w:tcPr>
            <w:tcW w:w="750" w:type="pct"/>
            <w:vAlign w:val="center"/>
          </w:tcPr>
          <w:p w14:paraId="16277910">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房间空气调节器</w:t>
            </w:r>
          </w:p>
        </w:tc>
        <w:tc>
          <w:tcPr>
            <w:tcW w:w="2533" w:type="pct"/>
            <w:vAlign w:val="center"/>
          </w:tcPr>
          <w:p w14:paraId="035C1569">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《转速可控型房间空气调节器能效限定值及能效等级》（GB21455-2013），待2019年修订发布后，按《房间空气调节器能效限定值及能效等级》（GB21455-2019实施。</w:t>
            </w:r>
          </w:p>
        </w:tc>
      </w:tr>
      <w:tr w14:paraId="6603A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 w:type="pct"/>
            <w:vMerge w:val="continue"/>
            <w:vAlign w:val="center"/>
          </w:tcPr>
          <w:p w14:paraId="76FFB296">
            <w:pPr>
              <w:spacing w:line="300" w:lineRule="auto"/>
              <w:jc w:val="center"/>
              <w:rPr>
                <w:rFonts w:ascii="宋体" w:hAnsi="宋体" w:eastAsia="宋体"/>
                <w:color w:val="000000" w:themeColor="text1"/>
                <w:sz w:val="20"/>
                <w:szCs w:val="20"/>
                <w14:textFill>
                  <w14:solidFill>
                    <w14:schemeClr w14:val="tx1"/>
                  </w14:solidFill>
                </w14:textFill>
              </w:rPr>
            </w:pPr>
          </w:p>
        </w:tc>
        <w:tc>
          <w:tcPr>
            <w:tcW w:w="605" w:type="pct"/>
            <w:vMerge w:val="continue"/>
            <w:vAlign w:val="center"/>
          </w:tcPr>
          <w:p w14:paraId="4A73164F">
            <w:pPr>
              <w:spacing w:line="300" w:lineRule="auto"/>
              <w:jc w:val="center"/>
              <w:rPr>
                <w:rFonts w:ascii="宋体" w:hAnsi="宋体" w:eastAsia="宋体"/>
                <w:color w:val="000000" w:themeColor="text1"/>
                <w:sz w:val="20"/>
                <w:szCs w:val="20"/>
                <w14:textFill>
                  <w14:solidFill>
                    <w14:schemeClr w14:val="tx1"/>
                  </w14:solidFill>
                </w14:textFill>
              </w:rPr>
            </w:pPr>
          </w:p>
        </w:tc>
        <w:tc>
          <w:tcPr>
            <w:tcW w:w="887" w:type="pct"/>
            <w:vMerge w:val="continue"/>
            <w:vAlign w:val="center"/>
          </w:tcPr>
          <w:p w14:paraId="3C2BAB3E">
            <w:pPr>
              <w:spacing w:line="300" w:lineRule="auto"/>
              <w:jc w:val="center"/>
              <w:rPr>
                <w:rFonts w:ascii="宋体" w:hAnsi="宋体" w:eastAsia="宋体"/>
                <w:color w:val="000000" w:themeColor="text1"/>
                <w:sz w:val="20"/>
                <w:szCs w:val="20"/>
                <w14:textFill>
                  <w14:solidFill>
                    <w14:schemeClr w14:val="tx1"/>
                  </w14:solidFill>
                </w14:textFill>
              </w:rPr>
            </w:pPr>
          </w:p>
        </w:tc>
        <w:tc>
          <w:tcPr>
            <w:tcW w:w="750" w:type="pct"/>
            <w:vAlign w:val="center"/>
          </w:tcPr>
          <w:p w14:paraId="72553B7E">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多联式空调（热泵）机组（制冷量≤14000W）</w:t>
            </w:r>
          </w:p>
        </w:tc>
        <w:tc>
          <w:tcPr>
            <w:tcW w:w="2533" w:type="pct"/>
            <w:vAlign w:val="center"/>
          </w:tcPr>
          <w:p w14:paraId="4AD84609">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《多联式空调（热泵）机组能效限定值及能源效率等级》（GB21454）</w:t>
            </w:r>
          </w:p>
        </w:tc>
      </w:tr>
      <w:tr w14:paraId="71D01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 w:type="pct"/>
            <w:vMerge w:val="continue"/>
            <w:vAlign w:val="center"/>
          </w:tcPr>
          <w:p w14:paraId="35D52EFF">
            <w:pPr>
              <w:spacing w:line="300" w:lineRule="auto"/>
              <w:jc w:val="center"/>
              <w:rPr>
                <w:rFonts w:ascii="宋体" w:hAnsi="宋体" w:eastAsia="宋体"/>
                <w:color w:val="000000" w:themeColor="text1"/>
                <w:sz w:val="20"/>
                <w:szCs w:val="20"/>
                <w14:textFill>
                  <w14:solidFill>
                    <w14:schemeClr w14:val="tx1"/>
                  </w14:solidFill>
                </w14:textFill>
              </w:rPr>
            </w:pPr>
          </w:p>
        </w:tc>
        <w:tc>
          <w:tcPr>
            <w:tcW w:w="605" w:type="pct"/>
            <w:vMerge w:val="continue"/>
            <w:vAlign w:val="center"/>
          </w:tcPr>
          <w:p w14:paraId="4E78CCC5">
            <w:pPr>
              <w:spacing w:line="300" w:lineRule="auto"/>
              <w:jc w:val="center"/>
              <w:rPr>
                <w:rFonts w:ascii="宋体" w:hAnsi="宋体" w:eastAsia="宋体"/>
                <w:color w:val="000000" w:themeColor="text1"/>
                <w:sz w:val="20"/>
                <w:szCs w:val="20"/>
                <w14:textFill>
                  <w14:solidFill>
                    <w14:schemeClr w14:val="tx1"/>
                  </w14:solidFill>
                </w14:textFill>
              </w:rPr>
            </w:pPr>
          </w:p>
        </w:tc>
        <w:tc>
          <w:tcPr>
            <w:tcW w:w="887" w:type="pct"/>
            <w:vMerge w:val="continue"/>
            <w:vAlign w:val="center"/>
          </w:tcPr>
          <w:p w14:paraId="0B547D22">
            <w:pPr>
              <w:spacing w:line="300" w:lineRule="auto"/>
              <w:jc w:val="center"/>
              <w:rPr>
                <w:rFonts w:ascii="宋体" w:hAnsi="宋体" w:eastAsia="宋体"/>
                <w:color w:val="000000" w:themeColor="text1"/>
                <w:sz w:val="20"/>
                <w:szCs w:val="20"/>
                <w14:textFill>
                  <w14:solidFill>
                    <w14:schemeClr w14:val="tx1"/>
                  </w14:solidFill>
                </w14:textFill>
              </w:rPr>
            </w:pPr>
          </w:p>
        </w:tc>
        <w:tc>
          <w:tcPr>
            <w:tcW w:w="750" w:type="pct"/>
            <w:vAlign w:val="center"/>
          </w:tcPr>
          <w:p w14:paraId="4351337B">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单元式空气调节机（制冷量≤14000W）</w:t>
            </w:r>
          </w:p>
        </w:tc>
        <w:tc>
          <w:tcPr>
            <w:tcW w:w="2533" w:type="pct"/>
            <w:vAlign w:val="center"/>
          </w:tcPr>
          <w:p w14:paraId="1D30BD05">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《单元式空气调节机能效限定值及能源效率等级》（GB19576）《风管送风式空调机组能效限定值及能效等级》（GB37479）</w:t>
            </w:r>
          </w:p>
        </w:tc>
      </w:tr>
      <w:tr w14:paraId="29204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 w:type="pct"/>
            <w:vMerge w:val="continue"/>
            <w:vAlign w:val="center"/>
          </w:tcPr>
          <w:p w14:paraId="57674017">
            <w:pPr>
              <w:spacing w:line="300" w:lineRule="auto"/>
              <w:jc w:val="center"/>
              <w:rPr>
                <w:rFonts w:ascii="宋体" w:hAnsi="宋体" w:eastAsia="宋体"/>
                <w:color w:val="000000" w:themeColor="text1"/>
                <w:sz w:val="20"/>
                <w:szCs w:val="20"/>
                <w14:textFill>
                  <w14:solidFill>
                    <w14:schemeClr w14:val="tx1"/>
                  </w14:solidFill>
                </w14:textFill>
              </w:rPr>
            </w:pPr>
          </w:p>
        </w:tc>
        <w:tc>
          <w:tcPr>
            <w:tcW w:w="605" w:type="pct"/>
            <w:vMerge w:val="continue"/>
            <w:vAlign w:val="center"/>
          </w:tcPr>
          <w:p w14:paraId="2F129749">
            <w:pPr>
              <w:spacing w:line="300" w:lineRule="auto"/>
              <w:jc w:val="center"/>
              <w:rPr>
                <w:rFonts w:ascii="宋体" w:hAnsi="宋体" w:eastAsia="宋体"/>
                <w:color w:val="000000" w:themeColor="text1"/>
                <w:sz w:val="20"/>
                <w:szCs w:val="20"/>
                <w14:textFill>
                  <w14:solidFill>
                    <w14:schemeClr w14:val="tx1"/>
                  </w14:solidFill>
                </w14:textFill>
              </w:rPr>
            </w:pPr>
          </w:p>
        </w:tc>
        <w:tc>
          <w:tcPr>
            <w:tcW w:w="887" w:type="pct"/>
            <w:vAlign w:val="center"/>
          </w:tcPr>
          <w:p w14:paraId="774298B1">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A0206180301洗衣机</w:t>
            </w:r>
          </w:p>
        </w:tc>
        <w:tc>
          <w:tcPr>
            <w:tcW w:w="750" w:type="pct"/>
            <w:vAlign w:val="center"/>
          </w:tcPr>
          <w:p w14:paraId="50E8C1F3">
            <w:pPr>
              <w:spacing w:line="300" w:lineRule="auto"/>
              <w:jc w:val="center"/>
              <w:rPr>
                <w:rFonts w:ascii="宋体" w:hAnsi="宋体" w:eastAsia="宋体"/>
                <w:color w:val="000000" w:themeColor="text1"/>
                <w:sz w:val="20"/>
                <w:szCs w:val="20"/>
                <w14:textFill>
                  <w14:solidFill>
                    <w14:schemeClr w14:val="tx1"/>
                  </w14:solidFill>
                </w14:textFill>
              </w:rPr>
            </w:pPr>
          </w:p>
        </w:tc>
        <w:tc>
          <w:tcPr>
            <w:tcW w:w="2533" w:type="pct"/>
            <w:vAlign w:val="center"/>
          </w:tcPr>
          <w:p w14:paraId="0C6566AA">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《电动洗衣机能效水效限定值及等级》（GB12021.4）</w:t>
            </w:r>
          </w:p>
        </w:tc>
      </w:tr>
      <w:tr w14:paraId="36C16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 w:type="pct"/>
            <w:vMerge w:val="continue"/>
            <w:vAlign w:val="center"/>
          </w:tcPr>
          <w:p w14:paraId="55DD8F56">
            <w:pPr>
              <w:spacing w:line="300" w:lineRule="auto"/>
              <w:jc w:val="center"/>
              <w:rPr>
                <w:rFonts w:ascii="宋体" w:hAnsi="宋体" w:eastAsia="宋体"/>
                <w:color w:val="000000" w:themeColor="text1"/>
                <w:sz w:val="20"/>
                <w:szCs w:val="20"/>
                <w14:textFill>
                  <w14:solidFill>
                    <w14:schemeClr w14:val="tx1"/>
                  </w14:solidFill>
                </w14:textFill>
              </w:rPr>
            </w:pPr>
          </w:p>
        </w:tc>
        <w:tc>
          <w:tcPr>
            <w:tcW w:w="605" w:type="pct"/>
            <w:vMerge w:val="continue"/>
            <w:vAlign w:val="center"/>
          </w:tcPr>
          <w:p w14:paraId="2FD0C031">
            <w:pPr>
              <w:spacing w:line="300" w:lineRule="auto"/>
              <w:jc w:val="center"/>
              <w:rPr>
                <w:rFonts w:ascii="宋体" w:hAnsi="宋体" w:eastAsia="宋体"/>
                <w:color w:val="000000" w:themeColor="text1"/>
                <w:sz w:val="20"/>
                <w:szCs w:val="20"/>
                <w14:textFill>
                  <w14:solidFill>
                    <w14:schemeClr w14:val="tx1"/>
                  </w14:solidFill>
                </w14:textFill>
              </w:rPr>
            </w:pPr>
          </w:p>
        </w:tc>
        <w:tc>
          <w:tcPr>
            <w:tcW w:w="887" w:type="pct"/>
            <w:vMerge w:val="restart"/>
            <w:vAlign w:val="center"/>
          </w:tcPr>
          <w:p w14:paraId="7669EB7E">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A02061808热水器</w:t>
            </w:r>
          </w:p>
        </w:tc>
        <w:tc>
          <w:tcPr>
            <w:tcW w:w="750" w:type="pct"/>
            <w:vAlign w:val="center"/>
          </w:tcPr>
          <w:p w14:paraId="587C3CDB">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★电热水器</w:t>
            </w:r>
          </w:p>
        </w:tc>
        <w:tc>
          <w:tcPr>
            <w:tcW w:w="2533" w:type="pct"/>
            <w:vAlign w:val="center"/>
          </w:tcPr>
          <w:p w14:paraId="31376F9B">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《储水式电热水器能效限定值及能效等级》（GB21519）</w:t>
            </w:r>
          </w:p>
        </w:tc>
      </w:tr>
      <w:tr w14:paraId="7A3D9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 w:type="pct"/>
            <w:vMerge w:val="continue"/>
            <w:vAlign w:val="center"/>
          </w:tcPr>
          <w:p w14:paraId="34069555">
            <w:pPr>
              <w:spacing w:line="300" w:lineRule="auto"/>
              <w:jc w:val="center"/>
              <w:rPr>
                <w:rFonts w:ascii="宋体" w:hAnsi="宋体" w:eastAsia="宋体"/>
                <w:color w:val="000000" w:themeColor="text1"/>
                <w:sz w:val="20"/>
                <w:szCs w:val="20"/>
                <w14:textFill>
                  <w14:solidFill>
                    <w14:schemeClr w14:val="tx1"/>
                  </w14:solidFill>
                </w14:textFill>
              </w:rPr>
            </w:pPr>
          </w:p>
        </w:tc>
        <w:tc>
          <w:tcPr>
            <w:tcW w:w="605" w:type="pct"/>
            <w:vMerge w:val="continue"/>
            <w:vAlign w:val="center"/>
          </w:tcPr>
          <w:p w14:paraId="7B9BAB80">
            <w:pPr>
              <w:spacing w:line="300" w:lineRule="auto"/>
              <w:jc w:val="center"/>
              <w:rPr>
                <w:rFonts w:ascii="宋体" w:hAnsi="宋体" w:eastAsia="宋体"/>
                <w:color w:val="000000" w:themeColor="text1"/>
                <w:sz w:val="20"/>
                <w:szCs w:val="20"/>
                <w14:textFill>
                  <w14:solidFill>
                    <w14:schemeClr w14:val="tx1"/>
                  </w14:solidFill>
                </w14:textFill>
              </w:rPr>
            </w:pPr>
          </w:p>
        </w:tc>
        <w:tc>
          <w:tcPr>
            <w:tcW w:w="887" w:type="pct"/>
            <w:vMerge w:val="continue"/>
            <w:vAlign w:val="center"/>
          </w:tcPr>
          <w:p w14:paraId="1E0F5499">
            <w:pPr>
              <w:spacing w:line="300" w:lineRule="auto"/>
              <w:jc w:val="center"/>
              <w:rPr>
                <w:rFonts w:ascii="宋体" w:hAnsi="宋体" w:eastAsia="宋体"/>
                <w:color w:val="000000" w:themeColor="text1"/>
                <w:sz w:val="20"/>
                <w:szCs w:val="20"/>
                <w14:textFill>
                  <w14:solidFill>
                    <w14:schemeClr w14:val="tx1"/>
                  </w14:solidFill>
                </w14:textFill>
              </w:rPr>
            </w:pPr>
          </w:p>
        </w:tc>
        <w:tc>
          <w:tcPr>
            <w:tcW w:w="750" w:type="pct"/>
            <w:vAlign w:val="center"/>
          </w:tcPr>
          <w:p w14:paraId="4D2D383D">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燃气热水器</w:t>
            </w:r>
          </w:p>
        </w:tc>
        <w:tc>
          <w:tcPr>
            <w:tcW w:w="2533" w:type="pct"/>
            <w:vAlign w:val="center"/>
          </w:tcPr>
          <w:p w14:paraId="5AD36103">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《家用燃气快速热水器和燃气采暖热水炉能效限定值及能效等级》（GB20665）</w:t>
            </w:r>
          </w:p>
        </w:tc>
      </w:tr>
      <w:tr w14:paraId="7B5D5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 w:type="pct"/>
            <w:vMerge w:val="continue"/>
            <w:vAlign w:val="center"/>
          </w:tcPr>
          <w:p w14:paraId="28AFE0CE">
            <w:pPr>
              <w:spacing w:line="300" w:lineRule="auto"/>
              <w:jc w:val="center"/>
              <w:rPr>
                <w:rFonts w:ascii="宋体" w:hAnsi="宋体" w:eastAsia="宋体"/>
                <w:color w:val="000000" w:themeColor="text1"/>
                <w:sz w:val="20"/>
                <w:szCs w:val="20"/>
                <w14:textFill>
                  <w14:solidFill>
                    <w14:schemeClr w14:val="tx1"/>
                  </w14:solidFill>
                </w14:textFill>
              </w:rPr>
            </w:pPr>
          </w:p>
        </w:tc>
        <w:tc>
          <w:tcPr>
            <w:tcW w:w="605" w:type="pct"/>
            <w:vMerge w:val="continue"/>
            <w:vAlign w:val="center"/>
          </w:tcPr>
          <w:p w14:paraId="7E4FF767">
            <w:pPr>
              <w:spacing w:line="300" w:lineRule="auto"/>
              <w:jc w:val="center"/>
              <w:rPr>
                <w:rFonts w:ascii="宋体" w:hAnsi="宋体" w:eastAsia="宋体"/>
                <w:color w:val="000000" w:themeColor="text1"/>
                <w:sz w:val="20"/>
                <w:szCs w:val="20"/>
                <w14:textFill>
                  <w14:solidFill>
                    <w14:schemeClr w14:val="tx1"/>
                  </w14:solidFill>
                </w14:textFill>
              </w:rPr>
            </w:pPr>
          </w:p>
        </w:tc>
        <w:tc>
          <w:tcPr>
            <w:tcW w:w="887" w:type="pct"/>
            <w:vMerge w:val="continue"/>
            <w:vAlign w:val="center"/>
          </w:tcPr>
          <w:p w14:paraId="5CD32FF0">
            <w:pPr>
              <w:spacing w:line="300" w:lineRule="auto"/>
              <w:jc w:val="center"/>
              <w:rPr>
                <w:rFonts w:ascii="宋体" w:hAnsi="宋体" w:eastAsia="宋体"/>
                <w:color w:val="000000" w:themeColor="text1"/>
                <w:sz w:val="20"/>
                <w:szCs w:val="20"/>
                <w14:textFill>
                  <w14:solidFill>
                    <w14:schemeClr w14:val="tx1"/>
                  </w14:solidFill>
                </w14:textFill>
              </w:rPr>
            </w:pPr>
          </w:p>
        </w:tc>
        <w:tc>
          <w:tcPr>
            <w:tcW w:w="750" w:type="pct"/>
            <w:vAlign w:val="center"/>
          </w:tcPr>
          <w:p w14:paraId="2CE2FE67">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热泵热水器</w:t>
            </w:r>
          </w:p>
        </w:tc>
        <w:tc>
          <w:tcPr>
            <w:tcW w:w="2533" w:type="pct"/>
            <w:vAlign w:val="center"/>
          </w:tcPr>
          <w:p w14:paraId="1B4684B2">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《热泵热水机（器）能效限定值及能效等级》（GB29541）</w:t>
            </w:r>
          </w:p>
        </w:tc>
      </w:tr>
      <w:tr w14:paraId="384D0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 w:type="pct"/>
            <w:vMerge w:val="continue"/>
            <w:vAlign w:val="center"/>
          </w:tcPr>
          <w:p w14:paraId="47746F1C">
            <w:pPr>
              <w:spacing w:line="300" w:lineRule="auto"/>
              <w:jc w:val="center"/>
              <w:rPr>
                <w:rFonts w:ascii="宋体" w:hAnsi="宋体" w:eastAsia="宋体"/>
                <w:color w:val="000000" w:themeColor="text1"/>
                <w:sz w:val="20"/>
                <w:szCs w:val="20"/>
                <w14:textFill>
                  <w14:solidFill>
                    <w14:schemeClr w14:val="tx1"/>
                  </w14:solidFill>
                </w14:textFill>
              </w:rPr>
            </w:pPr>
          </w:p>
        </w:tc>
        <w:tc>
          <w:tcPr>
            <w:tcW w:w="605" w:type="pct"/>
            <w:vMerge w:val="continue"/>
            <w:vAlign w:val="center"/>
          </w:tcPr>
          <w:p w14:paraId="58D76B4C">
            <w:pPr>
              <w:spacing w:line="300" w:lineRule="auto"/>
              <w:jc w:val="center"/>
              <w:rPr>
                <w:rFonts w:ascii="宋体" w:hAnsi="宋体" w:eastAsia="宋体"/>
                <w:color w:val="000000" w:themeColor="text1"/>
                <w:sz w:val="20"/>
                <w:szCs w:val="20"/>
                <w14:textFill>
                  <w14:solidFill>
                    <w14:schemeClr w14:val="tx1"/>
                  </w14:solidFill>
                </w14:textFill>
              </w:rPr>
            </w:pPr>
          </w:p>
        </w:tc>
        <w:tc>
          <w:tcPr>
            <w:tcW w:w="887" w:type="pct"/>
            <w:vMerge w:val="continue"/>
            <w:vAlign w:val="center"/>
          </w:tcPr>
          <w:p w14:paraId="5B3C328D">
            <w:pPr>
              <w:spacing w:line="300" w:lineRule="auto"/>
              <w:jc w:val="center"/>
              <w:rPr>
                <w:rFonts w:ascii="宋体" w:hAnsi="宋体" w:eastAsia="宋体"/>
                <w:color w:val="000000" w:themeColor="text1"/>
                <w:sz w:val="20"/>
                <w:szCs w:val="20"/>
                <w14:textFill>
                  <w14:solidFill>
                    <w14:schemeClr w14:val="tx1"/>
                  </w14:solidFill>
                </w14:textFill>
              </w:rPr>
            </w:pPr>
          </w:p>
        </w:tc>
        <w:tc>
          <w:tcPr>
            <w:tcW w:w="750" w:type="pct"/>
            <w:vAlign w:val="center"/>
          </w:tcPr>
          <w:p w14:paraId="2F6C334D">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太阳能热水系统</w:t>
            </w:r>
          </w:p>
        </w:tc>
        <w:tc>
          <w:tcPr>
            <w:tcW w:w="2533" w:type="pct"/>
            <w:vAlign w:val="center"/>
          </w:tcPr>
          <w:p w14:paraId="64F8CFE9">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《家用太阳能热水系统能效限定值及能效等级》（GB26969）</w:t>
            </w:r>
          </w:p>
        </w:tc>
      </w:tr>
      <w:tr w14:paraId="5968D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 w:type="pct"/>
            <w:vMerge w:val="restart"/>
            <w:vAlign w:val="center"/>
          </w:tcPr>
          <w:p w14:paraId="7F11FB6F">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11</w:t>
            </w:r>
          </w:p>
        </w:tc>
        <w:tc>
          <w:tcPr>
            <w:tcW w:w="605" w:type="pct"/>
            <w:vMerge w:val="restart"/>
            <w:vAlign w:val="center"/>
          </w:tcPr>
          <w:p w14:paraId="6FE7D8DE">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A020619照明设备</w:t>
            </w:r>
          </w:p>
        </w:tc>
        <w:tc>
          <w:tcPr>
            <w:tcW w:w="887" w:type="pct"/>
            <w:vAlign w:val="center"/>
          </w:tcPr>
          <w:p w14:paraId="2C77AD1E">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★普通照明用双端荧光灯</w:t>
            </w:r>
          </w:p>
        </w:tc>
        <w:tc>
          <w:tcPr>
            <w:tcW w:w="750" w:type="pct"/>
            <w:vAlign w:val="center"/>
          </w:tcPr>
          <w:p w14:paraId="0639241B">
            <w:pPr>
              <w:spacing w:line="300" w:lineRule="auto"/>
              <w:jc w:val="center"/>
              <w:rPr>
                <w:rFonts w:ascii="宋体" w:hAnsi="宋体" w:eastAsia="宋体"/>
                <w:color w:val="000000" w:themeColor="text1"/>
                <w:sz w:val="20"/>
                <w:szCs w:val="20"/>
                <w14:textFill>
                  <w14:solidFill>
                    <w14:schemeClr w14:val="tx1"/>
                  </w14:solidFill>
                </w14:textFill>
              </w:rPr>
            </w:pPr>
          </w:p>
        </w:tc>
        <w:tc>
          <w:tcPr>
            <w:tcW w:w="2533" w:type="pct"/>
            <w:vAlign w:val="center"/>
          </w:tcPr>
          <w:p w14:paraId="592AC8DE">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《普通照明用双端荧光灯能效限定值及能效等级》（GB19043）</w:t>
            </w:r>
          </w:p>
        </w:tc>
      </w:tr>
      <w:tr w14:paraId="75A7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 w:type="pct"/>
            <w:vMerge w:val="continue"/>
            <w:vAlign w:val="center"/>
          </w:tcPr>
          <w:p w14:paraId="26ACD764">
            <w:pPr>
              <w:spacing w:line="300" w:lineRule="auto"/>
              <w:jc w:val="center"/>
              <w:rPr>
                <w:rFonts w:ascii="宋体" w:hAnsi="宋体" w:eastAsia="宋体"/>
                <w:color w:val="000000" w:themeColor="text1"/>
                <w:sz w:val="20"/>
                <w:szCs w:val="20"/>
                <w14:textFill>
                  <w14:solidFill>
                    <w14:schemeClr w14:val="tx1"/>
                  </w14:solidFill>
                </w14:textFill>
              </w:rPr>
            </w:pPr>
          </w:p>
        </w:tc>
        <w:tc>
          <w:tcPr>
            <w:tcW w:w="605" w:type="pct"/>
            <w:vMerge w:val="continue"/>
            <w:vAlign w:val="center"/>
          </w:tcPr>
          <w:p w14:paraId="4FCFD7D7">
            <w:pPr>
              <w:spacing w:line="300" w:lineRule="auto"/>
              <w:jc w:val="center"/>
              <w:rPr>
                <w:rFonts w:ascii="宋体" w:hAnsi="宋体" w:eastAsia="宋体"/>
                <w:color w:val="000000" w:themeColor="text1"/>
                <w:sz w:val="20"/>
                <w:szCs w:val="20"/>
                <w14:textFill>
                  <w14:solidFill>
                    <w14:schemeClr w14:val="tx1"/>
                  </w14:solidFill>
                </w14:textFill>
              </w:rPr>
            </w:pPr>
          </w:p>
        </w:tc>
        <w:tc>
          <w:tcPr>
            <w:tcW w:w="887" w:type="pct"/>
            <w:vAlign w:val="center"/>
          </w:tcPr>
          <w:p w14:paraId="73983C01">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LED道路/隧道照明产品</w:t>
            </w:r>
          </w:p>
        </w:tc>
        <w:tc>
          <w:tcPr>
            <w:tcW w:w="750" w:type="pct"/>
            <w:vAlign w:val="center"/>
          </w:tcPr>
          <w:p w14:paraId="3242D798">
            <w:pPr>
              <w:spacing w:line="300" w:lineRule="auto"/>
              <w:jc w:val="center"/>
              <w:rPr>
                <w:rFonts w:ascii="宋体" w:hAnsi="宋体" w:eastAsia="宋体"/>
                <w:color w:val="000000" w:themeColor="text1"/>
                <w:sz w:val="20"/>
                <w:szCs w:val="20"/>
                <w14:textFill>
                  <w14:solidFill>
                    <w14:schemeClr w14:val="tx1"/>
                  </w14:solidFill>
                </w14:textFill>
              </w:rPr>
            </w:pPr>
          </w:p>
        </w:tc>
        <w:tc>
          <w:tcPr>
            <w:tcW w:w="2533" w:type="pct"/>
            <w:vAlign w:val="center"/>
          </w:tcPr>
          <w:p w14:paraId="4955A4FB">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《道路和隧道照明用LED灯具能效限定值及能效等级》（GB37478）</w:t>
            </w:r>
          </w:p>
        </w:tc>
      </w:tr>
      <w:tr w14:paraId="7948E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 w:type="pct"/>
            <w:vMerge w:val="continue"/>
            <w:vAlign w:val="center"/>
          </w:tcPr>
          <w:p w14:paraId="2375E154">
            <w:pPr>
              <w:spacing w:line="300" w:lineRule="auto"/>
              <w:jc w:val="center"/>
              <w:rPr>
                <w:rFonts w:ascii="宋体" w:hAnsi="宋体" w:eastAsia="宋体"/>
                <w:color w:val="000000" w:themeColor="text1"/>
                <w:sz w:val="20"/>
                <w:szCs w:val="20"/>
                <w14:textFill>
                  <w14:solidFill>
                    <w14:schemeClr w14:val="tx1"/>
                  </w14:solidFill>
                </w14:textFill>
              </w:rPr>
            </w:pPr>
          </w:p>
        </w:tc>
        <w:tc>
          <w:tcPr>
            <w:tcW w:w="605" w:type="pct"/>
            <w:vMerge w:val="continue"/>
            <w:vAlign w:val="center"/>
          </w:tcPr>
          <w:p w14:paraId="7C522183">
            <w:pPr>
              <w:spacing w:line="300" w:lineRule="auto"/>
              <w:jc w:val="center"/>
              <w:rPr>
                <w:rFonts w:ascii="宋体" w:hAnsi="宋体" w:eastAsia="宋体"/>
                <w:color w:val="000000" w:themeColor="text1"/>
                <w:sz w:val="20"/>
                <w:szCs w:val="20"/>
                <w14:textFill>
                  <w14:solidFill>
                    <w14:schemeClr w14:val="tx1"/>
                  </w14:solidFill>
                </w14:textFill>
              </w:rPr>
            </w:pPr>
          </w:p>
        </w:tc>
        <w:tc>
          <w:tcPr>
            <w:tcW w:w="887" w:type="pct"/>
            <w:vAlign w:val="center"/>
          </w:tcPr>
          <w:p w14:paraId="75DCA229">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LED筒灯</w:t>
            </w:r>
          </w:p>
        </w:tc>
        <w:tc>
          <w:tcPr>
            <w:tcW w:w="750" w:type="pct"/>
            <w:vAlign w:val="center"/>
          </w:tcPr>
          <w:p w14:paraId="2C45FD9A">
            <w:pPr>
              <w:spacing w:line="300" w:lineRule="auto"/>
              <w:jc w:val="center"/>
              <w:rPr>
                <w:rFonts w:ascii="宋体" w:hAnsi="宋体" w:eastAsia="宋体"/>
                <w:color w:val="000000" w:themeColor="text1"/>
                <w:sz w:val="20"/>
                <w:szCs w:val="20"/>
                <w14:textFill>
                  <w14:solidFill>
                    <w14:schemeClr w14:val="tx1"/>
                  </w14:solidFill>
                </w14:textFill>
              </w:rPr>
            </w:pPr>
          </w:p>
        </w:tc>
        <w:tc>
          <w:tcPr>
            <w:tcW w:w="2533" w:type="pct"/>
            <w:vAlign w:val="center"/>
          </w:tcPr>
          <w:p w14:paraId="141EB66B">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《室内照明用LED产品能效限定值及能效等级》（GB30255）</w:t>
            </w:r>
          </w:p>
        </w:tc>
      </w:tr>
      <w:tr w14:paraId="79B9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 w:type="pct"/>
            <w:vMerge w:val="continue"/>
            <w:vAlign w:val="center"/>
          </w:tcPr>
          <w:p w14:paraId="7CC1E4EC">
            <w:pPr>
              <w:spacing w:line="300" w:lineRule="auto"/>
              <w:jc w:val="center"/>
              <w:rPr>
                <w:rFonts w:ascii="宋体" w:hAnsi="宋体" w:eastAsia="宋体"/>
                <w:color w:val="000000" w:themeColor="text1"/>
                <w:sz w:val="20"/>
                <w:szCs w:val="20"/>
                <w14:textFill>
                  <w14:solidFill>
                    <w14:schemeClr w14:val="tx1"/>
                  </w14:solidFill>
                </w14:textFill>
              </w:rPr>
            </w:pPr>
          </w:p>
        </w:tc>
        <w:tc>
          <w:tcPr>
            <w:tcW w:w="605" w:type="pct"/>
            <w:vMerge w:val="continue"/>
            <w:vAlign w:val="center"/>
          </w:tcPr>
          <w:p w14:paraId="35781E02">
            <w:pPr>
              <w:spacing w:line="300" w:lineRule="auto"/>
              <w:jc w:val="center"/>
              <w:rPr>
                <w:rFonts w:ascii="宋体" w:hAnsi="宋体" w:eastAsia="宋体"/>
                <w:color w:val="000000" w:themeColor="text1"/>
                <w:sz w:val="20"/>
                <w:szCs w:val="20"/>
                <w14:textFill>
                  <w14:solidFill>
                    <w14:schemeClr w14:val="tx1"/>
                  </w14:solidFill>
                </w14:textFill>
              </w:rPr>
            </w:pPr>
          </w:p>
        </w:tc>
        <w:tc>
          <w:tcPr>
            <w:tcW w:w="887" w:type="pct"/>
            <w:vAlign w:val="center"/>
          </w:tcPr>
          <w:p w14:paraId="5C23F855">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普通照明用非定向自镇流LED灯</w:t>
            </w:r>
          </w:p>
        </w:tc>
        <w:tc>
          <w:tcPr>
            <w:tcW w:w="750" w:type="pct"/>
            <w:vAlign w:val="center"/>
          </w:tcPr>
          <w:p w14:paraId="6AFACB43">
            <w:pPr>
              <w:spacing w:line="300" w:lineRule="auto"/>
              <w:jc w:val="center"/>
              <w:rPr>
                <w:rFonts w:ascii="宋体" w:hAnsi="宋体" w:eastAsia="宋体"/>
                <w:color w:val="000000" w:themeColor="text1"/>
                <w:sz w:val="20"/>
                <w:szCs w:val="20"/>
                <w14:textFill>
                  <w14:solidFill>
                    <w14:schemeClr w14:val="tx1"/>
                  </w14:solidFill>
                </w14:textFill>
              </w:rPr>
            </w:pPr>
          </w:p>
        </w:tc>
        <w:tc>
          <w:tcPr>
            <w:tcW w:w="2533" w:type="pct"/>
            <w:vAlign w:val="center"/>
          </w:tcPr>
          <w:p w14:paraId="3254C93E">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《室内照明用LED产品能效限定值及能效等级》（GB30255）</w:t>
            </w:r>
          </w:p>
        </w:tc>
      </w:tr>
      <w:tr w14:paraId="09AE5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 w:type="pct"/>
            <w:vAlign w:val="center"/>
          </w:tcPr>
          <w:p w14:paraId="4FD0A251">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12</w:t>
            </w:r>
          </w:p>
        </w:tc>
        <w:tc>
          <w:tcPr>
            <w:tcW w:w="605" w:type="pct"/>
            <w:vAlign w:val="center"/>
          </w:tcPr>
          <w:p w14:paraId="11EFEC8C">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★A020910电视设备</w:t>
            </w:r>
          </w:p>
        </w:tc>
        <w:tc>
          <w:tcPr>
            <w:tcW w:w="887" w:type="pct"/>
            <w:vAlign w:val="center"/>
          </w:tcPr>
          <w:p w14:paraId="3C5278A6">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A02091001普通电视设备（电视机）</w:t>
            </w:r>
          </w:p>
        </w:tc>
        <w:tc>
          <w:tcPr>
            <w:tcW w:w="750" w:type="pct"/>
            <w:vAlign w:val="center"/>
          </w:tcPr>
          <w:p w14:paraId="42EB3E37">
            <w:pPr>
              <w:spacing w:line="300" w:lineRule="auto"/>
              <w:jc w:val="center"/>
              <w:rPr>
                <w:rFonts w:ascii="宋体" w:hAnsi="宋体" w:eastAsia="宋体"/>
                <w:color w:val="000000" w:themeColor="text1"/>
                <w:sz w:val="20"/>
                <w:szCs w:val="20"/>
                <w14:textFill>
                  <w14:solidFill>
                    <w14:schemeClr w14:val="tx1"/>
                  </w14:solidFill>
                </w14:textFill>
              </w:rPr>
            </w:pPr>
          </w:p>
        </w:tc>
        <w:tc>
          <w:tcPr>
            <w:tcW w:w="2533" w:type="pct"/>
            <w:vAlign w:val="center"/>
          </w:tcPr>
          <w:p w14:paraId="55BE8983">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《平板电视能效限定值及能效等级》（GB24850）</w:t>
            </w:r>
          </w:p>
        </w:tc>
      </w:tr>
      <w:tr w14:paraId="7F7E4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 w:type="pct"/>
            <w:vAlign w:val="center"/>
          </w:tcPr>
          <w:p w14:paraId="00266864">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13</w:t>
            </w:r>
          </w:p>
        </w:tc>
        <w:tc>
          <w:tcPr>
            <w:tcW w:w="605" w:type="pct"/>
            <w:vAlign w:val="center"/>
          </w:tcPr>
          <w:p w14:paraId="5C7F79C0">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★A020911视频设备</w:t>
            </w:r>
          </w:p>
        </w:tc>
        <w:tc>
          <w:tcPr>
            <w:tcW w:w="887" w:type="pct"/>
            <w:vAlign w:val="center"/>
          </w:tcPr>
          <w:p w14:paraId="216EA826">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A02091107视频监控设备</w:t>
            </w:r>
          </w:p>
        </w:tc>
        <w:tc>
          <w:tcPr>
            <w:tcW w:w="750" w:type="pct"/>
            <w:vAlign w:val="center"/>
          </w:tcPr>
          <w:p w14:paraId="2D358329">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监视器</w:t>
            </w:r>
          </w:p>
        </w:tc>
        <w:tc>
          <w:tcPr>
            <w:tcW w:w="2533" w:type="pct"/>
            <w:vAlign w:val="center"/>
          </w:tcPr>
          <w:p w14:paraId="78F58F10">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以射频信号为主要信号输入的监视器应符合《平板电视能效限定值及能效等级》（GB24850），以数字信号为主要信号输入的监视器应符合《计算机显示器能效限定值及能效等级》（GB21520）</w:t>
            </w:r>
          </w:p>
        </w:tc>
      </w:tr>
      <w:tr w14:paraId="3FDE7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 w:type="pct"/>
            <w:vAlign w:val="center"/>
          </w:tcPr>
          <w:p w14:paraId="2AFC194A">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14</w:t>
            </w:r>
          </w:p>
        </w:tc>
        <w:tc>
          <w:tcPr>
            <w:tcW w:w="605" w:type="pct"/>
            <w:vAlign w:val="center"/>
          </w:tcPr>
          <w:p w14:paraId="2463062C">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A031210饮食炊事机械</w:t>
            </w:r>
          </w:p>
        </w:tc>
        <w:tc>
          <w:tcPr>
            <w:tcW w:w="887" w:type="pct"/>
            <w:vAlign w:val="center"/>
          </w:tcPr>
          <w:p w14:paraId="05F09B1B">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商用燃气灶具</w:t>
            </w:r>
          </w:p>
        </w:tc>
        <w:tc>
          <w:tcPr>
            <w:tcW w:w="750" w:type="pct"/>
            <w:vAlign w:val="center"/>
          </w:tcPr>
          <w:p w14:paraId="7A7B1B78">
            <w:pPr>
              <w:spacing w:line="300" w:lineRule="auto"/>
              <w:jc w:val="center"/>
              <w:rPr>
                <w:rFonts w:ascii="宋体" w:hAnsi="宋体" w:eastAsia="宋体"/>
                <w:color w:val="000000" w:themeColor="text1"/>
                <w:sz w:val="20"/>
                <w:szCs w:val="20"/>
                <w14:textFill>
                  <w14:solidFill>
                    <w14:schemeClr w14:val="tx1"/>
                  </w14:solidFill>
                </w14:textFill>
              </w:rPr>
            </w:pPr>
          </w:p>
        </w:tc>
        <w:tc>
          <w:tcPr>
            <w:tcW w:w="2533" w:type="pct"/>
            <w:vAlign w:val="center"/>
          </w:tcPr>
          <w:p w14:paraId="5FD9C16E">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《商用燃气灶具能效限定值及能效等级》（GB30531）</w:t>
            </w:r>
          </w:p>
        </w:tc>
      </w:tr>
      <w:tr w14:paraId="4DE4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 w:type="pct"/>
            <w:vMerge w:val="restart"/>
            <w:vAlign w:val="center"/>
          </w:tcPr>
          <w:p w14:paraId="54656E74">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15</w:t>
            </w:r>
          </w:p>
        </w:tc>
        <w:tc>
          <w:tcPr>
            <w:tcW w:w="605" w:type="pct"/>
            <w:vMerge w:val="restart"/>
            <w:vAlign w:val="center"/>
          </w:tcPr>
          <w:p w14:paraId="524B3C05">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★A060805便器</w:t>
            </w:r>
          </w:p>
        </w:tc>
        <w:tc>
          <w:tcPr>
            <w:tcW w:w="887" w:type="pct"/>
            <w:vAlign w:val="center"/>
          </w:tcPr>
          <w:p w14:paraId="2B4A6A87">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坐便器</w:t>
            </w:r>
          </w:p>
        </w:tc>
        <w:tc>
          <w:tcPr>
            <w:tcW w:w="750" w:type="pct"/>
            <w:vAlign w:val="center"/>
          </w:tcPr>
          <w:p w14:paraId="60E5874C">
            <w:pPr>
              <w:spacing w:line="300" w:lineRule="auto"/>
              <w:jc w:val="center"/>
              <w:rPr>
                <w:rFonts w:ascii="宋体" w:hAnsi="宋体" w:eastAsia="宋体"/>
                <w:color w:val="000000" w:themeColor="text1"/>
                <w:sz w:val="20"/>
                <w:szCs w:val="20"/>
                <w14:textFill>
                  <w14:solidFill>
                    <w14:schemeClr w14:val="tx1"/>
                  </w14:solidFill>
                </w14:textFill>
              </w:rPr>
            </w:pPr>
          </w:p>
        </w:tc>
        <w:tc>
          <w:tcPr>
            <w:tcW w:w="2533" w:type="pct"/>
            <w:vAlign w:val="center"/>
          </w:tcPr>
          <w:p w14:paraId="608448AC">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《坐便器水效限定值及水效等级》（GB25502）</w:t>
            </w:r>
          </w:p>
        </w:tc>
      </w:tr>
      <w:tr w14:paraId="1CD4A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 w:type="pct"/>
            <w:vMerge w:val="continue"/>
            <w:vAlign w:val="center"/>
          </w:tcPr>
          <w:p w14:paraId="5ECE93D6">
            <w:pPr>
              <w:spacing w:line="300" w:lineRule="auto"/>
              <w:jc w:val="center"/>
              <w:rPr>
                <w:rFonts w:ascii="宋体" w:hAnsi="宋体" w:eastAsia="宋体"/>
                <w:color w:val="000000" w:themeColor="text1"/>
                <w:sz w:val="20"/>
                <w:szCs w:val="20"/>
                <w14:textFill>
                  <w14:solidFill>
                    <w14:schemeClr w14:val="tx1"/>
                  </w14:solidFill>
                </w14:textFill>
              </w:rPr>
            </w:pPr>
          </w:p>
        </w:tc>
        <w:tc>
          <w:tcPr>
            <w:tcW w:w="605" w:type="pct"/>
            <w:vMerge w:val="continue"/>
            <w:vAlign w:val="center"/>
          </w:tcPr>
          <w:p w14:paraId="360A6E75">
            <w:pPr>
              <w:spacing w:line="300" w:lineRule="auto"/>
              <w:jc w:val="center"/>
              <w:rPr>
                <w:rFonts w:ascii="宋体" w:hAnsi="宋体" w:eastAsia="宋体"/>
                <w:color w:val="000000" w:themeColor="text1"/>
                <w:sz w:val="20"/>
                <w:szCs w:val="20"/>
                <w14:textFill>
                  <w14:solidFill>
                    <w14:schemeClr w14:val="tx1"/>
                  </w14:solidFill>
                </w14:textFill>
              </w:rPr>
            </w:pPr>
          </w:p>
        </w:tc>
        <w:tc>
          <w:tcPr>
            <w:tcW w:w="887" w:type="pct"/>
            <w:vAlign w:val="center"/>
          </w:tcPr>
          <w:p w14:paraId="493C3FB1">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蹲便器</w:t>
            </w:r>
          </w:p>
        </w:tc>
        <w:tc>
          <w:tcPr>
            <w:tcW w:w="750" w:type="pct"/>
            <w:vAlign w:val="center"/>
          </w:tcPr>
          <w:p w14:paraId="27644431">
            <w:pPr>
              <w:spacing w:line="300" w:lineRule="auto"/>
              <w:jc w:val="center"/>
              <w:rPr>
                <w:rFonts w:ascii="宋体" w:hAnsi="宋体" w:eastAsia="宋体"/>
                <w:color w:val="000000" w:themeColor="text1"/>
                <w:sz w:val="20"/>
                <w:szCs w:val="20"/>
                <w14:textFill>
                  <w14:solidFill>
                    <w14:schemeClr w14:val="tx1"/>
                  </w14:solidFill>
                </w14:textFill>
              </w:rPr>
            </w:pPr>
          </w:p>
        </w:tc>
        <w:tc>
          <w:tcPr>
            <w:tcW w:w="2533" w:type="pct"/>
            <w:vAlign w:val="center"/>
          </w:tcPr>
          <w:p w14:paraId="4C98CBF0">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《蹲便器用水效率限定值及用水效率等级》（GB30717）</w:t>
            </w:r>
          </w:p>
        </w:tc>
      </w:tr>
      <w:tr w14:paraId="5557E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 w:type="pct"/>
            <w:vMerge w:val="continue"/>
            <w:vAlign w:val="center"/>
          </w:tcPr>
          <w:p w14:paraId="246F0E25">
            <w:pPr>
              <w:spacing w:line="300" w:lineRule="auto"/>
              <w:jc w:val="center"/>
              <w:rPr>
                <w:rFonts w:ascii="宋体" w:hAnsi="宋体" w:eastAsia="宋体"/>
                <w:color w:val="000000" w:themeColor="text1"/>
                <w:sz w:val="20"/>
                <w:szCs w:val="20"/>
                <w14:textFill>
                  <w14:solidFill>
                    <w14:schemeClr w14:val="tx1"/>
                  </w14:solidFill>
                </w14:textFill>
              </w:rPr>
            </w:pPr>
          </w:p>
        </w:tc>
        <w:tc>
          <w:tcPr>
            <w:tcW w:w="605" w:type="pct"/>
            <w:vMerge w:val="continue"/>
            <w:vAlign w:val="center"/>
          </w:tcPr>
          <w:p w14:paraId="537E6241">
            <w:pPr>
              <w:spacing w:line="300" w:lineRule="auto"/>
              <w:jc w:val="center"/>
              <w:rPr>
                <w:rFonts w:ascii="宋体" w:hAnsi="宋体" w:eastAsia="宋体"/>
                <w:color w:val="000000" w:themeColor="text1"/>
                <w:sz w:val="20"/>
                <w:szCs w:val="20"/>
                <w14:textFill>
                  <w14:solidFill>
                    <w14:schemeClr w14:val="tx1"/>
                  </w14:solidFill>
                </w14:textFill>
              </w:rPr>
            </w:pPr>
          </w:p>
        </w:tc>
        <w:tc>
          <w:tcPr>
            <w:tcW w:w="887" w:type="pct"/>
            <w:vAlign w:val="center"/>
          </w:tcPr>
          <w:p w14:paraId="328C3606">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小便器</w:t>
            </w:r>
          </w:p>
        </w:tc>
        <w:tc>
          <w:tcPr>
            <w:tcW w:w="750" w:type="pct"/>
            <w:vAlign w:val="center"/>
          </w:tcPr>
          <w:p w14:paraId="480158EC">
            <w:pPr>
              <w:spacing w:line="300" w:lineRule="auto"/>
              <w:jc w:val="center"/>
              <w:rPr>
                <w:rFonts w:ascii="宋体" w:hAnsi="宋体" w:eastAsia="宋体"/>
                <w:color w:val="000000" w:themeColor="text1"/>
                <w:sz w:val="20"/>
                <w:szCs w:val="20"/>
                <w14:textFill>
                  <w14:solidFill>
                    <w14:schemeClr w14:val="tx1"/>
                  </w14:solidFill>
                </w14:textFill>
              </w:rPr>
            </w:pPr>
          </w:p>
        </w:tc>
        <w:tc>
          <w:tcPr>
            <w:tcW w:w="2533" w:type="pct"/>
            <w:vAlign w:val="center"/>
          </w:tcPr>
          <w:p w14:paraId="76BD4048">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《小便器用水效率限定值及用水效率等级》（GB28377）</w:t>
            </w:r>
          </w:p>
        </w:tc>
      </w:tr>
      <w:tr w14:paraId="66F7C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 w:type="pct"/>
            <w:vAlign w:val="center"/>
          </w:tcPr>
          <w:p w14:paraId="2981ABFC">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16</w:t>
            </w:r>
          </w:p>
        </w:tc>
        <w:tc>
          <w:tcPr>
            <w:tcW w:w="605" w:type="pct"/>
            <w:vAlign w:val="center"/>
          </w:tcPr>
          <w:p w14:paraId="6EAFBE8E">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★A060806水嘴</w:t>
            </w:r>
          </w:p>
        </w:tc>
        <w:tc>
          <w:tcPr>
            <w:tcW w:w="887" w:type="pct"/>
            <w:vAlign w:val="center"/>
          </w:tcPr>
          <w:p w14:paraId="672E4FE2">
            <w:pPr>
              <w:spacing w:line="300" w:lineRule="auto"/>
              <w:jc w:val="center"/>
              <w:rPr>
                <w:rFonts w:ascii="宋体" w:hAnsi="宋体" w:eastAsia="宋体"/>
                <w:color w:val="000000" w:themeColor="text1"/>
                <w:sz w:val="20"/>
                <w:szCs w:val="20"/>
                <w14:textFill>
                  <w14:solidFill>
                    <w14:schemeClr w14:val="tx1"/>
                  </w14:solidFill>
                </w14:textFill>
              </w:rPr>
            </w:pPr>
          </w:p>
        </w:tc>
        <w:tc>
          <w:tcPr>
            <w:tcW w:w="750" w:type="pct"/>
            <w:vAlign w:val="center"/>
          </w:tcPr>
          <w:p w14:paraId="76BB8C81">
            <w:pPr>
              <w:spacing w:line="300" w:lineRule="auto"/>
              <w:jc w:val="center"/>
              <w:rPr>
                <w:rFonts w:ascii="宋体" w:hAnsi="宋体" w:eastAsia="宋体"/>
                <w:color w:val="000000" w:themeColor="text1"/>
                <w:sz w:val="20"/>
                <w:szCs w:val="20"/>
                <w14:textFill>
                  <w14:solidFill>
                    <w14:schemeClr w14:val="tx1"/>
                  </w14:solidFill>
                </w14:textFill>
              </w:rPr>
            </w:pPr>
          </w:p>
        </w:tc>
        <w:tc>
          <w:tcPr>
            <w:tcW w:w="2533" w:type="pct"/>
            <w:vAlign w:val="center"/>
          </w:tcPr>
          <w:p w14:paraId="140A374A">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《水嘴用水效率限定值及用水效率等级》（GB25501）</w:t>
            </w:r>
          </w:p>
        </w:tc>
      </w:tr>
      <w:tr w14:paraId="31A90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 w:type="pct"/>
            <w:vAlign w:val="center"/>
          </w:tcPr>
          <w:p w14:paraId="4997B4E3">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17</w:t>
            </w:r>
          </w:p>
        </w:tc>
        <w:tc>
          <w:tcPr>
            <w:tcW w:w="605" w:type="pct"/>
            <w:vAlign w:val="center"/>
          </w:tcPr>
          <w:p w14:paraId="5C034D8B">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A060807便器冲洗阀</w:t>
            </w:r>
          </w:p>
        </w:tc>
        <w:tc>
          <w:tcPr>
            <w:tcW w:w="887" w:type="pct"/>
            <w:vAlign w:val="center"/>
          </w:tcPr>
          <w:p w14:paraId="05C2A89D">
            <w:pPr>
              <w:spacing w:line="300" w:lineRule="auto"/>
              <w:jc w:val="center"/>
              <w:rPr>
                <w:rFonts w:ascii="宋体" w:hAnsi="宋体" w:eastAsia="宋体"/>
                <w:color w:val="000000" w:themeColor="text1"/>
                <w:sz w:val="20"/>
                <w:szCs w:val="20"/>
                <w14:textFill>
                  <w14:solidFill>
                    <w14:schemeClr w14:val="tx1"/>
                  </w14:solidFill>
                </w14:textFill>
              </w:rPr>
            </w:pPr>
          </w:p>
        </w:tc>
        <w:tc>
          <w:tcPr>
            <w:tcW w:w="750" w:type="pct"/>
            <w:vAlign w:val="center"/>
          </w:tcPr>
          <w:p w14:paraId="17CB3DB8">
            <w:pPr>
              <w:spacing w:line="300" w:lineRule="auto"/>
              <w:jc w:val="center"/>
              <w:rPr>
                <w:rFonts w:ascii="宋体" w:hAnsi="宋体" w:eastAsia="宋体"/>
                <w:color w:val="000000" w:themeColor="text1"/>
                <w:sz w:val="20"/>
                <w:szCs w:val="20"/>
                <w14:textFill>
                  <w14:solidFill>
                    <w14:schemeClr w14:val="tx1"/>
                  </w14:solidFill>
                </w14:textFill>
              </w:rPr>
            </w:pPr>
          </w:p>
        </w:tc>
        <w:tc>
          <w:tcPr>
            <w:tcW w:w="2533" w:type="pct"/>
            <w:vAlign w:val="center"/>
          </w:tcPr>
          <w:p w14:paraId="6B0B7589">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《便器冲洗阀用水效率限定值及用水效率等级》（GB28379）</w:t>
            </w:r>
          </w:p>
        </w:tc>
      </w:tr>
      <w:tr w14:paraId="12BBB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 w:type="pct"/>
            <w:vAlign w:val="center"/>
          </w:tcPr>
          <w:p w14:paraId="3C00D342">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18</w:t>
            </w:r>
          </w:p>
        </w:tc>
        <w:tc>
          <w:tcPr>
            <w:tcW w:w="605" w:type="pct"/>
            <w:vAlign w:val="center"/>
          </w:tcPr>
          <w:p w14:paraId="06B558E8">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A060810淋浴器</w:t>
            </w:r>
          </w:p>
        </w:tc>
        <w:tc>
          <w:tcPr>
            <w:tcW w:w="887" w:type="pct"/>
            <w:vAlign w:val="center"/>
          </w:tcPr>
          <w:p w14:paraId="76206C28">
            <w:pPr>
              <w:spacing w:line="300" w:lineRule="auto"/>
              <w:jc w:val="center"/>
              <w:rPr>
                <w:rFonts w:ascii="宋体" w:hAnsi="宋体" w:eastAsia="宋体"/>
                <w:color w:val="000000" w:themeColor="text1"/>
                <w:sz w:val="20"/>
                <w:szCs w:val="20"/>
                <w14:textFill>
                  <w14:solidFill>
                    <w14:schemeClr w14:val="tx1"/>
                  </w14:solidFill>
                </w14:textFill>
              </w:rPr>
            </w:pPr>
          </w:p>
        </w:tc>
        <w:tc>
          <w:tcPr>
            <w:tcW w:w="750" w:type="pct"/>
            <w:vAlign w:val="center"/>
          </w:tcPr>
          <w:p w14:paraId="54E23D5B">
            <w:pPr>
              <w:spacing w:line="300" w:lineRule="auto"/>
              <w:jc w:val="center"/>
              <w:rPr>
                <w:rFonts w:ascii="宋体" w:hAnsi="宋体" w:eastAsia="宋体"/>
                <w:color w:val="000000" w:themeColor="text1"/>
                <w:sz w:val="20"/>
                <w:szCs w:val="20"/>
                <w14:textFill>
                  <w14:solidFill>
                    <w14:schemeClr w14:val="tx1"/>
                  </w14:solidFill>
                </w14:textFill>
              </w:rPr>
            </w:pPr>
          </w:p>
        </w:tc>
        <w:tc>
          <w:tcPr>
            <w:tcW w:w="2533" w:type="pct"/>
            <w:vAlign w:val="center"/>
          </w:tcPr>
          <w:p w14:paraId="0658AB99">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《淋浴器用水效率限定值及用水效率等级》（GB28378）</w:t>
            </w:r>
          </w:p>
        </w:tc>
      </w:tr>
    </w:tbl>
    <w:p w14:paraId="456B0C2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注：1.节能产品认证应依据相关国家标准的最新版本，依据国家标准中二级能效（水效）指标。</w:t>
      </w:r>
    </w:p>
    <w:p w14:paraId="36BDF881">
      <w:pPr>
        <w:spacing w:line="360" w:lineRule="auto"/>
        <w:ind w:firstLine="422" w:firstLineChars="200"/>
        <w:rPr>
          <w:rFonts w:ascii="宋体" w:hAnsi="宋体" w:eastAsia="宋体"/>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2.以“★”标注的为政府强制采购产品。</w:t>
      </w:r>
    </w:p>
    <w:p w14:paraId="30F33984">
      <w:pPr>
        <w:spacing w:line="360" w:lineRule="auto"/>
        <w:ind w:firstLine="420" w:firstLineChars="200"/>
        <w:rPr>
          <w:rFonts w:ascii="宋体" w:hAnsi="宋体" w:eastAsia="宋体"/>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7DF24FD2">
      <w:pPr>
        <w:spacing w:line="360" w:lineRule="auto"/>
        <w:rPr>
          <w:rFonts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附件2：</w:t>
      </w:r>
    </w:p>
    <w:p w14:paraId="53ED2772">
      <w:pPr>
        <w:jc w:val="center"/>
        <w:rPr>
          <w:rFonts w:ascii="微软雅黑" w:hAnsi="微软雅黑" w:eastAsia="微软雅黑"/>
          <w:color w:val="000000" w:themeColor="text1"/>
          <w:sz w:val="36"/>
          <w:szCs w:val="36"/>
          <w14:textFill>
            <w14:solidFill>
              <w14:schemeClr w14:val="tx1"/>
            </w14:solidFill>
          </w14:textFill>
        </w:rPr>
      </w:pPr>
      <w:r>
        <w:rPr>
          <w:rFonts w:hint="eastAsia" w:ascii="微软雅黑" w:hAnsi="微软雅黑" w:eastAsia="微软雅黑"/>
          <w:color w:val="000000" w:themeColor="text1"/>
          <w:sz w:val="36"/>
          <w:szCs w:val="36"/>
          <w14:textFill>
            <w14:solidFill>
              <w14:schemeClr w14:val="tx1"/>
            </w14:solidFill>
          </w14:textFill>
        </w:rPr>
        <w:t>中小微企业划型标准</w:t>
      </w:r>
    </w:p>
    <w:tbl>
      <w:tblPr>
        <w:tblStyle w:val="14"/>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6"/>
        <w:gridCol w:w="1456"/>
        <w:gridCol w:w="1406"/>
        <w:gridCol w:w="1889"/>
        <w:gridCol w:w="1453"/>
        <w:gridCol w:w="1437"/>
      </w:tblGrid>
      <w:tr w14:paraId="02E33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Align w:val="center"/>
          </w:tcPr>
          <w:p w14:paraId="4C0F1981">
            <w:pPr>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行业名称</w:t>
            </w:r>
          </w:p>
        </w:tc>
        <w:tc>
          <w:tcPr>
            <w:tcW w:w="785" w:type="pct"/>
            <w:vAlign w:val="center"/>
          </w:tcPr>
          <w:p w14:paraId="7A524293">
            <w:pPr>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指标名称</w:t>
            </w:r>
          </w:p>
        </w:tc>
        <w:tc>
          <w:tcPr>
            <w:tcW w:w="758" w:type="pct"/>
            <w:vAlign w:val="center"/>
          </w:tcPr>
          <w:p w14:paraId="40D10401">
            <w:pPr>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计量单位</w:t>
            </w:r>
          </w:p>
        </w:tc>
        <w:tc>
          <w:tcPr>
            <w:tcW w:w="1018" w:type="pct"/>
            <w:vAlign w:val="center"/>
          </w:tcPr>
          <w:p w14:paraId="2D9364EB">
            <w:pPr>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中型</w:t>
            </w:r>
          </w:p>
        </w:tc>
        <w:tc>
          <w:tcPr>
            <w:tcW w:w="783" w:type="pct"/>
            <w:vAlign w:val="center"/>
          </w:tcPr>
          <w:p w14:paraId="0A935AF3">
            <w:pPr>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小型</w:t>
            </w:r>
          </w:p>
        </w:tc>
        <w:tc>
          <w:tcPr>
            <w:tcW w:w="774" w:type="pct"/>
            <w:vAlign w:val="center"/>
          </w:tcPr>
          <w:p w14:paraId="5214CC02">
            <w:pPr>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微型</w:t>
            </w:r>
          </w:p>
        </w:tc>
      </w:tr>
      <w:tr w14:paraId="6642A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Align w:val="center"/>
          </w:tcPr>
          <w:p w14:paraId="61CB79E0">
            <w:pPr>
              <w:jc w:val="center"/>
              <w:rPr>
                <w:rFonts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农、林、牧、渔</w:t>
            </w:r>
          </w:p>
        </w:tc>
        <w:tc>
          <w:tcPr>
            <w:tcW w:w="785" w:type="pct"/>
            <w:vAlign w:val="center"/>
          </w:tcPr>
          <w:p w14:paraId="560F683C">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营业收入（Y）</w:t>
            </w:r>
          </w:p>
        </w:tc>
        <w:tc>
          <w:tcPr>
            <w:tcW w:w="758" w:type="pct"/>
            <w:vAlign w:val="center"/>
          </w:tcPr>
          <w:p w14:paraId="281E98D2">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万元</w:t>
            </w:r>
          </w:p>
        </w:tc>
        <w:tc>
          <w:tcPr>
            <w:tcW w:w="1018" w:type="pct"/>
            <w:vAlign w:val="center"/>
          </w:tcPr>
          <w:p w14:paraId="38D96DA8">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500≤Y＜20000</w:t>
            </w:r>
          </w:p>
        </w:tc>
        <w:tc>
          <w:tcPr>
            <w:tcW w:w="783" w:type="pct"/>
            <w:vAlign w:val="center"/>
          </w:tcPr>
          <w:p w14:paraId="085096CF">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50≤Y＜500</w:t>
            </w:r>
          </w:p>
        </w:tc>
        <w:tc>
          <w:tcPr>
            <w:tcW w:w="774" w:type="pct"/>
            <w:vAlign w:val="center"/>
          </w:tcPr>
          <w:p w14:paraId="16B62F56">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Y＜50</w:t>
            </w:r>
          </w:p>
        </w:tc>
      </w:tr>
      <w:tr w14:paraId="165A2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2661AA6C">
            <w:pPr>
              <w:jc w:val="center"/>
              <w:rPr>
                <w:rFonts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工业</w:t>
            </w:r>
          </w:p>
        </w:tc>
        <w:tc>
          <w:tcPr>
            <w:tcW w:w="785" w:type="pct"/>
            <w:vAlign w:val="center"/>
          </w:tcPr>
          <w:p w14:paraId="0BD3C11D">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从业人员（X）</w:t>
            </w:r>
          </w:p>
        </w:tc>
        <w:tc>
          <w:tcPr>
            <w:tcW w:w="758" w:type="pct"/>
            <w:vAlign w:val="center"/>
          </w:tcPr>
          <w:p w14:paraId="55A41AC6">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人</w:t>
            </w:r>
          </w:p>
        </w:tc>
        <w:tc>
          <w:tcPr>
            <w:tcW w:w="1018" w:type="pct"/>
            <w:vAlign w:val="center"/>
          </w:tcPr>
          <w:p w14:paraId="13A40256">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300≤X＜1000</w:t>
            </w:r>
          </w:p>
        </w:tc>
        <w:tc>
          <w:tcPr>
            <w:tcW w:w="783" w:type="pct"/>
            <w:vAlign w:val="center"/>
          </w:tcPr>
          <w:p w14:paraId="15FA6002">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20≤X＜300</w:t>
            </w:r>
          </w:p>
        </w:tc>
        <w:tc>
          <w:tcPr>
            <w:tcW w:w="774" w:type="pct"/>
            <w:vAlign w:val="center"/>
          </w:tcPr>
          <w:p w14:paraId="4141DA22">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X＜20</w:t>
            </w:r>
          </w:p>
        </w:tc>
      </w:tr>
      <w:tr w14:paraId="1653E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1B987890">
            <w:pPr>
              <w:jc w:val="center"/>
              <w:rPr>
                <w:rFonts w:ascii="宋体" w:hAnsi="宋体" w:eastAsia="宋体"/>
                <w:b/>
                <w:color w:val="000000" w:themeColor="text1"/>
                <w:sz w:val="18"/>
                <w:szCs w:val="18"/>
                <w14:textFill>
                  <w14:solidFill>
                    <w14:schemeClr w14:val="tx1"/>
                  </w14:solidFill>
                </w14:textFill>
              </w:rPr>
            </w:pPr>
          </w:p>
        </w:tc>
        <w:tc>
          <w:tcPr>
            <w:tcW w:w="785" w:type="pct"/>
            <w:vAlign w:val="center"/>
          </w:tcPr>
          <w:p w14:paraId="4355DC31">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营业收入（Y）</w:t>
            </w:r>
          </w:p>
        </w:tc>
        <w:tc>
          <w:tcPr>
            <w:tcW w:w="758" w:type="pct"/>
            <w:vAlign w:val="center"/>
          </w:tcPr>
          <w:p w14:paraId="4FED2043">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万元</w:t>
            </w:r>
          </w:p>
        </w:tc>
        <w:tc>
          <w:tcPr>
            <w:tcW w:w="1018" w:type="pct"/>
            <w:vAlign w:val="center"/>
          </w:tcPr>
          <w:p w14:paraId="56FB89B9">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2000≤Y＜40000</w:t>
            </w:r>
          </w:p>
        </w:tc>
        <w:tc>
          <w:tcPr>
            <w:tcW w:w="783" w:type="pct"/>
            <w:vAlign w:val="center"/>
          </w:tcPr>
          <w:p w14:paraId="0ADF60D1">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300≤Y＜2000</w:t>
            </w:r>
          </w:p>
        </w:tc>
        <w:tc>
          <w:tcPr>
            <w:tcW w:w="774" w:type="pct"/>
            <w:vAlign w:val="center"/>
          </w:tcPr>
          <w:p w14:paraId="3691E6E7">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Y＜300</w:t>
            </w:r>
          </w:p>
        </w:tc>
      </w:tr>
      <w:tr w14:paraId="56F8B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2D17FB8F">
            <w:pPr>
              <w:jc w:val="center"/>
              <w:rPr>
                <w:rFonts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建筑业</w:t>
            </w:r>
          </w:p>
        </w:tc>
        <w:tc>
          <w:tcPr>
            <w:tcW w:w="785" w:type="pct"/>
            <w:vAlign w:val="center"/>
          </w:tcPr>
          <w:p w14:paraId="0C1A72AC">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营业收入（Y）</w:t>
            </w:r>
          </w:p>
        </w:tc>
        <w:tc>
          <w:tcPr>
            <w:tcW w:w="758" w:type="pct"/>
            <w:vAlign w:val="center"/>
          </w:tcPr>
          <w:p w14:paraId="6DADDC2A">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万元</w:t>
            </w:r>
          </w:p>
        </w:tc>
        <w:tc>
          <w:tcPr>
            <w:tcW w:w="1018" w:type="pct"/>
            <w:vAlign w:val="center"/>
          </w:tcPr>
          <w:p w14:paraId="41E4337D">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6000≤Y＜80000</w:t>
            </w:r>
          </w:p>
        </w:tc>
        <w:tc>
          <w:tcPr>
            <w:tcW w:w="783" w:type="pct"/>
            <w:vAlign w:val="center"/>
          </w:tcPr>
          <w:p w14:paraId="6A98228A">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300≤Y＜6000</w:t>
            </w:r>
          </w:p>
        </w:tc>
        <w:tc>
          <w:tcPr>
            <w:tcW w:w="774" w:type="pct"/>
            <w:vAlign w:val="center"/>
          </w:tcPr>
          <w:p w14:paraId="69720A0E">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Y＜300</w:t>
            </w:r>
          </w:p>
        </w:tc>
      </w:tr>
      <w:tr w14:paraId="644FA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1F0219E3">
            <w:pPr>
              <w:jc w:val="center"/>
              <w:rPr>
                <w:rFonts w:ascii="宋体" w:hAnsi="宋体" w:eastAsia="宋体"/>
                <w:b/>
                <w:color w:val="000000" w:themeColor="text1"/>
                <w:sz w:val="18"/>
                <w:szCs w:val="18"/>
                <w14:textFill>
                  <w14:solidFill>
                    <w14:schemeClr w14:val="tx1"/>
                  </w14:solidFill>
                </w14:textFill>
              </w:rPr>
            </w:pPr>
          </w:p>
        </w:tc>
        <w:tc>
          <w:tcPr>
            <w:tcW w:w="785" w:type="pct"/>
            <w:vAlign w:val="center"/>
          </w:tcPr>
          <w:p w14:paraId="2EA7C9F2">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资产总额（Z）</w:t>
            </w:r>
          </w:p>
        </w:tc>
        <w:tc>
          <w:tcPr>
            <w:tcW w:w="758" w:type="pct"/>
            <w:vAlign w:val="center"/>
          </w:tcPr>
          <w:p w14:paraId="75FB1065">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万元</w:t>
            </w:r>
          </w:p>
        </w:tc>
        <w:tc>
          <w:tcPr>
            <w:tcW w:w="1018" w:type="pct"/>
            <w:vAlign w:val="center"/>
          </w:tcPr>
          <w:p w14:paraId="3BB0D778">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5000≤Z＜80000</w:t>
            </w:r>
          </w:p>
        </w:tc>
        <w:tc>
          <w:tcPr>
            <w:tcW w:w="783" w:type="pct"/>
            <w:vAlign w:val="center"/>
          </w:tcPr>
          <w:p w14:paraId="0A46FC46">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300≤Z＜5000</w:t>
            </w:r>
          </w:p>
        </w:tc>
        <w:tc>
          <w:tcPr>
            <w:tcW w:w="774" w:type="pct"/>
            <w:vAlign w:val="center"/>
          </w:tcPr>
          <w:p w14:paraId="6048CF90">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Z＜300</w:t>
            </w:r>
          </w:p>
        </w:tc>
      </w:tr>
      <w:tr w14:paraId="5230D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5DFD25CE">
            <w:pPr>
              <w:jc w:val="center"/>
              <w:rPr>
                <w:rFonts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批发业</w:t>
            </w:r>
          </w:p>
        </w:tc>
        <w:tc>
          <w:tcPr>
            <w:tcW w:w="785" w:type="pct"/>
            <w:vAlign w:val="center"/>
          </w:tcPr>
          <w:p w14:paraId="53A02E9F">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从业人员（X）</w:t>
            </w:r>
          </w:p>
        </w:tc>
        <w:tc>
          <w:tcPr>
            <w:tcW w:w="758" w:type="pct"/>
            <w:vAlign w:val="center"/>
          </w:tcPr>
          <w:p w14:paraId="43295AFC">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人</w:t>
            </w:r>
          </w:p>
        </w:tc>
        <w:tc>
          <w:tcPr>
            <w:tcW w:w="1018" w:type="pct"/>
            <w:vAlign w:val="center"/>
          </w:tcPr>
          <w:p w14:paraId="24944B7E">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20≤X＜200</w:t>
            </w:r>
          </w:p>
        </w:tc>
        <w:tc>
          <w:tcPr>
            <w:tcW w:w="783" w:type="pct"/>
            <w:vAlign w:val="center"/>
          </w:tcPr>
          <w:p w14:paraId="6820E15C">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5≤X＜20</w:t>
            </w:r>
          </w:p>
        </w:tc>
        <w:tc>
          <w:tcPr>
            <w:tcW w:w="774" w:type="pct"/>
            <w:vAlign w:val="center"/>
          </w:tcPr>
          <w:p w14:paraId="5072764A">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X＜5</w:t>
            </w:r>
          </w:p>
        </w:tc>
      </w:tr>
      <w:tr w14:paraId="162F9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368E3456">
            <w:pPr>
              <w:jc w:val="center"/>
              <w:rPr>
                <w:rFonts w:ascii="宋体" w:hAnsi="宋体" w:eastAsia="宋体"/>
                <w:b/>
                <w:color w:val="000000" w:themeColor="text1"/>
                <w:sz w:val="18"/>
                <w:szCs w:val="18"/>
                <w14:textFill>
                  <w14:solidFill>
                    <w14:schemeClr w14:val="tx1"/>
                  </w14:solidFill>
                </w14:textFill>
              </w:rPr>
            </w:pPr>
          </w:p>
        </w:tc>
        <w:tc>
          <w:tcPr>
            <w:tcW w:w="785" w:type="pct"/>
            <w:vAlign w:val="center"/>
          </w:tcPr>
          <w:p w14:paraId="087A9087">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营业收入（Y）</w:t>
            </w:r>
          </w:p>
        </w:tc>
        <w:tc>
          <w:tcPr>
            <w:tcW w:w="758" w:type="pct"/>
            <w:vAlign w:val="center"/>
          </w:tcPr>
          <w:p w14:paraId="610730E1">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万元</w:t>
            </w:r>
          </w:p>
        </w:tc>
        <w:tc>
          <w:tcPr>
            <w:tcW w:w="1018" w:type="pct"/>
            <w:vAlign w:val="center"/>
          </w:tcPr>
          <w:p w14:paraId="6BEB1D86">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5000≤Y＜40000</w:t>
            </w:r>
          </w:p>
        </w:tc>
        <w:tc>
          <w:tcPr>
            <w:tcW w:w="783" w:type="pct"/>
            <w:vAlign w:val="center"/>
          </w:tcPr>
          <w:p w14:paraId="35D88C33">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1000≤Y＜5000</w:t>
            </w:r>
          </w:p>
        </w:tc>
        <w:tc>
          <w:tcPr>
            <w:tcW w:w="774" w:type="pct"/>
            <w:vAlign w:val="center"/>
          </w:tcPr>
          <w:p w14:paraId="4F87575E">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Y＜1000</w:t>
            </w:r>
          </w:p>
        </w:tc>
      </w:tr>
      <w:tr w14:paraId="6304F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3BF35B0D">
            <w:pPr>
              <w:jc w:val="center"/>
              <w:rPr>
                <w:rFonts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零售业</w:t>
            </w:r>
          </w:p>
        </w:tc>
        <w:tc>
          <w:tcPr>
            <w:tcW w:w="785" w:type="pct"/>
            <w:vAlign w:val="center"/>
          </w:tcPr>
          <w:p w14:paraId="01F8E754">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从业人员（X）</w:t>
            </w:r>
          </w:p>
        </w:tc>
        <w:tc>
          <w:tcPr>
            <w:tcW w:w="758" w:type="pct"/>
            <w:vAlign w:val="center"/>
          </w:tcPr>
          <w:p w14:paraId="44CF40AE">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人</w:t>
            </w:r>
          </w:p>
        </w:tc>
        <w:tc>
          <w:tcPr>
            <w:tcW w:w="1018" w:type="pct"/>
            <w:vAlign w:val="center"/>
          </w:tcPr>
          <w:p w14:paraId="5DF131C5">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50≤X＜300</w:t>
            </w:r>
          </w:p>
        </w:tc>
        <w:tc>
          <w:tcPr>
            <w:tcW w:w="783" w:type="pct"/>
            <w:vAlign w:val="center"/>
          </w:tcPr>
          <w:p w14:paraId="090F4C41">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10≤X＜50</w:t>
            </w:r>
          </w:p>
        </w:tc>
        <w:tc>
          <w:tcPr>
            <w:tcW w:w="774" w:type="pct"/>
            <w:vAlign w:val="center"/>
          </w:tcPr>
          <w:p w14:paraId="2AED0C7E">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X＜10</w:t>
            </w:r>
          </w:p>
        </w:tc>
      </w:tr>
      <w:tr w14:paraId="0343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51937FCE">
            <w:pPr>
              <w:jc w:val="center"/>
              <w:rPr>
                <w:rFonts w:ascii="宋体" w:hAnsi="宋体" w:eastAsia="宋体"/>
                <w:b/>
                <w:color w:val="000000" w:themeColor="text1"/>
                <w:sz w:val="18"/>
                <w:szCs w:val="18"/>
                <w14:textFill>
                  <w14:solidFill>
                    <w14:schemeClr w14:val="tx1"/>
                  </w14:solidFill>
                </w14:textFill>
              </w:rPr>
            </w:pPr>
          </w:p>
        </w:tc>
        <w:tc>
          <w:tcPr>
            <w:tcW w:w="785" w:type="pct"/>
            <w:vAlign w:val="center"/>
          </w:tcPr>
          <w:p w14:paraId="229AF36E">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营业收入（Y）</w:t>
            </w:r>
          </w:p>
        </w:tc>
        <w:tc>
          <w:tcPr>
            <w:tcW w:w="758" w:type="pct"/>
            <w:vAlign w:val="center"/>
          </w:tcPr>
          <w:p w14:paraId="2D798486">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万元</w:t>
            </w:r>
          </w:p>
        </w:tc>
        <w:tc>
          <w:tcPr>
            <w:tcW w:w="1018" w:type="pct"/>
            <w:vAlign w:val="center"/>
          </w:tcPr>
          <w:p w14:paraId="29DDE00C">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500≤Y＜20000</w:t>
            </w:r>
          </w:p>
        </w:tc>
        <w:tc>
          <w:tcPr>
            <w:tcW w:w="783" w:type="pct"/>
            <w:vAlign w:val="center"/>
          </w:tcPr>
          <w:p w14:paraId="3FE8FE42">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100≤Y＜500</w:t>
            </w:r>
          </w:p>
        </w:tc>
        <w:tc>
          <w:tcPr>
            <w:tcW w:w="774" w:type="pct"/>
            <w:vAlign w:val="center"/>
          </w:tcPr>
          <w:p w14:paraId="686EF1E8">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Y＜100</w:t>
            </w:r>
          </w:p>
        </w:tc>
      </w:tr>
      <w:tr w14:paraId="21318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4501FD1A">
            <w:pPr>
              <w:jc w:val="center"/>
              <w:rPr>
                <w:rFonts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交通运输业</w:t>
            </w:r>
          </w:p>
        </w:tc>
        <w:tc>
          <w:tcPr>
            <w:tcW w:w="785" w:type="pct"/>
            <w:vAlign w:val="center"/>
          </w:tcPr>
          <w:p w14:paraId="7857B638">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从业人员（X）</w:t>
            </w:r>
          </w:p>
        </w:tc>
        <w:tc>
          <w:tcPr>
            <w:tcW w:w="758" w:type="pct"/>
            <w:vAlign w:val="center"/>
          </w:tcPr>
          <w:p w14:paraId="57F68923">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人</w:t>
            </w:r>
          </w:p>
        </w:tc>
        <w:tc>
          <w:tcPr>
            <w:tcW w:w="1018" w:type="pct"/>
            <w:vAlign w:val="center"/>
          </w:tcPr>
          <w:p w14:paraId="27F7FB3A">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300≤X＜1000</w:t>
            </w:r>
          </w:p>
        </w:tc>
        <w:tc>
          <w:tcPr>
            <w:tcW w:w="783" w:type="pct"/>
            <w:vAlign w:val="center"/>
          </w:tcPr>
          <w:p w14:paraId="6F6DAF0B">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20≤X＜300</w:t>
            </w:r>
          </w:p>
        </w:tc>
        <w:tc>
          <w:tcPr>
            <w:tcW w:w="774" w:type="pct"/>
            <w:vAlign w:val="center"/>
          </w:tcPr>
          <w:p w14:paraId="5DE12411">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X＜20</w:t>
            </w:r>
          </w:p>
        </w:tc>
      </w:tr>
      <w:tr w14:paraId="0C00E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056457A0">
            <w:pPr>
              <w:jc w:val="center"/>
              <w:rPr>
                <w:rFonts w:ascii="宋体" w:hAnsi="宋体" w:eastAsia="宋体"/>
                <w:b/>
                <w:color w:val="000000" w:themeColor="text1"/>
                <w:sz w:val="18"/>
                <w:szCs w:val="18"/>
                <w14:textFill>
                  <w14:solidFill>
                    <w14:schemeClr w14:val="tx1"/>
                  </w14:solidFill>
                </w14:textFill>
              </w:rPr>
            </w:pPr>
          </w:p>
        </w:tc>
        <w:tc>
          <w:tcPr>
            <w:tcW w:w="785" w:type="pct"/>
            <w:vAlign w:val="center"/>
          </w:tcPr>
          <w:p w14:paraId="7582424E">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营业收入（Y）</w:t>
            </w:r>
          </w:p>
        </w:tc>
        <w:tc>
          <w:tcPr>
            <w:tcW w:w="758" w:type="pct"/>
            <w:vAlign w:val="center"/>
          </w:tcPr>
          <w:p w14:paraId="2136987C">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万元</w:t>
            </w:r>
          </w:p>
        </w:tc>
        <w:tc>
          <w:tcPr>
            <w:tcW w:w="1018" w:type="pct"/>
            <w:vAlign w:val="center"/>
          </w:tcPr>
          <w:p w14:paraId="4684811F">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3000≤Y＜30000</w:t>
            </w:r>
          </w:p>
        </w:tc>
        <w:tc>
          <w:tcPr>
            <w:tcW w:w="783" w:type="pct"/>
            <w:vAlign w:val="center"/>
          </w:tcPr>
          <w:p w14:paraId="645A6551">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200≤Y＜3000</w:t>
            </w:r>
          </w:p>
        </w:tc>
        <w:tc>
          <w:tcPr>
            <w:tcW w:w="774" w:type="pct"/>
            <w:vAlign w:val="center"/>
          </w:tcPr>
          <w:p w14:paraId="7AEDB335">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Y＜200</w:t>
            </w:r>
          </w:p>
        </w:tc>
      </w:tr>
      <w:tr w14:paraId="6225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1AFDE10D">
            <w:pPr>
              <w:jc w:val="center"/>
              <w:rPr>
                <w:rFonts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仓储业</w:t>
            </w:r>
          </w:p>
        </w:tc>
        <w:tc>
          <w:tcPr>
            <w:tcW w:w="785" w:type="pct"/>
            <w:vAlign w:val="center"/>
          </w:tcPr>
          <w:p w14:paraId="18AF7050">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从业人员（X）</w:t>
            </w:r>
          </w:p>
        </w:tc>
        <w:tc>
          <w:tcPr>
            <w:tcW w:w="758" w:type="pct"/>
            <w:vAlign w:val="center"/>
          </w:tcPr>
          <w:p w14:paraId="1D747692">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人</w:t>
            </w:r>
          </w:p>
        </w:tc>
        <w:tc>
          <w:tcPr>
            <w:tcW w:w="1018" w:type="pct"/>
            <w:vAlign w:val="center"/>
          </w:tcPr>
          <w:p w14:paraId="17F579C9">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100≤X＜200</w:t>
            </w:r>
          </w:p>
        </w:tc>
        <w:tc>
          <w:tcPr>
            <w:tcW w:w="783" w:type="pct"/>
            <w:vAlign w:val="center"/>
          </w:tcPr>
          <w:p w14:paraId="3F4DD715">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20≤X＜100</w:t>
            </w:r>
          </w:p>
        </w:tc>
        <w:tc>
          <w:tcPr>
            <w:tcW w:w="774" w:type="pct"/>
            <w:vAlign w:val="center"/>
          </w:tcPr>
          <w:p w14:paraId="284109E9">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X＜20</w:t>
            </w:r>
          </w:p>
        </w:tc>
      </w:tr>
      <w:tr w14:paraId="60D74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663B8341">
            <w:pPr>
              <w:jc w:val="center"/>
              <w:rPr>
                <w:rFonts w:ascii="宋体" w:hAnsi="宋体" w:eastAsia="宋体"/>
                <w:b/>
                <w:color w:val="000000" w:themeColor="text1"/>
                <w:sz w:val="18"/>
                <w:szCs w:val="18"/>
                <w14:textFill>
                  <w14:solidFill>
                    <w14:schemeClr w14:val="tx1"/>
                  </w14:solidFill>
                </w14:textFill>
              </w:rPr>
            </w:pPr>
          </w:p>
        </w:tc>
        <w:tc>
          <w:tcPr>
            <w:tcW w:w="785" w:type="pct"/>
            <w:vAlign w:val="center"/>
          </w:tcPr>
          <w:p w14:paraId="14274323">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营业收入（Y）</w:t>
            </w:r>
          </w:p>
        </w:tc>
        <w:tc>
          <w:tcPr>
            <w:tcW w:w="758" w:type="pct"/>
            <w:vAlign w:val="center"/>
          </w:tcPr>
          <w:p w14:paraId="4147461E">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万元</w:t>
            </w:r>
          </w:p>
        </w:tc>
        <w:tc>
          <w:tcPr>
            <w:tcW w:w="1018" w:type="pct"/>
            <w:vAlign w:val="center"/>
          </w:tcPr>
          <w:p w14:paraId="6659D3C6">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1000≤Y＜30000</w:t>
            </w:r>
          </w:p>
        </w:tc>
        <w:tc>
          <w:tcPr>
            <w:tcW w:w="783" w:type="pct"/>
            <w:vAlign w:val="center"/>
          </w:tcPr>
          <w:p w14:paraId="1F1E3BD5">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100≤Y＜1000</w:t>
            </w:r>
          </w:p>
        </w:tc>
        <w:tc>
          <w:tcPr>
            <w:tcW w:w="774" w:type="pct"/>
            <w:vAlign w:val="center"/>
          </w:tcPr>
          <w:p w14:paraId="65EA193E">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Y＜100</w:t>
            </w:r>
          </w:p>
        </w:tc>
      </w:tr>
      <w:tr w14:paraId="4F39B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3E07FC34">
            <w:pPr>
              <w:jc w:val="center"/>
              <w:rPr>
                <w:rFonts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邮政业</w:t>
            </w:r>
          </w:p>
        </w:tc>
        <w:tc>
          <w:tcPr>
            <w:tcW w:w="785" w:type="pct"/>
            <w:vAlign w:val="center"/>
          </w:tcPr>
          <w:p w14:paraId="536337B2">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从业人员（X）</w:t>
            </w:r>
          </w:p>
        </w:tc>
        <w:tc>
          <w:tcPr>
            <w:tcW w:w="758" w:type="pct"/>
            <w:vAlign w:val="center"/>
          </w:tcPr>
          <w:p w14:paraId="205C9B95">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人</w:t>
            </w:r>
          </w:p>
        </w:tc>
        <w:tc>
          <w:tcPr>
            <w:tcW w:w="1018" w:type="pct"/>
            <w:vAlign w:val="center"/>
          </w:tcPr>
          <w:p w14:paraId="1BC95688">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300≤X＜1000</w:t>
            </w:r>
          </w:p>
        </w:tc>
        <w:tc>
          <w:tcPr>
            <w:tcW w:w="783" w:type="pct"/>
            <w:vAlign w:val="center"/>
          </w:tcPr>
          <w:p w14:paraId="16096A1D">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20≤X＜300</w:t>
            </w:r>
          </w:p>
        </w:tc>
        <w:tc>
          <w:tcPr>
            <w:tcW w:w="774" w:type="pct"/>
            <w:vAlign w:val="center"/>
          </w:tcPr>
          <w:p w14:paraId="023891B0">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X＜20</w:t>
            </w:r>
          </w:p>
        </w:tc>
      </w:tr>
      <w:tr w14:paraId="43E3D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73CB88DF">
            <w:pPr>
              <w:jc w:val="center"/>
              <w:rPr>
                <w:rFonts w:ascii="宋体" w:hAnsi="宋体" w:eastAsia="宋体"/>
                <w:b/>
                <w:color w:val="000000" w:themeColor="text1"/>
                <w:sz w:val="18"/>
                <w:szCs w:val="18"/>
                <w14:textFill>
                  <w14:solidFill>
                    <w14:schemeClr w14:val="tx1"/>
                  </w14:solidFill>
                </w14:textFill>
              </w:rPr>
            </w:pPr>
          </w:p>
        </w:tc>
        <w:tc>
          <w:tcPr>
            <w:tcW w:w="785" w:type="pct"/>
            <w:vAlign w:val="center"/>
          </w:tcPr>
          <w:p w14:paraId="624ECA98">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营业收入（Y）</w:t>
            </w:r>
          </w:p>
        </w:tc>
        <w:tc>
          <w:tcPr>
            <w:tcW w:w="758" w:type="pct"/>
            <w:vAlign w:val="center"/>
          </w:tcPr>
          <w:p w14:paraId="03BF2587">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万元</w:t>
            </w:r>
          </w:p>
        </w:tc>
        <w:tc>
          <w:tcPr>
            <w:tcW w:w="1018" w:type="pct"/>
            <w:vAlign w:val="center"/>
          </w:tcPr>
          <w:p w14:paraId="570F6CA1">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2000≤Y＜30000</w:t>
            </w:r>
          </w:p>
        </w:tc>
        <w:tc>
          <w:tcPr>
            <w:tcW w:w="783" w:type="pct"/>
            <w:vAlign w:val="center"/>
          </w:tcPr>
          <w:p w14:paraId="05C74C5C">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100≤Y＜2000</w:t>
            </w:r>
          </w:p>
        </w:tc>
        <w:tc>
          <w:tcPr>
            <w:tcW w:w="774" w:type="pct"/>
            <w:vAlign w:val="center"/>
          </w:tcPr>
          <w:p w14:paraId="49C9202A">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Y＜100</w:t>
            </w:r>
          </w:p>
        </w:tc>
      </w:tr>
      <w:tr w14:paraId="3FAE8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166306DB">
            <w:pPr>
              <w:jc w:val="center"/>
              <w:rPr>
                <w:rFonts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住宿业</w:t>
            </w:r>
          </w:p>
        </w:tc>
        <w:tc>
          <w:tcPr>
            <w:tcW w:w="785" w:type="pct"/>
            <w:vAlign w:val="center"/>
          </w:tcPr>
          <w:p w14:paraId="700ACBC2">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从业人员（X）</w:t>
            </w:r>
          </w:p>
        </w:tc>
        <w:tc>
          <w:tcPr>
            <w:tcW w:w="758" w:type="pct"/>
            <w:vAlign w:val="center"/>
          </w:tcPr>
          <w:p w14:paraId="6937C743">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人</w:t>
            </w:r>
          </w:p>
        </w:tc>
        <w:tc>
          <w:tcPr>
            <w:tcW w:w="1018" w:type="pct"/>
            <w:vAlign w:val="center"/>
          </w:tcPr>
          <w:p w14:paraId="1BE443DD">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100≤X＜300</w:t>
            </w:r>
          </w:p>
        </w:tc>
        <w:tc>
          <w:tcPr>
            <w:tcW w:w="783" w:type="pct"/>
            <w:vAlign w:val="center"/>
          </w:tcPr>
          <w:p w14:paraId="1F0C25B1">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10≤X＜100</w:t>
            </w:r>
          </w:p>
        </w:tc>
        <w:tc>
          <w:tcPr>
            <w:tcW w:w="774" w:type="pct"/>
            <w:vAlign w:val="center"/>
          </w:tcPr>
          <w:p w14:paraId="300EB7D1">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X＜10</w:t>
            </w:r>
          </w:p>
        </w:tc>
      </w:tr>
      <w:tr w14:paraId="0EB22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26C28719">
            <w:pPr>
              <w:jc w:val="center"/>
              <w:rPr>
                <w:rFonts w:ascii="宋体" w:hAnsi="宋体" w:eastAsia="宋体"/>
                <w:b/>
                <w:color w:val="000000" w:themeColor="text1"/>
                <w:sz w:val="18"/>
                <w:szCs w:val="18"/>
                <w14:textFill>
                  <w14:solidFill>
                    <w14:schemeClr w14:val="tx1"/>
                  </w14:solidFill>
                </w14:textFill>
              </w:rPr>
            </w:pPr>
          </w:p>
        </w:tc>
        <w:tc>
          <w:tcPr>
            <w:tcW w:w="785" w:type="pct"/>
            <w:vAlign w:val="center"/>
          </w:tcPr>
          <w:p w14:paraId="0FC58CC5">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营业收入（Y）</w:t>
            </w:r>
          </w:p>
        </w:tc>
        <w:tc>
          <w:tcPr>
            <w:tcW w:w="758" w:type="pct"/>
            <w:vAlign w:val="center"/>
          </w:tcPr>
          <w:p w14:paraId="28B62E5F">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万元</w:t>
            </w:r>
          </w:p>
        </w:tc>
        <w:tc>
          <w:tcPr>
            <w:tcW w:w="1018" w:type="pct"/>
            <w:vAlign w:val="center"/>
          </w:tcPr>
          <w:p w14:paraId="701DACF4">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2000≤Y＜10000</w:t>
            </w:r>
          </w:p>
        </w:tc>
        <w:tc>
          <w:tcPr>
            <w:tcW w:w="783" w:type="pct"/>
            <w:vAlign w:val="center"/>
          </w:tcPr>
          <w:p w14:paraId="3D81008E">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100≤Y＜2000</w:t>
            </w:r>
          </w:p>
        </w:tc>
        <w:tc>
          <w:tcPr>
            <w:tcW w:w="774" w:type="pct"/>
            <w:vAlign w:val="center"/>
          </w:tcPr>
          <w:p w14:paraId="18FF216D">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Y＜100</w:t>
            </w:r>
          </w:p>
        </w:tc>
      </w:tr>
      <w:tr w14:paraId="3C97C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63264474">
            <w:pPr>
              <w:jc w:val="center"/>
              <w:rPr>
                <w:rFonts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餐饮业</w:t>
            </w:r>
          </w:p>
        </w:tc>
        <w:tc>
          <w:tcPr>
            <w:tcW w:w="785" w:type="pct"/>
            <w:vAlign w:val="center"/>
          </w:tcPr>
          <w:p w14:paraId="4E1D0ABA">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从业人员（X）</w:t>
            </w:r>
          </w:p>
        </w:tc>
        <w:tc>
          <w:tcPr>
            <w:tcW w:w="758" w:type="pct"/>
            <w:vAlign w:val="center"/>
          </w:tcPr>
          <w:p w14:paraId="4B3173B0">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人</w:t>
            </w:r>
          </w:p>
        </w:tc>
        <w:tc>
          <w:tcPr>
            <w:tcW w:w="1018" w:type="pct"/>
            <w:vAlign w:val="center"/>
          </w:tcPr>
          <w:p w14:paraId="432FF2EA">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100≤X＜300</w:t>
            </w:r>
          </w:p>
        </w:tc>
        <w:tc>
          <w:tcPr>
            <w:tcW w:w="783" w:type="pct"/>
            <w:vAlign w:val="center"/>
          </w:tcPr>
          <w:p w14:paraId="2186DBE4">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10≤X＜100</w:t>
            </w:r>
          </w:p>
        </w:tc>
        <w:tc>
          <w:tcPr>
            <w:tcW w:w="774" w:type="pct"/>
            <w:vAlign w:val="center"/>
          </w:tcPr>
          <w:p w14:paraId="4DAE8E59">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X＜10</w:t>
            </w:r>
          </w:p>
        </w:tc>
      </w:tr>
      <w:tr w14:paraId="5F1D2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24F95EE7">
            <w:pPr>
              <w:jc w:val="center"/>
              <w:rPr>
                <w:rFonts w:ascii="宋体" w:hAnsi="宋体" w:eastAsia="宋体"/>
                <w:b/>
                <w:color w:val="000000" w:themeColor="text1"/>
                <w:sz w:val="18"/>
                <w:szCs w:val="18"/>
                <w14:textFill>
                  <w14:solidFill>
                    <w14:schemeClr w14:val="tx1"/>
                  </w14:solidFill>
                </w14:textFill>
              </w:rPr>
            </w:pPr>
          </w:p>
        </w:tc>
        <w:tc>
          <w:tcPr>
            <w:tcW w:w="785" w:type="pct"/>
            <w:vAlign w:val="center"/>
          </w:tcPr>
          <w:p w14:paraId="0DBA778C">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营业收入（Y）</w:t>
            </w:r>
          </w:p>
        </w:tc>
        <w:tc>
          <w:tcPr>
            <w:tcW w:w="758" w:type="pct"/>
            <w:vAlign w:val="center"/>
          </w:tcPr>
          <w:p w14:paraId="4588EF1B">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万元</w:t>
            </w:r>
          </w:p>
        </w:tc>
        <w:tc>
          <w:tcPr>
            <w:tcW w:w="1018" w:type="pct"/>
            <w:vAlign w:val="center"/>
          </w:tcPr>
          <w:p w14:paraId="3149AFF5">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2000≤Y＜10000</w:t>
            </w:r>
          </w:p>
        </w:tc>
        <w:tc>
          <w:tcPr>
            <w:tcW w:w="783" w:type="pct"/>
            <w:vAlign w:val="center"/>
          </w:tcPr>
          <w:p w14:paraId="72F018FA">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100≤Y＜2000</w:t>
            </w:r>
          </w:p>
        </w:tc>
        <w:tc>
          <w:tcPr>
            <w:tcW w:w="774" w:type="pct"/>
            <w:vAlign w:val="center"/>
          </w:tcPr>
          <w:p w14:paraId="7FFB19E4">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Y＜100</w:t>
            </w:r>
          </w:p>
        </w:tc>
      </w:tr>
      <w:tr w14:paraId="5D95B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7DB0215C">
            <w:pPr>
              <w:jc w:val="center"/>
              <w:rPr>
                <w:rFonts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信息传输业</w:t>
            </w:r>
          </w:p>
        </w:tc>
        <w:tc>
          <w:tcPr>
            <w:tcW w:w="785" w:type="pct"/>
            <w:vAlign w:val="center"/>
          </w:tcPr>
          <w:p w14:paraId="68FCC74C">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从业人员（X）</w:t>
            </w:r>
          </w:p>
        </w:tc>
        <w:tc>
          <w:tcPr>
            <w:tcW w:w="758" w:type="pct"/>
            <w:vAlign w:val="center"/>
          </w:tcPr>
          <w:p w14:paraId="447698A2">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人</w:t>
            </w:r>
          </w:p>
        </w:tc>
        <w:tc>
          <w:tcPr>
            <w:tcW w:w="1018" w:type="pct"/>
            <w:vAlign w:val="center"/>
          </w:tcPr>
          <w:p w14:paraId="14CA5985">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100≤X＜2000</w:t>
            </w:r>
          </w:p>
        </w:tc>
        <w:tc>
          <w:tcPr>
            <w:tcW w:w="783" w:type="pct"/>
            <w:vAlign w:val="center"/>
          </w:tcPr>
          <w:p w14:paraId="31D8EE8D">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10≤X＜100</w:t>
            </w:r>
          </w:p>
        </w:tc>
        <w:tc>
          <w:tcPr>
            <w:tcW w:w="774" w:type="pct"/>
            <w:vAlign w:val="center"/>
          </w:tcPr>
          <w:p w14:paraId="6A4469A4">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X＜10</w:t>
            </w:r>
          </w:p>
        </w:tc>
      </w:tr>
      <w:tr w14:paraId="55244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52BF2F43">
            <w:pPr>
              <w:jc w:val="center"/>
              <w:rPr>
                <w:rFonts w:ascii="宋体" w:hAnsi="宋体" w:eastAsia="宋体"/>
                <w:b/>
                <w:color w:val="000000" w:themeColor="text1"/>
                <w:sz w:val="18"/>
                <w:szCs w:val="18"/>
                <w14:textFill>
                  <w14:solidFill>
                    <w14:schemeClr w14:val="tx1"/>
                  </w14:solidFill>
                </w14:textFill>
              </w:rPr>
            </w:pPr>
          </w:p>
        </w:tc>
        <w:tc>
          <w:tcPr>
            <w:tcW w:w="785" w:type="pct"/>
            <w:vAlign w:val="center"/>
          </w:tcPr>
          <w:p w14:paraId="0B84ECD8">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营业收入（Y）</w:t>
            </w:r>
          </w:p>
        </w:tc>
        <w:tc>
          <w:tcPr>
            <w:tcW w:w="758" w:type="pct"/>
            <w:vAlign w:val="center"/>
          </w:tcPr>
          <w:p w14:paraId="057EC33C">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万元</w:t>
            </w:r>
          </w:p>
        </w:tc>
        <w:tc>
          <w:tcPr>
            <w:tcW w:w="1018" w:type="pct"/>
            <w:vAlign w:val="center"/>
          </w:tcPr>
          <w:p w14:paraId="6B148114">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1000≤Y＜100000</w:t>
            </w:r>
          </w:p>
        </w:tc>
        <w:tc>
          <w:tcPr>
            <w:tcW w:w="783" w:type="pct"/>
            <w:vAlign w:val="center"/>
          </w:tcPr>
          <w:p w14:paraId="0CA8C385">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100≤Y＜1000</w:t>
            </w:r>
          </w:p>
        </w:tc>
        <w:tc>
          <w:tcPr>
            <w:tcW w:w="774" w:type="pct"/>
            <w:vAlign w:val="center"/>
          </w:tcPr>
          <w:p w14:paraId="4161847B">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Y＜100</w:t>
            </w:r>
          </w:p>
        </w:tc>
      </w:tr>
      <w:tr w14:paraId="36720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6AE7CA34">
            <w:pPr>
              <w:jc w:val="center"/>
              <w:rPr>
                <w:rFonts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软件和信息技术服务业</w:t>
            </w:r>
          </w:p>
        </w:tc>
        <w:tc>
          <w:tcPr>
            <w:tcW w:w="785" w:type="pct"/>
            <w:vAlign w:val="center"/>
          </w:tcPr>
          <w:p w14:paraId="59450F32">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从业人员（X）</w:t>
            </w:r>
          </w:p>
        </w:tc>
        <w:tc>
          <w:tcPr>
            <w:tcW w:w="758" w:type="pct"/>
            <w:vAlign w:val="center"/>
          </w:tcPr>
          <w:p w14:paraId="4964D6FE">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人</w:t>
            </w:r>
          </w:p>
        </w:tc>
        <w:tc>
          <w:tcPr>
            <w:tcW w:w="1018" w:type="pct"/>
            <w:vAlign w:val="center"/>
          </w:tcPr>
          <w:p w14:paraId="3C98A258">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100≤X＜300</w:t>
            </w:r>
          </w:p>
        </w:tc>
        <w:tc>
          <w:tcPr>
            <w:tcW w:w="783" w:type="pct"/>
            <w:vAlign w:val="center"/>
          </w:tcPr>
          <w:p w14:paraId="4698DC2A">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10≤X＜100</w:t>
            </w:r>
          </w:p>
        </w:tc>
        <w:tc>
          <w:tcPr>
            <w:tcW w:w="774" w:type="pct"/>
            <w:vAlign w:val="center"/>
          </w:tcPr>
          <w:p w14:paraId="71431B0F">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X＜10</w:t>
            </w:r>
          </w:p>
        </w:tc>
      </w:tr>
      <w:tr w14:paraId="4D41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50587209">
            <w:pPr>
              <w:jc w:val="center"/>
              <w:rPr>
                <w:rFonts w:ascii="宋体" w:hAnsi="宋体" w:eastAsia="宋体"/>
                <w:b/>
                <w:color w:val="000000" w:themeColor="text1"/>
                <w:sz w:val="18"/>
                <w:szCs w:val="18"/>
                <w14:textFill>
                  <w14:solidFill>
                    <w14:schemeClr w14:val="tx1"/>
                  </w14:solidFill>
                </w14:textFill>
              </w:rPr>
            </w:pPr>
          </w:p>
        </w:tc>
        <w:tc>
          <w:tcPr>
            <w:tcW w:w="785" w:type="pct"/>
            <w:vAlign w:val="center"/>
          </w:tcPr>
          <w:p w14:paraId="6C1BA3ED">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营业收入（Y）</w:t>
            </w:r>
          </w:p>
        </w:tc>
        <w:tc>
          <w:tcPr>
            <w:tcW w:w="758" w:type="pct"/>
            <w:vAlign w:val="center"/>
          </w:tcPr>
          <w:p w14:paraId="7B6CA112">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万元</w:t>
            </w:r>
          </w:p>
        </w:tc>
        <w:tc>
          <w:tcPr>
            <w:tcW w:w="1018" w:type="pct"/>
            <w:vAlign w:val="center"/>
          </w:tcPr>
          <w:p w14:paraId="116C37FD">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1000≤Y＜10000</w:t>
            </w:r>
          </w:p>
        </w:tc>
        <w:tc>
          <w:tcPr>
            <w:tcW w:w="783" w:type="pct"/>
            <w:vAlign w:val="center"/>
          </w:tcPr>
          <w:p w14:paraId="7FAC8F8A">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50≤Y＜1000</w:t>
            </w:r>
          </w:p>
        </w:tc>
        <w:tc>
          <w:tcPr>
            <w:tcW w:w="774" w:type="pct"/>
            <w:vAlign w:val="center"/>
          </w:tcPr>
          <w:p w14:paraId="1A0BAEE6">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Y＜50</w:t>
            </w:r>
          </w:p>
        </w:tc>
      </w:tr>
      <w:tr w14:paraId="5A104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6405959B">
            <w:pPr>
              <w:jc w:val="center"/>
              <w:rPr>
                <w:rFonts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房地产开发经营</w:t>
            </w:r>
          </w:p>
        </w:tc>
        <w:tc>
          <w:tcPr>
            <w:tcW w:w="785" w:type="pct"/>
            <w:vAlign w:val="center"/>
          </w:tcPr>
          <w:p w14:paraId="454946FB">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营业收入（Y）</w:t>
            </w:r>
          </w:p>
        </w:tc>
        <w:tc>
          <w:tcPr>
            <w:tcW w:w="758" w:type="pct"/>
            <w:vAlign w:val="center"/>
          </w:tcPr>
          <w:p w14:paraId="2734E5B3">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万元</w:t>
            </w:r>
          </w:p>
        </w:tc>
        <w:tc>
          <w:tcPr>
            <w:tcW w:w="1018" w:type="pct"/>
            <w:vAlign w:val="center"/>
          </w:tcPr>
          <w:p w14:paraId="335CC7B0">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1000≤Y＜200000</w:t>
            </w:r>
          </w:p>
        </w:tc>
        <w:tc>
          <w:tcPr>
            <w:tcW w:w="783" w:type="pct"/>
            <w:vAlign w:val="center"/>
          </w:tcPr>
          <w:p w14:paraId="0965859B">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100≤X＜1000</w:t>
            </w:r>
          </w:p>
        </w:tc>
        <w:tc>
          <w:tcPr>
            <w:tcW w:w="774" w:type="pct"/>
            <w:vAlign w:val="center"/>
          </w:tcPr>
          <w:p w14:paraId="16C3368C">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X＜100</w:t>
            </w:r>
          </w:p>
        </w:tc>
      </w:tr>
      <w:tr w14:paraId="3082A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3D30BDB8">
            <w:pPr>
              <w:jc w:val="center"/>
              <w:rPr>
                <w:rFonts w:ascii="宋体" w:hAnsi="宋体" w:eastAsia="宋体"/>
                <w:b/>
                <w:color w:val="000000" w:themeColor="text1"/>
                <w:sz w:val="18"/>
                <w:szCs w:val="18"/>
                <w14:textFill>
                  <w14:solidFill>
                    <w14:schemeClr w14:val="tx1"/>
                  </w14:solidFill>
                </w14:textFill>
              </w:rPr>
            </w:pPr>
          </w:p>
        </w:tc>
        <w:tc>
          <w:tcPr>
            <w:tcW w:w="785" w:type="pct"/>
            <w:vAlign w:val="center"/>
          </w:tcPr>
          <w:p w14:paraId="11EB073A">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资产总额（Z）</w:t>
            </w:r>
          </w:p>
        </w:tc>
        <w:tc>
          <w:tcPr>
            <w:tcW w:w="758" w:type="pct"/>
            <w:vAlign w:val="center"/>
          </w:tcPr>
          <w:p w14:paraId="0080E536">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万元</w:t>
            </w:r>
          </w:p>
        </w:tc>
        <w:tc>
          <w:tcPr>
            <w:tcW w:w="1018" w:type="pct"/>
            <w:vAlign w:val="center"/>
          </w:tcPr>
          <w:p w14:paraId="6BE5F160">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5000≤Z＜10000</w:t>
            </w:r>
          </w:p>
        </w:tc>
        <w:tc>
          <w:tcPr>
            <w:tcW w:w="783" w:type="pct"/>
            <w:vAlign w:val="center"/>
          </w:tcPr>
          <w:p w14:paraId="6F69E8E2">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2000≤Y＜5000</w:t>
            </w:r>
          </w:p>
        </w:tc>
        <w:tc>
          <w:tcPr>
            <w:tcW w:w="774" w:type="pct"/>
            <w:vAlign w:val="center"/>
          </w:tcPr>
          <w:p w14:paraId="4D1818F7">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Y＜2000</w:t>
            </w:r>
          </w:p>
        </w:tc>
      </w:tr>
      <w:tr w14:paraId="566BD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1F517573">
            <w:pPr>
              <w:jc w:val="center"/>
              <w:rPr>
                <w:rFonts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物业管理</w:t>
            </w:r>
          </w:p>
        </w:tc>
        <w:tc>
          <w:tcPr>
            <w:tcW w:w="785" w:type="pct"/>
            <w:vAlign w:val="center"/>
          </w:tcPr>
          <w:p w14:paraId="131390ED">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从业人员（X）</w:t>
            </w:r>
          </w:p>
        </w:tc>
        <w:tc>
          <w:tcPr>
            <w:tcW w:w="758" w:type="pct"/>
            <w:vAlign w:val="center"/>
          </w:tcPr>
          <w:p w14:paraId="70AB86E5">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人</w:t>
            </w:r>
          </w:p>
        </w:tc>
        <w:tc>
          <w:tcPr>
            <w:tcW w:w="1018" w:type="pct"/>
            <w:vAlign w:val="center"/>
          </w:tcPr>
          <w:p w14:paraId="7F63053C">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300≤X＜1000</w:t>
            </w:r>
          </w:p>
        </w:tc>
        <w:tc>
          <w:tcPr>
            <w:tcW w:w="783" w:type="pct"/>
            <w:vAlign w:val="center"/>
          </w:tcPr>
          <w:p w14:paraId="14CCCD5B">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100≤X＜300</w:t>
            </w:r>
          </w:p>
        </w:tc>
        <w:tc>
          <w:tcPr>
            <w:tcW w:w="774" w:type="pct"/>
            <w:vAlign w:val="center"/>
          </w:tcPr>
          <w:p w14:paraId="0FEEC798">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X＜100</w:t>
            </w:r>
          </w:p>
        </w:tc>
      </w:tr>
      <w:tr w14:paraId="0E04E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029CCC09">
            <w:pPr>
              <w:jc w:val="center"/>
              <w:rPr>
                <w:rFonts w:ascii="宋体" w:hAnsi="宋体" w:eastAsia="宋体"/>
                <w:b/>
                <w:color w:val="000000" w:themeColor="text1"/>
                <w:sz w:val="18"/>
                <w:szCs w:val="18"/>
                <w14:textFill>
                  <w14:solidFill>
                    <w14:schemeClr w14:val="tx1"/>
                  </w14:solidFill>
                </w14:textFill>
              </w:rPr>
            </w:pPr>
          </w:p>
        </w:tc>
        <w:tc>
          <w:tcPr>
            <w:tcW w:w="785" w:type="pct"/>
            <w:vAlign w:val="center"/>
          </w:tcPr>
          <w:p w14:paraId="544C1BC8">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营业收入（Y）</w:t>
            </w:r>
          </w:p>
        </w:tc>
        <w:tc>
          <w:tcPr>
            <w:tcW w:w="758" w:type="pct"/>
            <w:vAlign w:val="center"/>
          </w:tcPr>
          <w:p w14:paraId="06D2AF70">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万元</w:t>
            </w:r>
          </w:p>
        </w:tc>
        <w:tc>
          <w:tcPr>
            <w:tcW w:w="1018" w:type="pct"/>
            <w:vAlign w:val="center"/>
          </w:tcPr>
          <w:p w14:paraId="5BA115C1">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1000≤Y＜5000</w:t>
            </w:r>
          </w:p>
        </w:tc>
        <w:tc>
          <w:tcPr>
            <w:tcW w:w="783" w:type="pct"/>
            <w:vAlign w:val="center"/>
          </w:tcPr>
          <w:p w14:paraId="4DCC848C">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500≤Y＜1000</w:t>
            </w:r>
          </w:p>
        </w:tc>
        <w:tc>
          <w:tcPr>
            <w:tcW w:w="774" w:type="pct"/>
            <w:vAlign w:val="center"/>
          </w:tcPr>
          <w:p w14:paraId="3A05DD3B">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Y＜500</w:t>
            </w:r>
          </w:p>
        </w:tc>
      </w:tr>
      <w:tr w14:paraId="60EF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6D759E75">
            <w:pPr>
              <w:jc w:val="center"/>
              <w:rPr>
                <w:rFonts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租赁和商务服务业</w:t>
            </w:r>
          </w:p>
        </w:tc>
        <w:tc>
          <w:tcPr>
            <w:tcW w:w="785" w:type="pct"/>
            <w:vAlign w:val="center"/>
          </w:tcPr>
          <w:p w14:paraId="544CD6A7">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从业人员（X）</w:t>
            </w:r>
          </w:p>
        </w:tc>
        <w:tc>
          <w:tcPr>
            <w:tcW w:w="758" w:type="pct"/>
            <w:vAlign w:val="center"/>
          </w:tcPr>
          <w:p w14:paraId="22D3B117">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人</w:t>
            </w:r>
          </w:p>
        </w:tc>
        <w:tc>
          <w:tcPr>
            <w:tcW w:w="1018" w:type="pct"/>
            <w:vAlign w:val="center"/>
          </w:tcPr>
          <w:p w14:paraId="2E3D92D4">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100≤X＜300</w:t>
            </w:r>
          </w:p>
        </w:tc>
        <w:tc>
          <w:tcPr>
            <w:tcW w:w="783" w:type="pct"/>
            <w:vAlign w:val="center"/>
          </w:tcPr>
          <w:p w14:paraId="0B368FD5">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10≤X＜100</w:t>
            </w:r>
          </w:p>
        </w:tc>
        <w:tc>
          <w:tcPr>
            <w:tcW w:w="774" w:type="pct"/>
            <w:vAlign w:val="center"/>
          </w:tcPr>
          <w:p w14:paraId="4738966D">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X＜10</w:t>
            </w:r>
          </w:p>
        </w:tc>
      </w:tr>
      <w:tr w14:paraId="7BF50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6519FC27">
            <w:pPr>
              <w:jc w:val="center"/>
              <w:rPr>
                <w:rFonts w:ascii="宋体" w:hAnsi="宋体" w:eastAsia="宋体"/>
                <w:b/>
                <w:color w:val="000000" w:themeColor="text1"/>
                <w:sz w:val="18"/>
                <w:szCs w:val="18"/>
                <w14:textFill>
                  <w14:solidFill>
                    <w14:schemeClr w14:val="tx1"/>
                  </w14:solidFill>
                </w14:textFill>
              </w:rPr>
            </w:pPr>
          </w:p>
        </w:tc>
        <w:tc>
          <w:tcPr>
            <w:tcW w:w="785" w:type="pct"/>
            <w:vAlign w:val="center"/>
          </w:tcPr>
          <w:p w14:paraId="30EB493F">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资产总额（Z）</w:t>
            </w:r>
          </w:p>
        </w:tc>
        <w:tc>
          <w:tcPr>
            <w:tcW w:w="758" w:type="pct"/>
            <w:vAlign w:val="center"/>
          </w:tcPr>
          <w:p w14:paraId="4D65D100">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万元</w:t>
            </w:r>
          </w:p>
        </w:tc>
        <w:tc>
          <w:tcPr>
            <w:tcW w:w="1018" w:type="pct"/>
            <w:vAlign w:val="center"/>
          </w:tcPr>
          <w:p w14:paraId="560FC20B">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8000≤Z＜120000</w:t>
            </w:r>
          </w:p>
        </w:tc>
        <w:tc>
          <w:tcPr>
            <w:tcW w:w="783" w:type="pct"/>
            <w:vAlign w:val="center"/>
          </w:tcPr>
          <w:p w14:paraId="3594000E">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100≤Z＜8000</w:t>
            </w:r>
          </w:p>
        </w:tc>
        <w:tc>
          <w:tcPr>
            <w:tcW w:w="774" w:type="pct"/>
            <w:vAlign w:val="center"/>
          </w:tcPr>
          <w:p w14:paraId="09D2EDAF">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Y＜100</w:t>
            </w:r>
          </w:p>
        </w:tc>
      </w:tr>
      <w:tr w14:paraId="53961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Align w:val="center"/>
          </w:tcPr>
          <w:p w14:paraId="02604D9D">
            <w:pPr>
              <w:jc w:val="center"/>
              <w:rPr>
                <w:rFonts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其他未列明行业</w:t>
            </w:r>
          </w:p>
        </w:tc>
        <w:tc>
          <w:tcPr>
            <w:tcW w:w="785" w:type="pct"/>
            <w:vAlign w:val="center"/>
          </w:tcPr>
          <w:p w14:paraId="438E341C">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从业人员（X）</w:t>
            </w:r>
          </w:p>
        </w:tc>
        <w:tc>
          <w:tcPr>
            <w:tcW w:w="758" w:type="pct"/>
            <w:vAlign w:val="center"/>
          </w:tcPr>
          <w:p w14:paraId="4171F93B">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人</w:t>
            </w:r>
          </w:p>
        </w:tc>
        <w:tc>
          <w:tcPr>
            <w:tcW w:w="1018" w:type="pct"/>
            <w:vAlign w:val="center"/>
          </w:tcPr>
          <w:p w14:paraId="4C731BDB">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100≤X＜300</w:t>
            </w:r>
          </w:p>
        </w:tc>
        <w:tc>
          <w:tcPr>
            <w:tcW w:w="783" w:type="pct"/>
            <w:vAlign w:val="center"/>
          </w:tcPr>
          <w:p w14:paraId="77008F13">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10≤X＜100</w:t>
            </w:r>
          </w:p>
        </w:tc>
        <w:tc>
          <w:tcPr>
            <w:tcW w:w="774" w:type="pct"/>
            <w:vAlign w:val="center"/>
          </w:tcPr>
          <w:p w14:paraId="6B7DC908">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X＜10</w:t>
            </w:r>
          </w:p>
        </w:tc>
      </w:tr>
    </w:tbl>
    <w:p w14:paraId="412D875F">
      <w:pPr>
        <w:spacing w:line="360" w:lineRule="auto"/>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说明：上述标准参照《关于印发中小企业划型标准规定的通知》（工信部联企业[2011]300号），大型、中型和小型企业须同时满足所列指标的下限，否则下划一档；微型企业只须满足所列指标中的一项即可。</w:t>
      </w:r>
    </w:p>
    <w:p w14:paraId="0AAF2B78">
      <w:pPr>
        <w:spacing w:line="360" w:lineRule="auto"/>
        <w:ind w:firstLine="420" w:firstLineChars="200"/>
        <w:rPr>
          <w:rFonts w:ascii="宋体" w:hAnsi="宋体" w:eastAsia="宋体"/>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7D2359E8">
      <w:pPr>
        <w:pStyle w:val="2"/>
        <w:spacing w:before="0" w:after="0" w:line="240" w:lineRule="auto"/>
        <w:jc w:val="center"/>
        <w:rPr>
          <w:rFonts w:ascii="宋体" w:hAnsi="宋体" w:eastAsia="宋体"/>
          <w:color w:val="000000" w:themeColor="text1"/>
          <w:sz w:val="36"/>
          <w:szCs w:val="36"/>
          <w14:textFill>
            <w14:solidFill>
              <w14:schemeClr w14:val="tx1"/>
            </w14:solidFill>
          </w14:textFill>
        </w:rPr>
      </w:pPr>
      <w:bookmarkStart w:id="2" w:name="_Toc198316057"/>
      <w:r>
        <w:rPr>
          <w:rFonts w:hint="eastAsia" w:ascii="宋体" w:hAnsi="宋体" w:eastAsia="宋体"/>
          <w:color w:val="000000" w:themeColor="text1"/>
          <w:sz w:val="36"/>
          <w:szCs w:val="36"/>
          <w14:textFill>
            <w14:solidFill>
              <w14:schemeClr w14:val="tx1"/>
            </w14:solidFill>
          </w14:textFill>
        </w:rPr>
        <w:t>第三</w:t>
      </w:r>
      <w:r>
        <w:rPr>
          <w:rFonts w:hint="eastAsia" w:ascii="宋体" w:hAnsi="宋体" w:eastAsia="宋体"/>
          <w:color w:val="000000" w:themeColor="text1"/>
          <w:spacing w:val="120"/>
          <w:sz w:val="36"/>
          <w:szCs w:val="36"/>
          <w14:textFill>
            <w14:solidFill>
              <w14:schemeClr w14:val="tx1"/>
            </w14:solidFill>
          </w14:textFill>
        </w:rPr>
        <w:t>章</w:t>
      </w:r>
      <w:r>
        <w:rPr>
          <w:rFonts w:hint="eastAsia" w:ascii="宋体" w:hAnsi="宋体" w:eastAsia="宋体"/>
          <w:color w:val="000000" w:themeColor="text1"/>
          <w:sz w:val="36"/>
          <w:szCs w:val="36"/>
          <w14:textFill>
            <w14:solidFill>
              <w14:schemeClr w14:val="tx1"/>
            </w14:solidFill>
          </w14:textFill>
        </w:rPr>
        <w:t>投标人须知</w:t>
      </w:r>
      <w:bookmarkEnd w:id="2"/>
    </w:p>
    <w:p w14:paraId="503D05C7">
      <w:pPr>
        <w:pStyle w:val="3"/>
        <w:jc w:val="center"/>
        <w:rPr>
          <w:rFonts w:ascii="宋体" w:hAnsi="宋体" w:eastAsia="宋体"/>
          <w:color w:val="000000" w:themeColor="text1"/>
          <w:sz w:val="30"/>
          <w:szCs w:val="30"/>
          <w14:textFill>
            <w14:solidFill>
              <w14:schemeClr w14:val="tx1"/>
            </w14:solidFill>
          </w14:textFill>
        </w:rPr>
      </w:pPr>
      <w:bookmarkStart w:id="3" w:name="_Toc198316058"/>
      <w:r>
        <w:rPr>
          <w:rFonts w:hint="eastAsia" w:ascii="宋体" w:hAnsi="宋体" w:eastAsia="宋体"/>
          <w:color w:val="000000" w:themeColor="text1"/>
          <w:sz w:val="30"/>
          <w:szCs w:val="30"/>
          <w14:textFill>
            <w14:solidFill>
              <w14:schemeClr w14:val="tx1"/>
            </w14:solidFill>
          </w14:textFill>
        </w:rPr>
        <w:t>第一</w:t>
      </w:r>
      <w:r>
        <w:rPr>
          <w:rFonts w:hint="eastAsia" w:ascii="宋体" w:hAnsi="宋体" w:eastAsia="宋体"/>
          <w:color w:val="000000" w:themeColor="text1"/>
          <w:spacing w:val="120"/>
          <w:sz w:val="30"/>
          <w:szCs w:val="30"/>
          <w14:textFill>
            <w14:solidFill>
              <w14:schemeClr w14:val="tx1"/>
            </w14:solidFill>
          </w14:textFill>
        </w:rPr>
        <w:t>节</w:t>
      </w:r>
      <w:r>
        <w:rPr>
          <w:rFonts w:hint="eastAsia" w:ascii="宋体" w:hAnsi="宋体" w:eastAsia="宋体"/>
          <w:color w:val="000000" w:themeColor="text1"/>
          <w:sz w:val="30"/>
          <w:szCs w:val="30"/>
          <w14:textFill>
            <w14:solidFill>
              <w14:schemeClr w14:val="tx1"/>
            </w14:solidFill>
          </w14:textFill>
        </w:rPr>
        <w:t>投标人须知前附表</w:t>
      </w:r>
      <w:bookmarkEnd w:id="3"/>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559"/>
        <w:gridCol w:w="6655"/>
      </w:tblGrid>
      <w:tr w14:paraId="75B9B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50137DBB">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条款号</w:t>
            </w:r>
          </w:p>
        </w:tc>
        <w:tc>
          <w:tcPr>
            <w:tcW w:w="1559" w:type="dxa"/>
            <w:vAlign w:val="center"/>
          </w:tcPr>
          <w:p w14:paraId="16CB51FE">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项目内容</w:t>
            </w:r>
          </w:p>
        </w:tc>
        <w:tc>
          <w:tcPr>
            <w:tcW w:w="6655" w:type="dxa"/>
            <w:vAlign w:val="center"/>
          </w:tcPr>
          <w:p w14:paraId="111535B3">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编列内容</w:t>
            </w:r>
          </w:p>
        </w:tc>
      </w:tr>
      <w:tr w14:paraId="38EDA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71DCE068">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6.1</w:t>
            </w:r>
          </w:p>
        </w:tc>
        <w:tc>
          <w:tcPr>
            <w:tcW w:w="1559" w:type="dxa"/>
            <w:vAlign w:val="center"/>
          </w:tcPr>
          <w:p w14:paraId="4199DCCF">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是否接受联合体投标</w:t>
            </w:r>
          </w:p>
        </w:tc>
        <w:tc>
          <w:tcPr>
            <w:tcW w:w="6655" w:type="dxa"/>
            <w:vAlign w:val="center"/>
          </w:tcPr>
          <w:p w14:paraId="46B8C1BF">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不允许联合体投标。</w:t>
            </w:r>
          </w:p>
        </w:tc>
      </w:tr>
      <w:tr w14:paraId="04CED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0F2D0F49">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6.2</w:t>
            </w:r>
          </w:p>
        </w:tc>
        <w:tc>
          <w:tcPr>
            <w:tcW w:w="1559" w:type="dxa"/>
            <w:vAlign w:val="center"/>
          </w:tcPr>
          <w:p w14:paraId="4EB029A7">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联合体投标要求</w:t>
            </w:r>
          </w:p>
        </w:tc>
        <w:tc>
          <w:tcPr>
            <w:tcW w:w="6655" w:type="dxa"/>
            <w:vAlign w:val="center"/>
          </w:tcPr>
          <w:p w14:paraId="573AC61B">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无。</w:t>
            </w:r>
          </w:p>
        </w:tc>
      </w:tr>
      <w:tr w14:paraId="4B5E5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0EFBE913">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7.1</w:t>
            </w:r>
          </w:p>
        </w:tc>
        <w:tc>
          <w:tcPr>
            <w:tcW w:w="1559" w:type="dxa"/>
            <w:vAlign w:val="center"/>
          </w:tcPr>
          <w:p w14:paraId="712928C2">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是否允许转包/分包</w:t>
            </w:r>
          </w:p>
        </w:tc>
        <w:tc>
          <w:tcPr>
            <w:tcW w:w="6655" w:type="dxa"/>
            <w:vAlign w:val="center"/>
          </w:tcPr>
          <w:p w14:paraId="530D96C8">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不允许分包。</w:t>
            </w:r>
          </w:p>
        </w:tc>
      </w:tr>
      <w:tr w14:paraId="60AE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7E3CD30B">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11.4</w:t>
            </w:r>
          </w:p>
        </w:tc>
        <w:tc>
          <w:tcPr>
            <w:tcW w:w="1559" w:type="dxa"/>
            <w:vAlign w:val="center"/>
          </w:tcPr>
          <w:p w14:paraId="7E795058">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媒体发布渠道</w:t>
            </w:r>
          </w:p>
        </w:tc>
        <w:tc>
          <w:tcPr>
            <w:tcW w:w="6655" w:type="dxa"/>
            <w:vAlign w:val="center"/>
          </w:tcPr>
          <w:p w14:paraId="0F0C29D9">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与本项目相关的政府采购业务澄清、更正及与之相关的事项将在采购公告中“六、其他补充事宜”中网上查询地址上发布。</w:t>
            </w:r>
          </w:p>
        </w:tc>
      </w:tr>
      <w:tr w14:paraId="1A947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10B307E1">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11.6</w:t>
            </w:r>
          </w:p>
        </w:tc>
        <w:tc>
          <w:tcPr>
            <w:tcW w:w="1559" w:type="dxa"/>
            <w:vAlign w:val="center"/>
          </w:tcPr>
          <w:p w14:paraId="3F41E9ED">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是否组织标前答疑会</w:t>
            </w:r>
          </w:p>
        </w:tc>
        <w:tc>
          <w:tcPr>
            <w:tcW w:w="6655" w:type="dxa"/>
            <w:vAlign w:val="center"/>
          </w:tcPr>
          <w:p w14:paraId="5EB802DC">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sym w:font="Wingdings 2" w:char="F052"/>
            </w:r>
            <w:r>
              <w:rPr>
                <w:rFonts w:hint="eastAsia" w:ascii="宋体" w:hAnsi="宋体" w:eastAsia="宋体"/>
                <w:color w:val="000000" w:themeColor="text1"/>
                <w:szCs w:val="21"/>
                <w14:textFill>
                  <w14:solidFill>
                    <w14:schemeClr w14:val="tx1"/>
                  </w14:solidFill>
                </w14:textFill>
              </w:rPr>
              <w:t>不组织召开开标前答疑会</w:t>
            </w:r>
          </w:p>
          <w:p w14:paraId="5452A2FD">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□组织召开开标前答疑会</w:t>
            </w:r>
          </w:p>
          <w:p w14:paraId="0143A16D">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会议开始时间：</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年</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月</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日</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时</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分，逾期后果自负。会议地点：</w:t>
            </w:r>
          </w:p>
        </w:tc>
      </w:tr>
      <w:tr w14:paraId="5A9A6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restart"/>
            <w:vAlign w:val="center"/>
          </w:tcPr>
          <w:p w14:paraId="4D1C6D44">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13.1</w:t>
            </w:r>
          </w:p>
        </w:tc>
        <w:tc>
          <w:tcPr>
            <w:tcW w:w="1559" w:type="dxa"/>
            <w:vAlign w:val="center"/>
          </w:tcPr>
          <w:p w14:paraId="5698B5C9">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资格证明文件组成</w:t>
            </w:r>
          </w:p>
        </w:tc>
        <w:tc>
          <w:tcPr>
            <w:tcW w:w="6655" w:type="dxa"/>
            <w:vAlign w:val="center"/>
          </w:tcPr>
          <w:p w14:paraId="3B82CDB7">
            <w:pPr>
              <w:spacing w:line="360" w:lineRule="auto"/>
              <w:jc w:val="left"/>
              <w:rPr>
                <w:rFonts w:ascii="宋体" w:hAnsi="宋体" w:eastAsia="宋体"/>
                <w:b/>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1.投标人为法人或者其他组织的，提供营业执照等证明文件（如营业执照或者事业单位法人证书或者执业许可证等），投标人为自然人的，提供身份证复印件。</w:t>
            </w:r>
            <w:r>
              <w:rPr>
                <w:rFonts w:hint="eastAsia" w:ascii="宋体" w:hAnsi="宋体" w:eastAsia="宋体"/>
                <w:b/>
                <w:color w:val="000000" w:themeColor="text1"/>
                <w:szCs w:val="21"/>
                <w14:textFill>
                  <w14:solidFill>
                    <w14:schemeClr w14:val="tx1"/>
                  </w14:solidFill>
                </w14:textFill>
              </w:rPr>
              <w:t>（必须提供，否则作无效投标处理）</w:t>
            </w:r>
          </w:p>
          <w:p w14:paraId="241ABC53">
            <w:pPr>
              <w:spacing w:line="360" w:lineRule="auto"/>
              <w:jc w:val="left"/>
              <w:rPr>
                <w:rFonts w:ascii="宋体" w:hAnsi="宋体" w:eastAsia="宋体"/>
                <w:b/>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2.投标人依法缴纳税收的相关材料：[</w:t>
            </w:r>
            <w:r>
              <w:rPr>
                <w:rFonts w:hint="eastAsia" w:ascii="宋体" w:hAnsi="宋体" w:eastAsia="宋体"/>
                <w:color w:val="000000" w:themeColor="text1"/>
                <w:szCs w:val="21"/>
                <w:u w:val="single"/>
                <w14:textFill>
                  <w14:solidFill>
                    <w14:schemeClr w14:val="tx1"/>
                  </w14:solidFill>
                </w14:textFill>
              </w:rPr>
              <w:t>投标截止日期前半年内</w:t>
            </w:r>
            <w:r>
              <w:rPr>
                <w:rFonts w:hint="eastAsia" w:ascii="宋体" w:hAnsi="宋体" w:eastAsia="宋体"/>
                <w:color w:val="000000" w:themeColor="text1"/>
                <w:szCs w:val="21"/>
                <w14:textFill>
                  <w14:solidFill>
                    <w14:schemeClr w14:val="tx1"/>
                  </w14:solidFill>
                </w14:textFill>
              </w:rPr>
              <w:t>连续3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eastAsia="宋体"/>
                <w:b/>
                <w:color w:val="000000" w:themeColor="text1"/>
                <w:szCs w:val="21"/>
                <w14:textFill>
                  <w14:solidFill>
                    <w14:schemeClr w14:val="tx1"/>
                  </w14:solidFill>
                </w14:textFill>
              </w:rPr>
              <w:t>（必须提供，否则作无效投标处理）</w:t>
            </w:r>
          </w:p>
          <w:p w14:paraId="30B783A3">
            <w:pPr>
              <w:spacing w:line="360" w:lineRule="auto"/>
              <w:jc w:val="left"/>
              <w:rPr>
                <w:rFonts w:ascii="宋体" w:hAnsi="宋体" w:eastAsia="宋体"/>
                <w:b/>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3.投标人依法缴纳社会保障资金的相关材料：[</w:t>
            </w:r>
            <w:r>
              <w:rPr>
                <w:rFonts w:hint="eastAsia" w:ascii="宋体" w:hAnsi="宋体" w:eastAsia="宋体"/>
                <w:color w:val="000000" w:themeColor="text1"/>
                <w:szCs w:val="21"/>
                <w:u w:val="single"/>
                <w14:textFill>
                  <w14:solidFill>
                    <w14:schemeClr w14:val="tx1"/>
                  </w14:solidFill>
                </w14:textFill>
              </w:rPr>
              <w:t>投标截止日期前半年内</w:t>
            </w:r>
            <w:r>
              <w:rPr>
                <w:rFonts w:hint="eastAsia" w:ascii="宋体" w:hAnsi="宋体" w:eastAsia="宋体"/>
                <w:color w:val="000000" w:themeColor="text1"/>
                <w:szCs w:val="21"/>
                <w14:textFill>
                  <w14:solidFill>
                    <w14:schemeClr w14:val="tx1"/>
                  </w14:solidFill>
                </w14:textFill>
              </w:rPr>
              <w:t>连续3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eastAsia="宋体"/>
                <w:b/>
                <w:color w:val="000000" w:themeColor="text1"/>
                <w:szCs w:val="21"/>
                <w14:textFill>
                  <w14:solidFill>
                    <w14:schemeClr w14:val="tx1"/>
                  </w14:solidFill>
                </w14:textFill>
              </w:rPr>
              <w:t>（必须提供，否则作无效投标处理）</w:t>
            </w:r>
          </w:p>
          <w:p w14:paraId="0B41C2A2">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4.投标人财务状况报告：[</w:t>
            </w:r>
            <w:r>
              <w:rPr>
                <w:rFonts w:hint="eastAsia" w:ascii="宋体" w:hAnsi="宋体" w:eastAsia="宋体"/>
                <w:color w:val="000000" w:themeColor="text1"/>
                <w:szCs w:val="21"/>
                <w:u w:val="single"/>
                <w14:textFill>
                  <w14:solidFill>
                    <w14:schemeClr w14:val="tx1"/>
                  </w14:solidFill>
                </w14:textFill>
              </w:rPr>
              <w:t>2023年或2024年</w:t>
            </w:r>
            <w:r>
              <w:rPr>
                <w:rFonts w:hint="eastAsia" w:ascii="宋体" w:hAnsi="宋体" w:eastAsia="宋体"/>
                <w:color w:val="000000" w:themeColor="text1"/>
                <w:szCs w:val="21"/>
                <w14:textFill>
                  <w14:solidFill>
                    <w14:schemeClr w14:val="tx1"/>
                  </w14:solidFill>
                </w14:textFill>
              </w:rPr>
              <w:t>]财务状况报告复印件；投标人成立不满一年的应按提供截标之日上一个月的财务状况报告复印件。（上述财务状况报告包括：投标人执行《企业会计准则》的，提供资产负债表、利润表、现金流量表、所有者权益变动表及其附注（以下称“四表（或三表）一注”）；投标人执行《小企业会计准则》的，提供资产负债表、利润表、现金流量表及其附注（以下称“三表一注”）；投标人执行《政府会计制度》的，提供资产负债表、收入费用表和净资产变动表及其附注）。</w:t>
            </w:r>
            <w:r>
              <w:rPr>
                <w:rFonts w:hint="eastAsia" w:ascii="宋体" w:hAnsi="宋体" w:eastAsia="宋体"/>
                <w:b/>
                <w:color w:val="000000" w:themeColor="text1"/>
                <w:szCs w:val="21"/>
                <w14:textFill>
                  <w14:solidFill>
                    <w14:schemeClr w14:val="tx1"/>
                  </w14:solidFill>
                </w14:textFill>
              </w:rPr>
              <w:t>（必须提供，否则作无效投标处理）</w:t>
            </w:r>
          </w:p>
          <w:p w14:paraId="74D48017">
            <w:pPr>
              <w:spacing w:line="360" w:lineRule="auto"/>
              <w:jc w:val="left"/>
              <w:rPr>
                <w:rFonts w:ascii="宋体" w:hAnsi="宋体" w:eastAsia="宋体"/>
                <w:b/>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5.投标人直接控股、管理关系信息表（格式附后）。</w:t>
            </w:r>
            <w:r>
              <w:rPr>
                <w:rFonts w:hint="eastAsia" w:ascii="宋体" w:hAnsi="宋体" w:eastAsia="宋体"/>
                <w:b/>
                <w:color w:val="000000" w:themeColor="text1"/>
                <w:szCs w:val="21"/>
                <w14:textFill>
                  <w14:solidFill>
                    <w14:schemeClr w14:val="tx1"/>
                  </w14:solidFill>
                </w14:textFill>
              </w:rPr>
              <w:t>（必须提供，否则作无效投标处理）</w:t>
            </w:r>
          </w:p>
          <w:p w14:paraId="1742D7E3">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6.投标资格声明函（格式附后）。</w:t>
            </w:r>
            <w:r>
              <w:rPr>
                <w:rFonts w:hint="eastAsia" w:ascii="宋体" w:hAnsi="宋体" w:eastAsia="宋体"/>
                <w:b/>
                <w:color w:val="000000" w:themeColor="text1"/>
                <w:szCs w:val="21"/>
                <w14:textFill>
                  <w14:solidFill>
                    <w14:schemeClr w14:val="tx1"/>
                  </w14:solidFill>
                </w14:textFill>
              </w:rPr>
              <w:t>（必须提供，否则作无效投标处理）</w:t>
            </w:r>
          </w:p>
          <w:p w14:paraId="7A60D7BC">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7.投标人认为需要提供的其他证明材料。</w:t>
            </w:r>
          </w:p>
          <w:p w14:paraId="704130F1">
            <w:pPr>
              <w:spacing w:line="360" w:lineRule="auto"/>
              <w:jc w:val="lef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注：1.以上标明“必须提供”的材料属于复印件的扫描件的，必须加盖投标人电子公章，否则作无效投标处理。</w:t>
            </w:r>
          </w:p>
          <w:p w14:paraId="0FFF9241">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2.联合体投标时，第1-5项资格证明文件联合体各方均必须分别提供，联合体各方分别盖章和签字，否则投标文件按无效响应处理。</w:t>
            </w:r>
          </w:p>
        </w:tc>
      </w:tr>
      <w:tr w14:paraId="351F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vAlign w:val="center"/>
          </w:tcPr>
          <w:p w14:paraId="71A507B7">
            <w:pPr>
              <w:spacing w:line="360" w:lineRule="auto"/>
              <w:jc w:val="center"/>
              <w:rPr>
                <w:rFonts w:ascii="宋体" w:hAnsi="宋体" w:eastAsia="宋体"/>
                <w:color w:val="000000" w:themeColor="text1"/>
                <w:szCs w:val="21"/>
                <w14:textFill>
                  <w14:solidFill>
                    <w14:schemeClr w14:val="tx1"/>
                  </w14:solidFill>
                </w14:textFill>
              </w:rPr>
            </w:pPr>
          </w:p>
        </w:tc>
        <w:tc>
          <w:tcPr>
            <w:tcW w:w="1559" w:type="dxa"/>
            <w:vAlign w:val="center"/>
          </w:tcPr>
          <w:p w14:paraId="6325FE6D">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商务文件组成</w:t>
            </w:r>
          </w:p>
        </w:tc>
        <w:tc>
          <w:tcPr>
            <w:tcW w:w="6655" w:type="dxa"/>
            <w:vAlign w:val="center"/>
          </w:tcPr>
          <w:p w14:paraId="439E7AAF">
            <w:pPr>
              <w:spacing w:line="360" w:lineRule="auto"/>
              <w:jc w:val="left"/>
              <w:rPr>
                <w:rFonts w:ascii="宋体" w:hAnsi="宋体" w:eastAsia="宋体"/>
                <w:b/>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1.无围标串标行为的承诺函（格式附后）；</w:t>
            </w:r>
            <w:r>
              <w:rPr>
                <w:rFonts w:hint="eastAsia" w:ascii="宋体" w:hAnsi="宋体" w:eastAsia="宋体"/>
                <w:b/>
                <w:color w:val="000000" w:themeColor="text1"/>
                <w:szCs w:val="21"/>
                <w14:textFill>
                  <w14:solidFill>
                    <w14:schemeClr w14:val="tx1"/>
                  </w14:solidFill>
                </w14:textFill>
              </w:rPr>
              <w:t>（必须提供，否则作无效投标处理）</w:t>
            </w:r>
          </w:p>
          <w:p w14:paraId="31D5524F">
            <w:pPr>
              <w:spacing w:line="360" w:lineRule="auto"/>
              <w:jc w:val="left"/>
              <w:rPr>
                <w:rFonts w:ascii="宋体" w:hAnsi="宋体" w:eastAsia="宋体"/>
                <w:b/>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2.法定代表人身份证明及法定代表人有效身份证正反面复印件；</w:t>
            </w:r>
            <w:r>
              <w:rPr>
                <w:rFonts w:hint="eastAsia" w:ascii="宋体" w:hAnsi="宋体" w:eastAsia="宋体"/>
                <w:b/>
                <w:color w:val="000000" w:themeColor="text1"/>
                <w:szCs w:val="21"/>
                <w14:textFill>
                  <w14:solidFill>
                    <w14:schemeClr w14:val="tx1"/>
                  </w14:solidFill>
                </w14:textFill>
              </w:rPr>
              <w:t>（除自然人投标外必须提供，否则作无效投标处理）</w:t>
            </w:r>
          </w:p>
          <w:p w14:paraId="5FC36628">
            <w:pPr>
              <w:spacing w:line="360" w:lineRule="auto"/>
              <w:jc w:val="left"/>
              <w:rPr>
                <w:rFonts w:ascii="宋体" w:hAnsi="宋体" w:eastAsia="宋体"/>
                <w:b/>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3.法定代表人授权委托书及委托代理人有效身份证正反面复印件；</w:t>
            </w:r>
            <w:r>
              <w:rPr>
                <w:rFonts w:hint="eastAsia" w:ascii="宋体" w:hAnsi="宋体" w:eastAsia="宋体"/>
                <w:b/>
                <w:color w:val="000000" w:themeColor="text1"/>
                <w:szCs w:val="21"/>
                <w14:textFill>
                  <w14:solidFill>
                    <w14:schemeClr w14:val="tx1"/>
                  </w14:solidFill>
                </w14:textFill>
              </w:rPr>
              <w:t>（委托时必须提供，否则作无效投标处理）</w:t>
            </w:r>
          </w:p>
          <w:p w14:paraId="6632F4FB">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4.商务条款偏离表；</w:t>
            </w:r>
            <w:r>
              <w:rPr>
                <w:rFonts w:hint="eastAsia" w:ascii="宋体" w:hAnsi="宋体" w:eastAsia="宋体"/>
                <w:b/>
                <w:color w:val="000000" w:themeColor="text1"/>
                <w:szCs w:val="21"/>
                <w14:textFill>
                  <w14:solidFill>
                    <w14:schemeClr w14:val="tx1"/>
                  </w14:solidFill>
                </w14:textFill>
              </w:rPr>
              <w:t>（必须提供，否则作无效投标处理）</w:t>
            </w:r>
          </w:p>
          <w:p w14:paraId="4BED22F7">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5.投标人情况介绍；</w:t>
            </w:r>
          </w:p>
          <w:p w14:paraId="63633924">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6.除招标文件规定必须提供以外，投标人认为需要提供的其他证明材料。（投标人根据“第二章采购需求”及“第四章评标方法及评标标准”提供有关证明材料）。</w:t>
            </w:r>
          </w:p>
          <w:p w14:paraId="70940AFE">
            <w:pPr>
              <w:spacing w:line="360" w:lineRule="auto"/>
              <w:jc w:val="lef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注：1.法定代表人授权委托书必须由法定代表人及委托代理人签字，并加盖投标人公章，否则作无效投标处理。</w:t>
            </w:r>
          </w:p>
          <w:p w14:paraId="7A76A835">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2.以上标明“必须提供”的材料属于复印件的扫描件的，必须加盖投标人电子公章，否则作无效投标处理。</w:t>
            </w:r>
          </w:p>
        </w:tc>
      </w:tr>
      <w:tr w14:paraId="0BA7F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vAlign w:val="center"/>
          </w:tcPr>
          <w:p w14:paraId="2627D576">
            <w:pPr>
              <w:spacing w:line="360" w:lineRule="auto"/>
              <w:jc w:val="center"/>
              <w:rPr>
                <w:rFonts w:ascii="宋体" w:hAnsi="宋体" w:eastAsia="宋体"/>
                <w:color w:val="000000" w:themeColor="text1"/>
                <w:szCs w:val="21"/>
                <w14:textFill>
                  <w14:solidFill>
                    <w14:schemeClr w14:val="tx1"/>
                  </w14:solidFill>
                </w14:textFill>
              </w:rPr>
            </w:pPr>
          </w:p>
        </w:tc>
        <w:tc>
          <w:tcPr>
            <w:tcW w:w="1559" w:type="dxa"/>
            <w:vAlign w:val="center"/>
          </w:tcPr>
          <w:p w14:paraId="6134CFDB">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技术文件组成</w:t>
            </w:r>
          </w:p>
        </w:tc>
        <w:tc>
          <w:tcPr>
            <w:tcW w:w="6655" w:type="dxa"/>
            <w:vAlign w:val="center"/>
          </w:tcPr>
          <w:p w14:paraId="4216E30B">
            <w:pPr>
              <w:spacing w:line="360" w:lineRule="auto"/>
              <w:jc w:val="left"/>
              <w:rPr>
                <w:rFonts w:ascii="宋体" w:hAnsi="宋体" w:eastAsia="宋体"/>
                <w:b/>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1.技术需求偏离表；</w:t>
            </w:r>
            <w:r>
              <w:rPr>
                <w:rFonts w:hint="eastAsia" w:ascii="宋体" w:hAnsi="宋体" w:eastAsia="宋体"/>
                <w:b/>
                <w:color w:val="000000" w:themeColor="text1"/>
                <w:szCs w:val="21"/>
                <w14:textFill>
                  <w14:solidFill>
                    <w14:schemeClr w14:val="tx1"/>
                  </w14:solidFill>
                </w14:textFill>
              </w:rPr>
              <w:t>（必须提供，否则作无效投标处理）</w:t>
            </w:r>
          </w:p>
          <w:p w14:paraId="0310F8B6">
            <w:pPr>
              <w:spacing w:line="360" w:lineRule="auto"/>
              <w:jc w:val="left"/>
              <w:rPr>
                <w:rFonts w:ascii="宋体" w:hAnsi="宋体" w:eastAsia="宋体"/>
                <w:b/>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2.售后服务承诺书；</w:t>
            </w:r>
            <w:r>
              <w:rPr>
                <w:rFonts w:hint="eastAsia" w:ascii="宋体" w:hAnsi="宋体" w:eastAsia="宋体"/>
                <w:b/>
                <w:color w:val="000000" w:themeColor="text1"/>
                <w:szCs w:val="21"/>
                <w14:textFill>
                  <w14:solidFill>
                    <w14:schemeClr w14:val="tx1"/>
                  </w14:solidFill>
                </w14:textFill>
              </w:rPr>
              <w:t>（必须提供，否则作无效投标处理）</w:t>
            </w:r>
          </w:p>
          <w:p w14:paraId="3D221E2E">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3.项目方案；</w:t>
            </w:r>
          </w:p>
          <w:p w14:paraId="60ECB02A">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4.对本项目总体要求的理解。包括：功能说明、性能指标及设备选型说明（质量、性能、价格、外观、体积等方面进行比较和选择的理由及过程）；</w:t>
            </w:r>
          </w:p>
          <w:p w14:paraId="732F29D9">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5.产品出厂标准、质量检测报告【其中有精度要求的仪器设备类政府采购项目，应当要求投标人提供精度数据（第三方检测报告或者由采购人在投标前组织的实测获得）】</w:t>
            </w:r>
          </w:p>
          <w:p w14:paraId="73656DEE">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6.优惠条件：投标人承诺给予招标人的各种优惠条件，包括售后服务、备品备件、专用耗材等方面的优惠；投标人不得给予赠品或者与采购无关的其他商品、服务）</w:t>
            </w:r>
          </w:p>
          <w:p w14:paraId="1537264B">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7.投标人对本项目的合理化建议和改进措施；</w:t>
            </w:r>
          </w:p>
          <w:p w14:paraId="7FC4D532">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8.除招标文件规定必须提供以外，投标人需要说明的其他文件和说明。</w:t>
            </w:r>
          </w:p>
          <w:p w14:paraId="3D33EA15">
            <w:pPr>
              <w:spacing w:line="360" w:lineRule="auto"/>
              <w:jc w:val="lef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注：以上标明“必须提供”的材料属于复印件的扫描件的，必须加盖投标人电子公章，否则作无效投标处理。</w:t>
            </w:r>
          </w:p>
        </w:tc>
      </w:tr>
      <w:tr w14:paraId="6BD3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vAlign w:val="center"/>
          </w:tcPr>
          <w:p w14:paraId="45F439C9">
            <w:pPr>
              <w:spacing w:line="360" w:lineRule="auto"/>
              <w:jc w:val="center"/>
              <w:rPr>
                <w:rFonts w:ascii="宋体" w:hAnsi="宋体" w:eastAsia="宋体"/>
                <w:color w:val="000000" w:themeColor="text1"/>
                <w:szCs w:val="21"/>
                <w14:textFill>
                  <w14:solidFill>
                    <w14:schemeClr w14:val="tx1"/>
                  </w14:solidFill>
                </w14:textFill>
              </w:rPr>
            </w:pPr>
          </w:p>
        </w:tc>
        <w:tc>
          <w:tcPr>
            <w:tcW w:w="1559" w:type="dxa"/>
            <w:vAlign w:val="center"/>
          </w:tcPr>
          <w:p w14:paraId="4559A937">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报价文件组成</w:t>
            </w:r>
          </w:p>
        </w:tc>
        <w:tc>
          <w:tcPr>
            <w:tcW w:w="6655" w:type="dxa"/>
            <w:vAlign w:val="center"/>
          </w:tcPr>
          <w:p w14:paraId="1BBD6A9D">
            <w:pPr>
              <w:spacing w:line="360" w:lineRule="auto"/>
              <w:jc w:val="left"/>
              <w:rPr>
                <w:rFonts w:ascii="宋体" w:hAnsi="宋体" w:eastAsia="宋体"/>
                <w:b/>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1.投标函；</w:t>
            </w:r>
            <w:r>
              <w:rPr>
                <w:rFonts w:hint="eastAsia" w:ascii="宋体" w:hAnsi="宋体" w:eastAsia="宋体"/>
                <w:b/>
                <w:color w:val="000000" w:themeColor="text1"/>
                <w:szCs w:val="21"/>
                <w14:textFill>
                  <w14:solidFill>
                    <w14:schemeClr w14:val="tx1"/>
                  </w14:solidFill>
                </w14:textFill>
              </w:rPr>
              <w:t>（必须提供，否则作无效投标处理）</w:t>
            </w:r>
          </w:p>
          <w:p w14:paraId="4CAFD563">
            <w:pPr>
              <w:spacing w:line="360" w:lineRule="auto"/>
              <w:jc w:val="left"/>
              <w:rPr>
                <w:rFonts w:ascii="宋体" w:hAnsi="宋体" w:eastAsia="宋体"/>
                <w:b/>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2.开标一览表；</w:t>
            </w:r>
            <w:r>
              <w:rPr>
                <w:rFonts w:hint="eastAsia" w:ascii="宋体" w:hAnsi="宋体" w:eastAsia="宋体"/>
                <w:b/>
                <w:color w:val="000000" w:themeColor="text1"/>
                <w:szCs w:val="21"/>
                <w14:textFill>
                  <w14:solidFill>
                    <w14:schemeClr w14:val="tx1"/>
                  </w14:solidFill>
                </w14:textFill>
              </w:rPr>
              <w:t>（必须提供，否则作无效投标处理）</w:t>
            </w:r>
          </w:p>
          <w:p w14:paraId="68AC4F3B">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3.中小企业声明函（或残疾人福利性单位声明函或监狱企业声明函，残疾人福利性单位或监狱企业视同小微企业）（格式后附）；（如有请提供）</w:t>
            </w:r>
          </w:p>
          <w:p w14:paraId="020A9A6F">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投标人针对报价需要说明的其他文件和说明（格式自拟）。</w:t>
            </w:r>
          </w:p>
        </w:tc>
      </w:tr>
      <w:tr w14:paraId="32CC5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231D3928">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16.2</w:t>
            </w:r>
          </w:p>
        </w:tc>
        <w:tc>
          <w:tcPr>
            <w:tcW w:w="1559" w:type="dxa"/>
            <w:vAlign w:val="center"/>
          </w:tcPr>
          <w:p w14:paraId="33268A39">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投标报价要求</w:t>
            </w:r>
          </w:p>
        </w:tc>
        <w:tc>
          <w:tcPr>
            <w:tcW w:w="6655" w:type="dxa"/>
            <w:vAlign w:val="center"/>
          </w:tcPr>
          <w:p w14:paraId="68918C9D">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标报价是履行合同的最终价格，必须包含投标货物（包括备品备件、专用工具等）的价格（包括已在中国境内的进口货物完税后的仓库交货价、展室交货价或者货架交货价）及其运输（含保险）、安装（如有）、调试、检验、技术服务、培训和招标文件要求提供的所有伴随服务、工程等费用和税费。（采购需求另有约定的，从其约定）</w:t>
            </w:r>
          </w:p>
        </w:tc>
      </w:tr>
      <w:tr w14:paraId="72678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63280DF0">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17.2</w:t>
            </w:r>
          </w:p>
        </w:tc>
        <w:tc>
          <w:tcPr>
            <w:tcW w:w="1559" w:type="dxa"/>
            <w:vAlign w:val="center"/>
          </w:tcPr>
          <w:p w14:paraId="12AB9CC3">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投标有效期</w:t>
            </w:r>
          </w:p>
        </w:tc>
        <w:tc>
          <w:tcPr>
            <w:tcW w:w="6655" w:type="dxa"/>
            <w:vAlign w:val="center"/>
          </w:tcPr>
          <w:p w14:paraId="5CA99FE2">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自投标截止之日起</w:t>
            </w:r>
            <w:r>
              <w:rPr>
                <w:rFonts w:hint="eastAsia" w:ascii="宋体" w:hAnsi="宋体" w:eastAsia="宋体"/>
                <w:color w:val="000000" w:themeColor="text1"/>
                <w:szCs w:val="21"/>
                <w:u w:val="single"/>
                <w14:textFill>
                  <w14:solidFill>
                    <w14:schemeClr w14:val="tx1"/>
                  </w14:solidFill>
                </w14:textFill>
              </w:rPr>
              <w:t>90日历</w:t>
            </w:r>
            <w:r>
              <w:rPr>
                <w:rFonts w:hint="eastAsia" w:ascii="宋体" w:hAnsi="宋体" w:eastAsia="宋体"/>
                <w:color w:val="000000" w:themeColor="text1"/>
                <w:szCs w:val="21"/>
                <w14:textFill>
                  <w14:solidFill>
                    <w14:schemeClr w14:val="tx1"/>
                  </w14:solidFill>
                </w14:textFill>
              </w:rPr>
              <w:t>日。</w:t>
            </w:r>
          </w:p>
        </w:tc>
      </w:tr>
      <w:tr w14:paraId="372CA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07A7B86F">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w:t>
            </w:r>
          </w:p>
        </w:tc>
        <w:tc>
          <w:tcPr>
            <w:tcW w:w="1559" w:type="dxa"/>
            <w:vAlign w:val="center"/>
          </w:tcPr>
          <w:p w14:paraId="485B21D0">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投标保证金金额</w:t>
            </w:r>
          </w:p>
        </w:tc>
        <w:tc>
          <w:tcPr>
            <w:tcW w:w="6655" w:type="dxa"/>
            <w:vAlign w:val="center"/>
          </w:tcPr>
          <w:p w14:paraId="6B2CF7D6">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本项目不收取投标保证金。</w:t>
            </w:r>
          </w:p>
        </w:tc>
      </w:tr>
      <w:tr w14:paraId="0FC6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4802283C">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19.1</w:t>
            </w:r>
          </w:p>
        </w:tc>
        <w:tc>
          <w:tcPr>
            <w:tcW w:w="1559" w:type="dxa"/>
            <w:vAlign w:val="center"/>
          </w:tcPr>
          <w:p w14:paraId="15CE72E5">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投标文件编制要求</w:t>
            </w:r>
          </w:p>
        </w:tc>
        <w:tc>
          <w:tcPr>
            <w:tcW w:w="6655" w:type="dxa"/>
            <w:vAlign w:val="center"/>
          </w:tcPr>
          <w:p w14:paraId="2C1A80A7">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投标文件应按报价文件、资格证明文件、商务文件、技术文件分别编制，报价文件、资格证明文件分别生产电子文件，商务文件和技术文件按顺序合并生成电子文件。</w:t>
            </w:r>
            <w:r>
              <w:rPr>
                <w:rFonts w:hint="eastAsia" w:ascii="宋体" w:hAnsi="宋体" w:eastAsia="宋体"/>
                <w:b/>
                <w:color w:val="000000" w:themeColor="text1"/>
                <w:szCs w:val="21"/>
                <w:u w:val="single"/>
                <w14:textFill>
                  <w14:solidFill>
                    <w14:schemeClr w14:val="tx1"/>
                  </w14:solidFill>
                </w14:textFill>
              </w:rPr>
              <w:t>电子版投标文件制作方式见招标公告附件。</w:t>
            </w:r>
          </w:p>
        </w:tc>
      </w:tr>
      <w:tr w14:paraId="1E32B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44E1F5E5">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20</w:t>
            </w:r>
          </w:p>
        </w:tc>
        <w:tc>
          <w:tcPr>
            <w:tcW w:w="1559" w:type="dxa"/>
            <w:vAlign w:val="center"/>
          </w:tcPr>
          <w:p w14:paraId="2BA32D9B">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备份投标文件</w:t>
            </w:r>
          </w:p>
        </w:tc>
        <w:tc>
          <w:tcPr>
            <w:tcW w:w="6655" w:type="dxa"/>
            <w:vAlign w:val="center"/>
          </w:tcPr>
          <w:p w14:paraId="2E195DDD">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本项目不接受备份投标文件。</w:t>
            </w:r>
          </w:p>
        </w:tc>
      </w:tr>
      <w:tr w14:paraId="5B649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restart"/>
            <w:vAlign w:val="center"/>
          </w:tcPr>
          <w:p w14:paraId="1A9DEC04">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21.1</w:t>
            </w:r>
          </w:p>
        </w:tc>
        <w:tc>
          <w:tcPr>
            <w:tcW w:w="1559" w:type="dxa"/>
            <w:vAlign w:val="center"/>
          </w:tcPr>
          <w:p w14:paraId="377423FB">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投标截止时间</w:t>
            </w:r>
          </w:p>
        </w:tc>
        <w:tc>
          <w:tcPr>
            <w:tcW w:w="6655" w:type="dxa"/>
            <w:vAlign w:val="center"/>
          </w:tcPr>
          <w:p w14:paraId="7D951571">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详见招标公告。</w:t>
            </w:r>
          </w:p>
        </w:tc>
      </w:tr>
      <w:tr w14:paraId="3FEAD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vAlign w:val="center"/>
          </w:tcPr>
          <w:p w14:paraId="3D327199">
            <w:pPr>
              <w:spacing w:line="360" w:lineRule="auto"/>
              <w:jc w:val="center"/>
              <w:rPr>
                <w:rFonts w:ascii="宋体" w:hAnsi="宋体" w:eastAsia="宋体"/>
                <w:color w:val="000000" w:themeColor="text1"/>
                <w:szCs w:val="21"/>
                <w14:textFill>
                  <w14:solidFill>
                    <w14:schemeClr w14:val="tx1"/>
                  </w14:solidFill>
                </w14:textFill>
              </w:rPr>
            </w:pPr>
          </w:p>
        </w:tc>
        <w:tc>
          <w:tcPr>
            <w:tcW w:w="1559" w:type="dxa"/>
            <w:vAlign w:val="center"/>
          </w:tcPr>
          <w:p w14:paraId="533CCEF3">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投标文件提交起止时间</w:t>
            </w:r>
          </w:p>
        </w:tc>
        <w:tc>
          <w:tcPr>
            <w:tcW w:w="6655" w:type="dxa"/>
            <w:vAlign w:val="center"/>
          </w:tcPr>
          <w:p w14:paraId="5EDC2E58">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详见招标公告。</w:t>
            </w:r>
          </w:p>
        </w:tc>
      </w:tr>
      <w:tr w14:paraId="0C8CB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vAlign w:val="center"/>
          </w:tcPr>
          <w:p w14:paraId="3092E2E9">
            <w:pPr>
              <w:spacing w:line="360" w:lineRule="auto"/>
              <w:jc w:val="center"/>
              <w:rPr>
                <w:rFonts w:ascii="宋体" w:hAnsi="宋体" w:eastAsia="宋体"/>
                <w:color w:val="000000" w:themeColor="text1"/>
                <w:szCs w:val="21"/>
                <w14:textFill>
                  <w14:solidFill>
                    <w14:schemeClr w14:val="tx1"/>
                  </w14:solidFill>
                </w14:textFill>
              </w:rPr>
            </w:pPr>
          </w:p>
        </w:tc>
        <w:tc>
          <w:tcPr>
            <w:tcW w:w="1559" w:type="dxa"/>
            <w:vAlign w:val="center"/>
          </w:tcPr>
          <w:p w14:paraId="0E17C4F0">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投标地点</w:t>
            </w:r>
          </w:p>
        </w:tc>
        <w:tc>
          <w:tcPr>
            <w:tcW w:w="6655" w:type="dxa"/>
            <w:vAlign w:val="center"/>
          </w:tcPr>
          <w:p w14:paraId="40EAD8D2">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详见招标公告。</w:t>
            </w:r>
          </w:p>
        </w:tc>
      </w:tr>
      <w:tr w14:paraId="64B48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vAlign w:val="center"/>
          </w:tcPr>
          <w:p w14:paraId="0E029EE2">
            <w:pPr>
              <w:spacing w:line="360" w:lineRule="auto"/>
              <w:jc w:val="center"/>
              <w:rPr>
                <w:rFonts w:ascii="宋体" w:hAnsi="宋体" w:eastAsia="宋体"/>
                <w:color w:val="000000" w:themeColor="text1"/>
                <w:szCs w:val="21"/>
                <w14:textFill>
                  <w14:solidFill>
                    <w14:schemeClr w14:val="tx1"/>
                  </w14:solidFill>
                </w14:textFill>
              </w:rPr>
            </w:pPr>
          </w:p>
        </w:tc>
        <w:tc>
          <w:tcPr>
            <w:tcW w:w="1559" w:type="dxa"/>
            <w:vAlign w:val="center"/>
          </w:tcPr>
          <w:p w14:paraId="1595F51C">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投标人递交投标样品截止时间及地点</w:t>
            </w:r>
          </w:p>
        </w:tc>
        <w:tc>
          <w:tcPr>
            <w:tcW w:w="6655" w:type="dxa"/>
            <w:vAlign w:val="center"/>
          </w:tcPr>
          <w:p w14:paraId="34E8DEB5">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无。</w:t>
            </w:r>
          </w:p>
        </w:tc>
      </w:tr>
      <w:tr w14:paraId="52DD7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7DAC5ACC">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23</w:t>
            </w:r>
          </w:p>
        </w:tc>
        <w:tc>
          <w:tcPr>
            <w:tcW w:w="1559" w:type="dxa"/>
            <w:vAlign w:val="center"/>
          </w:tcPr>
          <w:p w14:paraId="58243759">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开标时间、地点</w:t>
            </w:r>
          </w:p>
        </w:tc>
        <w:tc>
          <w:tcPr>
            <w:tcW w:w="6655" w:type="dxa"/>
            <w:vAlign w:val="center"/>
          </w:tcPr>
          <w:p w14:paraId="006C3943">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详见招标公告。</w:t>
            </w:r>
          </w:p>
        </w:tc>
      </w:tr>
      <w:tr w14:paraId="732C0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restart"/>
            <w:vAlign w:val="center"/>
          </w:tcPr>
          <w:p w14:paraId="142BB1DF">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25.4（1）</w:t>
            </w:r>
          </w:p>
        </w:tc>
        <w:tc>
          <w:tcPr>
            <w:tcW w:w="1559" w:type="dxa"/>
            <w:vAlign w:val="center"/>
          </w:tcPr>
          <w:p w14:paraId="6B53650B">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投标人信用查询渠道</w:t>
            </w:r>
          </w:p>
        </w:tc>
        <w:tc>
          <w:tcPr>
            <w:tcW w:w="6655" w:type="dxa"/>
            <w:vAlign w:val="center"/>
          </w:tcPr>
          <w:p w14:paraId="79583733">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采购人或者采购代理机构在资格审查结束前，对投标人进行信用查询。</w:t>
            </w:r>
          </w:p>
          <w:p w14:paraId="484AA86C">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查询渠道：“信用中国”网站（www.creditchina.gov.cn）、中国政府采购网（www.ccgp.gov.cn）。</w:t>
            </w:r>
          </w:p>
        </w:tc>
      </w:tr>
      <w:tr w14:paraId="55600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vAlign w:val="center"/>
          </w:tcPr>
          <w:p w14:paraId="7BC8E0E2">
            <w:pPr>
              <w:spacing w:line="360" w:lineRule="auto"/>
              <w:jc w:val="center"/>
              <w:rPr>
                <w:rFonts w:ascii="宋体" w:hAnsi="宋体" w:eastAsia="宋体"/>
                <w:color w:val="000000" w:themeColor="text1"/>
                <w:szCs w:val="21"/>
                <w14:textFill>
                  <w14:solidFill>
                    <w14:schemeClr w14:val="tx1"/>
                  </w14:solidFill>
                </w14:textFill>
              </w:rPr>
            </w:pPr>
          </w:p>
        </w:tc>
        <w:tc>
          <w:tcPr>
            <w:tcW w:w="1559" w:type="dxa"/>
            <w:vAlign w:val="center"/>
          </w:tcPr>
          <w:p w14:paraId="646833D0">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信用查询截止时点</w:t>
            </w:r>
          </w:p>
        </w:tc>
        <w:tc>
          <w:tcPr>
            <w:tcW w:w="6655" w:type="dxa"/>
            <w:vAlign w:val="center"/>
          </w:tcPr>
          <w:p w14:paraId="0C989A31">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资格审查结束前。</w:t>
            </w:r>
          </w:p>
        </w:tc>
      </w:tr>
      <w:tr w14:paraId="2C33A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vAlign w:val="center"/>
          </w:tcPr>
          <w:p w14:paraId="5FB7F0A0">
            <w:pPr>
              <w:spacing w:line="360" w:lineRule="auto"/>
              <w:jc w:val="center"/>
              <w:rPr>
                <w:rFonts w:ascii="宋体" w:hAnsi="宋体" w:eastAsia="宋体"/>
                <w:color w:val="000000" w:themeColor="text1"/>
                <w:szCs w:val="21"/>
                <w14:textFill>
                  <w14:solidFill>
                    <w14:schemeClr w14:val="tx1"/>
                  </w14:solidFill>
                </w14:textFill>
              </w:rPr>
            </w:pPr>
          </w:p>
        </w:tc>
        <w:tc>
          <w:tcPr>
            <w:tcW w:w="1559" w:type="dxa"/>
            <w:vAlign w:val="center"/>
          </w:tcPr>
          <w:p w14:paraId="2E9716EC">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查询记录和证据留存方式</w:t>
            </w:r>
          </w:p>
        </w:tc>
        <w:tc>
          <w:tcPr>
            <w:tcW w:w="6655" w:type="dxa"/>
            <w:vAlign w:val="center"/>
          </w:tcPr>
          <w:p w14:paraId="75572BAE">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在查询网站中直接截图查询记录，截图作为在广西政府采购云平台作为附件上传保存。</w:t>
            </w:r>
          </w:p>
        </w:tc>
      </w:tr>
      <w:tr w14:paraId="7938A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vAlign w:val="center"/>
          </w:tcPr>
          <w:p w14:paraId="55398AE0">
            <w:pPr>
              <w:spacing w:line="360" w:lineRule="auto"/>
              <w:jc w:val="center"/>
              <w:rPr>
                <w:rFonts w:ascii="宋体" w:hAnsi="宋体" w:eastAsia="宋体"/>
                <w:color w:val="000000" w:themeColor="text1"/>
                <w:szCs w:val="21"/>
                <w14:textFill>
                  <w14:solidFill>
                    <w14:schemeClr w14:val="tx1"/>
                  </w14:solidFill>
                </w14:textFill>
              </w:rPr>
            </w:pPr>
          </w:p>
        </w:tc>
        <w:tc>
          <w:tcPr>
            <w:tcW w:w="1559" w:type="dxa"/>
            <w:vAlign w:val="center"/>
          </w:tcPr>
          <w:p w14:paraId="1B918473">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信用信息使用规则</w:t>
            </w:r>
          </w:p>
        </w:tc>
        <w:tc>
          <w:tcPr>
            <w:tcW w:w="6655" w:type="dxa"/>
            <w:vAlign w:val="center"/>
          </w:tcPr>
          <w:p w14:paraId="3892F7C9">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对在“信用中国”网站（www.creditchina.gov.cn）、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27170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0CCC4DF4">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29.1</w:t>
            </w:r>
          </w:p>
        </w:tc>
        <w:tc>
          <w:tcPr>
            <w:tcW w:w="1559" w:type="dxa"/>
            <w:vAlign w:val="center"/>
          </w:tcPr>
          <w:p w14:paraId="14D74B81">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评标方法</w:t>
            </w:r>
          </w:p>
        </w:tc>
        <w:tc>
          <w:tcPr>
            <w:tcW w:w="6655" w:type="dxa"/>
            <w:vAlign w:val="center"/>
          </w:tcPr>
          <w:p w14:paraId="227860BE">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sym w:font="Wingdings 2" w:char="F052"/>
            </w:r>
            <w:r>
              <w:rPr>
                <w:rFonts w:hint="eastAsia" w:ascii="宋体" w:hAnsi="宋体" w:eastAsia="宋体"/>
                <w:color w:val="000000" w:themeColor="text1"/>
                <w:szCs w:val="21"/>
                <w14:textFill>
                  <w14:solidFill>
                    <w14:schemeClr w14:val="tx1"/>
                  </w14:solidFill>
                </w14:textFill>
              </w:rPr>
              <w:t>综合评分法</w:t>
            </w:r>
          </w:p>
          <w:p w14:paraId="7F241A6F">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□最低评标价法</w:t>
            </w:r>
          </w:p>
        </w:tc>
      </w:tr>
      <w:tr w14:paraId="4C13D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3905CD0A">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29.2</w:t>
            </w:r>
          </w:p>
        </w:tc>
        <w:tc>
          <w:tcPr>
            <w:tcW w:w="1559" w:type="dxa"/>
            <w:vAlign w:val="center"/>
          </w:tcPr>
          <w:p w14:paraId="2E97BFD1">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允许负偏离项</w:t>
            </w:r>
          </w:p>
        </w:tc>
        <w:tc>
          <w:tcPr>
            <w:tcW w:w="6655" w:type="dxa"/>
            <w:vAlign w:val="center"/>
          </w:tcPr>
          <w:p w14:paraId="0EA67DD6">
            <w:pPr>
              <w:spacing w:line="360" w:lineRule="auto"/>
              <w:jc w:val="lef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商务条款评审中允许负偏离的条款数为</w:t>
            </w:r>
            <w:r>
              <w:rPr>
                <w:rFonts w:hint="eastAsia" w:ascii="宋体" w:hAnsi="宋体" w:eastAsia="宋体"/>
                <w:b/>
                <w:color w:val="000000" w:themeColor="text1"/>
                <w:szCs w:val="21"/>
                <w:u w:val="single"/>
                <w14:textFill>
                  <w14:solidFill>
                    <w14:schemeClr w14:val="tx1"/>
                  </w14:solidFill>
                </w14:textFill>
              </w:rPr>
              <w:t>0</w:t>
            </w:r>
            <w:r>
              <w:rPr>
                <w:rFonts w:hint="eastAsia" w:ascii="宋体" w:hAnsi="宋体" w:eastAsia="宋体"/>
                <w:b/>
                <w:color w:val="000000" w:themeColor="text1"/>
                <w:szCs w:val="21"/>
                <w14:textFill>
                  <w14:solidFill>
                    <w14:schemeClr w14:val="tx1"/>
                  </w14:solidFill>
                </w14:textFill>
              </w:rPr>
              <w:t>项。</w:t>
            </w:r>
          </w:p>
          <w:p w14:paraId="2436241B">
            <w:pPr>
              <w:spacing w:line="360" w:lineRule="auto"/>
              <w:jc w:val="lef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技术需求评审中允许负偏离的非实质性条款数为</w:t>
            </w:r>
            <w:r>
              <w:rPr>
                <w:rFonts w:ascii="宋体" w:hAnsi="宋体" w:eastAsia="宋体"/>
                <w:b/>
                <w:color w:val="000000" w:themeColor="text1"/>
                <w:szCs w:val="21"/>
                <w:u w:val="single"/>
                <w14:textFill>
                  <w14:solidFill>
                    <w14:schemeClr w14:val="tx1"/>
                  </w14:solidFill>
                </w14:textFill>
              </w:rPr>
              <w:t>3</w:t>
            </w:r>
            <w:r>
              <w:rPr>
                <w:rFonts w:hint="eastAsia" w:ascii="宋体" w:hAnsi="宋体" w:eastAsia="宋体"/>
                <w:b/>
                <w:color w:val="000000" w:themeColor="text1"/>
                <w:szCs w:val="21"/>
                <w14:textFill>
                  <w14:solidFill>
                    <w14:schemeClr w14:val="tx1"/>
                  </w14:solidFill>
                </w14:textFill>
              </w:rPr>
              <w:t>项。</w:t>
            </w:r>
          </w:p>
        </w:tc>
      </w:tr>
      <w:tr w14:paraId="75D1B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3124579B">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30.1</w:t>
            </w:r>
          </w:p>
        </w:tc>
        <w:tc>
          <w:tcPr>
            <w:tcW w:w="1559" w:type="dxa"/>
            <w:vAlign w:val="center"/>
          </w:tcPr>
          <w:p w14:paraId="5A419752">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确定中标人时，出现中标候选人分数并列的情形，确定中标人方式</w:t>
            </w:r>
          </w:p>
        </w:tc>
        <w:tc>
          <w:tcPr>
            <w:tcW w:w="6655" w:type="dxa"/>
            <w:vAlign w:val="center"/>
          </w:tcPr>
          <w:p w14:paraId="2156FF9B">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□采用最低评标价法的，投标文件满足招标文件全部实质性要求且投标报价最低的投标人为排名第一的中标候选人；</w:t>
            </w:r>
          </w:p>
          <w:p w14:paraId="2198967B">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sym w:font="Wingdings 2" w:char="F052"/>
            </w:r>
            <w:r>
              <w:rPr>
                <w:rFonts w:hint="eastAsia" w:ascii="宋体" w:hAnsi="宋体" w:eastAsia="宋体"/>
                <w:color w:val="000000" w:themeColor="text1"/>
                <w:szCs w:val="21"/>
                <w14:textFill>
                  <w14:solidFill>
                    <w14:schemeClr w14:val="tx1"/>
                  </w14:solidFill>
                </w14:textFill>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5B3ED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09610F62">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30.2</w:t>
            </w:r>
          </w:p>
        </w:tc>
        <w:tc>
          <w:tcPr>
            <w:tcW w:w="1559" w:type="dxa"/>
            <w:vAlign w:val="center"/>
          </w:tcPr>
          <w:p w14:paraId="6B97E702">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提供相同品牌产品且通过资格审查、符合性审查的不同投标人参加同一合同项下投标的中标候选人确定方式</w:t>
            </w:r>
          </w:p>
        </w:tc>
        <w:tc>
          <w:tcPr>
            <w:tcW w:w="6655" w:type="dxa"/>
            <w:vAlign w:val="center"/>
          </w:tcPr>
          <w:p w14:paraId="3D8631B6">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□随机抽取（采用最低评标价法，报价相同时；采用综合评分法，评审价相同时）</w:t>
            </w:r>
          </w:p>
          <w:p w14:paraId="602DE1DD">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sym w:font="Wingdings 2" w:char="F052"/>
            </w:r>
            <w:r>
              <w:rPr>
                <w:rFonts w:hint="eastAsia" w:ascii="宋体" w:hAnsi="宋体" w:eastAsia="宋体"/>
                <w:color w:val="000000" w:themeColor="text1"/>
                <w:szCs w:val="21"/>
                <w14:textFill>
                  <w14:solidFill>
                    <w14:schemeClr w14:val="tx1"/>
                  </w14:solidFill>
                </w14:textFill>
              </w:rPr>
              <w:t>其他方式：提供相同品牌产品且通过资格审查、符合性审查的不同投标人参加同一合同项下投标的，按一家投标人计算，评审后得分最高的同品牌投标人获得中标人推荐资格（评审得分相同的，依次按照投标报价低的优先。若综合得分且投标报价相同的，货物类采购项目以技术评分高的优先、商务资信分高的优先、项目质保期长优先、交货期短优先、故障响应时间短优先排序，服务类采购项目以实力信誉及业绩得分较高者为先），其他同品牌投标人不作为中标候选人。</w:t>
            </w:r>
          </w:p>
        </w:tc>
      </w:tr>
      <w:tr w14:paraId="0A4B9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14EA426C">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35</w:t>
            </w:r>
          </w:p>
        </w:tc>
        <w:tc>
          <w:tcPr>
            <w:tcW w:w="1559" w:type="dxa"/>
            <w:vAlign w:val="center"/>
          </w:tcPr>
          <w:p w14:paraId="7A02E65F">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履约保证金金额</w:t>
            </w:r>
          </w:p>
        </w:tc>
        <w:tc>
          <w:tcPr>
            <w:tcW w:w="6655" w:type="dxa"/>
            <w:vAlign w:val="center"/>
          </w:tcPr>
          <w:p w14:paraId="5C4CD31B">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本项目不收取履约保证金。</w:t>
            </w:r>
          </w:p>
        </w:tc>
      </w:tr>
      <w:tr w14:paraId="2812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10230530">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36.1</w:t>
            </w:r>
          </w:p>
        </w:tc>
        <w:tc>
          <w:tcPr>
            <w:tcW w:w="1559" w:type="dxa"/>
            <w:vAlign w:val="center"/>
          </w:tcPr>
          <w:p w14:paraId="2A8AA9C7">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签订电子合同携带的材料</w:t>
            </w:r>
          </w:p>
        </w:tc>
        <w:tc>
          <w:tcPr>
            <w:tcW w:w="6655" w:type="dxa"/>
            <w:vAlign w:val="center"/>
          </w:tcPr>
          <w:p w14:paraId="249FF8A2">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电子采购合同需要供应商通过有效CA证书进行电子签名与签章。</w:t>
            </w:r>
          </w:p>
        </w:tc>
      </w:tr>
      <w:tr w14:paraId="1E9D5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restart"/>
            <w:vAlign w:val="center"/>
          </w:tcPr>
          <w:p w14:paraId="5A94D852">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38.2.1</w:t>
            </w:r>
          </w:p>
        </w:tc>
        <w:tc>
          <w:tcPr>
            <w:tcW w:w="1559" w:type="dxa"/>
            <w:vAlign w:val="center"/>
          </w:tcPr>
          <w:p w14:paraId="1B3BAEF6">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接收质疑函方式</w:t>
            </w:r>
          </w:p>
        </w:tc>
        <w:tc>
          <w:tcPr>
            <w:tcW w:w="6655" w:type="dxa"/>
            <w:vAlign w:val="center"/>
          </w:tcPr>
          <w:p w14:paraId="5BB3DFCB">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以书面形式。</w:t>
            </w:r>
          </w:p>
        </w:tc>
      </w:tr>
      <w:tr w14:paraId="1F16D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vAlign w:val="center"/>
          </w:tcPr>
          <w:p w14:paraId="1488E210">
            <w:pPr>
              <w:spacing w:line="360" w:lineRule="auto"/>
              <w:jc w:val="center"/>
              <w:rPr>
                <w:rFonts w:ascii="宋体" w:hAnsi="宋体" w:eastAsia="宋体"/>
                <w:color w:val="000000" w:themeColor="text1"/>
                <w:szCs w:val="21"/>
                <w14:textFill>
                  <w14:solidFill>
                    <w14:schemeClr w14:val="tx1"/>
                  </w14:solidFill>
                </w14:textFill>
              </w:rPr>
            </w:pPr>
          </w:p>
        </w:tc>
        <w:tc>
          <w:tcPr>
            <w:tcW w:w="1559" w:type="dxa"/>
            <w:vAlign w:val="center"/>
          </w:tcPr>
          <w:p w14:paraId="62553157">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质疑联系部门及联系方式</w:t>
            </w:r>
          </w:p>
        </w:tc>
        <w:tc>
          <w:tcPr>
            <w:tcW w:w="6655" w:type="dxa"/>
            <w:vAlign w:val="center"/>
          </w:tcPr>
          <w:p w14:paraId="7952B2EA">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u w:val="single"/>
                <w14:textFill>
                  <w14:solidFill>
                    <w14:schemeClr w14:val="tx1"/>
                  </w14:solidFill>
                </w14:textFill>
              </w:rPr>
              <w:t>广西科文招标有限公司</w:t>
            </w:r>
            <w:r>
              <w:rPr>
                <w:rFonts w:hint="eastAsia" w:ascii="宋体" w:hAnsi="宋体" w:eastAsia="宋体"/>
                <w:color w:val="000000" w:themeColor="text1"/>
                <w:szCs w:val="21"/>
                <w14:textFill>
                  <w14:solidFill>
                    <w14:schemeClr w14:val="tx1"/>
                  </w14:solidFill>
                </w14:textFill>
              </w:rPr>
              <w:t>；</w:t>
            </w:r>
          </w:p>
          <w:p w14:paraId="74A6B2D1">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联系电话：0771-2023</w:t>
            </w:r>
            <w:r>
              <w:rPr>
                <w:rFonts w:ascii="宋体" w:hAnsi="宋体" w:eastAsia="宋体"/>
                <w:color w:val="000000" w:themeColor="text1"/>
                <w:szCs w:val="21"/>
                <w14:textFill>
                  <w14:solidFill>
                    <w14:schemeClr w14:val="tx1"/>
                  </w14:solidFill>
                </w14:textFill>
              </w:rPr>
              <w:t>903</w:t>
            </w:r>
          </w:p>
          <w:p w14:paraId="3A26E6D9">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通讯地址：广西壮族自治区南宁市民族大道141号中鼎万象东方D座5楼。</w:t>
            </w:r>
          </w:p>
          <w:p w14:paraId="0172F478">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u w:val="single"/>
                <w14:textFill>
                  <w14:solidFill>
                    <w14:schemeClr w14:val="tx1"/>
                  </w14:solidFill>
                </w14:textFill>
              </w:rPr>
              <w:t>南宁市公安局刑事侦查支队</w:t>
            </w:r>
            <w:r>
              <w:rPr>
                <w:rFonts w:hint="eastAsia" w:ascii="宋体" w:hAnsi="宋体" w:eastAsia="宋体"/>
                <w:color w:val="000000" w:themeColor="text1"/>
                <w:szCs w:val="21"/>
                <w14:textFill>
                  <w14:solidFill>
                    <w14:schemeClr w14:val="tx1"/>
                  </w14:solidFill>
                </w14:textFill>
              </w:rPr>
              <w:t>；</w:t>
            </w:r>
          </w:p>
          <w:p w14:paraId="321946B5">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联系电话：0771-</w:t>
            </w:r>
            <w:r>
              <w:rPr>
                <w:rFonts w:ascii="宋体" w:hAnsi="宋体" w:eastAsia="宋体"/>
                <w:color w:val="000000" w:themeColor="text1"/>
                <w:szCs w:val="21"/>
                <w14:textFill>
                  <w14:solidFill>
                    <w14:schemeClr w14:val="tx1"/>
                  </w14:solidFill>
                </w14:textFill>
              </w:rPr>
              <w:t>5881111</w:t>
            </w:r>
          </w:p>
          <w:p w14:paraId="0EBA608E">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通讯地址：广西壮族自治区南宁市青秀区葛村路6号南宁市公安局刑事侦查支队。</w:t>
            </w:r>
          </w:p>
        </w:tc>
      </w:tr>
      <w:tr w14:paraId="49349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vAlign w:val="center"/>
          </w:tcPr>
          <w:p w14:paraId="4AF175A5">
            <w:pPr>
              <w:spacing w:line="360" w:lineRule="auto"/>
              <w:jc w:val="center"/>
              <w:rPr>
                <w:rFonts w:ascii="宋体" w:hAnsi="宋体" w:eastAsia="宋体"/>
                <w:color w:val="000000" w:themeColor="text1"/>
                <w:szCs w:val="21"/>
                <w14:textFill>
                  <w14:solidFill>
                    <w14:schemeClr w14:val="tx1"/>
                  </w14:solidFill>
                </w14:textFill>
              </w:rPr>
            </w:pPr>
          </w:p>
        </w:tc>
        <w:tc>
          <w:tcPr>
            <w:tcW w:w="1559" w:type="dxa"/>
            <w:vAlign w:val="center"/>
          </w:tcPr>
          <w:p w14:paraId="2C3B0CBA">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现场提交质疑办理业务时间</w:t>
            </w:r>
          </w:p>
        </w:tc>
        <w:tc>
          <w:tcPr>
            <w:tcW w:w="6655" w:type="dxa"/>
            <w:vAlign w:val="center"/>
          </w:tcPr>
          <w:p w14:paraId="70640C31">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质疑期内每个工作日</w:t>
            </w:r>
            <w:r>
              <w:rPr>
                <w:rFonts w:hint="eastAsia" w:ascii="宋体" w:hAnsi="宋体" w:eastAsia="宋体"/>
                <w:color w:val="000000" w:themeColor="text1"/>
                <w:szCs w:val="21"/>
                <w:u w:val="single"/>
                <w14:textFill>
                  <w14:solidFill>
                    <w14:schemeClr w14:val="tx1"/>
                  </w14:solidFill>
                </w14:textFill>
              </w:rPr>
              <w:t>8</w:t>
            </w:r>
            <w:r>
              <w:rPr>
                <w:rFonts w:hint="eastAsia" w:ascii="宋体" w:hAnsi="宋体" w:eastAsia="宋体"/>
                <w:color w:val="000000" w:themeColor="text1"/>
                <w:szCs w:val="21"/>
                <w14:textFill>
                  <w14:solidFill>
                    <w14:schemeClr w14:val="tx1"/>
                  </w14:solidFill>
                </w14:textFill>
              </w:rPr>
              <w:t>时</w:t>
            </w:r>
            <w:r>
              <w:rPr>
                <w:rFonts w:hint="eastAsia" w:ascii="宋体" w:hAnsi="宋体" w:eastAsia="宋体"/>
                <w:color w:val="000000" w:themeColor="text1"/>
                <w:szCs w:val="21"/>
                <w:u w:val="single"/>
                <w14:textFill>
                  <w14:solidFill>
                    <w14:schemeClr w14:val="tx1"/>
                  </w14:solidFill>
                </w14:textFill>
              </w:rPr>
              <w:t>00</w:t>
            </w:r>
            <w:r>
              <w:rPr>
                <w:rFonts w:hint="eastAsia" w:ascii="宋体" w:hAnsi="宋体" w:eastAsia="宋体"/>
                <w:color w:val="000000" w:themeColor="text1"/>
                <w:szCs w:val="21"/>
                <w14:textFill>
                  <w14:solidFill>
                    <w14:schemeClr w14:val="tx1"/>
                  </w14:solidFill>
                </w14:textFill>
              </w:rPr>
              <w:t>分到</w:t>
            </w:r>
            <w:r>
              <w:rPr>
                <w:rFonts w:hint="eastAsia" w:ascii="宋体" w:hAnsi="宋体" w:eastAsia="宋体"/>
                <w:color w:val="000000" w:themeColor="text1"/>
                <w:szCs w:val="21"/>
                <w:u w:val="single"/>
                <w14:textFill>
                  <w14:solidFill>
                    <w14:schemeClr w14:val="tx1"/>
                  </w14:solidFill>
                </w14:textFill>
              </w:rPr>
              <w:t>12</w:t>
            </w:r>
            <w:r>
              <w:rPr>
                <w:rFonts w:hint="eastAsia" w:ascii="宋体" w:hAnsi="宋体" w:eastAsia="宋体"/>
                <w:color w:val="000000" w:themeColor="text1"/>
                <w:szCs w:val="21"/>
                <w14:textFill>
                  <w14:solidFill>
                    <w14:schemeClr w14:val="tx1"/>
                  </w14:solidFill>
                </w14:textFill>
              </w:rPr>
              <w:t>时</w:t>
            </w:r>
            <w:r>
              <w:rPr>
                <w:rFonts w:hint="eastAsia" w:ascii="宋体" w:hAnsi="宋体" w:eastAsia="宋体"/>
                <w:color w:val="000000" w:themeColor="text1"/>
                <w:szCs w:val="21"/>
                <w:u w:val="single"/>
                <w14:textFill>
                  <w14:solidFill>
                    <w14:schemeClr w14:val="tx1"/>
                  </w14:solidFill>
                </w14:textFill>
              </w:rPr>
              <w:t>00</w:t>
            </w:r>
            <w:r>
              <w:rPr>
                <w:rFonts w:hint="eastAsia" w:ascii="宋体" w:hAnsi="宋体" w:eastAsia="宋体"/>
                <w:color w:val="000000" w:themeColor="text1"/>
                <w:szCs w:val="21"/>
                <w14:textFill>
                  <w14:solidFill>
                    <w14:schemeClr w14:val="tx1"/>
                  </w14:solidFill>
                </w14:textFill>
              </w:rPr>
              <w:t>分，</w:t>
            </w:r>
            <w:r>
              <w:rPr>
                <w:rFonts w:hint="eastAsia" w:ascii="宋体" w:hAnsi="宋体" w:eastAsia="宋体"/>
                <w:color w:val="000000" w:themeColor="text1"/>
                <w:szCs w:val="21"/>
                <w:u w:val="single"/>
                <w14:textFill>
                  <w14:solidFill>
                    <w14:schemeClr w14:val="tx1"/>
                  </w14:solidFill>
                </w14:textFill>
              </w:rPr>
              <w:t>15</w:t>
            </w:r>
            <w:r>
              <w:rPr>
                <w:rFonts w:hint="eastAsia" w:ascii="宋体" w:hAnsi="宋体" w:eastAsia="宋体"/>
                <w:color w:val="000000" w:themeColor="text1"/>
                <w:szCs w:val="21"/>
                <w14:textFill>
                  <w14:solidFill>
                    <w14:schemeClr w14:val="tx1"/>
                  </w14:solidFill>
                </w14:textFill>
              </w:rPr>
              <w:t>时</w:t>
            </w:r>
            <w:r>
              <w:rPr>
                <w:rFonts w:hint="eastAsia" w:ascii="宋体" w:hAnsi="宋体" w:eastAsia="宋体"/>
                <w:color w:val="000000" w:themeColor="text1"/>
                <w:szCs w:val="21"/>
                <w:u w:val="single"/>
                <w14:textFill>
                  <w14:solidFill>
                    <w14:schemeClr w14:val="tx1"/>
                  </w14:solidFill>
                </w14:textFill>
              </w:rPr>
              <w:t>00</w:t>
            </w:r>
            <w:r>
              <w:rPr>
                <w:rFonts w:hint="eastAsia" w:ascii="宋体" w:hAnsi="宋体" w:eastAsia="宋体"/>
                <w:color w:val="000000" w:themeColor="text1"/>
                <w:szCs w:val="21"/>
                <w14:textFill>
                  <w14:solidFill>
                    <w14:schemeClr w14:val="tx1"/>
                  </w14:solidFill>
                </w14:textFill>
              </w:rPr>
              <w:t>分到</w:t>
            </w:r>
            <w:r>
              <w:rPr>
                <w:rFonts w:hint="eastAsia" w:ascii="宋体" w:hAnsi="宋体" w:eastAsia="宋体"/>
                <w:color w:val="000000" w:themeColor="text1"/>
                <w:szCs w:val="21"/>
                <w:u w:val="single"/>
                <w14:textFill>
                  <w14:solidFill>
                    <w14:schemeClr w14:val="tx1"/>
                  </w14:solidFill>
                </w14:textFill>
              </w:rPr>
              <w:t>18</w:t>
            </w:r>
            <w:r>
              <w:rPr>
                <w:rFonts w:hint="eastAsia" w:ascii="宋体" w:hAnsi="宋体" w:eastAsia="宋体"/>
                <w:color w:val="000000" w:themeColor="text1"/>
                <w:szCs w:val="21"/>
                <w14:textFill>
                  <w14:solidFill>
                    <w14:schemeClr w14:val="tx1"/>
                  </w14:solidFill>
                </w14:textFill>
              </w:rPr>
              <w:t>时</w:t>
            </w:r>
            <w:r>
              <w:rPr>
                <w:rFonts w:hint="eastAsia" w:ascii="宋体" w:hAnsi="宋体" w:eastAsia="宋体"/>
                <w:color w:val="000000" w:themeColor="text1"/>
                <w:szCs w:val="21"/>
                <w:u w:val="single"/>
                <w14:textFill>
                  <w14:solidFill>
                    <w14:schemeClr w14:val="tx1"/>
                  </w14:solidFill>
                </w14:textFill>
              </w:rPr>
              <w:t>00</w:t>
            </w:r>
            <w:r>
              <w:rPr>
                <w:rFonts w:hint="eastAsia" w:ascii="宋体" w:hAnsi="宋体" w:eastAsia="宋体"/>
                <w:color w:val="000000" w:themeColor="text1"/>
                <w:szCs w:val="21"/>
                <w14:textFill>
                  <w14:solidFill>
                    <w14:schemeClr w14:val="tx1"/>
                  </w14:solidFill>
                </w14:textFill>
              </w:rPr>
              <w:t>分</w:t>
            </w:r>
          </w:p>
        </w:tc>
      </w:tr>
      <w:tr w14:paraId="5A4CD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02BA00D8">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38.3.1</w:t>
            </w:r>
          </w:p>
        </w:tc>
        <w:tc>
          <w:tcPr>
            <w:tcW w:w="1559" w:type="dxa"/>
            <w:vAlign w:val="center"/>
          </w:tcPr>
          <w:p w14:paraId="34BF0595">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投诉受理方式</w:t>
            </w:r>
          </w:p>
        </w:tc>
        <w:tc>
          <w:tcPr>
            <w:tcW w:w="6655" w:type="dxa"/>
            <w:vAlign w:val="center"/>
          </w:tcPr>
          <w:p w14:paraId="1F45F7EE">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1、受理方式：纸质方式受理，投诉书正、副本（经过质疑的事项才可投诉）。</w:t>
            </w:r>
          </w:p>
          <w:p w14:paraId="5A4524ED">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2、邮寄地址：</w:t>
            </w:r>
          </w:p>
          <w:p w14:paraId="29A66C2B">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名称：南宁市财政局政府采购监督管理科</w:t>
            </w:r>
          </w:p>
          <w:p w14:paraId="70907FD1">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地址：南宁市青秀区东葛路129号</w:t>
            </w:r>
          </w:p>
          <w:p w14:paraId="728458BA">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联系电话：</w:t>
            </w:r>
            <w:r>
              <w:rPr>
                <w:rFonts w:ascii="宋体" w:hAnsi="宋体" w:eastAsia="宋体"/>
                <w:color w:val="000000" w:themeColor="text1"/>
                <w:szCs w:val="21"/>
                <w14:textFill>
                  <w14:solidFill>
                    <w14:schemeClr w14:val="tx1"/>
                  </w14:solidFill>
                </w14:textFill>
              </w:rPr>
              <w:t>0771-2189091</w:t>
            </w:r>
          </w:p>
        </w:tc>
      </w:tr>
      <w:tr w14:paraId="7955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restart"/>
            <w:vAlign w:val="center"/>
          </w:tcPr>
          <w:p w14:paraId="50AE1C4C">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40</w:t>
            </w:r>
          </w:p>
        </w:tc>
        <w:tc>
          <w:tcPr>
            <w:tcW w:w="1559" w:type="dxa"/>
            <w:vAlign w:val="center"/>
          </w:tcPr>
          <w:p w14:paraId="42807044">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采购代理费支付方式</w:t>
            </w:r>
          </w:p>
        </w:tc>
        <w:tc>
          <w:tcPr>
            <w:tcW w:w="6655" w:type="dxa"/>
            <w:vAlign w:val="center"/>
          </w:tcPr>
          <w:p w14:paraId="545FC6AE">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本项目招标代理服务费由</w:t>
            </w:r>
            <w:r>
              <w:rPr>
                <w:rFonts w:hint="eastAsia" w:ascii="宋体" w:hAnsi="宋体" w:eastAsia="宋体"/>
                <w:color w:val="000000" w:themeColor="text1"/>
                <w:szCs w:val="21"/>
                <w:u w:val="single"/>
                <w14:textFill>
                  <w14:solidFill>
                    <w14:schemeClr w14:val="tx1"/>
                  </w14:solidFill>
                </w14:textFill>
              </w:rPr>
              <w:t>中标人</w:t>
            </w:r>
            <w:r>
              <w:rPr>
                <w:rFonts w:hint="eastAsia" w:ascii="宋体" w:hAnsi="宋体" w:eastAsia="宋体"/>
                <w:color w:val="000000" w:themeColor="text1"/>
                <w:szCs w:val="21"/>
                <w14:textFill>
                  <w14:solidFill>
                    <w14:schemeClr w14:val="tx1"/>
                  </w14:solidFill>
                </w14:textFill>
              </w:rPr>
              <w:t>在领取中标通知书前，一次性向采购代理机构支付。</w:t>
            </w:r>
          </w:p>
        </w:tc>
      </w:tr>
      <w:tr w14:paraId="7B4EC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vAlign w:val="center"/>
          </w:tcPr>
          <w:p w14:paraId="6EFAA54C">
            <w:pPr>
              <w:spacing w:line="360" w:lineRule="auto"/>
              <w:jc w:val="center"/>
              <w:rPr>
                <w:rFonts w:ascii="宋体" w:hAnsi="宋体" w:eastAsia="宋体"/>
                <w:color w:val="000000" w:themeColor="text1"/>
                <w:szCs w:val="21"/>
                <w14:textFill>
                  <w14:solidFill>
                    <w14:schemeClr w14:val="tx1"/>
                  </w14:solidFill>
                </w14:textFill>
              </w:rPr>
            </w:pPr>
          </w:p>
        </w:tc>
        <w:tc>
          <w:tcPr>
            <w:tcW w:w="1559" w:type="dxa"/>
            <w:vAlign w:val="center"/>
          </w:tcPr>
          <w:p w14:paraId="20A4393E">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采购代理费收取标准</w:t>
            </w:r>
          </w:p>
        </w:tc>
        <w:tc>
          <w:tcPr>
            <w:tcW w:w="6655" w:type="dxa"/>
            <w:vAlign w:val="center"/>
          </w:tcPr>
          <w:p w14:paraId="5734B0E6">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1.由采购代理机构按下表收费标准（货物招标），由采购代理机构向中标人收取。</w:t>
            </w:r>
          </w:p>
          <w:p w14:paraId="1B735C4C">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2.签订合同前，中标人应向广西科文招标有限公司一次付清代理服务费。</w:t>
            </w:r>
          </w:p>
          <w:p w14:paraId="33A882F0">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3.代理服务收费标准：</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3"/>
              <w:gridCol w:w="2143"/>
              <w:gridCol w:w="2143"/>
            </w:tblGrid>
            <w:tr w14:paraId="0EC8F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3" w:type="dxa"/>
                  <w:vAlign w:val="center"/>
                </w:tcPr>
                <w:p w14:paraId="62B3F4EC">
                  <w:pPr>
                    <w:spacing w:line="360" w:lineRule="auto"/>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费率</w:t>
                  </w:r>
                </w:p>
                <w:p w14:paraId="2CC7E35E">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中标金额（万元）</w:t>
                  </w:r>
                </w:p>
              </w:tc>
              <w:tc>
                <w:tcPr>
                  <w:tcW w:w="2143" w:type="dxa"/>
                  <w:vAlign w:val="center"/>
                </w:tcPr>
                <w:p w14:paraId="0B6A5AA1">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货物招标</w:t>
                  </w:r>
                </w:p>
              </w:tc>
              <w:tc>
                <w:tcPr>
                  <w:tcW w:w="2143" w:type="dxa"/>
                  <w:vAlign w:val="center"/>
                </w:tcPr>
                <w:p w14:paraId="0A237EED">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服务招标</w:t>
                  </w:r>
                </w:p>
              </w:tc>
            </w:tr>
            <w:tr w14:paraId="05F5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3" w:type="dxa"/>
                  <w:vAlign w:val="center"/>
                </w:tcPr>
                <w:p w14:paraId="4E0E3516">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100以下</w:t>
                  </w:r>
                </w:p>
              </w:tc>
              <w:tc>
                <w:tcPr>
                  <w:tcW w:w="2143" w:type="dxa"/>
                  <w:vAlign w:val="center"/>
                </w:tcPr>
                <w:p w14:paraId="12175E5E">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w:t>
                  </w:r>
                </w:p>
              </w:tc>
              <w:tc>
                <w:tcPr>
                  <w:tcW w:w="2143" w:type="dxa"/>
                  <w:vAlign w:val="center"/>
                </w:tcPr>
                <w:p w14:paraId="258BF9AB">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w:t>
                  </w:r>
                </w:p>
              </w:tc>
            </w:tr>
            <w:tr w14:paraId="4829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3" w:type="dxa"/>
                  <w:vAlign w:val="center"/>
                </w:tcPr>
                <w:p w14:paraId="41D83ED9">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100-500</w:t>
                  </w:r>
                </w:p>
              </w:tc>
              <w:tc>
                <w:tcPr>
                  <w:tcW w:w="2143" w:type="dxa"/>
                  <w:vAlign w:val="center"/>
                </w:tcPr>
                <w:p w14:paraId="1FEFE4E6">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1.1%</w:t>
                  </w:r>
                </w:p>
              </w:tc>
              <w:tc>
                <w:tcPr>
                  <w:tcW w:w="2143" w:type="dxa"/>
                  <w:vAlign w:val="center"/>
                </w:tcPr>
                <w:p w14:paraId="512D0BC4">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0.8%</w:t>
                  </w:r>
                </w:p>
              </w:tc>
            </w:tr>
            <w:tr w14:paraId="02AC1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3" w:type="dxa"/>
                  <w:vAlign w:val="center"/>
                </w:tcPr>
                <w:p w14:paraId="742C0391">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500-1000</w:t>
                  </w:r>
                </w:p>
              </w:tc>
              <w:tc>
                <w:tcPr>
                  <w:tcW w:w="2143" w:type="dxa"/>
                  <w:vAlign w:val="center"/>
                </w:tcPr>
                <w:p w14:paraId="5791B93A">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0.8%</w:t>
                  </w:r>
                </w:p>
              </w:tc>
              <w:tc>
                <w:tcPr>
                  <w:tcW w:w="2143" w:type="dxa"/>
                  <w:vAlign w:val="center"/>
                </w:tcPr>
                <w:p w14:paraId="0C7BC11D">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0.45%</w:t>
                  </w:r>
                </w:p>
              </w:tc>
            </w:tr>
            <w:tr w14:paraId="70106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3" w:type="dxa"/>
                  <w:vAlign w:val="center"/>
                </w:tcPr>
                <w:p w14:paraId="1FEADE11">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1000-5000</w:t>
                  </w:r>
                </w:p>
              </w:tc>
              <w:tc>
                <w:tcPr>
                  <w:tcW w:w="2143" w:type="dxa"/>
                  <w:vAlign w:val="center"/>
                </w:tcPr>
                <w:p w14:paraId="10560667">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0.5%</w:t>
                  </w:r>
                </w:p>
              </w:tc>
              <w:tc>
                <w:tcPr>
                  <w:tcW w:w="2143" w:type="dxa"/>
                  <w:vAlign w:val="center"/>
                </w:tcPr>
                <w:p w14:paraId="4F4047D4">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0.25%</w:t>
                  </w:r>
                </w:p>
              </w:tc>
            </w:tr>
          </w:tbl>
          <w:p w14:paraId="3FA014E8">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注：招标代理服务收费按差额定率累进法计算。</w:t>
            </w:r>
          </w:p>
        </w:tc>
      </w:tr>
      <w:tr w14:paraId="4D82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vAlign w:val="center"/>
          </w:tcPr>
          <w:p w14:paraId="197CB102">
            <w:pPr>
              <w:spacing w:line="360" w:lineRule="auto"/>
              <w:jc w:val="center"/>
              <w:rPr>
                <w:rFonts w:ascii="宋体" w:hAnsi="宋体" w:eastAsia="宋体"/>
                <w:color w:val="000000" w:themeColor="text1"/>
                <w:szCs w:val="21"/>
                <w14:textFill>
                  <w14:solidFill>
                    <w14:schemeClr w14:val="tx1"/>
                  </w14:solidFill>
                </w14:textFill>
              </w:rPr>
            </w:pPr>
          </w:p>
        </w:tc>
        <w:tc>
          <w:tcPr>
            <w:tcW w:w="1559" w:type="dxa"/>
            <w:vAlign w:val="center"/>
          </w:tcPr>
          <w:p w14:paraId="5F9F657A">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代理服务费收款账户信息</w:t>
            </w:r>
          </w:p>
        </w:tc>
        <w:tc>
          <w:tcPr>
            <w:tcW w:w="6655" w:type="dxa"/>
            <w:vAlign w:val="center"/>
          </w:tcPr>
          <w:p w14:paraId="0104EBAA">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账户名称：广西科文招标有限公司南宁咨询一分公司</w:t>
            </w:r>
          </w:p>
          <w:p w14:paraId="34D19347">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开户银行：广西北部湾银行股份有限公司南宁市云景支行</w:t>
            </w:r>
          </w:p>
          <w:p w14:paraId="670BDF50">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银行账号：805030137000001</w:t>
            </w:r>
          </w:p>
        </w:tc>
      </w:tr>
      <w:tr w14:paraId="1D6D1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31068805">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41.1</w:t>
            </w:r>
          </w:p>
        </w:tc>
        <w:tc>
          <w:tcPr>
            <w:tcW w:w="1559" w:type="dxa"/>
            <w:vAlign w:val="center"/>
          </w:tcPr>
          <w:p w14:paraId="629CF285">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解释</w:t>
            </w:r>
          </w:p>
        </w:tc>
        <w:tc>
          <w:tcPr>
            <w:tcW w:w="6655" w:type="dxa"/>
            <w:vAlign w:val="center"/>
          </w:tcPr>
          <w:p w14:paraId="3A10B5D4">
            <w:pPr>
              <w:spacing w:line="360" w:lineRule="auto"/>
              <w:jc w:val="lef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解释权：</w:t>
            </w:r>
            <w:r>
              <w:rPr>
                <w:rFonts w:hint="eastAsia" w:ascii="宋体" w:hAnsi="宋体" w:eastAsia="宋体"/>
                <w:color w:val="000000" w:themeColor="text1"/>
                <w:szCs w:val="21"/>
                <w14:textFill>
                  <w14:solidFill>
                    <w14:schemeClr w14:val="tx1"/>
                  </w14:solidFill>
                </w14:textFill>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eastAsia="宋体"/>
                <w:b/>
                <w:color w:val="000000" w:themeColor="text1"/>
                <w:szCs w:val="21"/>
                <w14:textFill>
                  <w14:solidFill>
                    <w14:schemeClr w14:val="tx1"/>
                  </w14:solidFill>
                </w14:textFill>
              </w:rPr>
              <w:t>，由采购人或者采购代理机构负责解释。</w:t>
            </w:r>
          </w:p>
          <w:p w14:paraId="2E1C53DE">
            <w:pPr>
              <w:spacing w:line="360" w:lineRule="auto"/>
              <w:jc w:val="lef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法律责任：</w:t>
            </w:r>
          </w:p>
          <w:p w14:paraId="0FCA3AED">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5C435051">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5B925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7C691273">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41.2</w:t>
            </w:r>
          </w:p>
        </w:tc>
        <w:tc>
          <w:tcPr>
            <w:tcW w:w="1559" w:type="dxa"/>
            <w:vAlign w:val="center"/>
          </w:tcPr>
          <w:p w14:paraId="65F5B5B8">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其他释义</w:t>
            </w:r>
          </w:p>
        </w:tc>
        <w:tc>
          <w:tcPr>
            <w:tcW w:w="6655" w:type="dxa"/>
            <w:vAlign w:val="center"/>
          </w:tcPr>
          <w:p w14:paraId="1E493C12">
            <w:pPr>
              <w:spacing w:line="360" w:lineRule="auto"/>
              <w:jc w:val="lef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7A924B6A">
            <w:pPr>
              <w:spacing w:line="360" w:lineRule="auto"/>
              <w:jc w:val="lef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59640948">
            <w:pPr>
              <w:spacing w:line="360" w:lineRule="auto"/>
              <w:jc w:val="lef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3.本招标文件中描述投标人的“签字”是指投标人的法定代表人或者委托代理人亲自在文件规定签署处亲笔写上个人的名字的行为，私章、签字章、印鉴、影印等其他形式均不能代替亲笔签字。</w:t>
            </w:r>
          </w:p>
          <w:p w14:paraId="6DC4FF06">
            <w:pPr>
              <w:spacing w:line="360" w:lineRule="auto"/>
              <w:jc w:val="lef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4.自然人投标的，招标文件规定盖公章处由自然人摁手指指印。</w:t>
            </w:r>
          </w:p>
          <w:p w14:paraId="39786A4A">
            <w:pPr>
              <w:spacing w:line="360" w:lineRule="auto"/>
              <w:jc w:val="lef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5.本招标文件所称的“以上”“以下”“以内”“届满”，包括本数；所称的“不满”“超过”“以外”，不包括本数。</w:t>
            </w:r>
          </w:p>
        </w:tc>
      </w:tr>
    </w:tbl>
    <w:p w14:paraId="18DE1C32">
      <w:pPr>
        <w:spacing w:line="360" w:lineRule="auto"/>
        <w:ind w:firstLine="420" w:firstLineChars="200"/>
        <w:rPr>
          <w:rFonts w:ascii="宋体" w:hAnsi="宋体" w:eastAsia="宋体"/>
          <w:color w:val="000000" w:themeColor="text1"/>
          <w:szCs w:val="21"/>
          <w14:textFill>
            <w14:solidFill>
              <w14:schemeClr w14:val="tx1"/>
            </w14:solidFill>
          </w14:textFill>
        </w:rPr>
      </w:pPr>
    </w:p>
    <w:p w14:paraId="1BEC765E">
      <w:pPr>
        <w:spacing w:line="360" w:lineRule="auto"/>
        <w:ind w:firstLine="420" w:firstLineChars="200"/>
        <w:rPr>
          <w:rFonts w:ascii="宋体" w:hAnsi="宋体" w:eastAsia="宋体"/>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5985C392">
      <w:pPr>
        <w:pStyle w:val="3"/>
        <w:jc w:val="center"/>
        <w:rPr>
          <w:rFonts w:ascii="宋体" w:hAnsi="宋体" w:eastAsia="宋体"/>
          <w:color w:val="000000" w:themeColor="text1"/>
          <w:sz w:val="30"/>
          <w:szCs w:val="30"/>
          <w14:textFill>
            <w14:solidFill>
              <w14:schemeClr w14:val="tx1"/>
            </w14:solidFill>
          </w14:textFill>
        </w:rPr>
      </w:pPr>
      <w:bookmarkStart w:id="4" w:name="_Toc198316059"/>
      <w:r>
        <w:rPr>
          <w:rFonts w:hint="eastAsia" w:ascii="宋体" w:hAnsi="宋体" w:eastAsia="宋体"/>
          <w:color w:val="000000" w:themeColor="text1"/>
          <w:sz w:val="30"/>
          <w:szCs w:val="30"/>
          <w14:textFill>
            <w14:solidFill>
              <w14:schemeClr w14:val="tx1"/>
            </w14:solidFill>
          </w14:textFill>
        </w:rPr>
        <w:t>第二</w:t>
      </w:r>
      <w:r>
        <w:rPr>
          <w:rFonts w:hint="eastAsia" w:ascii="宋体" w:hAnsi="宋体" w:eastAsia="宋体"/>
          <w:color w:val="000000" w:themeColor="text1"/>
          <w:spacing w:val="120"/>
          <w:sz w:val="30"/>
          <w:szCs w:val="30"/>
          <w14:textFill>
            <w14:solidFill>
              <w14:schemeClr w14:val="tx1"/>
            </w14:solidFill>
          </w14:textFill>
        </w:rPr>
        <w:t>节</w:t>
      </w:r>
      <w:r>
        <w:rPr>
          <w:rFonts w:hint="eastAsia" w:ascii="宋体" w:hAnsi="宋体" w:eastAsia="宋体"/>
          <w:color w:val="000000" w:themeColor="text1"/>
          <w:sz w:val="30"/>
          <w:szCs w:val="30"/>
          <w14:textFill>
            <w14:solidFill>
              <w14:schemeClr w14:val="tx1"/>
            </w14:solidFill>
          </w14:textFill>
        </w:rPr>
        <w:t>投标人须知正文</w:t>
      </w:r>
      <w:bookmarkEnd w:id="4"/>
    </w:p>
    <w:p w14:paraId="7BACA68E">
      <w:pPr>
        <w:pStyle w:val="4"/>
        <w:spacing w:before="0" w:after="0" w:line="240" w:lineRule="auto"/>
        <w:jc w:val="center"/>
        <w:rPr>
          <w:rFonts w:ascii="宋体" w:hAnsi="宋体" w:eastAsia="宋体"/>
          <w:color w:val="000000" w:themeColor="text1"/>
          <w14:textFill>
            <w14:solidFill>
              <w14:schemeClr w14:val="tx1"/>
            </w14:solidFill>
          </w14:textFill>
        </w:rPr>
      </w:pPr>
      <w:bookmarkStart w:id="5" w:name="_Toc198316060"/>
      <w:r>
        <w:rPr>
          <w:rFonts w:hint="eastAsia" w:ascii="宋体" w:hAnsi="宋体" w:eastAsia="宋体"/>
          <w:color w:val="000000" w:themeColor="text1"/>
          <w14:textFill>
            <w14:solidFill>
              <w14:schemeClr w14:val="tx1"/>
            </w14:solidFill>
          </w14:textFill>
        </w:rPr>
        <w:t>一、总则</w:t>
      </w:r>
      <w:bookmarkEnd w:id="5"/>
    </w:p>
    <w:p w14:paraId="297E92B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1.适用范围</w:t>
      </w:r>
    </w:p>
    <w:p w14:paraId="77CF5D8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适用法律：本项目采购人、采购代理机构、投标人、评标委员会的相关行为均受《中华人民共和国政府采购法》、《中华人民共和国政府采购法实施条例》、《政府采购货物和货物招标投标管理办法》及本项目本级和上级财政部门政府采购有关规定的约束和保护。</w:t>
      </w:r>
    </w:p>
    <w:p w14:paraId="694314B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1.2本招标文件适用于本项目的所有采购程序和环节（法律、法规另有规定的，从其规定）。</w:t>
      </w:r>
    </w:p>
    <w:p w14:paraId="4D7DF42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2.定义</w:t>
      </w:r>
    </w:p>
    <w:p w14:paraId="740CC0A1">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2.1“采购人”是指依法进行政府采购的国家机关、事业单位、团体组织。</w:t>
      </w:r>
    </w:p>
    <w:p w14:paraId="2846C45F">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2.2“采购代理机构”指政府采购集中采购机构和集中采购机构以外的采购代理机构。</w:t>
      </w:r>
    </w:p>
    <w:p w14:paraId="3DE828EF">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2.3“供应商”是指向采购人提供货物、工程或者服务的法人、其他组织或者自然人。</w:t>
      </w:r>
    </w:p>
    <w:p w14:paraId="0E772A0D">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2.4“投标人”是指响应招标、参加投标竞争的法人、非法人组织或者自然人。</w:t>
      </w:r>
    </w:p>
    <w:p w14:paraId="0C94E44E">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2.5“货物”是指各种形态和种类的物品，包括原材料、燃料、设备、产品等。</w:t>
      </w:r>
    </w:p>
    <w:p w14:paraId="470744E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2.6“售后服务”是指商品出售以后所提供的各种服务，包含但不限于投标人须承担的备品备件、包装、运输、装卸、保险、货到就位以及安装、调试、培训、保修以及其他各种服务。</w:t>
      </w:r>
    </w:p>
    <w:p w14:paraId="7CEC019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2.7“书面形式”是指合同书、信件和数据电文（包括电报、电传、传真、电子数据交换和电子邮件）等可以有形地表现所载内容的形式。</w:t>
      </w:r>
    </w:p>
    <w:p w14:paraId="0506520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2.8“实质性要求”是指招标文件中已经指明不满足则投标无效的条款，或者不能负偏离的条款，或者采购需求中带“▲”的条款。</w:t>
      </w:r>
    </w:p>
    <w:p w14:paraId="5E86A62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2.9“正偏离”，是指投标文件对招标文件“采购需求”中有关条款作出的响应优于条款要求并有利于采购人的情形。</w:t>
      </w:r>
    </w:p>
    <w:p w14:paraId="6EA0C91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2.10“负偏离”，是指投标文件对招标文件“采购需求”中有关条款作出的响应不满足条款要求，导致采购人要求不能得到满足的情形。</w:t>
      </w:r>
    </w:p>
    <w:p w14:paraId="294F1D3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2.11“允许负偏离的条款”是指采购需求中的不属于“实质性要求”的条款。</w:t>
      </w:r>
    </w:p>
    <w:p w14:paraId="5B1FD6A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3.投标人的资格要求</w:t>
      </w:r>
    </w:p>
    <w:p w14:paraId="6F7B06E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投标人的资格要求详见“招标公告”。</w:t>
      </w:r>
    </w:p>
    <w:p w14:paraId="5DC3DEB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4.投标委托</w:t>
      </w:r>
    </w:p>
    <w:p w14:paraId="3E452CB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投标人代表参加投标活动过程中必须携带个人有效身份证件。如投标人代表不是法定代表人，须持有法定代表人授权委托书（正本用原件，副本用复印件，按第六章要求格式填写）。</w:t>
      </w:r>
    </w:p>
    <w:p w14:paraId="7ED12E7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5.投标费用</w:t>
      </w:r>
    </w:p>
    <w:p w14:paraId="39F057B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投标费用：投标人应承担参与本次采购活动有关的所有费用，包括但不限于勘查现场、编制投标文件、参加澄清说明、签订合同等，不论投标结果如何，均应自行承担。</w:t>
      </w:r>
    </w:p>
    <w:p w14:paraId="54628C4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6.联合体投标</w:t>
      </w:r>
    </w:p>
    <w:p w14:paraId="63AD715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6.1本项目是否接受联合体投标，详见“投标人须知前附表”。</w:t>
      </w:r>
    </w:p>
    <w:p w14:paraId="0FE1EAC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6.2如接受联合体投标，联合体投标要求详见“投标人须知前附表”。</w:t>
      </w:r>
    </w:p>
    <w:p w14:paraId="68F7A0E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6.3根据《政府采购促进中小企业发展管理办法》（财库[2020]46号）第九条规定，接受大中型企业与小微企业组成联合体的采购项目，对于联合协议约定小微企业的合同份额占到合同总金额30%以上的，采购人、采购代理机构应当对联合体的报价给予4%-6%（工程项目为1%—2%）的扣除，用扣除后的价格参加评审。组成联合体的小微企业与联合体内其他企业、分包企业之间存在直接控股、管理关系的，不享受价格扣除优惠政策</w:t>
      </w:r>
    </w:p>
    <w:p w14:paraId="7EE510B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7.转包与分包</w:t>
      </w:r>
    </w:p>
    <w:p w14:paraId="34BE2E6B">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7F0789B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7.2根据《政府采购促进中小企业发展管理办法》（财库[2020]46号）第九条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14:paraId="5F3B69A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8.特别说明：</w:t>
      </w:r>
    </w:p>
    <w:p w14:paraId="055117CB">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8.1如果本招标文件要求投标人提供资格、信誉、荣誉、业绩与企业认证等材料的，则投标人所提供的以上材料必须为投标人所拥有。</w:t>
      </w:r>
    </w:p>
    <w:p w14:paraId="130A7E59">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8.2投标人应仔细阅读招标文件的所有内容，按照招标文件的要求提交投标文件，并对所提供的全部资料的真实性承担法律责任。</w:t>
      </w:r>
    </w:p>
    <w:p w14:paraId="149DC745">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8.3投标人在投标活动中提供任何虚假材料，将报监管部门查处；中标后发现的，中标人须依照《中华人民共和国消费者权益保护法》规定赔偿采购人，且民事赔偿并不免除违法投标人的行政与刑事责任。</w:t>
      </w:r>
    </w:p>
    <w:p w14:paraId="03F2589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9.回避与串通投标</w:t>
      </w:r>
    </w:p>
    <w:p w14:paraId="033E61DF">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9.1在政府采购活动中，采购人员及相关人员与供应商有下列利害关系之一的，应当回避：</w:t>
      </w:r>
    </w:p>
    <w:p w14:paraId="0B3D4B8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（1）参加采购活动前3年内与供应商存在劳动关系；</w:t>
      </w:r>
    </w:p>
    <w:p w14:paraId="498757A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（2）参加采购活动前3年内担任供应商的董事、监事；</w:t>
      </w:r>
    </w:p>
    <w:p w14:paraId="6839A74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（3）参加采购活动前3年内是供应商的控股股东或者实际控制人；</w:t>
      </w:r>
    </w:p>
    <w:p w14:paraId="06D40E2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（4）与供应商的法定代表人或者负责人有夫妻、直系血亲、三代以内旁系血亲或者近姻亲关系；</w:t>
      </w:r>
    </w:p>
    <w:p w14:paraId="102F346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（5）与供应商有其他可能影响政府采购活动公平、公正进行的关系。</w:t>
      </w:r>
    </w:p>
    <w:p w14:paraId="7DFA052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BA533D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9.2有下列情形之一的视为投标人相互串通投标，投标文件将被视为无效：</w:t>
      </w:r>
    </w:p>
    <w:p w14:paraId="0BC28445">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（1）不同投标人的投标文件由同一单位或者个人编制；或者不同投标人报名的IP地址一致的；或者不同投标人报名的IP地址一致的；或者编制标书硬件设备CPU编号、硬盘编号、网卡地址一致的情况。</w:t>
      </w:r>
    </w:p>
    <w:p w14:paraId="4058F15B">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（2）不同投标人委托同一单位或者个人办理投标事宜；</w:t>
      </w:r>
    </w:p>
    <w:p w14:paraId="2F3002EE">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（3）不同的投标人的投标文件载明的项目管理员为同一个人；</w:t>
      </w:r>
    </w:p>
    <w:p w14:paraId="5FED3A41">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（4）不同投标人的电子或纸质投标文件异常一致或者投标报价呈规律性差异；</w:t>
      </w:r>
    </w:p>
    <w:p w14:paraId="2AE0A8A1">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（5）不同投标人的纸质投标文件相互混装；</w:t>
      </w:r>
    </w:p>
    <w:p w14:paraId="07B1FA3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9.3供应商有下列情形之一的，属于恶意串通行为，将报同级监督管理部门：</w:t>
      </w:r>
    </w:p>
    <w:p w14:paraId="51D9B02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（1）供应商直接或者间接从采购人或者采购代理机构处获得其他供应商的相关信息并修改其投标文件或者投标文件；</w:t>
      </w:r>
    </w:p>
    <w:p w14:paraId="2747B8A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（2）供应商按照采购人或者采购代理机构的授意撤换、修改投标文件或者投标文件；</w:t>
      </w:r>
    </w:p>
    <w:p w14:paraId="0583115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（3）供应商之间协商报价、技术方案等投标文件或者投标文件的实质性内容；</w:t>
      </w:r>
    </w:p>
    <w:p w14:paraId="103D256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（4）属于同一集团、协会、商会等组织成员的供应商按照该组织要求协同参加政府采购活动；</w:t>
      </w:r>
    </w:p>
    <w:p w14:paraId="14D192E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（5）供应商之间事先约定一致抬高或者压低投标报价，或者在招标项目中事先约定轮流以高价位或者低价位中标，或者事先约定由某一特定供应商中标，然后再参加投标；</w:t>
      </w:r>
    </w:p>
    <w:p w14:paraId="46FC71C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（6）供应商之间商定部分供应商放弃参加政府采购活动或者放弃中标；</w:t>
      </w:r>
    </w:p>
    <w:p w14:paraId="5DA5569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（7）供应商与采购人或者采购代理机构之间、供应商相互之间，为谋求特定供应商中标或者排斥其他供应商的其他串通行为。</w:t>
      </w:r>
    </w:p>
    <w:p w14:paraId="2AF82917">
      <w:pPr>
        <w:spacing w:line="360" w:lineRule="auto"/>
        <w:ind w:firstLine="420" w:firstLineChars="200"/>
        <w:rPr>
          <w:rFonts w:ascii="宋体" w:hAnsi="宋体" w:eastAsia="宋体"/>
          <w:color w:val="000000" w:themeColor="text1"/>
          <w:szCs w:val="21"/>
          <w14:textFill>
            <w14:solidFill>
              <w14:schemeClr w14:val="tx1"/>
            </w14:solidFill>
          </w14:textFill>
        </w:rPr>
      </w:pPr>
    </w:p>
    <w:p w14:paraId="0D4D145A">
      <w:pPr>
        <w:pStyle w:val="4"/>
        <w:spacing w:before="0" w:after="0" w:line="240" w:lineRule="auto"/>
        <w:jc w:val="center"/>
        <w:rPr>
          <w:rFonts w:ascii="宋体" w:hAnsi="宋体" w:eastAsia="宋体"/>
          <w:color w:val="000000" w:themeColor="text1"/>
          <w14:textFill>
            <w14:solidFill>
              <w14:schemeClr w14:val="tx1"/>
            </w14:solidFill>
          </w14:textFill>
        </w:rPr>
      </w:pPr>
      <w:bookmarkStart w:id="6" w:name="_Toc198316061"/>
      <w:r>
        <w:rPr>
          <w:rFonts w:hint="eastAsia" w:ascii="宋体" w:hAnsi="宋体" w:eastAsia="宋体"/>
          <w:color w:val="000000" w:themeColor="text1"/>
          <w14:textFill>
            <w14:solidFill>
              <w14:schemeClr w14:val="tx1"/>
            </w14:solidFill>
          </w14:textFill>
        </w:rPr>
        <w:t>二、招标文件</w:t>
      </w:r>
      <w:bookmarkEnd w:id="6"/>
    </w:p>
    <w:p w14:paraId="61126EA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10.招标文件的组成</w:t>
      </w:r>
    </w:p>
    <w:p w14:paraId="1B2AD73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第一章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招标公告；</w:t>
      </w:r>
    </w:p>
    <w:p w14:paraId="558FA38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第二章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采购需求；</w:t>
      </w:r>
    </w:p>
    <w:p w14:paraId="0280B17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第三章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投标人须知；</w:t>
      </w:r>
    </w:p>
    <w:p w14:paraId="1E24995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第四章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评标方法及评标标准；</w:t>
      </w:r>
    </w:p>
    <w:p w14:paraId="7D1A7AA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第五章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拟签订的合同文本；</w:t>
      </w:r>
    </w:p>
    <w:p w14:paraId="7BE0AC1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第六章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投标文件格式；</w:t>
      </w:r>
    </w:p>
    <w:p w14:paraId="7537C52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第七章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质疑、投诉材料格式</w:t>
      </w:r>
    </w:p>
    <w:p w14:paraId="7793434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根据本章第11.1项的规定对公开招标文件所做的澄清、修改，构成招标文件的组成部分。当公开招标文件与招标文件的澄清和修改就同一内容的表述不一致时，以最后澄清或修改公告为准。</w:t>
      </w:r>
    </w:p>
    <w:p w14:paraId="6789F4F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11.招标文件的澄清、修改、现场考察和答疑会</w:t>
      </w:r>
    </w:p>
    <w:p w14:paraId="32872AF4">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0687A53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11.2投标人应认真审阅本公开招标文件，如有疑问，或发现其中有误或有要求不合理的，应在投标人须知前附表规定的投标截止时间前以书面形式要求采购人或采购代理机构对招标文件予以澄清；否则，由此产生的后果由投标人自行负责。</w:t>
      </w:r>
    </w:p>
    <w:p w14:paraId="1CD9E8E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11.3采购人或者采购代理机构可以对已发出的招标文件进行必要的澄清或者修改。澄清或者修改的内容可能影响投标文件编制的，采购人或者采购代理机构应当在投标截止时间至少15日前，以书面形式通知（在“投标人须知前附表”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6EC8A90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11.4采购人和采购代理机构可以视采购具体情况，变更投标截止时间和开标时间，将变更时间将在“投标人须知前附表”规定的政府采购信息发布媒体上发布更正公告。</w:t>
      </w:r>
    </w:p>
    <w:p w14:paraId="230A4E5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11.5采购人或者采购代理机构可以在招标文件提供期限截止后，组织已获取招标文件的潜在投标人现场考察或者召开开标前答疑会，具体详见“投标人须知前附表”。</w:t>
      </w:r>
    </w:p>
    <w:p w14:paraId="5D6C0166">
      <w:pPr>
        <w:pStyle w:val="4"/>
        <w:spacing w:before="0" w:after="0" w:line="240" w:lineRule="auto"/>
        <w:jc w:val="center"/>
        <w:rPr>
          <w:rFonts w:ascii="宋体" w:hAnsi="宋体" w:eastAsia="宋体"/>
          <w:color w:val="000000" w:themeColor="text1"/>
          <w14:textFill>
            <w14:solidFill>
              <w14:schemeClr w14:val="tx1"/>
            </w14:solidFill>
          </w14:textFill>
        </w:rPr>
      </w:pPr>
      <w:bookmarkStart w:id="7" w:name="_Toc198316062"/>
      <w:r>
        <w:rPr>
          <w:rFonts w:hint="eastAsia" w:ascii="宋体" w:hAnsi="宋体" w:eastAsia="宋体"/>
          <w:color w:val="000000" w:themeColor="text1"/>
          <w14:textFill>
            <w14:solidFill>
              <w14:schemeClr w14:val="tx1"/>
            </w14:solidFill>
          </w14:textFill>
        </w:rPr>
        <w:t>三、投标文件的编制</w:t>
      </w:r>
      <w:bookmarkEnd w:id="7"/>
    </w:p>
    <w:p w14:paraId="137E7CD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12.投标文件的编制原则</w:t>
      </w:r>
    </w:p>
    <w:p w14:paraId="76876B2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12.1投标人必须按照招标文件的要求编制投标文件。投标文件必须对招标文件提出的要求和条件作出明确响应。</w:t>
      </w:r>
    </w:p>
    <w:p w14:paraId="4427132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2A16CAC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13.投标文件的组成</w:t>
      </w:r>
    </w:p>
    <w:p w14:paraId="476D5D8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13.1投标文件由报价文件、资格证明文件、商务文件、技术文件四部分组成。</w:t>
      </w:r>
    </w:p>
    <w:p w14:paraId="49A9D0D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（1）资格证明文件：具体材料见“投标人须知前附表”。</w:t>
      </w:r>
    </w:p>
    <w:p w14:paraId="12BDCF4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（2）商务文件：具体材料见“投标人须知前附表”。</w:t>
      </w:r>
    </w:p>
    <w:p w14:paraId="16C5A45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（3）技术文件：具体材料见“投标人须知前附表”。</w:t>
      </w:r>
    </w:p>
    <w:p w14:paraId="373E9DB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（4）报价文件：具体材料见“投标人须知前附表”。</w:t>
      </w:r>
    </w:p>
    <w:p w14:paraId="7835FFF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13.2投标文件电子版：具体要求见本节19.投标文件编制。</w:t>
      </w:r>
    </w:p>
    <w:p w14:paraId="4AAADD8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14.投标文件的语言及计量</w:t>
      </w:r>
    </w:p>
    <w:p w14:paraId="1800B87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14.1语言文字</w:t>
      </w:r>
    </w:p>
    <w:p w14:paraId="6EB0965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0783CEB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14.2投标计量单位</w:t>
      </w:r>
    </w:p>
    <w:p w14:paraId="669EE16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招标文件已有明确规定的，使用招标文件规定的计量单位；招标文件没有规定的，应采用中华人民共和国法定计量单位，货币种类为人民币，否则视同未响应。</w:t>
      </w:r>
    </w:p>
    <w:p w14:paraId="7839335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15.投标的风险</w:t>
      </w:r>
    </w:p>
    <w:p w14:paraId="45732FB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ascii="宋体" w:hAnsi="宋体" w:eastAsia="宋体"/>
          <w:b/>
          <w:color w:val="000000" w:themeColor="text1"/>
          <w:szCs w:val="21"/>
          <w14:textFill>
            <w14:solidFill>
              <w14:schemeClr w14:val="tx1"/>
            </w14:solidFill>
          </w14:textFill>
        </w:rPr>
        <w:t>▲投标文件未按规定的格式编制的、没有按照招标文件要求提供全部资料、没有对招标文件作出实质性响应，投标无效。</w:t>
      </w:r>
    </w:p>
    <w:p w14:paraId="6EF9CE8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16.投标报价</w:t>
      </w:r>
    </w:p>
    <w:p w14:paraId="0075DFF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16.1投标报价应按“第六章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投标文件格式”中“开标一览表”格式填写。</w:t>
      </w:r>
    </w:p>
    <w:p w14:paraId="451E2AE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16.2投标报价具体包括内容详见“投标人须知前附表”。</w:t>
      </w:r>
    </w:p>
    <w:p w14:paraId="3160926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16.3投标人必须就所投每个分标的全部内容分别作完整唯一总价报价，不得存在漏项报价；投标人必须就所投分标的单项内容作唯一报价。</w:t>
      </w:r>
    </w:p>
    <w:p w14:paraId="60DE088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17.投标有效期</w:t>
      </w:r>
    </w:p>
    <w:p w14:paraId="40F943C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17.1投标有效期是指为保证采购人有足够的时间在开标后完成评标、定标、合同签订等工作而要求投标人提交的投标文件在一定时间内保持有效的期限。</w:t>
      </w:r>
    </w:p>
    <w:p w14:paraId="35AB3B3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17.2投标有效期应按规定的期限作出承诺，具体详见“投标人须知前附表”。</w:t>
      </w:r>
    </w:p>
    <w:p w14:paraId="050B466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17.3投标人的投标文件在投标有效期内均保持有效。</w:t>
      </w:r>
    </w:p>
    <w:p w14:paraId="1C97E72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18.投标保证金</w:t>
      </w:r>
    </w:p>
    <w:p w14:paraId="0A8CB7C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见“投标人须知前附表”。</w:t>
      </w:r>
    </w:p>
    <w:p w14:paraId="53737F5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19.投标文件的编制</w:t>
      </w:r>
    </w:p>
    <w:p w14:paraId="10E85CC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p>
    <w:p w14:paraId="3D3D39E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19.2投标文件按照招标文件第六章格式要求在规定位置进行签署、盖章。投标人的投标文件未按照招标文件要求签署、盖章的，</w:t>
      </w:r>
      <w:r>
        <w:rPr>
          <w:rFonts w:hint="eastAsia" w:ascii="宋体" w:hAnsi="宋体" w:eastAsia="宋体"/>
          <w:b/>
          <w:color w:val="000000" w:themeColor="text1"/>
          <w:szCs w:val="21"/>
          <w14:textFill>
            <w14:solidFill>
              <w14:schemeClr w14:val="tx1"/>
            </w14:solidFill>
          </w14:textFill>
        </w:rPr>
        <w:t>其投标无效。</w:t>
      </w:r>
      <w:r>
        <w:rPr>
          <w:rFonts w:hint="eastAsia" w:ascii="宋体" w:hAnsi="宋体" w:eastAsia="宋体"/>
          <w:color w:val="000000" w:themeColor="text1"/>
          <w:szCs w:val="21"/>
          <w14:textFill>
            <w14:solidFill>
              <w14:schemeClr w14:val="tx1"/>
            </w14:solidFill>
          </w14:textFill>
        </w:rPr>
        <w:t>骑缝盖公章不视为在规定位置盖章。</w:t>
      </w:r>
    </w:p>
    <w:p w14:paraId="70E24DE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19.3为确保网上操作合法、有效和安全，投标人应当在投标截止时间前完成在广西政府采购云平台的身份认证，确保在电子投标过程中能够对相关数据电文进行加密和使用电子签名。</w:t>
      </w:r>
    </w:p>
    <w:p w14:paraId="34D420C4">
      <w:pPr>
        <w:spacing w:line="360" w:lineRule="auto"/>
        <w:ind w:firstLine="422" w:firstLineChars="200"/>
        <w:rPr>
          <w:rFonts w:ascii="宋体" w:hAnsi="宋体" w:eastAsia="宋体"/>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19.4投标文件中标注的投标人名称应与主体资格证明（如营业执照、事业单位法人证书、执业许可证、自然人身份证等）及公章一致，</w:t>
      </w:r>
      <w:r>
        <w:rPr>
          <w:rFonts w:hint="eastAsia" w:ascii="宋体" w:hAnsi="宋体" w:eastAsia="宋体"/>
          <w:color w:val="000000" w:themeColor="text1"/>
          <w:szCs w:val="21"/>
          <w14:textFill>
            <w14:solidFill>
              <w14:schemeClr w14:val="tx1"/>
            </w14:solidFill>
          </w14:textFill>
        </w:rPr>
        <w:t>否则作无效投标处理。</w:t>
      </w:r>
    </w:p>
    <w:p w14:paraId="48F9C45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19.5投标文件应避免涂改、行间插字或者删除，</w:t>
      </w:r>
      <w:r>
        <w:rPr>
          <w:rFonts w:hint="eastAsia" w:ascii="宋体" w:hAnsi="宋体" w:eastAsia="宋体"/>
          <w:b/>
          <w:color w:val="000000" w:themeColor="text1"/>
          <w:szCs w:val="21"/>
          <w14:textFill>
            <w14:solidFill>
              <w14:schemeClr w14:val="tx1"/>
            </w14:solidFill>
          </w14:textFill>
        </w:rPr>
        <w:t>否则其投标无效。</w:t>
      </w:r>
    </w:p>
    <w:p w14:paraId="30EEF05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19.6对招标文件的实质性要求和条件作出响应是指投标人必须对招标文件中标注为实质性要求和条件的货物内容及要求、商务条款及其它内容</w:t>
      </w:r>
      <w:r>
        <w:rPr>
          <w:rFonts w:hint="eastAsia" w:ascii="宋体" w:hAnsi="宋体" w:eastAsia="宋体"/>
          <w:b/>
          <w:color w:val="000000" w:themeColor="text1"/>
          <w:szCs w:val="21"/>
          <w14:textFill>
            <w14:solidFill>
              <w14:schemeClr w14:val="tx1"/>
            </w14:solidFill>
          </w14:textFill>
        </w:rPr>
        <w:t>作出满足或者优于原要求和条件的承诺。</w:t>
      </w:r>
    </w:p>
    <w:p w14:paraId="5987EBB0">
      <w:pPr>
        <w:spacing w:line="360" w:lineRule="auto"/>
        <w:ind w:firstLine="422" w:firstLineChars="200"/>
        <w:rPr>
          <w:rFonts w:ascii="宋体" w:hAnsi="宋体" w:eastAsia="宋体"/>
          <w:b/>
          <w:color w:val="000000" w:themeColor="text1"/>
          <w:szCs w:val="21"/>
          <w:u w:val="single"/>
          <w14:textFill>
            <w14:solidFill>
              <w14:schemeClr w14:val="tx1"/>
            </w14:solidFill>
          </w14:textFill>
        </w:rPr>
      </w:pPr>
      <w:r>
        <w:rPr>
          <w:rFonts w:hint="eastAsia" w:ascii="宋体" w:hAnsi="宋体" w:eastAsia="宋体"/>
          <w:b/>
          <w:color w:val="000000" w:themeColor="text1"/>
          <w:szCs w:val="21"/>
          <w:u w:val="single"/>
          <w14:textFill>
            <w14:solidFill>
              <w14:schemeClr w14:val="tx1"/>
            </w14:solidFill>
          </w14:textFill>
        </w:rPr>
        <w:t>19.7本项目为南宁市全流程电子化项目，异常情况见“第二节投标人须知正文”中“四、24.2开标程序。</w:t>
      </w:r>
    </w:p>
    <w:p w14:paraId="4E6998D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20.备份投标文件</w:t>
      </w:r>
    </w:p>
    <w:p w14:paraId="4419BBD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详见在“投标人须知前附表”。</w:t>
      </w:r>
    </w:p>
    <w:p w14:paraId="2A47D60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21.投标文件的提交</w:t>
      </w:r>
    </w:p>
    <w:p w14:paraId="20E9FFB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广西政府采购云平台”。</w:t>
      </w:r>
    </w:p>
    <w:p w14:paraId="4C02F188">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21.2未在规定时间内提交或者未按照招标文件要求密封或者标记的电子投标文件，广西政府采购云平台将拒收。</w:t>
      </w:r>
    </w:p>
    <w:p w14:paraId="27F8CC2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21.3电子版投标文件提交方式见“招标公告”中“四、提交投标文件截止时间、开标时间和地点”。</w:t>
      </w:r>
    </w:p>
    <w:p w14:paraId="0EBC63D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22.投标文件的补充、修改、撤回与退回</w:t>
      </w:r>
    </w:p>
    <w:p w14:paraId="6C4ECBA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22.1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公告附件“电子投标文件制作与投送教程”）</w:t>
      </w:r>
    </w:p>
    <w:p w14:paraId="25E7A76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22.2广西政府采购云平台收到投标文件，将妥善保存并即时向供应商发出确认回执通知。在投标截止时间前，除供应商补充、修改或者撤回投标文件外，任何单位和个人不得解密或提取投标文件。</w:t>
      </w:r>
    </w:p>
    <w:p w14:paraId="430CE25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22.3在投标截止时间止提交电子版投标文件的投标人不足3家时，电子版投标文件由代理机构在广西政府采购云平台操作退回，除此之外采购人和采购代理机构对已提交的投标文件概不退回。</w:t>
      </w:r>
    </w:p>
    <w:p w14:paraId="60533276">
      <w:pPr>
        <w:pStyle w:val="4"/>
        <w:spacing w:before="0" w:after="0" w:line="240" w:lineRule="auto"/>
        <w:jc w:val="center"/>
        <w:rPr>
          <w:rFonts w:ascii="宋体" w:hAnsi="宋体" w:eastAsia="宋体"/>
          <w:color w:val="000000" w:themeColor="text1"/>
          <w14:textFill>
            <w14:solidFill>
              <w14:schemeClr w14:val="tx1"/>
            </w14:solidFill>
          </w14:textFill>
        </w:rPr>
      </w:pPr>
      <w:bookmarkStart w:id="8" w:name="_Toc198316063"/>
      <w:r>
        <w:rPr>
          <w:rFonts w:hint="eastAsia" w:ascii="宋体" w:hAnsi="宋体" w:eastAsia="宋体"/>
          <w:color w:val="000000" w:themeColor="text1"/>
          <w14:textFill>
            <w14:solidFill>
              <w14:schemeClr w14:val="tx1"/>
            </w14:solidFill>
          </w14:textFill>
        </w:rPr>
        <w:t>四、开标</w:t>
      </w:r>
      <w:bookmarkEnd w:id="8"/>
    </w:p>
    <w:p w14:paraId="72C3CE6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23.开标时间和地点</w:t>
      </w:r>
    </w:p>
    <w:p w14:paraId="5CD32B9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23.1开标时间及地点详见“投标人须知前附表”</w:t>
      </w:r>
    </w:p>
    <w:p w14:paraId="2C3B898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23.2如投标人成功解密投标文件，但未在“广西政府采购云平台”电子开标大厅参加开标的，视同认可开标过程和结果，由此产生的后果由投标人自行负责。投标人不足3家的，不得开标。</w:t>
      </w:r>
    </w:p>
    <w:p w14:paraId="03180C2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24.开标程序</w:t>
      </w:r>
    </w:p>
    <w:p w14:paraId="4C974DF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24.1开标形式：</w:t>
      </w:r>
    </w:p>
    <w:p w14:paraId="639805F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（1）开标的准备工作由采购代理机构负责落实，采购代理机构必须基于广西政府采购云平台选取评审专家，如采购代理机构未按规定选取专家的，视为本次开评标无效，应当重新采购；</w:t>
      </w:r>
    </w:p>
    <w:p w14:paraId="5A295C1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7FBE171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24.2开标程序：</w:t>
      </w:r>
    </w:p>
    <w:p w14:paraId="3A88FDE3">
      <w:pPr>
        <w:spacing w:line="360" w:lineRule="auto"/>
        <w:ind w:firstLine="422" w:firstLineChars="200"/>
        <w:rPr>
          <w:rFonts w:ascii="宋体" w:hAnsi="宋体" w:eastAsia="宋体"/>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（1）解密电子投标文件。广西政府采购云平台</w:t>
      </w:r>
      <w:r>
        <w:rPr>
          <w:rFonts w:hint="eastAsia" w:ascii="宋体" w:hAnsi="宋体" w:eastAsia="宋体"/>
          <w:color w:val="000000" w:themeColor="text1"/>
          <w:szCs w:val="21"/>
          <w14:textFill>
            <w14:solidFill>
              <w14:schemeClr w14:val="tx1"/>
            </w14:solidFill>
          </w14:textFill>
        </w:rPr>
        <w:t>按开标时间自动提取所有投标文件。采购代理机构依托广西政府采购云平台向各投标人发出电子加密投标文件【开始解密】通知，由投标人按招标文件规定的时间内自行进行投标文件解密。投标人的法定代表人或其委托代理人须</w:t>
      </w:r>
      <w:r>
        <w:rPr>
          <w:rFonts w:hint="eastAsia" w:ascii="宋体" w:hAnsi="宋体" w:eastAsia="宋体"/>
          <w:b/>
          <w:color w:val="000000" w:themeColor="text1"/>
          <w:szCs w:val="21"/>
          <w14:textFill>
            <w14:solidFill>
              <w14:schemeClr w14:val="tx1"/>
            </w14:solidFill>
          </w14:textFill>
        </w:rPr>
        <w:t>携带加密时所用的CA锁准时登录到广西政府采购云平台电子开标大厅签到并对电子投标文件解密</w:t>
      </w:r>
      <w:r>
        <w:rPr>
          <w:rFonts w:hint="eastAsia" w:ascii="宋体" w:hAnsi="宋体" w:eastAsia="宋体"/>
          <w:color w:val="000000" w:themeColor="text1"/>
          <w:szCs w:val="21"/>
          <w14:textFill>
            <w14:solidFill>
              <w14:schemeClr w14:val="tx1"/>
            </w14:solidFill>
          </w14:textFill>
        </w:rPr>
        <w:t>。开标后5分钟投标人还未进行解密的，代理机构要通知投标人。通知后，投标文件仍未按时解密，或者投标人没预留联系方式或预留联系方式无效，导致代理机构无法联系到投标人进行解密的，</w:t>
      </w:r>
      <w:r>
        <w:rPr>
          <w:rFonts w:hint="eastAsia" w:ascii="宋体" w:hAnsi="宋体" w:eastAsia="宋体"/>
          <w:b/>
          <w:color w:val="000000" w:themeColor="text1"/>
          <w:szCs w:val="21"/>
          <w14:textFill>
            <w14:solidFill>
              <w14:schemeClr w14:val="tx1"/>
            </w14:solidFill>
          </w14:textFill>
        </w:rPr>
        <w:t>均视为无效投标</w:t>
      </w:r>
      <w:r>
        <w:rPr>
          <w:rFonts w:hint="eastAsia" w:ascii="宋体" w:hAnsi="宋体" w:eastAsia="宋体"/>
          <w:color w:val="000000" w:themeColor="text1"/>
          <w:szCs w:val="21"/>
          <w14:textFill>
            <w14:solidFill>
              <w14:schemeClr w14:val="tx1"/>
            </w14:solidFill>
          </w14:textFill>
        </w:rPr>
        <w:t>。</w:t>
      </w:r>
    </w:p>
    <w:p w14:paraId="3480C53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（解密异常情况处理：详见本章29.3电子交易活动的中止。）</w:t>
      </w:r>
    </w:p>
    <w:p w14:paraId="4B1A50A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r>
        <w:rPr>
          <w:rFonts w:hint="eastAsia" w:ascii="宋体" w:hAnsi="宋体" w:eastAsia="宋体"/>
          <w:b/>
          <w:color w:val="000000" w:themeColor="text1"/>
          <w:szCs w:val="21"/>
          <w14:textFill>
            <w14:solidFill>
              <w14:schemeClr w14:val="tx1"/>
            </w14:solidFill>
          </w14:textFill>
        </w:rPr>
        <w:t>电子唱标</w:t>
      </w:r>
      <w:r>
        <w:rPr>
          <w:rFonts w:hint="eastAsia" w:ascii="宋体" w:hAnsi="宋体" w:eastAsia="宋体"/>
          <w:color w:val="000000" w:themeColor="text1"/>
          <w:szCs w:val="21"/>
          <w14:textFill>
            <w14:solidFill>
              <w14:schemeClr w14:val="tx1"/>
            </w14:solidFill>
          </w14:textFill>
        </w:rPr>
        <w:t>。投标文件解密结束，各投标供应商报价均在广西政府采购云平台远程不见面开标大厅展示；</w:t>
      </w:r>
    </w:p>
    <w:p w14:paraId="4B940A2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w:t>
      </w:r>
      <w:r>
        <w:rPr>
          <w:rFonts w:hint="eastAsia" w:ascii="宋体" w:hAnsi="宋体" w:eastAsia="宋体"/>
          <w:b/>
          <w:color w:val="000000" w:themeColor="text1"/>
          <w:szCs w:val="21"/>
          <w14:textFill>
            <w14:solidFill>
              <w14:schemeClr w14:val="tx1"/>
            </w14:solidFill>
          </w14:textFill>
        </w:rPr>
        <w:t>签署电子《政府采购活动现场确认声明书》</w:t>
      </w:r>
      <w:r>
        <w:rPr>
          <w:rFonts w:hint="eastAsia" w:ascii="宋体" w:hAnsi="宋体" w:eastAsia="宋体"/>
          <w:color w:val="000000" w:themeColor="text1"/>
          <w:szCs w:val="21"/>
          <w14:textFill>
            <w14:solidFill>
              <w14:schemeClr w14:val="tx1"/>
            </w14:solidFill>
          </w14:textFill>
        </w:rPr>
        <w:t>。通过邮件形式在远程不见面开标大厅发送各投标人签署电子《政府采购活动现场确认声明书》。</w:t>
      </w:r>
    </w:p>
    <w:p w14:paraId="09574A7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（4）开标过程由采购代理机构如实记录，并电子留痕，由参加电子开标的各投标人代表对电子开标记录在开标记录公布后15分钟内进行当场校核及勘误，并线上确认，未确认的视同认可开标结果。</w:t>
      </w:r>
    </w:p>
    <w:p w14:paraId="74CFD90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64C66ED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（6）开标结束。</w:t>
      </w:r>
    </w:p>
    <w:p w14:paraId="2B96DAB0">
      <w:pPr>
        <w:spacing w:line="360" w:lineRule="auto"/>
        <w:ind w:firstLine="422" w:firstLineChars="200"/>
        <w:rPr>
          <w:rFonts w:ascii="宋体" w:hAnsi="宋体" w:eastAsia="宋体"/>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特别说明</w:t>
      </w:r>
      <w:r>
        <w:rPr>
          <w:rFonts w:hint="eastAsia" w:ascii="宋体" w:hAnsi="宋体" w:eastAsia="宋体"/>
          <w:color w:val="000000" w:themeColor="text1"/>
          <w:szCs w:val="21"/>
          <w14:textFill>
            <w14:solidFill>
              <w14:schemeClr w14:val="tx1"/>
            </w14:solidFill>
          </w14:textFill>
        </w:rPr>
        <w:t>：如遇广西政府采购云平台电子化开标或评审程序调整的，按调整后执行。</w:t>
      </w:r>
    </w:p>
    <w:p w14:paraId="55506EB3">
      <w:pPr>
        <w:pStyle w:val="4"/>
        <w:spacing w:before="0" w:after="0" w:line="240" w:lineRule="auto"/>
        <w:jc w:val="center"/>
        <w:rPr>
          <w:rFonts w:ascii="宋体" w:hAnsi="宋体" w:eastAsia="宋体"/>
          <w:color w:val="000000" w:themeColor="text1"/>
          <w14:textFill>
            <w14:solidFill>
              <w14:schemeClr w14:val="tx1"/>
            </w14:solidFill>
          </w14:textFill>
        </w:rPr>
      </w:pPr>
      <w:bookmarkStart w:id="9" w:name="_Toc198316064"/>
      <w:r>
        <w:rPr>
          <w:rFonts w:hint="eastAsia" w:ascii="宋体" w:hAnsi="宋体" w:eastAsia="宋体"/>
          <w:color w:val="000000" w:themeColor="text1"/>
          <w14:textFill>
            <w14:solidFill>
              <w14:schemeClr w14:val="tx1"/>
            </w14:solidFill>
          </w14:textFill>
        </w:rPr>
        <w:t>五、资格审查</w:t>
      </w:r>
      <w:bookmarkEnd w:id="9"/>
    </w:p>
    <w:p w14:paraId="09B39DED">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25.资格审查</w:t>
      </w:r>
    </w:p>
    <w:p w14:paraId="4ABE38DB">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25.1开标结束后，采购人或采购机构依法通过电子投标文件对投标人的资格进行线上审查。</w:t>
      </w:r>
    </w:p>
    <w:p w14:paraId="7E980664">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25.2采购人或采购机构依据法律法规和招标文件的规定，对投标人的基本资格条件、特定资格条件进行审查。</w:t>
      </w:r>
    </w:p>
    <w:p w14:paraId="293A2C8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25.3资格审查标准为本“招标文件”中“投标人须知前附表”13.1点载明对投标人资格要求的条件。本项目资格审查采用合格制，凡符合招标文件规定的投标人资格要求的投标人均通过资格审查。</w:t>
      </w:r>
    </w:p>
    <w:p w14:paraId="37CC11BD">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25.4投标人有下列情形之一的，资格审查不通过，作无效投标处理：</w:t>
      </w:r>
    </w:p>
    <w:p w14:paraId="2AD1447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（1）不具备招标文件中规定的资格要求的；（注：其中信用查询规则见“投标人须知前附表”，广西政府采购云平台已与“信用中国”平台做接口，审查专家可直接在线查询）</w:t>
      </w:r>
    </w:p>
    <w:p w14:paraId="393B998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（2）投标文件未提供任一项“投标人须知前附表”资格证明文件规定的“必须提供”的文件资料的；</w:t>
      </w:r>
    </w:p>
    <w:p w14:paraId="3E7D171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（3）投标文件提供的资格证明文件出现任一项不符合“投标人须知前附表”资格证明文件规定的“必须提供”的文件资料要求或者无效的。</w:t>
      </w:r>
    </w:p>
    <w:p w14:paraId="5FEBF21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25.5资格审查的合格投标人不足3家的，不得评标。</w:t>
      </w:r>
    </w:p>
    <w:p w14:paraId="79B47982">
      <w:pPr>
        <w:pStyle w:val="4"/>
        <w:spacing w:before="0" w:after="0" w:line="240" w:lineRule="auto"/>
        <w:jc w:val="center"/>
        <w:rPr>
          <w:rFonts w:ascii="宋体" w:hAnsi="宋体" w:eastAsia="宋体"/>
          <w:color w:val="000000" w:themeColor="text1"/>
          <w14:textFill>
            <w14:solidFill>
              <w14:schemeClr w14:val="tx1"/>
            </w14:solidFill>
          </w14:textFill>
        </w:rPr>
      </w:pPr>
      <w:bookmarkStart w:id="10" w:name="_Toc198316065"/>
      <w:r>
        <w:rPr>
          <w:rFonts w:hint="eastAsia" w:ascii="宋体" w:hAnsi="宋体" w:eastAsia="宋体"/>
          <w:color w:val="000000" w:themeColor="text1"/>
          <w14:textFill>
            <w14:solidFill>
              <w14:schemeClr w14:val="tx1"/>
            </w14:solidFill>
          </w14:textFill>
        </w:rPr>
        <w:t>六、评标</w:t>
      </w:r>
      <w:bookmarkEnd w:id="10"/>
    </w:p>
    <w:p w14:paraId="1BA65FC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26.组建评标委员会</w:t>
      </w:r>
    </w:p>
    <w:p w14:paraId="58B5DA6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评标委员会由采购人代表和评审专家组成，人数为5人以上单数，其中评审专家不得少于成员总数的三分之二。</w:t>
      </w:r>
    </w:p>
    <w:p w14:paraId="5389156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参加过采购项目前期咨询论证的专家，不得参加该采购项目的评审活动。</w:t>
      </w:r>
    </w:p>
    <w:p w14:paraId="4D063AA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27.评标的依据</w:t>
      </w:r>
    </w:p>
    <w:p w14:paraId="0303E6C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评标委员会以招标文件为依据对投标文件进行评审，“第四章评标方法和评标标准”没有规定的方法、评审因素和标准，不作为评标依据。</w:t>
      </w:r>
    </w:p>
    <w:p w14:paraId="47B9A4F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28.评标原则</w:t>
      </w:r>
    </w:p>
    <w:p w14:paraId="37FB039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33C63AA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28.2评委表决。在评标过程中出现法律法规和招标文件均没有明确规定的情形时，由评标委员会现场协商解决，协商不一致的，由全体评委投票表决，以得票率二分之一以上专家的意见为准并由采购代理机构作记录。</w:t>
      </w:r>
    </w:p>
    <w:p w14:paraId="56C527B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64911B1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28.4评标过程的监控。本项目电子评标过程实行网上留痕、全程录音、录像监控，投标人在评标过程中所进行的试图影响评标结果的不公正活动，可能导致其投标按无效处理。</w:t>
      </w:r>
    </w:p>
    <w:p w14:paraId="2DC89D5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0447F81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29.评标方法及评标标准</w:t>
      </w:r>
    </w:p>
    <w:p w14:paraId="5805E8D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29.1本项目的评标方法详见“投标人须知前附表”。</w:t>
      </w:r>
    </w:p>
    <w:p w14:paraId="75C17EE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29.2评标委员会按照</w:t>
      </w:r>
      <w:r>
        <w:rPr>
          <w:rFonts w:hint="eastAsia" w:ascii="宋体" w:hAnsi="宋体" w:eastAsia="宋体"/>
          <w:b/>
          <w:color w:val="000000" w:themeColor="text1"/>
          <w:szCs w:val="21"/>
          <w14:textFill>
            <w14:solidFill>
              <w14:schemeClr w14:val="tx1"/>
            </w14:solidFill>
          </w14:textFill>
        </w:rPr>
        <w:t>“第四章评标方法和评标标准”</w:t>
      </w:r>
      <w:r>
        <w:rPr>
          <w:rFonts w:hint="eastAsia" w:ascii="宋体" w:hAnsi="宋体" w:eastAsia="宋体"/>
          <w:color w:val="000000" w:themeColor="text1"/>
          <w:szCs w:val="21"/>
          <w14:textFill>
            <w14:solidFill>
              <w14:schemeClr w14:val="tx1"/>
            </w14:solidFill>
          </w14:textFill>
        </w:rPr>
        <w:t>规定的方法、评审因素、标准和程序对投标文件进行评审。</w:t>
      </w:r>
    </w:p>
    <w:p w14:paraId="1B2F449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29.3电子交易活动的中止。采购过程中出现以下情形，导致电子交易平台无法正常运行，或者无法保证电子交易的公平、公正和安全时，采购机构可中止电子交易活动：</w:t>
      </w:r>
    </w:p>
    <w:p w14:paraId="7F67C78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（1）电子交易平台发生故障而无法登录访问的；</w:t>
      </w:r>
    </w:p>
    <w:p w14:paraId="4B5F2C8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（2）电子交易平台应用或数据库出现错误，不能进行正常操作的；</w:t>
      </w:r>
    </w:p>
    <w:p w14:paraId="1D3B71B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（3）电子交易平台发现严重安全漏洞，有潜在泄密危险的；</w:t>
      </w:r>
    </w:p>
    <w:p w14:paraId="0C87127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（4）病毒发作导致不能进行正常操作的；</w:t>
      </w:r>
    </w:p>
    <w:p w14:paraId="34DC188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（4）其他无法保证电子交易的公平、公正和安全的情况。</w:t>
      </w:r>
    </w:p>
    <w:p w14:paraId="7AA6B15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67EE2175">
      <w:pPr>
        <w:pStyle w:val="4"/>
        <w:spacing w:before="0" w:after="0" w:line="240" w:lineRule="auto"/>
        <w:jc w:val="center"/>
        <w:rPr>
          <w:rFonts w:ascii="宋体" w:hAnsi="宋体" w:eastAsia="宋体"/>
          <w:color w:val="000000" w:themeColor="text1"/>
          <w14:textFill>
            <w14:solidFill>
              <w14:schemeClr w14:val="tx1"/>
            </w14:solidFill>
          </w14:textFill>
        </w:rPr>
      </w:pPr>
      <w:bookmarkStart w:id="11" w:name="_Toc198316066"/>
      <w:r>
        <w:rPr>
          <w:rFonts w:hint="eastAsia" w:ascii="宋体" w:hAnsi="宋体" w:eastAsia="宋体"/>
          <w:color w:val="000000" w:themeColor="text1"/>
          <w14:textFill>
            <w14:solidFill>
              <w14:schemeClr w14:val="tx1"/>
            </w14:solidFill>
          </w14:textFill>
        </w:rPr>
        <w:t>七、中标和合同</w:t>
      </w:r>
      <w:bookmarkEnd w:id="11"/>
    </w:p>
    <w:p w14:paraId="3586710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30.确定中标人</w:t>
      </w:r>
    </w:p>
    <w:p w14:paraId="01AAE620">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30.1本项目授权评标委员会直接按第四章“评标方法及标准”的规定排列中标候选人顺序，并依照次序确定中标人。</w:t>
      </w:r>
    </w:p>
    <w:p w14:paraId="144AFF2B">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30.2提供相同品牌产品且通过资格审查、符合性审查的不同投标人参加同一合同项下投标的，按一家投标人计算，采用最低评标价法则以报价最低者参与评标，采用综合评分法则以评审得分最高者获得中标人推荐资格，采用最低评标价法报价相同的或者采用综合评分法评审得分相同的，按“投标人须知前附表”规定方式确定，确定后其他同品牌投标人投标无效或不作为中标候选人。</w:t>
      </w:r>
    </w:p>
    <w:p w14:paraId="1C2BC82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30.3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56AB2FA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30.4中标人无正当理由拒签合同的，根据《中华人民共和国政府采购法》第七十七条第一款规定处理。</w:t>
      </w:r>
    </w:p>
    <w:p w14:paraId="004EFFB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30.5根据《中华人民共和国民法典》第五百六十三条，因不可抗力致使不能实现合同目的的，当事人可以解除合同。</w:t>
      </w:r>
    </w:p>
    <w:p w14:paraId="71B3F8B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31.结果公告</w:t>
      </w:r>
    </w:p>
    <w:p w14:paraId="2059BFB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31.1在中标人确定之日起2个工作日内，由采购代理机构</w:t>
      </w:r>
      <w:r>
        <w:rPr>
          <w:rFonts w:hint="eastAsia" w:ascii="宋体" w:hAnsi="宋体" w:eastAsia="宋体"/>
          <w:b/>
          <w:color w:val="000000" w:themeColor="text1"/>
          <w:szCs w:val="21"/>
          <w14:textFill>
            <w14:solidFill>
              <w14:schemeClr w14:val="tx1"/>
            </w14:solidFill>
          </w14:textFill>
        </w:rPr>
        <w:t>在招标公告发布媒体上</w:t>
      </w:r>
      <w:r>
        <w:rPr>
          <w:rFonts w:hint="eastAsia" w:ascii="宋体" w:hAnsi="宋体" w:eastAsia="宋体"/>
          <w:color w:val="000000" w:themeColor="text1"/>
          <w:szCs w:val="21"/>
          <w14:textFill>
            <w14:solidFill>
              <w14:schemeClr w14:val="tx1"/>
            </w14:solidFill>
          </w14:textFill>
        </w:rPr>
        <w:t>发布中标结果公告，中标结果公告期限为1个工作日，发布中标结果公告的同时向中标人发出中标通知书。</w:t>
      </w:r>
      <w:r>
        <w:rPr>
          <w:rFonts w:hint="eastAsia" w:ascii="宋体" w:hAnsi="宋体" w:eastAsia="宋体"/>
          <w:b/>
          <w:color w:val="000000" w:themeColor="text1"/>
          <w:szCs w:val="21"/>
          <w14:textFill>
            <w14:solidFill>
              <w14:schemeClr w14:val="tx1"/>
            </w14:solidFill>
          </w14:textFill>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人</w:t>
      </w:r>
      <w:r>
        <w:rPr>
          <w:rFonts w:hint="eastAsia" w:ascii="宋体" w:hAnsi="宋体" w:eastAsia="宋体"/>
          <w:color w:val="000000" w:themeColor="text1"/>
          <w:szCs w:val="21"/>
          <w14:textFill>
            <w14:solidFill>
              <w14:schemeClr w14:val="tx1"/>
            </w14:solidFill>
          </w14:textFill>
        </w:rPr>
        <w:t>。排名第二的中标候选人因前款规定的同样原因被取消中标资格的，授权的评标委员会可以确定排名第三的中标候选人为中标人，以此类推。</w:t>
      </w:r>
    </w:p>
    <w:p w14:paraId="2E1D27C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以上信息查询记录及相关证据与采购文件一并保存。</w:t>
      </w:r>
    </w:p>
    <w:p w14:paraId="2F8CA62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41CF3FB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32.发出中标通知书</w:t>
      </w:r>
    </w:p>
    <w:p w14:paraId="46CB7079">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32.1在发布中标公告的同时，采购代理机构向中标人通过广西政府采购云平台发出电子中标通知书。</w:t>
      </w:r>
    </w:p>
    <w:p w14:paraId="05A69F83">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32.2对未通过资格审查的投标人，采购人或采购机构应当告知其未通过的原因；采用综合评分办法评审的，采购人或采购机构还应当告知未中标人本人的评审得分与排序。</w:t>
      </w:r>
    </w:p>
    <w:p w14:paraId="644217F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33.无义务解释未中标原因</w:t>
      </w:r>
    </w:p>
    <w:p w14:paraId="569F35FA">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采购代理机构无义务向未中标的投标人解释未中标原因和退还投标文件。</w:t>
      </w:r>
    </w:p>
    <w:p w14:paraId="34E6955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34.合同授予标准</w:t>
      </w:r>
    </w:p>
    <w:p w14:paraId="0CFBABB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合同将授予被确定实质上响应招标文件要求，具备履行合同能力的中标人（招标文件另有约定多名中标人的除外）。</w:t>
      </w:r>
    </w:p>
    <w:p w14:paraId="2DF7F43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35.履约保证金</w:t>
      </w:r>
    </w:p>
    <w:p w14:paraId="1C6075D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见“投标人须知前附表”。</w:t>
      </w:r>
    </w:p>
    <w:p w14:paraId="3B9571C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36.签订合同</w:t>
      </w:r>
    </w:p>
    <w:p w14:paraId="6F39B8E0">
      <w:pPr>
        <w:spacing w:line="360" w:lineRule="auto"/>
        <w:ind w:firstLine="422" w:firstLineChars="200"/>
        <w:rPr>
          <w:rFonts w:ascii="宋体" w:hAnsi="宋体" w:eastAsia="宋体"/>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36.1中标人领取电子中标通知书后，</w:t>
      </w:r>
      <w:r>
        <w:rPr>
          <w:rFonts w:hint="eastAsia" w:ascii="宋体" w:hAnsi="宋体" w:eastAsia="宋体"/>
          <w:color w:val="000000" w:themeColor="text1"/>
          <w:szCs w:val="21"/>
          <w14:textFill>
            <w14:solidFill>
              <w14:schemeClr w14:val="tx1"/>
            </w14:solidFill>
          </w14:textFill>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1476595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36.2采购合同由采购人与中标人根据招标文件、投标文件等内容通过政府采购电子交易平台在线签订，自动备案。</w:t>
      </w:r>
    </w:p>
    <w:p w14:paraId="1B4D60A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36.3签订合同时间：按中标通知书规定的时间与采购人签订合同（最长不能超过25日）。</w:t>
      </w:r>
    </w:p>
    <w:p w14:paraId="0281B38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36.4中标人拒绝与采购人签订合同的，采购人可以按照评审报告推荐的中标候选人名单排序，确定下一候选人为中标人，也可以重新开展政府采购活动。如采购人无正当理由拒签合同的，给中标人造成损失的，中标人可追究采购人承担相应的法律责任。</w:t>
      </w:r>
    </w:p>
    <w:p w14:paraId="44D1C34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36.5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E3D1DD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36.6采购人或中标人不得单方面向合同另一方提出任何招标文件没有约定的条件或不合理的要求，作为签订合同的条件；也不得协商另行订立背离招标文件和合同实质性内容的协议。</w:t>
      </w:r>
    </w:p>
    <w:p w14:paraId="49AF721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36.7如签订合同并生效后，供应商无故拒绝或延期，除按照合同条款处理外，将承担相应的法律责任。</w:t>
      </w:r>
    </w:p>
    <w:p w14:paraId="6AB7B44A">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36.8采购人需追加与合同标的相同的货物或者货物的，在不改变原合同条款且已报财政部门批准落实资金的前提下，可从原中标人处添购，所签订的补充添置合同的采购资金总额不超过原采购合同金额的10%。</w:t>
      </w:r>
    </w:p>
    <w:p w14:paraId="248C6AF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37.政府采购合同公告</w:t>
      </w:r>
    </w:p>
    <w:p w14:paraId="39F0C87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购人或者受托采购代理机构应当自政府采购合同签订之日起2个工作日内，将政府采购合同在以下媒体上发布“广西政府采购网”（http：//zfcg.gxzf.gov.cn）上公告，但政府采购合同中涉及国家秘密、商业秘密的内容除外。</w:t>
      </w:r>
    </w:p>
    <w:p w14:paraId="654780A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38.询问、质疑和投诉</w:t>
      </w:r>
    </w:p>
    <w:p w14:paraId="031F7770">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38.1询问</w:t>
      </w:r>
    </w:p>
    <w:p w14:paraId="6935C55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38.1.1供应商在开标前对政府采购活动事项有疑问的，可以向采购人或采购代理机构项目负责人提出询问。</w:t>
      </w:r>
    </w:p>
    <w:p w14:paraId="4EDFDF7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38.1.2采购人或采购人委托的采购代理机构自受理询问之日起3个工作日内对供应商依法提出的询问作出答复，但答复内容不得涉及商业秘密。</w:t>
      </w:r>
    </w:p>
    <w:p w14:paraId="7D8DA32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38.1.3询问事项可能影响中标、成交结果的，采购人应当暂停签订合同，已经签订合同的，应当中止履行合同。</w:t>
      </w:r>
    </w:p>
    <w:p w14:paraId="3DBA4E0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38.2质疑</w:t>
      </w:r>
    </w:p>
    <w:p w14:paraId="2F50BB2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38.2.1</w:t>
      </w:r>
      <w:r>
        <w:rPr>
          <w:rFonts w:hint="eastAsia" w:ascii="宋体" w:hAnsi="宋体" w:eastAsia="宋体"/>
          <w:b/>
          <w:color w:val="000000" w:themeColor="text1"/>
          <w:szCs w:val="21"/>
          <w14:textFill>
            <w14:solidFill>
              <w14:schemeClr w14:val="tx1"/>
            </w14:solidFill>
          </w14:textFill>
        </w:rPr>
        <w:t>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w:t>
      </w:r>
    </w:p>
    <w:p w14:paraId="4728F27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潜在供应商依法获取公开招标文件后，认为采购文件使自己的权益受到损害的，应当在公开招标文件公告期限届满之日起7个工作日内提出质疑。委托代理协议无特殊约定的，对公开招标文件中采购需求（含资格要求、采购预算和评分办法）的质疑由采购人受理并负责答复；对公开招标文件中的采购执行程序的质疑由采购代理机构受理并负责答复。</w:t>
      </w:r>
    </w:p>
    <w:p w14:paraId="08EA2ED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1B13109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（3）供应商认为中标或者成交结果使自己的权益受到损害的，应当在中标或者成交结果公告期限届满之日起7个工作日内提出质疑，由采购人受理并负责答复。</w:t>
      </w:r>
    </w:p>
    <w:p w14:paraId="45707D0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38.2.2供应商质疑实行实名制，其质疑应当有具体的质疑事项及事实根据，质疑应当坚持依法依规、诚实信用原则，不得进行虚假、恶意质疑。</w:t>
      </w:r>
    </w:p>
    <w:p w14:paraId="077A096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38.2.3质疑供应商可以委托代理人办理质疑事务。委托代理人应熟悉相关业务情况。代理人办理质疑事务时，除提交质疑书外，还应当提交质疑供应商的授权委托书和委托代理人身份证明复印件。</w:t>
      </w:r>
    </w:p>
    <w:p w14:paraId="6FC89328">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38.2.4质疑供应商提起质疑应当符合下列条件：</w:t>
      </w:r>
    </w:p>
    <w:p w14:paraId="7CC2495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（1）质疑供应商是参与所质疑项目采购活动的供应商（潜在供应商已依法获取可之一的采购文件的，可以对该采购文件质疑）；</w:t>
      </w:r>
    </w:p>
    <w:p w14:paraId="44843FF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（2）质疑函内容符合本章第38.2.5项的规定；</w:t>
      </w:r>
    </w:p>
    <w:p w14:paraId="2097750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（3）在质疑有效期限内提起质疑；</w:t>
      </w:r>
    </w:p>
    <w:p w14:paraId="6D703B4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（4）属于所质疑的采购人或采购人委托的采购代理机构组织的采购活动；</w:t>
      </w:r>
    </w:p>
    <w:p w14:paraId="059F923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（5）同一质疑事项未经采购人或采购人委托的采购代理机构质疑处理；</w:t>
      </w:r>
    </w:p>
    <w:p w14:paraId="55B976C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（6）供应商对同一采购程序环节的质疑应当在质疑有效期内一次性提出；</w:t>
      </w:r>
    </w:p>
    <w:p w14:paraId="470EF44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（7）供应商提交质疑应当提交必要的证明材料，证明材料应以合法手段取得；</w:t>
      </w:r>
    </w:p>
    <w:p w14:paraId="23BF34C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（8）财政部门规定的其他条件。</w:t>
      </w:r>
    </w:p>
    <w:p w14:paraId="79583AA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38.2.5供应商提出质疑应当提交质疑函和必要的证明材料，针对同一采购程序环节的质疑必须在法定质疑期内一次性提出。质疑函应当包括下列内容（质疑函格式后附）：</w:t>
      </w:r>
    </w:p>
    <w:p w14:paraId="48CE6D9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（1）供应商的姓名或者名称、地址、邮编、联系人及联系电话；</w:t>
      </w:r>
    </w:p>
    <w:p w14:paraId="324EDC6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（2）质疑项目的名称、编号；</w:t>
      </w:r>
    </w:p>
    <w:p w14:paraId="166A04C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（3）具体、明确的质疑事项和与质疑事项相关的请求；</w:t>
      </w:r>
    </w:p>
    <w:p w14:paraId="7C462A5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（4）事实依据（列明权益受到损害的事实和理由）；</w:t>
      </w:r>
    </w:p>
    <w:p w14:paraId="2AD2787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（5）必要的法律依据；</w:t>
      </w:r>
    </w:p>
    <w:p w14:paraId="676322D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（6）提出质疑的日期。</w:t>
      </w:r>
    </w:p>
    <w:p w14:paraId="613CC79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供应商为自然人的，应当由本人签字；供应商为法人或者其他组织的，应当由法定代表人、主要负责人，或者其委托代理人签字或者盖章，并加盖公章。</w:t>
      </w:r>
    </w:p>
    <w:p w14:paraId="73C1766B">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5FE8D82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38.2.7采购人、采购代理机构认为供应商质疑不成立，或者成立但未对中标结果构成影响的，继续开展采购活动；认为供应商质疑成立且影响或者可能影响中标结果的，按照下列情况处理：</w:t>
      </w:r>
    </w:p>
    <w:p w14:paraId="02B98F5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（一）对招标文件提出的质疑，依法通过澄清或者修改可以继续开展采购活动的，澄清或者修改招标文件后继续开展采购活动；否则应当修改招标文件后重新开展采购活动。</w:t>
      </w:r>
    </w:p>
    <w:p w14:paraId="23BBB18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（二）对采购过程、中标结果提出的质疑，合格供应商符合法定数量时，可以从合格的中标候选人中另行确定中标人的，应当依法另行确定中标人；否则应当重新开展采购活动。</w:t>
      </w:r>
    </w:p>
    <w:p w14:paraId="72973E9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质疑答复导致中标结果改变的，采购人或者采购代理机构应当将有关情况书面报告本级财政部门。</w:t>
      </w:r>
    </w:p>
    <w:p w14:paraId="2F4A46C9">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38.3投诉</w:t>
      </w:r>
    </w:p>
    <w:p w14:paraId="4F8A4B96">
      <w:pPr>
        <w:spacing w:line="360" w:lineRule="auto"/>
        <w:ind w:firstLine="422" w:firstLineChars="200"/>
        <w:rPr>
          <w:rFonts w:ascii="宋体" w:hAnsi="宋体" w:eastAsia="宋体"/>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38.3.1</w:t>
      </w:r>
      <w:r>
        <w:rPr>
          <w:rFonts w:hint="eastAsia" w:ascii="宋体" w:hAnsi="宋体" w:eastAsia="宋体"/>
          <w:color w:val="000000" w:themeColor="text1"/>
          <w:szCs w:val="21"/>
          <w14:textFill>
            <w14:solidFill>
              <w14:schemeClr w14:val="tx1"/>
            </w14:solidFill>
          </w14:textFill>
        </w:rPr>
        <w:t>供应商认为采购文件、采购过程、中标和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15个工作日内向南宁市政府采购监督管理部门提起投诉，投诉联系方式见“投标人须知前附表”。</w:t>
      </w:r>
    </w:p>
    <w:p w14:paraId="078286AC">
      <w:pPr>
        <w:spacing w:line="360" w:lineRule="auto"/>
        <w:ind w:firstLine="422" w:firstLineChars="200"/>
        <w:rPr>
          <w:rFonts w:ascii="宋体" w:hAnsi="宋体" w:eastAsia="宋体"/>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38.3.2</w:t>
      </w:r>
      <w:r>
        <w:rPr>
          <w:rFonts w:hint="eastAsia" w:ascii="宋体" w:hAnsi="宋体" w:eastAsia="宋体"/>
          <w:color w:val="000000" w:themeColor="text1"/>
          <w:szCs w:val="21"/>
          <w14:textFill>
            <w14:solidFill>
              <w14:schemeClr w14:val="tx1"/>
            </w14:solidFill>
          </w14:textFill>
        </w:rPr>
        <w:t>投诉人投诉时，应当提交投诉书，并按照被投诉采购人、采购代理机构和与投诉事项有关的供应商数量提供投诉书的副本。投诉书应当包括下列主要内容（如材料中有外文资料应同时附上对应的中文译本）（投诉书格式后附）：</w:t>
      </w:r>
    </w:p>
    <w:p w14:paraId="35752B6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（1）投诉人和被投诉人的名称、地址、邮编、联系人及联系电话等；</w:t>
      </w:r>
    </w:p>
    <w:p w14:paraId="6B0F141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（2）质疑和质疑答复情况及相关证明材料；</w:t>
      </w:r>
    </w:p>
    <w:p w14:paraId="3C8291F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（3）具体、明确的投诉事项和与投诉事项相关的投诉请求；</w:t>
      </w:r>
    </w:p>
    <w:p w14:paraId="78279CC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（4）事实依据；</w:t>
      </w:r>
    </w:p>
    <w:p w14:paraId="22B77B6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（5）法律依据；</w:t>
      </w:r>
    </w:p>
    <w:p w14:paraId="74050B7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（6）提起投诉的日期。</w:t>
      </w:r>
    </w:p>
    <w:p w14:paraId="0096665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（7）附件材料：营业执照副本内页复印件（要求证件有效并清晰反映企业法人经营范围；近期连续三个月依法缴纳税收和在职职工社会保障资金证明材料（复印件）。</w:t>
      </w:r>
      <w:r>
        <w:rPr>
          <w:rFonts w:hint="eastAsia" w:ascii="宋体" w:hAnsi="宋体" w:eastAsia="宋体"/>
          <w:color w:val="000000" w:themeColor="text1"/>
          <w:szCs w:val="21"/>
          <w14:textFill>
            <w14:solidFill>
              <w14:schemeClr w14:val="tx1"/>
            </w14:solidFill>
          </w14:textFill>
        </w:rPr>
        <w:tab/>
      </w:r>
    </w:p>
    <w:p w14:paraId="24E01C5A">
      <w:pPr>
        <w:spacing w:line="360" w:lineRule="auto"/>
        <w:ind w:firstLine="422" w:firstLineChars="200"/>
        <w:rPr>
          <w:rFonts w:ascii="宋体" w:hAnsi="宋体" w:eastAsia="宋体"/>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38.3.3</w:t>
      </w:r>
      <w:r>
        <w:rPr>
          <w:rFonts w:hint="eastAsia" w:ascii="宋体" w:hAnsi="宋体" w:eastAsia="宋体"/>
          <w:color w:val="000000" w:themeColor="text1"/>
          <w:szCs w:val="21"/>
          <w14:textFill>
            <w14:solidFill>
              <w14:schemeClr w14:val="tx1"/>
            </w14:solidFill>
          </w14:textFill>
        </w:rPr>
        <w:t>投诉人可以委托代理人办理投诉事务。委托代理人应熟悉相关业务情况。代理人办理投诉事务时，除提交投诉书外，还应当提交投诉人的授权委托书和委托代理人身份证明复印件。</w:t>
      </w:r>
    </w:p>
    <w:p w14:paraId="44AC63E4">
      <w:pPr>
        <w:spacing w:line="360" w:lineRule="auto"/>
        <w:ind w:firstLine="422" w:firstLineChars="200"/>
        <w:rPr>
          <w:rFonts w:ascii="宋体" w:hAnsi="宋体" w:eastAsia="宋体"/>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38.3.4</w:t>
      </w:r>
      <w:r>
        <w:rPr>
          <w:rFonts w:hint="eastAsia" w:ascii="宋体" w:hAnsi="宋体" w:eastAsia="宋体"/>
          <w:color w:val="000000" w:themeColor="text1"/>
          <w:szCs w:val="21"/>
          <w14:textFill>
            <w14:solidFill>
              <w14:schemeClr w14:val="tx1"/>
            </w14:solidFill>
          </w14:textFill>
        </w:rPr>
        <w:t>投诉人提起投诉应当符合下列条件：</w:t>
      </w:r>
    </w:p>
    <w:p w14:paraId="2480F3D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（1）投诉人是参与所投诉政府采购活动的供应商；</w:t>
      </w:r>
    </w:p>
    <w:p w14:paraId="02173E5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（2）提起投诉前已依法进行质疑；</w:t>
      </w:r>
    </w:p>
    <w:p w14:paraId="50BF9B7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（3）投诉书内容符合本章第38.3.2项的规定；</w:t>
      </w:r>
    </w:p>
    <w:p w14:paraId="61BD35B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（4）在投诉有效期限内提起投诉；</w:t>
      </w:r>
    </w:p>
    <w:p w14:paraId="32C1E75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（5）属于南宁市政府采购监督管理部门管辖；</w:t>
      </w:r>
    </w:p>
    <w:p w14:paraId="53D51A9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（6）同一投诉事项未经南宁市政府采购监督管理部门投诉处理；</w:t>
      </w:r>
    </w:p>
    <w:p w14:paraId="316939B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（7）国务院财政部门规定的其他条件。</w:t>
      </w:r>
    </w:p>
    <w:p w14:paraId="2CD70F4C">
      <w:pPr>
        <w:spacing w:line="360" w:lineRule="auto"/>
        <w:ind w:firstLine="422" w:firstLineChars="200"/>
        <w:rPr>
          <w:rFonts w:ascii="宋体" w:hAnsi="宋体" w:eastAsia="宋体"/>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38.3.5</w:t>
      </w:r>
      <w:r>
        <w:rPr>
          <w:rFonts w:hint="eastAsia" w:ascii="宋体" w:hAnsi="宋体" w:eastAsia="宋体"/>
          <w:color w:val="000000" w:themeColor="text1"/>
          <w:szCs w:val="21"/>
          <w14:textFill>
            <w14:solidFill>
              <w14:schemeClr w14:val="tx1"/>
            </w14:solidFill>
          </w14:textFill>
        </w:rPr>
        <w:t>南宁市政府采购监督管理部门自受理投诉之日起30个工作日内，对投诉事项作出处理决定，并以书面形式通知投诉人、被投诉人及其他与投诉处理结果有利害关系的政府采购当事人。并将投诉结果在http：//zfcg.gxzf.gov.cn（广西壮族自治区政府采购网）发布。</w:t>
      </w:r>
    </w:p>
    <w:p w14:paraId="5172A1D6">
      <w:pPr>
        <w:spacing w:line="360" w:lineRule="auto"/>
        <w:ind w:firstLine="422" w:firstLineChars="200"/>
        <w:rPr>
          <w:rFonts w:ascii="宋体" w:hAnsi="宋体" w:eastAsia="宋体"/>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38.3.6</w:t>
      </w:r>
      <w:r>
        <w:rPr>
          <w:rFonts w:hint="eastAsia" w:ascii="宋体" w:hAnsi="宋体" w:eastAsia="宋体"/>
          <w:color w:val="000000" w:themeColor="text1"/>
          <w:szCs w:val="21"/>
          <w14:textFill>
            <w14:solidFill>
              <w14:schemeClr w14:val="tx1"/>
            </w14:solidFill>
          </w14:textFill>
        </w:rPr>
        <w:t>南宁市政府采购监督管理部门在处理投诉事项期间，可以视具体情况暂停采购活动。</w:t>
      </w:r>
    </w:p>
    <w:p w14:paraId="35B776AB">
      <w:pPr>
        <w:pStyle w:val="4"/>
        <w:spacing w:before="0" w:after="0" w:line="240" w:lineRule="auto"/>
        <w:jc w:val="center"/>
        <w:rPr>
          <w:rFonts w:ascii="宋体" w:hAnsi="宋体" w:eastAsia="宋体"/>
          <w:color w:val="000000" w:themeColor="text1"/>
          <w14:textFill>
            <w14:solidFill>
              <w14:schemeClr w14:val="tx1"/>
            </w14:solidFill>
          </w14:textFill>
        </w:rPr>
      </w:pPr>
      <w:bookmarkStart w:id="12" w:name="_Toc198316067"/>
      <w:r>
        <w:rPr>
          <w:rFonts w:hint="eastAsia" w:ascii="宋体" w:hAnsi="宋体" w:eastAsia="宋体"/>
          <w:color w:val="000000" w:themeColor="text1"/>
          <w14:textFill>
            <w14:solidFill>
              <w14:schemeClr w14:val="tx1"/>
            </w14:solidFill>
          </w14:textFill>
        </w:rPr>
        <w:t>八、验收</w:t>
      </w:r>
      <w:bookmarkEnd w:id="12"/>
    </w:p>
    <w:p w14:paraId="5A50557C">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39.验收</w:t>
      </w:r>
    </w:p>
    <w:p w14:paraId="56EC6E4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75094A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39.2采购人可以邀请参加本项目的其他投标人或者第三方机构参与验收。参与验收的投标人或者第三方机构的意见作为验收书的参考资料一并存档。</w:t>
      </w:r>
    </w:p>
    <w:p w14:paraId="7962CCB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39.3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E54555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45B6BFB">
      <w:pPr>
        <w:pStyle w:val="4"/>
        <w:spacing w:before="0" w:after="0" w:line="240" w:lineRule="auto"/>
        <w:jc w:val="center"/>
        <w:rPr>
          <w:rFonts w:ascii="宋体" w:hAnsi="宋体" w:eastAsia="宋体"/>
          <w:color w:val="000000" w:themeColor="text1"/>
          <w14:textFill>
            <w14:solidFill>
              <w14:schemeClr w14:val="tx1"/>
            </w14:solidFill>
          </w14:textFill>
        </w:rPr>
      </w:pPr>
      <w:bookmarkStart w:id="13" w:name="_Toc198316068"/>
      <w:r>
        <w:rPr>
          <w:rFonts w:hint="eastAsia" w:ascii="宋体" w:hAnsi="宋体" w:eastAsia="宋体"/>
          <w:color w:val="000000" w:themeColor="text1"/>
          <w14:textFill>
            <w14:solidFill>
              <w14:schemeClr w14:val="tx1"/>
            </w14:solidFill>
          </w14:textFill>
        </w:rPr>
        <w:t>九、其他事项</w:t>
      </w:r>
      <w:bookmarkEnd w:id="13"/>
    </w:p>
    <w:p w14:paraId="224A79E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40.代理服务费</w:t>
      </w:r>
    </w:p>
    <w:p w14:paraId="1E33D7E8">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代理服务收费标准及缴费账户详见“投标人须知前附表”，投标人为联合体的，可以由联合体中的一方或者多方共同交纳代理服务费。</w:t>
      </w:r>
    </w:p>
    <w:p w14:paraId="45EEA73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41.需要补充的其他内容</w:t>
      </w:r>
    </w:p>
    <w:p w14:paraId="6F91AAD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41.1本招标文件解释规则详见“投标人须知前附表”。</w:t>
      </w:r>
    </w:p>
    <w:p w14:paraId="4253ED5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41.2其他事项详见“投标人须知前附表”。</w:t>
      </w:r>
    </w:p>
    <w:p w14:paraId="28C530E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不对其中涉及的工程承建商和服务的承接商作出要求的，享受本文件规定的中小企业扶持政策。</w:t>
      </w:r>
    </w:p>
    <w:p w14:paraId="2FF1988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627677D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依据本文件规定享受扶持政策获得政府采购合同的，小微企业不得将合同分包给大中型企业，中型企业不得将合同分包给大型企业。</w:t>
      </w:r>
    </w:p>
    <w:p w14:paraId="75E087C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42.政采贷相关说明</w:t>
      </w:r>
    </w:p>
    <w:p w14:paraId="41C52C1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为优化政府采购营商环境，缓解供应商资金难题，南宁市政府采购试行政府采购信用融资制度，中标人如有融资需求，可凭政府采购合同通过以下方式申请政府采购信用融资贷款：</w:t>
      </w:r>
    </w:p>
    <w:p w14:paraId="4438552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（1）线下渠道：在“南宁市公共资源交易中心”官网（网址：http：//www.nnggzy.org.cn）“交易信息-政府采购-政府采购信用融资”中融资银行和南宁市企业融资货物中心专栏信息申请政府采购信用融资。</w:t>
      </w:r>
    </w:p>
    <w:p w14:paraId="40269B5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p>
    <w:p w14:paraId="242350D3">
      <w:pPr>
        <w:spacing w:line="360" w:lineRule="auto"/>
        <w:ind w:firstLine="420" w:firstLineChars="200"/>
        <w:rPr>
          <w:rFonts w:ascii="宋体" w:hAnsi="宋体" w:eastAsia="宋体"/>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79E062CD">
      <w:pPr>
        <w:pStyle w:val="2"/>
        <w:spacing w:before="0" w:after="0" w:line="240" w:lineRule="auto"/>
        <w:jc w:val="center"/>
        <w:rPr>
          <w:rFonts w:ascii="宋体" w:hAnsi="宋体" w:eastAsia="宋体"/>
          <w:color w:val="000000" w:themeColor="text1"/>
          <w:sz w:val="36"/>
          <w:szCs w:val="36"/>
          <w14:textFill>
            <w14:solidFill>
              <w14:schemeClr w14:val="tx1"/>
            </w14:solidFill>
          </w14:textFill>
        </w:rPr>
      </w:pPr>
      <w:bookmarkStart w:id="14" w:name="_Toc198316069"/>
      <w:r>
        <w:rPr>
          <w:rFonts w:hint="eastAsia" w:ascii="宋体" w:hAnsi="宋体" w:eastAsia="宋体"/>
          <w:color w:val="000000" w:themeColor="text1"/>
          <w:sz w:val="36"/>
          <w:szCs w:val="36"/>
          <w14:textFill>
            <w14:solidFill>
              <w14:schemeClr w14:val="tx1"/>
            </w14:solidFill>
          </w14:textFill>
        </w:rPr>
        <w:t>第四</w:t>
      </w:r>
      <w:r>
        <w:rPr>
          <w:rFonts w:hint="eastAsia" w:ascii="宋体" w:hAnsi="宋体" w:eastAsia="宋体"/>
          <w:color w:val="000000" w:themeColor="text1"/>
          <w:spacing w:val="120"/>
          <w:sz w:val="36"/>
          <w:szCs w:val="36"/>
          <w14:textFill>
            <w14:solidFill>
              <w14:schemeClr w14:val="tx1"/>
            </w14:solidFill>
          </w14:textFill>
        </w:rPr>
        <w:t>章</w:t>
      </w:r>
      <w:r>
        <w:rPr>
          <w:rFonts w:hint="eastAsia" w:ascii="宋体" w:hAnsi="宋体" w:eastAsia="宋体"/>
          <w:color w:val="000000" w:themeColor="text1"/>
          <w:sz w:val="36"/>
          <w:szCs w:val="36"/>
          <w14:textFill>
            <w14:solidFill>
              <w14:schemeClr w14:val="tx1"/>
            </w14:solidFill>
          </w14:textFill>
        </w:rPr>
        <w:t>评标方法及评分标准</w:t>
      </w:r>
      <w:bookmarkEnd w:id="14"/>
    </w:p>
    <w:p w14:paraId="303B3C7F">
      <w:pPr>
        <w:pStyle w:val="3"/>
        <w:jc w:val="center"/>
        <w:rPr>
          <w:rFonts w:ascii="宋体" w:hAnsi="宋体" w:eastAsia="宋体"/>
          <w:color w:val="000000" w:themeColor="text1"/>
          <w:sz w:val="30"/>
          <w:szCs w:val="30"/>
          <w14:textFill>
            <w14:solidFill>
              <w14:schemeClr w14:val="tx1"/>
            </w14:solidFill>
          </w14:textFill>
        </w:rPr>
      </w:pPr>
      <w:bookmarkStart w:id="15" w:name="_Toc198316070"/>
      <w:r>
        <w:rPr>
          <w:rFonts w:hint="eastAsia" w:ascii="宋体" w:hAnsi="宋体" w:eastAsia="宋体"/>
          <w:color w:val="000000" w:themeColor="text1"/>
          <w:sz w:val="30"/>
          <w:szCs w:val="30"/>
          <w14:textFill>
            <w14:solidFill>
              <w14:schemeClr w14:val="tx1"/>
            </w14:solidFill>
          </w14:textFill>
        </w:rPr>
        <w:t>第一</w:t>
      </w:r>
      <w:r>
        <w:rPr>
          <w:rFonts w:hint="eastAsia" w:ascii="宋体" w:hAnsi="宋体" w:eastAsia="宋体"/>
          <w:color w:val="000000" w:themeColor="text1"/>
          <w:spacing w:val="120"/>
          <w:sz w:val="30"/>
          <w:szCs w:val="30"/>
          <w14:textFill>
            <w14:solidFill>
              <w14:schemeClr w14:val="tx1"/>
            </w14:solidFill>
          </w14:textFill>
        </w:rPr>
        <w:t>节</w:t>
      </w:r>
      <w:r>
        <w:rPr>
          <w:rFonts w:hint="eastAsia" w:ascii="宋体" w:hAnsi="宋体" w:eastAsia="宋体"/>
          <w:color w:val="000000" w:themeColor="text1"/>
          <w:sz w:val="30"/>
          <w:szCs w:val="30"/>
          <w14:textFill>
            <w14:solidFill>
              <w14:schemeClr w14:val="tx1"/>
            </w14:solidFill>
          </w14:textFill>
        </w:rPr>
        <w:t>评标方法</w:t>
      </w:r>
      <w:bookmarkEnd w:id="15"/>
    </w:p>
    <w:p w14:paraId="6B8CAED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本项目采用</w:t>
      </w:r>
      <w:r>
        <w:rPr>
          <w:rFonts w:hint="eastAsia" w:ascii="宋体" w:hAnsi="宋体" w:eastAsia="宋体"/>
          <w:color w:val="000000" w:themeColor="text1"/>
          <w:szCs w:val="21"/>
          <w:u w:val="single"/>
          <w14:textFill>
            <w14:solidFill>
              <w14:schemeClr w14:val="tx1"/>
            </w14:solidFill>
          </w14:textFill>
        </w:rPr>
        <w:t>以下勾选的方式</w:t>
      </w:r>
      <w:r>
        <w:rPr>
          <w:rFonts w:hint="eastAsia" w:ascii="宋体" w:hAnsi="宋体" w:eastAsia="宋体"/>
          <w:color w:val="000000" w:themeColor="text1"/>
          <w:szCs w:val="21"/>
          <w14:textFill>
            <w14:solidFill>
              <w14:schemeClr w14:val="tx1"/>
            </w14:solidFill>
          </w14:textFill>
        </w:rPr>
        <w:t>进行评审。</w:t>
      </w:r>
    </w:p>
    <w:p w14:paraId="0F1D9FF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□最低评标价法，是指投标文件满足招标文件全部实质性要求，且投标报价最低的投标人为中标候选人的评标方法。</w:t>
      </w:r>
    </w:p>
    <w:p w14:paraId="7E8DAEF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sym w:font="Wingdings 2" w:char="F052"/>
      </w:r>
      <w:r>
        <w:rPr>
          <w:rFonts w:hint="eastAsia" w:ascii="宋体" w:hAnsi="宋体" w:eastAsia="宋体"/>
          <w:color w:val="000000" w:themeColor="text1"/>
          <w:szCs w:val="21"/>
          <w14:textFill>
            <w14:solidFill>
              <w14:schemeClr w14:val="tx1"/>
            </w14:solidFill>
          </w14:textFill>
        </w:rPr>
        <w:t>综合评分法，是指投标文件满足招标文件全部实质性要求，且按照评审因素的量化指标评审得分最高的投标人为中标候选人的评标方法。评标委员会将对各投标人的投标报价、技术、商务等方面进行综合评审，对实质上响应招标文件的投标人，由各评委独立记名打分。经统计，得出各投标人的综合得分</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按综合得分由高到低顺序排列。若综合得分相同的，按投标报价由低到高顺序排列。若综合得分且投标报价相同的，货物类采购项目以技术评分高的优先、商务资信分高的优先、项目质保期长优先、交货期短优先、故障响应时间短优先排序，服务类采购项目以实力信誉及业绩得分较高者为先。</w:t>
      </w:r>
    </w:p>
    <w:p w14:paraId="1C7F73A9">
      <w:pPr>
        <w:pStyle w:val="3"/>
        <w:jc w:val="center"/>
        <w:rPr>
          <w:rFonts w:ascii="宋体" w:hAnsi="宋体" w:eastAsia="宋体"/>
          <w:color w:val="000000" w:themeColor="text1"/>
          <w:sz w:val="30"/>
          <w:szCs w:val="30"/>
          <w14:textFill>
            <w14:solidFill>
              <w14:schemeClr w14:val="tx1"/>
            </w14:solidFill>
          </w14:textFill>
        </w:rPr>
      </w:pPr>
      <w:bookmarkStart w:id="16" w:name="_Toc198316071"/>
      <w:r>
        <w:rPr>
          <w:rFonts w:hint="eastAsia" w:ascii="宋体" w:hAnsi="宋体" w:eastAsia="宋体"/>
          <w:color w:val="000000" w:themeColor="text1"/>
          <w:sz w:val="30"/>
          <w:szCs w:val="30"/>
          <w14:textFill>
            <w14:solidFill>
              <w14:schemeClr w14:val="tx1"/>
            </w14:solidFill>
          </w14:textFill>
        </w:rPr>
        <w:t>第二</w:t>
      </w:r>
      <w:r>
        <w:rPr>
          <w:rFonts w:hint="eastAsia" w:ascii="宋体" w:hAnsi="宋体" w:eastAsia="宋体"/>
          <w:color w:val="000000" w:themeColor="text1"/>
          <w:spacing w:val="120"/>
          <w:sz w:val="30"/>
          <w:szCs w:val="30"/>
          <w14:textFill>
            <w14:solidFill>
              <w14:schemeClr w14:val="tx1"/>
            </w14:solidFill>
          </w14:textFill>
        </w:rPr>
        <w:t>节</w:t>
      </w:r>
      <w:r>
        <w:rPr>
          <w:rFonts w:hint="eastAsia" w:ascii="宋体" w:hAnsi="宋体" w:eastAsia="宋体"/>
          <w:color w:val="000000" w:themeColor="text1"/>
          <w:sz w:val="30"/>
          <w:szCs w:val="30"/>
          <w14:textFill>
            <w14:solidFill>
              <w14:schemeClr w14:val="tx1"/>
            </w14:solidFill>
          </w14:textFill>
        </w:rPr>
        <w:t>评标程序</w:t>
      </w:r>
      <w:bookmarkEnd w:id="16"/>
    </w:p>
    <w:p w14:paraId="6084DA28">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1.符合性审查</w:t>
      </w:r>
    </w:p>
    <w:p w14:paraId="63B2207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评标委员会应当对符合资格的投标人的投标文件进行投标报价、商务、技术等实质性内容符合性审查，以确定其是否满足招标文件的实质性要求。</w:t>
      </w:r>
    </w:p>
    <w:p w14:paraId="4394AA08">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2.符合性审查不通过而导致投标无效的情形</w:t>
      </w:r>
    </w:p>
    <w:p w14:paraId="394BDA3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投标人的投标文件中存在对招标文件的任何实质性要求和条件的负偏离，将被视为投标无效。</w:t>
      </w:r>
    </w:p>
    <w:p w14:paraId="2DFF134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2.1在报价评审时，如发现下列情形之一的，将被视为投标无效：</w:t>
      </w:r>
    </w:p>
    <w:p w14:paraId="2D932D1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（1）投标文件未提供“投标人须知前附表”第13.1条规定中“必须提供”的文件资料的；</w:t>
      </w:r>
    </w:p>
    <w:p w14:paraId="02366C5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（2）未采用人民币报价或者未按照招标文件标明的币种报价的；</w:t>
      </w:r>
    </w:p>
    <w:p w14:paraId="7CE7A91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（3）报价超出招标文件规定最高限价，或者超出采购预算金额（包括分项预算）的；</w:t>
      </w:r>
    </w:p>
    <w:p w14:paraId="5E4E9C8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08D7578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（5）修正后的报价，投标人不确认的；</w:t>
      </w:r>
    </w:p>
    <w:p w14:paraId="4845E59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（6）投标人属于本章第5条第（2）项情形的。</w:t>
      </w:r>
    </w:p>
    <w:p w14:paraId="3C86460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2.2在商务评审时，如发现下列情形之一的，将被视为投标无效：</w:t>
      </w:r>
    </w:p>
    <w:p w14:paraId="063A12E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（1）投标文件未按招标文件要求签署、盖章的；</w:t>
      </w:r>
    </w:p>
    <w:p w14:paraId="7CF4DC6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（2）委托代理人未能出具有效身份证明或者出具的身份证明与授权委托书中的信息不符的；</w:t>
      </w:r>
    </w:p>
    <w:p w14:paraId="58B807C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（3）投标文件未提供“投标人须知前附表”第13.1条规定中“必须提供”或者“委托时必须提供”的文件资料的；</w:t>
      </w:r>
    </w:p>
    <w:p w14:paraId="270F252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（4）投标有效期、项目完成时间（交货时间、货物完成时间或者货物期等）、质保期、售后服务等招标文件中标“▲”的商务条款发生负偏离的；</w:t>
      </w:r>
    </w:p>
    <w:p w14:paraId="0B11041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（5）商务条款评审允许负偏离的条款数超过“投标人须知前附表”规定项数的。</w:t>
      </w:r>
    </w:p>
    <w:p w14:paraId="26D5AAD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（6）投标文件的实质性内容未使用中文表述、使用计量单位不符合招标文件要求的；</w:t>
      </w:r>
    </w:p>
    <w:p w14:paraId="6E06AE9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（7）投标文件中的文件资料因填写不齐全或者内容虚假或者出现其他情形而导致被评标委员会认定无效的；</w:t>
      </w:r>
    </w:p>
    <w:p w14:paraId="116516E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（8）投标文件含有采购人不能接受的附加条件的；</w:t>
      </w:r>
    </w:p>
    <w:p w14:paraId="6E2C3E0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（9）未响应招标文件实质性要求的；</w:t>
      </w:r>
    </w:p>
    <w:p w14:paraId="3253C55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（10）属于投标人须知正文第9.2条情形的；</w:t>
      </w:r>
    </w:p>
    <w:p w14:paraId="52C77DB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（11）法律、法规和招标文件规定的其他无效情形。</w:t>
      </w:r>
    </w:p>
    <w:p w14:paraId="4A2DC14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2.3在技术评审时，如发现下列情形之一的，将被视为投标无效：</w:t>
      </w:r>
    </w:p>
    <w:p w14:paraId="585C695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（1）不满足招标文件要求的货物内容、技术要求、安全、质量标准，或者与招标文件中标“▲”的技术需求发生负偏离的；</w:t>
      </w:r>
    </w:p>
    <w:p w14:paraId="6C419F9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（2）技术需求评审允许负偏离的条款数超过“投标人须知前附表”规定项数的；</w:t>
      </w:r>
    </w:p>
    <w:p w14:paraId="2C95640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（3）投标文件未提供“投标人须知前附表”第13.1条规定中“必须提供”的文件资料的；</w:t>
      </w:r>
    </w:p>
    <w:p w14:paraId="7A2AAB6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（4）虚假投标，或者出现其他情形而导致被评标委员会认定无效的；</w:t>
      </w:r>
    </w:p>
    <w:p w14:paraId="51FF0A0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（5）招标文件要求提供技术方案的，投标技术方案不明确，招标文件未允许但存在一个或者一个以上备选（替代）投标方案的。</w:t>
      </w:r>
    </w:p>
    <w:p w14:paraId="40308696">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3.澄清补正、说明或者补正</w:t>
      </w:r>
    </w:p>
    <w:p w14:paraId="20A7EC6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65240E7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334AF0A6">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4.投标文件修正</w:t>
      </w:r>
    </w:p>
    <w:p w14:paraId="5CFEE3D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4.1投标文件报价出现前后不一致的，按照下列规定修正：</w:t>
      </w:r>
    </w:p>
    <w:p w14:paraId="3977E9F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（1）报价文件中“开标一览表”内容与投标文件中相应内容不一致的，以“开标一览表”为准；</w:t>
      </w:r>
    </w:p>
    <w:p w14:paraId="4857F61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（2）大写金额和小写金额不一致的，以大写金额为准；</w:t>
      </w:r>
    </w:p>
    <w:p w14:paraId="7189654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（3）单价金额小数点或者百分比有明显错位的，以开标一览表的总价为准，并修改单价；</w:t>
      </w:r>
    </w:p>
    <w:p w14:paraId="3EFFAEE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（4）总价金额与按单价汇总金额不一致的，以单价金额计算结果为准。</w:t>
      </w:r>
    </w:p>
    <w:p w14:paraId="71E5F13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同时出现两种以上不一致的，按照以上（1）-（4）规定的顺序修正。修正后的报价经投标人确认后产生约束力，投标人不确认的，其投标无效。</w:t>
      </w:r>
    </w:p>
    <w:p w14:paraId="1D62C8C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4.2经投标人确认修正后的报价若超过采购预算金额或者最高限价，投标人的投标文件作无效投标处理。</w:t>
      </w:r>
    </w:p>
    <w:p w14:paraId="71BC79F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4.3经投标人确认修正后的报价作为签订合同的依据，并以此报价计算价格分。</w:t>
      </w:r>
    </w:p>
    <w:p w14:paraId="669EE69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5.比较与评价</w:t>
      </w:r>
    </w:p>
    <w:p w14:paraId="7902341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5.1评标委员会按照招标文件中规定的评标方法和评标标准，对符合性审查合格的投标文件进行商务和技术评估，综合比较与评价。</w:t>
      </w:r>
    </w:p>
    <w:p w14:paraId="6495E18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5.2评标委员会独立对每个投标人的投标文件进行评价，并汇总每个投标人的得分。</w:t>
      </w:r>
    </w:p>
    <w:p w14:paraId="64FAADD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7FED211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471AA04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5.3评标委员会按照招标文件中规定的评标方法和标准计算各投标人的报价得分。在计算过程中，不得去掉最高报价或者最低报价。</w:t>
      </w:r>
    </w:p>
    <w:p w14:paraId="6384B86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5.4各投标人的得分为所有评委的有效评分的算术平均数。</w:t>
      </w:r>
    </w:p>
    <w:p w14:paraId="75A3797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5.5评标委员会按照招标文件中的规定推荐中标候选人。</w:t>
      </w:r>
    </w:p>
    <w:p w14:paraId="1B76FA6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3E723D14">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6.评审复核</w:t>
      </w:r>
    </w:p>
    <w:p w14:paraId="3F9E106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6.1评标报告签署前，评标委员会要对评审结果进行复核，复核意见要体现在评标报告中。</w:t>
      </w:r>
    </w:p>
    <w:p w14:paraId="2DE89EC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6.2评标结果汇总完成后，除下列情形外，任何人不得修改评标结果：</w:t>
      </w:r>
    </w:p>
    <w:p w14:paraId="5020243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（一）分值汇总计算错误的；</w:t>
      </w:r>
    </w:p>
    <w:p w14:paraId="7C1934D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（二）分项评分超出评分标准范围的；</w:t>
      </w:r>
    </w:p>
    <w:p w14:paraId="6E0D933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（三）评标委员会成员对客观评审因素评分不一致的；</w:t>
      </w:r>
    </w:p>
    <w:p w14:paraId="19D5A74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（四）经评标委员会认定评分畸高、畸低的。</w:t>
      </w:r>
    </w:p>
    <w:p w14:paraId="347F4A3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24E6697">
      <w:pPr>
        <w:pStyle w:val="3"/>
        <w:jc w:val="center"/>
        <w:rPr>
          <w:rFonts w:ascii="宋体" w:hAnsi="宋体" w:eastAsia="宋体"/>
          <w:color w:val="000000" w:themeColor="text1"/>
          <w:sz w:val="30"/>
          <w:szCs w:val="30"/>
          <w14:textFill>
            <w14:solidFill>
              <w14:schemeClr w14:val="tx1"/>
            </w14:solidFill>
          </w14:textFill>
        </w:rPr>
      </w:pPr>
      <w:bookmarkStart w:id="17" w:name="_Toc198316072"/>
      <w:r>
        <w:rPr>
          <w:rFonts w:hint="eastAsia" w:ascii="宋体" w:hAnsi="宋体" w:eastAsia="宋体"/>
          <w:color w:val="000000" w:themeColor="text1"/>
          <w:sz w:val="30"/>
          <w:szCs w:val="30"/>
          <w14:textFill>
            <w14:solidFill>
              <w14:schemeClr w14:val="tx1"/>
            </w14:solidFill>
          </w14:textFill>
        </w:rPr>
        <w:t>第三</w:t>
      </w:r>
      <w:r>
        <w:rPr>
          <w:rFonts w:hint="eastAsia" w:ascii="宋体" w:hAnsi="宋体" w:eastAsia="宋体"/>
          <w:color w:val="000000" w:themeColor="text1"/>
          <w:spacing w:val="120"/>
          <w:sz w:val="30"/>
          <w:szCs w:val="30"/>
          <w14:textFill>
            <w14:solidFill>
              <w14:schemeClr w14:val="tx1"/>
            </w14:solidFill>
          </w14:textFill>
        </w:rPr>
        <w:t>节</w:t>
      </w:r>
      <w:r>
        <w:rPr>
          <w:rFonts w:hint="eastAsia" w:ascii="宋体" w:hAnsi="宋体" w:eastAsia="宋体"/>
          <w:color w:val="000000" w:themeColor="text1"/>
          <w:sz w:val="30"/>
          <w:szCs w:val="30"/>
          <w14:textFill>
            <w14:solidFill>
              <w14:schemeClr w14:val="tx1"/>
            </w14:solidFill>
          </w14:textFill>
        </w:rPr>
        <w:t>评分标准</w:t>
      </w:r>
      <w:bookmarkEnd w:id="17"/>
    </w:p>
    <w:p w14:paraId="64C25D16">
      <w:pPr>
        <w:spacing w:line="360" w:lineRule="auto"/>
        <w:jc w:val="center"/>
        <w:rPr>
          <w:rFonts w:ascii="宋体" w:hAnsi="宋体" w:eastAsia="宋体"/>
          <w:b/>
          <w:color w:val="000000" w:themeColor="text1"/>
          <w:sz w:val="30"/>
          <w:szCs w:val="30"/>
          <w14:textFill>
            <w14:solidFill>
              <w14:schemeClr w14:val="tx1"/>
            </w14:solidFill>
          </w14:textFill>
        </w:rPr>
      </w:pPr>
      <w:r>
        <w:rPr>
          <w:rFonts w:hint="eastAsia" w:ascii="宋体" w:hAnsi="宋体" w:eastAsia="宋体"/>
          <w:b/>
          <w:color w:val="000000" w:themeColor="text1"/>
          <w:sz w:val="30"/>
          <w:szCs w:val="30"/>
          <w14:textFill>
            <w14:solidFill>
              <w14:schemeClr w14:val="tx1"/>
            </w14:solidFill>
          </w14:textFill>
        </w:rPr>
        <w:t>一、最低评标价法</w:t>
      </w:r>
    </w:p>
    <w:p w14:paraId="0F79F19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通过资格审查、符合性审查的投标人，评标委员会将按照有效报价从低到高排序并推荐中标候选人。报价相同的，评标委员会推荐方式见本章“第四节中标候选人推荐原则”。</w:t>
      </w:r>
    </w:p>
    <w:p w14:paraId="54368E4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说明：</w:t>
      </w:r>
    </w:p>
    <w:p w14:paraId="4BFCA11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对于非专门面向中小企业的项目，投标人在其投标文件中提供《中小企业声明函》，且其货物为小型和微型企业承接的，对其小型和微型企业产品的最后报价给予10%的价格扣除，扣除后的价格为评标价，即评标价＝投标报价×（1-10%）；（以投标人按第五章“投标文件格式”要求提供的《投标报价表》和《中小企业声明函》为评审依据）</w:t>
      </w:r>
    </w:p>
    <w:p w14:paraId="35BBE54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接受大中型企业与小微企业组成联合体或者允许大中型企业向一家或者多家小微企业分包的采购项目，联合协议或者分包意向协议约定小微企业的合同份额占到合同总金额30%以上的，对联合体或者大中型企业的报价给予6%的扣除，用扣除后的价格参加评审，扣除后的价格为评标报价，即评标报价=投标报价×（1-6%）。（以投标人按第五章“投标文件格式”要求提供的《投标报价表》、《中小企业声明函》和《联合体协议书》为评审依据）</w:t>
      </w:r>
    </w:p>
    <w:p w14:paraId="04571E4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残疾人福利性单位声明函》，并对声明的真实性负责。残疾人福利性单位属于小型、微型企业的，不重复享受政策。（以投标人按第五章“投标文件格式”要求提供的《投标报价表》和《残疾人福利性单位声明函》为评审依据）</w:t>
      </w:r>
    </w:p>
    <w:p w14:paraId="1D3027B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（5）除上述情况外，评标价＝投标报价；</w:t>
      </w:r>
    </w:p>
    <w:p w14:paraId="5B7130C3">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b/>
          <w:color w:val="000000" w:themeColor="text1"/>
          <w:sz w:val="30"/>
          <w:szCs w:val="30"/>
          <w14:textFill>
            <w14:solidFill>
              <w14:schemeClr w14:val="tx1"/>
            </w14:solidFill>
          </w14:textFill>
        </w:rPr>
        <w:t>二、综合评分法</w:t>
      </w:r>
      <w:r>
        <w:rPr>
          <w:rFonts w:hint="eastAsia" w:ascii="宋体" w:hAnsi="宋体" w:eastAsia="宋体"/>
          <w:color w:val="000000" w:themeColor="text1"/>
          <w:szCs w:val="21"/>
          <w14:textFill>
            <w14:solidFill>
              <w14:schemeClr w14:val="tx1"/>
            </w14:solidFill>
          </w14:textFill>
        </w:rPr>
        <w:t>（三个分标适用）</w:t>
      </w:r>
    </w:p>
    <w:p w14:paraId="20687E0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注：计分方法按四舍五入取至百分位。</w:t>
      </w:r>
    </w:p>
    <w:p w14:paraId="63B7E6E6">
      <w:pPr>
        <w:spacing w:line="360" w:lineRule="auto"/>
        <w:ind w:firstLine="420" w:firstLineChars="20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总得分=</w:t>
      </w:r>
      <w:r>
        <w:rPr>
          <w:rFonts w:hint="eastAsia" w:ascii="宋体" w:hAnsi="宋体" w:eastAsia="宋体"/>
          <w:color w:val="000000" w:themeColor="text1"/>
          <w:szCs w:val="21"/>
          <w:u w:val="single"/>
          <w14:textFill>
            <w14:solidFill>
              <w14:schemeClr w14:val="tx1"/>
            </w14:solidFill>
          </w14:textFill>
        </w:rPr>
        <w:t>1+2+3</w:t>
      </w:r>
    </w:p>
    <w:p w14:paraId="2121F84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评分方法</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6379"/>
        <w:gridCol w:w="843"/>
      </w:tblGrid>
      <w:tr w14:paraId="4A0AB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2F3E4C6E">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序号</w:t>
            </w:r>
          </w:p>
        </w:tc>
        <w:tc>
          <w:tcPr>
            <w:tcW w:w="1134" w:type="dxa"/>
            <w:vAlign w:val="center"/>
          </w:tcPr>
          <w:p w14:paraId="0406D7E1">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评分类型</w:t>
            </w:r>
          </w:p>
        </w:tc>
        <w:tc>
          <w:tcPr>
            <w:tcW w:w="6379" w:type="dxa"/>
            <w:vAlign w:val="center"/>
          </w:tcPr>
          <w:p w14:paraId="159483E5">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评分标准</w:t>
            </w:r>
          </w:p>
        </w:tc>
        <w:tc>
          <w:tcPr>
            <w:tcW w:w="843" w:type="dxa"/>
            <w:vAlign w:val="center"/>
          </w:tcPr>
          <w:p w14:paraId="7D94A1A8">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分值</w:t>
            </w:r>
          </w:p>
        </w:tc>
      </w:tr>
      <w:tr w14:paraId="5F5CC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18061C8B">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tc>
        <w:tc>
          <w:tcPr>
            <w:tcW w:w="1134" w:type="dxa"/>
            <w:vAlign w:val="center"/>
          </w:tcPr>
          <w:p w14:paraId="3D81ADE7">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报价</w:t>
            </w:r>
          </w:p>
        </w:tc>
        <w:tc>
          <w:tcPr>
            <w:tcW w:w="6379" w:type="dxa"/>
            <w:vAlign w:val="center"/>
          </w:tcPr>
          <w:p w14:paraId="73005960">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（1）评标价为投标人的投标报价进行政策性扣除后的价格，评标价只是作为评标时使用。最终中标人的中标金额＝投标报价。</w:t>
            </w:r>
          </w:p>
          <w:p w14:paraId="6F71A1BF">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（2）按照《政府采购促进中小企业发展管理办法》（财库〔2020〕46号）的规定，投标人在其投标文件中提供《中小企业声明函》，且其所投标产品全部为小型或者微型企业产品的，对其最后报价给予</w:t>
            </w:r>
            <w:r>
              <w:rPr>
                <w:rFonts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0%的扣除。</w:t>
            </w:r>
          </w:p>
          <w:p w14:paraId="75570F8C">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27FC751B">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B256168">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（5）政策性扣除计算方法。</w:t>
            </w:r>
          </w:p>
          <w:p w14:paraId="04168909">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在货物采购项目中，供应商所投标全部货物由小型或者微型企业制造。对符合上述要求的投标人的投标报价给予</w:t>
            </w:r>
            <w:r>
              <w:rPr>
                <w:rFonts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0%的扣除，扣除后的价格为评标报价，即评标报价=投标报价×（1-</w:t>
            </w:r>
            <w:r>
              <w:rPr>
                <w:rFonts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0%）。除上述情况外，评标报价=投标报价。</w:t>
            </w:r>
          </w:p>
          <w:p w14:paraId="6F93BEDC">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（6）以进入综合评分环节的最低的评标报价为基准价，基准价报价得分为30分。</w:t>
            </w:r>
          </w:p>
          <w:p w14:paraId="120DFEA7">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（7）价格分计算公式：</w:t>
            </w:r>
          </w:p>
          <w:p w14:paraId="08365AC1">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某投标人价格分=基准价/某有效投标人评标报价×30分</w:t>
            </w:r>
          </w:p>
        </w:tc>
        <w:tc>
          <w:tcPr>
            <w:tcW w:w="843" w:type="dxa"/>
            <w:vAlign w:val="center"/>
          </w:tcPr>
          <w:p w14:paraId="28444D78">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30</w:t>
            </w:r>
          </w:p>
        </w:tc>
      </w:tr>
      <w:tr w14:paraId="62C76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053D5773">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w:t>
            </w:r>
          </w:p>
        </w:tc>
        <w:tc>
          <w:tcPr>
            <w:tcW w:w="1134" w:type="dxa"/>
            <w:vAlign w:val="center"/>
          </w:tcPr>
          <w:p w14:paraId="1D509066">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技术分</w:t>
            </w:r>
          </w:p>
        </w:tc>
        <w:tc>
          <w:tcPr>
            <w:tcW w:w="6379" w:type="dxa"/>
            <w:vAlign w:val="center"/>
          </w:tcPr>
          <w:p w14:paraId="36C066AE">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评审因素</w:t>
            </w:r>
          </w:p>
        </w:tc>
        <w:tc>
          <w:tcPr>
            <w:tcW w:w="843" w:type="dxa"/>
            <w:vAlign w:val="center"/>
          </w:tcPr>
          <w:p w14:paraId="0E3001F2">
            <w:pPr>
              <w:spacing w:line="360" w:lineRule="auto"/>
              <w:jc w:val="center"/>
              <w:rPr>
                <w:rFonts w:ascii="宋体" w:hAnsi="宋体" w:eastAsia="宋体"/>
                <w:b/>
                <w:color w:val="000000" w:themeColor="text1"/>
                <w:szCs w:val="21"/>
                <w14:textFill>
                  <w14:solidFill>
                    <w14:schemeClr w14:val="tx1"/>
                  </w14:solidFill>
                </w14:textFill>
              </w:rPr>
            </w:pPr>
            <w:r>
              <w:rPr>
                <w:rFonts w:ascii="宋体" w:hAnsi="宋体" w:eastAsia="宋体"/>
                <w:b/>
                <w:color w:val="000000" w:themeColor="text1"/>
                <w:szCs w:val="21"/>
                <w14:textFill>
                  <w14:solidFill>
                    <w14:schemeClr w14:val="tx1"/>
                  </w14:solidFill>
                </w14:textFill>
              </w:rPr>
              <w:t>55</w:t>
            </w:r>
          </w:p>
        </w:tc>
      </w:tr>
      <w:tr w14:paraId="677A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16DA5106">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w:t>
            </w:r>
          </w:p>
        </w:tc>
        <w:tc>
          <w:tcPr>
            <w:tcW w:w="1134" w:type="dxa"/>
            <w:vAlign w:val="center"/>
          </w:tcPr>
          <w:p w14:paraId="50631D82">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技术参数分</w:t>
            </w:r>
          </w:p>
        </w:tc>
        <w:tc>
          <w:tcPr>
            <w:tcW w:w="6379" w:type="dxa"/>
            <w:vAlign w:val="center"/>
          </w:tcPr>
          <w:p w14:paraId="0C1B39ED">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所有采购需求技术参数完全满足招标文件要求的得</w:t>
            </w:r>
            <w:r>
              <w:rPr>
                <w:rFonts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14:textFill>
                  <w14:solidFill>
                    <w14:schemeClr w14:val="tx1"/>
                  </w14:solidFill>
                </w14:textFill>
              </w:rPr>
              <w:t>0分。</w:t>
            </w:r>
          </w:p>
          <w:p w14:paraId="36208C2A">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技术参数标注“▲”项为实质性条款，不允许负偏离，否则投标无效。技术参数标注“●”项为重要参数，技术参数未标注“▲或●”项为一般参数。</w:t>
            </w:r>
          </w:p>
          <w:p w14:paraId="4D38505E">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（1）重要参数“●”项完全满足招标文件采购需求技术参数要求的得</w:t>
            </w:r>
            <w:r>
              <w:rPr>
                <w:rFonts w:ascii="宋体" w:hAnsi="宋体" w:eastAsia="宋体"/>
                <w:color w:val="000000" w:themeColor="text1"/>
                <w:szCs w:val="21"/>
                <w14:textFill>
                  <w14:solidFill>
                    <w14:schemeClr w14:val="tx1"/>
                  </w14:solidFill>
                </w14:textFill>
              </w:rPr>
              <w:t>14</w:t>
            </w:r>
            <w:r>
              <w:rPr>
                <w:rFonts w:hint="eastAsia" w:ascii="宋体" w:hAnsi="宋体" w:eastAsia="宋体"/>
                <w:color w:val="000000" w:themeColor="text1"/>
                <w:szCs w:val="21"/>
                <w14:textFill>
                  <w14:solidFill>
                    <w14:schemeClr w14:val="tx1"/>
                  </w14:solidFill>
                </w14:textFill>
              </w:rPr>
              <w:t>分，每负偏离</w:t>
            </w:r>
            <w:r>
              <w:rPr>
                <w:rFonts w:hint="default" w:ascii="宋体" w:hAnsi="宋体" w:eastAsia="宋体"/>
                <w:color w:val="000000" w:themeColor="text1"/>
                <w:szCs w:val="21"/>
                <w:lang w:val="en-US"/>
                <w14:textFill>
                  <w14:solidFill>
                    <w14:schemeClr w14:val="tx1"/>
                  </w14:solidFill>
                </w14:textFill>
              </w:rPr>
              <w:t>壹</w:t>
            </w:r>
            <w:r>
              <w:rPr>
                <w:rFonts w:hint="eastAsia" w:ascii="宋体" w:hAnsi="宋体" w:eastAsia="宋体"/>
                <w:color w:val="000000" w:themeColor="text1"/>
                <w:szCs w:val="21"/>
                <w14:textFill>
                  <w14:solidFill>
                    <w14:schemeClr w14:val="tx1"/>
                  </w14:solidFill>
                </w14:textFill>
              </w:rPr>
              <w:t>项扣</w:t>
            </w:r>
            <w:r>
              <w:rPr>
                <w:rFonts w:ascii="宋体" w:hAnsi="宋体" w:eastAsia="宋体"/>
                <w:color w:val="000000" w:themeColor="text1"/>
                <w:szCs w:val="21"/>
                <w14:textFill>
                  <w14:solidFill>
                    <w14:schemeClr w14:val="tx1"/>
                  </w14:solidFill>
                </w14:textFill>
              </w:rPr>
              <w:t>7</w:t>
            </w:r>
            <w:r>
              <w:rPr>
                <w:rFonts w:hint="eastAsia" w:ascii="宋体" w:hAnsi="宋体" w:eastAsia="宋体"/>
                <w:color w:val="000000" w:themeColor="text1"/>
                <w:szCs w:val="21"/>
                <w14:textFill>
                  <w14:solidFill>
                    <w14:schemeClr w14:val="tx1"/>
                  </w14:solidFill>
                </w14:textFill>
              </w:rPr>
              <w:t>分，最低0分。</w:t>
            </w:r>
          </w:p>
          <w:p w14:paraId="30BAF76F">
            <w:pPr>
              <w:spacing w:line="360" w:lineRule="auto"/>
              <w:jc w:val="lef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2</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一般参数项完全满足招标文件采购需求技术参数要求的得</w:t>
            </w:r>
            <w:r>
              <w:rPr>
                <w:rFonts w:ascii="宋体" w:hAnsi="宋体" w:eastAsia="宋体"/>
                <w:color w:val="000000" w:themeColor="text1"/>
                <w:szCs w:val="21"/>
                <w14:textFill>
                  <w14:solidFill>
                    <w14:schemeClr w14:val="tx1"/>
                  </w14:solidFill>
                </w14:textFill>
              </w:rPr>
              <w:t>6</w:t>
            </w:r>
            <w:r>
              <w:rPr>
                <w:rFonts w:hint="eastAsia" w:ascii="宋体" w:hAnsi="宋体" w:eastAsia="宋体"/>
                <w:color w:val="000000" w:themeColor="text1"/>
                <w:szCs w:val="21"/>
                <w14:textFill>
                  <w14:solidFill>
                    <w14:schemeClr w14:val="tx1"/>
                  </w14:solidFill>
                </w14:textFill>
              </w:rPr>
              <w:t>分，每负偏离</w:t>
            </w:r>
            <w:r>
              <w:rPr>
                <w:rFonts w:hint="default" w:ascii="宋体" w:hAnsi="宋体" w:eastAsia="宋体"/>
                <w:color w:val="000000" w:themeColor="text1"/>
                <w:szCs w:val="21"/>
                <w:lang w:val="en-US"/>
                <w14:textFill>
                  <w14:solidFill>
                    <w14:schemeClr w14:val="tx1"/>
                  </w14:solidFill>
                </w14:textFill>
              </w:rPr>
              <w:t>壹</w:t>
            </w:r>
            <w:r>
              <w:rPr>
                <w:rFonts w:hint="eastAsia" w:ascii="宋体" w:hAnsi="宋体" w:eastAsia="宋体"/>
                <w:color w:val="000000" w:themeColor="text1"/>
                <w:szCs w:val="21"/>
                <w14:textFill>
                  <w14:solidFill>
                    <w14:schemeClr w14:val="tx1"/>
                  </w14:solidFill>
                </w14:textFill>
              </w:rPr>
              <w:t>项扣</w:t>
            </w:r>
            <w:r>
              <w:rPr>
                <w:rFonts w:ascii="宋体" w:hAnsi="宋体" w:eastAsia="宋体"/>
                <w:color w:val="000000" w:themeColor="text1"/>
                <w:szCs w:val="21"/>
                <w14:textFill>
                  <w14:solidFill>
                    <w14:schemeClr w14:val="tx1"/>
                  </w14:solidFill>
                </w14:textFill>
              </w:rPr>
              <w:t>6</w:t>
            </w:r>
            <w:r>
              <w:rPr>
                <w:rFonts w:hint="eastAsia" w:ascii="宋体" w:hAnsi="宋体" w:eastAsia="宋体"/>
                <w:color w:val="000000" w:themeColor="text1"/>
                <w:szCs w:val="21"/>
                <w14:textFill>
                  <w14:solidFill>
                    <w14:schemeClr w14:val="tx1"/>
                  </w14:solidFill>
                </w14:textFill>
              </w:rPr>
              <w:t>分，最低0分。</w:t>
            </w:r>
          </w:p>
        </w:tc>
        <w:tc>
          <w:tcPr>
            <w:tcW w:w="843" w:type="dxa"/>
            <w:vAlign w:val="center"/>
          </w:tcPr>
          <w:p w14:paraId="0FB32ABA">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20</w:t>
            </w:r>
          </w:p>
        </w:tc>
      </w:tr>
      <w:tr w14:paraId="72FC3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71F234FF">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2.2</w:t>
            </w:r>
          </w:p>
        </w:tc>
        <w:tc>
          <w:tcPr>
            <w:tcW w:w="1134" w:type="dxa"/>
            <w:vAlign w:val="center"/>
          </w:tcPr>
          <w:p w14:paraId="73E81DC2">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技术实施方案分</w:t>
            </w:r>
          </w:p>
        </w:tc>
        <w:tc>
          <w:tcPr>
            <w:tcW w:w="6379" w:type="dxa"/>
            <w:vAlign w:val="center"/>
          </w:tcPr>
          <w:p w14:paraId="1E34EBF4">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不满足以下要求或不提供方案或方案不符合采购人实际或项目需求的不得分。</w:t>
            </w:r>
          </w:p>
          <w:p w14:paraId="6F4CA0B7">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一档（</w:t>
            </w:r>
            <w:r>
              <w:rPr>
                <w:rFonts w:ascii="宋体" w:hAnsi="宋体" w:eastAsia="宋体"/>
                <w:color w:val="000000" w:themeColor="text1"/>
                <w:szCs w:val="21"/>
                <w14:textFill>
                  <w14:solidFill>
                    <w14:schemeClr w14:val="tx1"/>
                  </w14:solidFill>
                </w14:textFill>
              </w:rPr>
              <w:t>5</w:t>
            </w:r>
            <w:r>
              <w:rPr>
                <w:rFonts w:hint="eastAsia" w:ascii="宋体" w:hAnsi="宋体" w:eastAsia="宋体"/>
                <w:color w:val="000000" w:themeColor="text1"/>
                <w:szCs w:val="21"/>
                <w14:textFill>
                  <w14:solidFill>
                    <w14:schemeClr w14:val="tx1"/>
                  </w14:solidFill>
                </w14:textFill>
              </w:rPr>
              <w:t>分）：能提供实施方案，方案对采购项目建设目标有正确理解，结合项目建设目标，从设备选型、设备备货、供货、到货、安装、调试等等都有正确的计划和进度安排。</w:t>
            </w:r>
          </w:p>
          <w:p w14:paraId="69BE8BB5">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二档（</w:t>
            </w:r>
            <w:r>
              <w:rPr>
                <w:rFonts w:ascii="宋体" w:hAnsi="宋体" w:eastAsia="宋体"/>
                <w:color w:val="000000" w:themeColor="text1"/>
                <w:szCs w:val="21"/>
                <w14:textFill>
                  <w14:solidFill>
                    <w14:schemeClr w14:val="tx1"/>
                  </w14:solidFill>
                </w14:textFill>
              </w:rPr>
              <w:t>10</w:t>
            </w:r>
            <w:r>
              <w:rPr>
                <w:rFonts w:hint="eastAsia" w:ascii="宋体" w:hAnsi="宋体" w:eastAsia="宋体"/>
                <w:color w:val="000000" w:themeColor="text1"/>
                <w:szCs w:val="21"/>
                <w14:textFill>
                  <w14:solidFill>
                    <w14:schemeClr w14:val="tx1"/>
                  </w14:solidFill>
                </w14:textFill>
              </w:rPr>
              <w:t>分）：在满足上一档的基础上，能够根据项目及采购人的实际情况与需求提供总体实施方案、投入方案、时间进度安排计划、人员部署方案、质量保证措施、安全保障方案。方案对选型、设备备货、供货、到货、安装、调试等等都有详细合理计划安排和工作流程；并重点分析对本项目的设计思路、应用部署、技术架构及技术实现手段。</w:t>
            </w:r>
          </w:p>
          <w:p w14:paraId="4E028914">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三档（1</w:t>
            </w:r>
            <w:r>
              <w:rPr>
                <w:rFonts w:ascii="宋体" w:hAnsi="宋体" w:eastAsia="宋体"/>
                <w:color w:val="000000" w:themeColor="text1"/>
                <w:szCs w:val="21"/>
                <w14:textFill>
                  <w14:solidFill>
                    <w14:schemeClr w14:val="tx1"/>
                  </w14:solidFill>
                </w14:textFill>
              </w:rPr>
              <w:t>5</w:t>
            </w:r>
            <w:r>
              <w:rPr>
                <w:rFonts w:hint="eastAsia" w:ascii="宋体" w:hAnsi="宋体" w:eastAsia="宋体"/>
                <w:color w:val="000000" w:themeColor="text1"/>
                <w:szCs w:val="21"/>
                <w14:textFill>
                  <w14:solidFill>
                    <w14:schemeClr w14:val="tx1"/>
                  </w14:solidFill>
                </w14:textFill>
              </w:rPr>
              <w:t>分）：在满足上一档的基础上，汇总项目实施过程中可能出现的紧急情况清单并针对不同情况编制有专项预案，包含但不限于备货供货、产品质量、团队人员原因等等造成的问题。</w:t>
            </w:r>
          </w:p>
          <w:p w14:paraId="0C36E26B">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方案中能重点针对项目所涉及范围的包括但不限于系统兼容性、技术架构等进行优化，结合采购人的实际需求，编制项目建设的提升计划和合理化建议。</w:t>
            </w:r>
          </w:p>
        </w:tc>
        <w:tc>
          <w:tcPr>
            <w:tcW w:w="843" w:type="dxa"/>
            <w:vAlign w:val="center"/>
          </w:tcPr>
          <w:p w14:paraId="3098DA52">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5</w:t>
            </w:r>
          </w:p>
        </w:tc>
      </w:tr>
      <w:tr w14:paraId="2439D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5436B6C4">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r>
              <w:rPr>
                <w:rFonts w:ascii="宋体" w:hAnsi="宋体" w:eastAsia="宋体"/>
                <w:color w:val="000000" w:themeColor="text1"/>
                <w:szCs w:val="21"/>
                <w14:textFill>
                  <w14:solidFill>
                    <w14:schemeClr w14:val="tx1"/>
                  </w14:solidFill>
                </w14:textFill>
              </w:rPr>
              <w:t>.3</w:t>
            </w:r>
          </w:p>
        </w:tc>
        <w:tc>
          <w:tcPr>
            <w:tcW w:w="1134" w:type="dxa"/>
            <w:vAlign w:val="center"/>
          </w:tcPr>
          <w:p w14:paraId="520E729D">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项目供货方案分</w:t>
            </w:r>
          </w:p>
        </w:tc>
        <w:tc>
          <w:tcPr>
            <w:tcW w:w="6379" w:type="dxa"/>
            <w:vAlign w:val="center"/>
          </w:tcPr>
          <w:p w14:paraId="1AA3F196">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不满足以下要求或不提供方案或方案不符合采购人实际或项目需求的不得分。</w:t>
            </w:r>
          </w:p>
          <w:p w14:paraId="07E65A58">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一档（</w:t>
            </w:r>
            <w:r>
              <w:rPr>
                <w:rFonts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分）：能针对所供货物提供详细的供货方案，含采购、包装、运输、安装、调试等各流程的工作计划和时间节点等，要求方案与所供设备匹配、正确。</w:t>
            </w:r>
          </w:p>
          <w:p w14:paraId="5A63ADF9">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二档（</w:t>
            </w:r>
            <w:r>
              <w:rPr>
                <w:rFonts w:ascii="宋体" w:hAnsi="宋体" w:eastAsia="宋体"/>
                <w:color w:val="000000" w:themeColor="text1"/>
                <w:szCs w:val="21"/>
                <w14:textFill>
                  <w14:solidFill>
                    <w14:schemeClr w14:val="tx1"/>
                  </w14:solidFill>
                </w14:textFill>
              </w:rPr>
              <w:t>4</w:t>
            </w:r>
            <w:r>
              <w:rPr>
                <w:rFonts w:hint="eastAsia" w:ascii="宋体" w:hAnsi="宋体" w:eastAsia="宋体"/>
                <w:color w:val="000000" w:themeColor="text1"/>
                <w:szCs w:val="21"/>
                <w14:textFill>
                  <w14:solidFill>
                    <w14:schemeClr w14:val="tx1"/>
                  </w14:solidFill>
                </w14:textFill>
              </w:rPr>
              <w:t>分）：在满足上一档的基础上，各阶段有明确负责人，落实职责，且各环节工作编制有实施措施和质量保证措施。分析供货流程各环节可能出现的问题并提出解决措施。</w:t>
            </w:r>
          </w:p>
          <w:p w14:paraId="50AF0D79">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三档（</w:t>
            </w:r>
            <w:r>
              <w:rPr>
                <w:rFonts w:ascii="宋体" w:hAnsi="宋体" w:eastAsia="宋体"/>
                <w:color w:val="000000" w:themeColor="text1"/>
                <w:szCs w:val="21"/>
                <w14:textFill>
                  <w14:solidFill>
                    <w14:schemeClr w14:val="tx1"/>
                  </w14:solidFill>
                </w14:textFill>
              </w:rPr>
              <w:t>7</w:t>
            </w:r>
            <w:r>
              <w:rPr>
                <w:rFonts w:hint="eastAsia" w:ascii="宋体" w:hAnsi="宋体" w:eastAsia="宋体"/>
                <w:color w:val="000000" w:themeColor="text1"/>
                <w:szCs w:val="21"/>
                <w14:textFill>
                  <w14:solidFill>
                    <w14:schemeClr w14:val="tx1"/>
                  </w14:solidFill>
                </w14:textFill>
              </w:rPr>
              <w:t>分）：在满足上一档的基础上，提供现场安装调试方案验收、校准方案，分析安装调试过程中常见的技术问题和难点，提供解决方案。</w:t>
            </w:r>
          </w:p>
          <w:p w14:paraId="0F4FE314">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四档（1</w:t>
            </w:r>
            <w:r>
              <w:rPr>
                <w:rFonts w:ascii="宋体" w:hAnsi="宋体" w:eastAsia="宋体"/>
                <w:color w:val="000000" w:themeColor="text1"/>
                <w:szCs w:val="21"/>
                <w14:textFill>
                  <w14:solidFill>
                    <w14:schemeClr w14:val="tx1"/>
                  </w14:solidFill>
                </w14:textFill>
              </w:rPr>
              <w:t>0</w:t>
            </w:r>
            <w:r>
              <w:rPr>
                <w:rFonts w:hint="eastAsia" w:ascii="宋体" w:hAnsi="宋体" w:eastAsia="宋体"/>
                <w:color w:val="000000" w:themeColor="text1"/>
                <w:szCs w:val="21"/>
                <w14:textFill>
                  <w14:solidFill>
                    <w14:schemeClr w14:val="tx1"/>
                  </w14:solidFill>
                </w14:textFill>
              </w:rPr>
              <w:t>分）：在满足上一档的基础上，总结投标产品在国内其他单位的供货经验，并结合采购人实际编制投标产品使用过程的合理化建议。</w:t>
            </w:r>
          </w:p>
        </w:tc>
        <w:tc>
          <w:tcPr>
            <w:tcW w:w="843" w:type="dxa"/>
            <w:vAlign w:val="center"/>
          </w:tcPr>
          <w:p w14:paraId="06C73B47">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0</w:t>
            </w:r>
          </w:p>
        </w:tc>
      </w:tr>
      <w:tr w14:paraId="55270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7D034EE1">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r>
              <w:rPr>
                <w:rFonts w:ascii="宋体" w:hAnsi="宋体" w:eastAsia="宋体"/>
                <w:color w:val="000000" w:themeColor="text1"/>
                <w:szCs w:val="21"/>
                <w14:textFill>
                  <w14:solidFill>
                    <w14:schemeClr w14:val="tx1"/>
                  </w14:solidFill>
                </w14:textFill>
              </w:rPr>
              <w:t>4</w:t>
            </w:r>
          </w:p>
        </w:tc>
        <w:tc>
          <w:tcPr>
            <w:tcW w:w="1134" w:type="dxa"/>
            <w:vAlign w:val="center"/>
          </w:tcPr>
          <w:p w14:paraId="02F5FD89">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售后服务方案分</w:t>
            </w:r>
          </w:p>
        </w:tc>
        <w:tc>
          <w:tcPr>
            <w:tcW w:w="6379" w:type="dxa"/>
            <w:vAlign w:val="center"/>
          </w:tcPr>
          <w:p w14:paraId="67D6D3E3">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不满足以下要求或不提供方案或方案不符合采购人实际或项目需求的不得分。</w:t>
            </w:r>
          </w:p>
          <w:p w14:paraId="378BA560">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一档（</w:t>
            </w:r>
            <w:r>
              <w:rPr>
                <w:rFonts w:ascii="宋体" w:hAnsi="宋体" w:eastAsia="宋体"/>
                <w:color w:val="000000" w:themeColor="text1"/>
                <w:szCs w:val="21"/>
                <w14:textFill>
                  <w14:solidFill>
                    <w14:schemeClr w14:val="tx1"/>
                  </w14:solidFill>
                </w14:textFill>
              </w:rPr>
              <w:t>4</w:t>
            </w:r>
            <w:r>
              <w:rPr>
                <w:rFonts w:hint="eastAsia" w:ascii="宋体" w:hAnsi="宋体" w:eastAsia="宋体"/>
                <w:color w:val="000000" w:themeColor="text1"/>
                <w:szCs w:val="21"/>
                <w14:textFill>
                  <w14:solidFill>
                    <w14:schemeClr w14:val="tx1"/>
                  </w14:solidFill>
                </w14:textFill>
              </w:rPr>
              <w:t>分）：售后保障措施完整，对系统的维护提供整体维护解决方案，有免费的培训计划和定期回访计划；提供7×</w:t>
            </w:r>
            <w:r>
              <w:rPr>
                <w:rFonts w:ascii="宋体" w:hAnsi="宋体" w:eastAsia="宋体"/>
                <w:color w:val="000000" w:themeColor="text1"/>
                <w:szCs w:val="21"/>
                <w14:textFill>
                  <w14:solidFill>
                    <w14:schemeClr w14:val="tx1"/>
                  </w14:solidFill>
                </w14:textFill>
              </w:rPr>
              <w:t>24</w:t>
            </w:r>
            <w:r>
              <w:rPr>
                <w:rFonts w:hint="eastAsia" w:ascii="宋体" w:hAnsi="宋体" w:eastAsia="宋体"/>
                <w:color w:val="000000" w:themeColor="text1"/>
                <w:szCs w:val="21"/>
                <w14:textFill>
                  <w14:solidFill>
                    <w14:schemeClr w14:val="tx1"/>
                  </w14:solidFill>
                </w14:textFill>
              </w:rPr>
              <w:t>小时售后服务电话。</w:t>
            </w:r>
          </w:p>
          <w:p w14:paraId="03541BA9">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二档（</w:t>
            </w:r>
            <w:r>
              <w:rPr>
                <w:rFonts w:ascii="宋体" w:hAnsi="宋体" w:eastAsia="宋体"/>
                <w:color w:val="000000" w:themeColor="text1"/>
                <w:szCs w:val="21"/>
                <w14:textFill>
                  <w14:solidFill>
                    <w14:schemeClr w14:val="tx1"/>
                  </w14:solidFill>
                </w14:textFill>
              </w:rPr>
              <w:t>7</w:t>
            </w:r>
            <w:r>
              <w:rPr>
                <w:rFonts w:hint="eastAsia" w:ascii="宋体" w:hAnsi="宋体" w:eastAsia="宋体"/>
                <w:color w:val="000000" w:themeColor="text1"/>
                <w:szCs w:val="21"/>
                <w14:textFill>
                  <w14:solidFill>
                    <w14:schemeClr w14:val="tx1"/>
                  </w14:solidFill>
                </w14:textFill>
              </w:rPr>
              <w:t>分）：在满足上一档的基础上，方案承诺有应急备品配件替换方案、优惠措施等，对系统的维护提供整体维护解决方案和运行维护应急预案。</w:t>
            </w:r>
          </w:p>
          <w:p w14:paraId="4CB5D652">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三档（</w:t>
            </w:r>
            <w:r>
              <w:rPr>
                <w:rFonts w:ascii="宋体" w:hAnsi="宋体" w:eastAsia="宋体"/>
                <w:color w:val="000000" w:themeColor="text1"/>
                <w:szCs w:val="21"/>
                <w14:textFill>
                  <w14:solidFill>
                    <w14:schemeClr w14:val="tx1"/>
                  </w14:solidFill>
                </w14:textFill>
              </w:rPr>
              <w:t>10</w:t>
            </w:r>
            <w:r>
              <w:rPr>
                <w:rFonts w:hint="eastAsia" w:ascii="宋体" w:hAnsi="宋体" w:eastAsia="宋体"/>
                <w:color w:val="000000" w:themeColor="text1"/>
                <w:szCs w:val="21"/>
                <w14:textFill>
                  <w14:solidFill>
                    <w14:schemeClr w14:val="tx1"/>
                  </w14:solidFill>
                </w14:textFill>
              </w:rPr>
              <w:t>分）：在满足上一档的基础上，接到服务需求后</w:t>
            </w:r>
            <w:r>
              <w:rPr>
                <w:rFonts w:ascii="宋体" w:hAnsi="宋体" w:eastAsia="宋体"/>
                <w:color w:val="000000" w:themeColor="text1"/>
                <w:szCs w:val="21"/>
                <w14:textFill>
                  <w14:solidFill>
                    <w14:schemeClr w14:val="tx1"/>
                  </w14:solidFill>
                </w14:textFill>
              </w:rPr>
              <w:t>1小时</w:t>
            </w:r>
            <w:r>
              <w:rPr>
                <w:rFonts w:hint="eastAsia" w:ascii="宋体" w:hAnsi="宋体" w:eastAsia="宋体"/>
                <w:color w:val="000000" w:themeColor="text1"/>
                <w:szCs w:val="21"/>
                <w14:textFill>
                  <w14:solidFill>
                    <w14:schemeClr w14:val="tx1"/>
                  </w14:solidFill>
                </w14:textFill>
              </w:rPr>
              <w:t>内响应、</w:t>
            </w:r>
            <w:r>
              <w:rPr>
                <w:rFonts w:ascii="宋体" w:hAnsi="宋体" w:eastAsia="宋体"/>
                <w:color w:val="000000" w:themeColor="text1"/>
                <w:szCs w:val="21"/>
                <w14:textFill>
                  <w14:solidFill>
                    <w14:schemeClr w14:val="tx1"/>
                  </w14:solidFill>
                </w14:textFill>
              </w:rPr>
              <w:t>12小时</w:t>
            </w:r>
            <w:r>
              <w:rPr>
                <w:rFonts w:hint="eastAsia" w:ascii="宋体" w:hAnsi="宋体" w:eastAsia="宋体"/>
                <w:color w:val="000000" w:themeColor="text1"/>
                <w:szCs w:val="21"/>
                <w14:textFill>
                  <w14:solidFill>
                    <w14:schemeClr w14:val="tx1"/>
                  </w14:solidFill>
                </w14:textFill>
              </w:rPr>
              <w:t>内排除故障，提供系统维护记录档案。</w:t>
            </w:r>
          </w:p>
          <w:p w14:paraId="314BE1F1">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投标文件中提供经投标人法定代表人签字确认的售后服务承诺函。</w:t>
            </w:r>
          </w:p>
        </w:tc>
        <w:tc>
          <w:tcPr>
            <w:tcW w:w="843" w:type="dxa"/>
            <w:vAlign w:val="center"/>
          </w:tcPr>
          <w:p w14:paraId="4727990A">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0</w:t>
            </w:r>
          </w:p>
        </w:tc>
      </w:tr>
      <w:tr w14:paraId="04B30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79689F3A">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w:t>
            </w:r>
          </w:p>
        </w:tc>
        <w:tc>
          <w:tcPr>
            <w:tcW w:w="1134" w:type="dxa"/>
            <w:vAlign w:val="center"/>
          </w:tcPr>
          <w:p w14:paraId="3DB1794B">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商务分</w:t>
            </w:r>
          </w:p>
        </w:tc>
        <w:tc>
          <w:tcPr>
            <w:tcW w:w="6379" w:type="dxa"/>
            <w:vAlign w:val="center"/>
          </w:tcPr>
          <w:p w14:paraId="5C870A96">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评审因素</w:t>
            </w:r>
          </w:p>
        </w:tc>
        <w:tc>
          <w:tcPr>
            <w:tcW w:w="843" w:type="dxa"/>
            <w:vAlign w:val="center"/>
          </w:tcPr>
          <w:p w14:paraId="43ADFC40">
            <w:pPr>
              <w:spacing w:line="360" w:lineRule="auto"/>
              <w:jc w:val="center"/>
              <w:rPr>
                <w:rFonts w:ascii="宋体" w:hAnsi="宋体" w:eastAsia="宋体"/>
                <w:b/>
                <w:color w:val="000000" w:themeColor="text1"/>
                <w:szCs w:val="21"/>
                <w14:textFill>
                  <w14:solidFill>
                    <w14:schemeClr w14:val="tx1"/>
                  </w14:solidFill>
                </w14:textFill>
              </w:rPr>
            </w:pPr>
            <w:r>
              <w:rPr>
                <w:rFonts w:ascii="宋体" w:hAnsi="宋体" w:eastAsia="宋体"/>
                <w:b/>
                <w:color w:val="000000" w:themeColor="text1"/>
                <w:szCs w:val="21"/>
                <w14:textFill>
                  <w14:solidFill>
                    <w14:schemeClr w14:val="tx1"/>
                  </w14:solidFill>
                </w14:textFill>
              </w:rPr>
              <w:t>15</w:t>
            </w:r>
          </w:p>
        </w:tc>
      </w:tr>
      <w:tr w14:paraId="578D2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626D63F9">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3.1</w:t>
            </w:r>
          </w:p>
        </w:tc>
        <w:tc>
          <w:tcPr>
            <w:tcW w:w="1134" w:type="dxa"/>
            <w:vAlign w:val="center"/>
          </w:tcPr>
          <w:p w14:paraId="19A13348">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信誉分</w:t>
            </w:r>
          </w:p>
        </w:tc>
        <w:tc>
          <w:tcPr>
            <w:tcW w:w="6379" w:type="dxa"/>
            <w:vAlign w:val="center"/>
          </w:tcPr>
          <w:p w14:paraId="078FFA4F">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投标人具有ISO9001质量管理体系认证证书、ISO14001环境管理体系认证证书和ISO45001职业健康安全管理体系认证证书的，每有一个得1分，满分3分。</w:t>
            </w:r>
          </w:p>
        </w:tc>
        <w:tc>
          <w:tcPr>
            <w:tcW w:w="843" w:type="dxa"/>
            <w:vAlign w:val="center"/>
          </w:tcPr>
          <w:p w14:paraId="398251E9">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3</w:t>
            </w:r>
          </w:p>
        </w:tc>
      </w:tr>
      <w:tr w14:paraId="15B8C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5E207A2F">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3.2</w:t>
            </w:r>
          </w:p>
        </w:tc>
        <w:tc>
          <w:tcPr>
            <w:tcW w:w="1134" w:type="dxa"/>
            <w:vAlign w:val="center"/>
          </w:tcPr>
          <w:p w14:paraId="1EFC44B4">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业绩分</w:t>
            </w:r>
          </w:p>
        </w:tc>
        <w:tc>
          <w:tcPr>
            <w:tcW w:w="6379" w:type="dxa"/>
            <w:vAlign w:val="center"/>
          </w:tcPr>
          <w:p w14:paraId="4EE468E2">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2020年1月1日实施过同类型项目业绩的，每提供一项得2分，满分10分。（须提供合同复印件作为证明材料，要求合同关键页体现相关信息。）</w:t>
            </w:r>
          </w:p>
        </w:tc>
        <w:tc>
          <w:tcPr>
            <w:tcW w:w="843" w:type="dxa"/>
            <w:vAlign w:val="center"/>
          </w:tcPr>
          <w:p w14:paraId="2B98887C">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0</w:t>
            </w:r>
          </w:p>
        </w:tc>
      </w:tr>
      <w:tr w14:paraId="154F9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6C3015A1">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3.3</w:t>
            </w:r>
          </w:p>
        </w:tc>
        <w:tc>
          <w:tcPr>
            <w:tcW w:w="1134" w:type="dxa"/>
            <w:vAlign w:val="center"/>
          </w:tcPr>
          <w:p w14:paraId="0BBABA6D">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政策功能分（节能、环保产品）</w:t>
            </w:r>
          </w:p>
        </w:tc>
        <w:tc>
          <w:tcPr>
            <w:tcW w:w="6379" w:type="dxa"/>
            <w:vAlign w:val="center"/>
          </w:tcPr>
          <w:p w14:paraId="224EDDC7">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1.投标产品中含有政府采购节能产品的，得</w:t>
            </w:r>
            <w:r>
              <w:rPr>
                <w:rFonts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分，满分</w:t>
            </w:r>
            <w:r>
              <w:rPr>
                <w:rFonts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分。（适用于非强制采购节能产品，响应文件中请提供有效的政府采购节能产品认证证书复印件，投标产品需清晰反映在证书上）。</w:t>
            </w:r>
          </w:p>
          <w:p w14:paraId="469ED656">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2.投标产品中含有政府采购环境标志产品的，得</w:t>
            </w:r>
            <w:r>
              <w:rPr>
                <w:rFonts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分，满分</w:t>
            </w:r>
            <w:r>
              <w:rPr>
                <w:rFonts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分。（响应文件中请提供有效的政府采购环境标志产品认证证书复印件，投标产品需清晰反映在证书上）。</w:t>
            </w:r>
          </w:p>
          <w:p w14:paraId="05AABC2D">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注：相关产品须在开标一览表中明确备注，并在投标文件中附有效的认证证书。</w:t>
            </w:r>
          </w:p>
        </w:tc>
        <w:tc>
          <w:tcPr>
            <w:tcW w:w="843" w:type="dxa"/>
            <w:vAlign w:val="center"/>
          </w:tcPr>
          <w:p w14:paraId="0201ACD2">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p>
        </w:tc>
      </w:tr>
      <w:tr w14:paraId="28C0C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0" w:type="dxa"/>
            <w:gridSpan w:val="4"/>
            <w:vAlign w:val="center"/>
          </w:tcPr>
          <w:p w14:paraId="2954795E">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综合得分=1+2+3（各项评分分值计算保留小数点后两位，小数点后第三位“四舍五入”）</w:t>
            </w:r>
          </w:p>
        </w:tc>
      </w:tr>
    </w:tbl>
    <w:p w14:paraId="05D3AC80">
      <w:pPr>
        <w:spacing w:line="360" w:lineRule="auto"/>
        <w:ind w:firstLine="420" w:firstLineChars="200"/>
        <w:rPr>
          <w:rFonts w:ascii="宋体" w:hAnsi="宋体" w:eastAsia="宋体"/>
          <w:color w:val="000000" w:themeColor="text1"/>
          <w:szCs w:val="21"/>
          <w14:textFill>
            <w14:solidFill>
              <w14:schemeClr w14:val="tx1"/>
            </w14:solidFill>
          </w14:textFill>
        </w:rPr>
      </w:pPr>
    </w:p>
    <w:p w14:paraId="248D4E05">
      <w:pPr>
        <w:pStyle w:val="3"/>
        <w:jc w:val="center"/>
        <w:rPr>
          <w:rFonts w:ascii="宋体" w:hAnsi="宋体" w:eastAsia="宋体"/>
          <w:color w:val="000000" w:themeColor="text1"/>
          <w:sz w:val="30"/>
          <w:szCs w:val="30"/>
          <w14:textFill>
            <w14:solidFill>
              <w14:schemeClr w14:val="tx1"/>
            </w14:solidFill>
          </w14:textFill>
        </w:rPr>
      </w:pPr>
      <w:bookmarkStart w:id="18" w:name="_Toc198316073"/>
      <w:r>
        <w:rPr>
          <w:rFonts w:hint="eastAsia" w:ascii="宋体" w:hAnsi="宋体" w:eastAsia="宋体"/>
          <w:color w:val="000000" w:themeColor="text1"/>
          <w:sz w:val="30"/>
          <w:szCs w:val="30"/>
          <w14:textFill>
            <w14:solidFill>
              <w14:schemeClr w14:val="tx1"/>
            </w14:solidFill>
          </w14:textFill>
        </w:rPr>
        <w:t>第四</w:t>
      </w:r>
      <w:r>
        <w:rPr>
          <w:rFonts w:hint="eastAsia" w:ascii="宋体" w:hAnsi="宋体" w:eastAsia="宋体"/>
          <w:color w:val="000000" w:themeColor="text1"/>
          <w:spacing w:val="120"/>
          <w:sz w:val="30"/>
          <w:szCs w:val="30"/>
          <w14:textFill>
            <w14:solidFill>
              <w14:schemeClr w14:val="tx1"/>
            </w14:solidFill>
          </w14:textFill>
        </w:rPr>
        <w:t>节</w:t>
      </w:r>
      <w:r>
        <w:rPr>
          <w:rFonts w:hint="eastAsia" w:ascii="宋体" w:hAnsi="宋体" w:eastAsia="宋体"/>
          <w:color w:val="000000" w:themeColor="text1"/>
          <w:sz w:val="30"/>
          <w:szCs w:val="30"/>
          <w14:textFill>
            <w14:solidFill>
              <w14:schemeClr w14:val="tx1"/>
            </w14:solidFill>
          </w14:textFill>
        </w:rPr>
        <w:t>中标候选人推荐原则</w:t>
      </w:r>
      <w:bookmarkEnd w:id="18"/>
    </w:p>
    <w:p w14:paraId="5BF6CD0A">
      <w:pPr>
        <w:spacing w:line="360" w:lineRule="auto"/>
        <w:jc w:val="center"/>
        <w:rPr>
          <w:rFonts w:ascii="宋体" w:hAnsi="宋体" w:eastAsia="宋体"/>
          <w:b/>
          <w:color w:val="000000" w:themeColor="text1"/>
          <w:sz w:val="30"/>
          <w:szCs w:val="30"/>
          <w14:textFill>
            <w14:solidFill>
              <w14:schemeClr w14:val="tx1"/>
            </w14:solidFill>
          </w14:textFill>
        </w:rPr>
      </w:pPr>
      <w:r>
        <w:rPr>
          <w:rFonts w:hint="eastAsia" w:ascii="宋体" w:hAnsi="宋体" w:eastAsia="宋体"/>
          <w:b/>
          <w:color w:val="000000" w:themeColor="text1"/>
          <w:sz w:val="30"/>
          <w:szCs w:val="30"/>
          <w14:textFill>
            <w14:solidFill>
              <w14:schemeClr w14:val="tx1"/>
            </w14:solidFill>
          </w14:textFill>
        </w:rPr>
        <w:t>综合评分法</w:t>
      </w:r>
    </w:p>
    <w:p w14:paraId="2624CD7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6CEAA64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根据《政府采购货物和服务招标投标管理办法》（财政部令第87号）第三十一条第二款规定，采用综合评分法的采购项目，提供相同品牌产品且通过资格审查、符合性审查的不同投标人参加同一合同项下投标的，按一家投标人计算，评审后得分最高的同品牌投标人获得中标人推荐资格；评审得分相同的，按照“投标人须知前附表”及“投标人须知正文”30.2规定推荐。</w:t>
      </w:r>
    </w:p>
    <w:p w14:paraId="00FA6C35">
      <w:pPr>
        <w:pStyle w:val="3"/>
        <w:jc w:val="center"/>
        <w:rPr>
          <w:rFonts w:ascii="宋体" w:hAnsi="宋体" w:eastAsia="宋体"/>
          <w:color w:val="000000" w:themeColor="text1"/>
          <w:sz w:val="30"/>
          <w:szCs w:val="30"/>
          <w14:textFill>
            <w14:solidFill>
              <w14:schemeClr w14:val="tx1"/>
            </w14:solidFill>
          </w14:textFill>
        </w:rPr>
      </w:pPr>
      <w:bookmarkStart w:id="19" w:name="_Toc198316074"/>
      <w:r>
        <w:rPr>
          <w:rFonts w:hint="eastAsia" w:ascii="宋体" w:hAnsi="宋体" w:eastAsia="宋体"/>
          <w:color w:val="000000" w:themeColor="text1"/>
          <w:sz w:val="30"/>
          <w:szCs w:val="30"/>
          <w14:textFill>
            <w14:solidFill>
              <w14:schemeClr w14:val="tx1"/>
            </w14:solidFill>
          </w14:textFill>
        </w:rPr>
        <w:t>第五</w:t>
      </w:r>
      <w:r>
        <w:rPr>
          <w:rFonts w:hint="eastAsia" w:ascii="宋体" w:hAnsi="宋体" w:eastAsia="宋体"/>
          <w:color w:val="000000" w:themeColor="text1"/>
          <w:spacing w:val="120"/>
          <w:sz w:val="30"/>
          <w:szCs w:val="30"/>
          <w14:textFill>
            <w14:solidFill>
              <w14:schemeClr w14:val="tx1"/>
            </w14:solidFill>
          </w14:textFill>
        </w:rPr>
        <w:t>节</w:t>
      </w:r>
      <w:r>
        <w:rPr>
          <w:rFonts w:hint="eastAsia" w:ascii="宋体" w:hAnsi="宋体" w:eastAsia="宋体"/>
          <w:color w:val="000000" w:themeColor="text1"/>
          <w:sz w:val="30"/>
          <w:szCs w:val="30"/>
          <w14:textFill>
            <w14:solidFill>
              <w14:schemeClr w14:val="tx1"/>
            </w14:solidFill>
          </w14:textFill>
        </w:rPr>
        <w:t>评标报告</w:t>
      </w:r>
      <w:bookmarkEnd w:id="19"/>
    </w:p>
    <w:p w14:paraId="2215E288">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（一）评标报告与推荐中标候选人</w:t>
      </w:r>
    </w:p>
    <w:p w14:paraId="3CA0348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评标委员会根据原始评标记录和评标结果编写评标报告，并通过电子交易平台向采购人、采购代理机构提交。</w:t>
      </w:r>
    </w:p>
    <w:p w14:paraId="690B0793">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（二）评标争议事项处理</w:t>
      </w:r>
    </w:p>
    <w:p w14:paraId="672E784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14:paraId="7CCA235F">
      <w:pPr>
        <w:spacing w:line="360" w:lineRule="auto"/>
        <w:ind w:firstLine="420" w:firstLineChars="200"/>
        <w:rPr>
          <w:rFonts w:ascii="宋体" w:hAnsi="宋体" w:eastAsia="宋体"/>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71BBE7F3">
      <w:pPr>
        <w:spacing w:line="360" w:lineRule="auto"/>
        <w:ind w:firstLine="420" w:firstLineChars="200"/>
        <w:rPr>
          <w:rFonts w:ascii="宋体" w:hAnsi="宋体" w:eastAsia="宋体"/>
          <w:color w:val="000000" w:themeColor="text1"/>
          <w:szCs w:val="21"/>
          <w14:textFill>
            <w14:solidFill>
              <w14:schemeClr w14:val="tx1"/>
            </w14:solidFill>
          </w14:textFill>
        </w:rPr>
      </w:pPr>
    </w:p>
    <w:p w14:paraId="50BE399B">
      <w:pPr>
        <w:spacing w:line="360" w:lineRule="auto"/>
        <w:ind w:firstLine="420" w:firstLineChars="200"/>
        <w:rPr>
          <w:rFonts w:ascii="宋体" w:hAnsi="宋体" w:eastAsia="宋体"/>
          <w:color w:val="000000" w:themeColor="text1"/>
          <w:szCs w:val="21"/>
          <w14:textFill>
            <w14:solidFill>
              <w14:schemeClr w14:val="tx1"/>
            </w14:solidFill>
          </w14:textFill>
        </w:rPr>
      </w:pPr>
    </w:p>
    <w:p w14:paraId="2CB4D18B">
      <w:pPr>
        <w:spacing w:line="360" w:lineRule="auto"/>
        <w:ind w:firstLine="420" w:firstLineChars="200"/>
        <w:rPr>
          <w:rFonts w:ascii="宋体" w:hAnsi="宋体" w:eastAsia="宋体"/>
          <w:color w:val="000000" w:themeColor="text1"/>
          <w:szCs w:val="21"/>
          <w14:textFill>
            <w14:solidFill>
              <w14:schemeClr w14:val="tx1"/>
            </w14:solidFill>
          </w14:textFill>
        </w:rPr>
      </w:pPr>
    </w:p>
    <w:p w14:paraId="2FD779FE">
      <w:pPr>
        <w:spacing w:line="360" w:lineRule="auto"/>
        <w:ind w:firstLine="420" w:firstLineChars="200"/>
        <w:rPr>
          <w:rFonts w:ascii="宋体" w:hAnsi="宋体" w:eastAsia="宋体"/>
          <w:color w:val="000000" w:themeColor="text1"/>
          <w:szCs w:val="21"/>
          <w14:textFill>
            <w14:solidFill>
              <w14:schemeClr w14:val="tx1"/>
            </w14:solidFill>
          </w14:textFill>
        </w:rPr>
      </w:pPr>
    </w:p>
    <w:p w14:paraId="786FDD76">
      <w:pPr>
        <w:spacing w:line="360" w:lineRule="auto"/>
        <w:ind w:firstLine="420" w:firstLineChars="200"/>
        <w:rPr>
          <w:rFonts w:ascii="宋体" w:hAnsi="宋体" w:eastAsia="宋体"/>
          <w:color w:val="000000" w:themeColor="text1"/>
          <w:szCs w:val="21"/>
          <w14:textFill>
            <w14:solidFill>
              <w14:schemeClr w14:val="tx1"/>
            </w14:solidFill>
          </w14:textFill>
        </w:rPr>
      </w:pPr>
    </w:p>
    <w:p w14:paraId="768FF00D">
      <w:pPr>
        <w:spacing w:line="360" w:lineRule="auto"/>
        <w:ind w:firstLine="420" w:firstLineChars="200"/>
        <w:rPr>
          <w:rFonts w:ascii="宋体" w:hAnsi="宋体" w:eastAsia="宋体"/>
          <w:color w:val="000000" w:themeColor="text1"/>
          <w:szCs w:val="21"/>
          <w14:textFill>
            <w14:solidFill>
              <w14:schemeClr w14:val="tx1"/>
            </w14:solidFill>
          </w14:textFill>
        </w:rPr>
      </w:pPr>
    </w:p>
    <w:p w14:paraId="0AF90A0D">
      <w:pPr>
        <w:spacing w:line="360" w:lineRule="auto"/>
        <w:ind w:firstLine="420" w:firstLineChars="200"/>
        <w:rPr>
          <w:rFonts w:ascii="宋体" w:hAnsi="宋体" w:eastAsia="宋体"/>
          <w:color w:val="000000" w:themeColor="text1"/>
          <w:szCs w:val="21"/>
          <w14:textFill>
            <w14:solidFill>
              <w14:schemeClr w14:val="tx1"/>
            </w14:solidFill>
          </w14:textFill>
        </w:rPr>
      </w:pPr>
    </w:p>
    <w:p w14:paraId="0F035AC9">
      <w:pPr>
        <w:spacing w:line="360" w:lineRule="auto"/>
        <w:ind w:firstLine="420" w:firstLineChars="200"/>
        <w:rPr>
          <w:rFonts w:ascii="宋体" w:hAnsi="宋体" w:eastAsia="宋体"/>
          <w:color w:val="000000" w:themeColor="text1"/>
          <w:szCs w:val="21"/>
          <w14:textFill>
            <w14:solidFill>
              <w14:schemeClr w14:val="tx1"/>
            </w14:solidFill>
          </w14:textFill>
        </w:rPr>
      </w:pPr>
    </w:p>
    <w:p w14:paraId="0EBE7E21">
      <w:pPr>
        <w:spacing w:line="360" w:lineRule="auto"/>
        <w:ind w:firstLine="420" w:firstLineChars="200"/>
        <w:rPr>
          <w:rFonts w:ascii="宋体" w:hAnsi="宋体" w:eastAsia="宋体"/>
          <w:color w:val="000000" w:themeColor="text1"/>
          <w:szCs w:val="21"/>
          <w14:textFill>
            <w14:solidFill>
              <w14:schemeClr w14:val="tx1"/>
            </w14:solidFill>
          </w14:textFill>
        </w:rPr>
      </w:pPr>
    </w:p>
    <w:p w14:paraId="3CF978CD">
      <w:pPr>
        <w:spacing w:line="360" w:lineRule="auto"/>
        <w:ind w:firstLine="420" w:firstLineChars="200"/>
        <w:rPr>
          <w:rFonts w:ascii="宋体" w:hAnsi="宋体" w:eastAsia="宋体"/>
          <w:color w:val="000000" w:themeColor="text1"/>
          <w:szCs w:val="21"/>
          <w14:textFill>
            <w14:solidFill>
              <w14:schemeClr w14:val="tx1"/>
            </w14:solidFill>
          </w14:textFill>
        </w:rPr>
      </w:pPr>
    </w:p>
    <w:p w14:paraId="499C2EE2">
      <w:pPr>
        <w:pStyle w:val="2"/>
        <w:spacing w:before="0" w:after="0" w:line="240" w:lineRule="auto"/>
        <w:jc w:val="center"/>
        <w:rPr>
          <w:rFonts w:ascii="宋体" w:hAnsi="宋体" w:eastAsia="宋体"/>
          <w:color w:val="000000" w:themeColor="text1"/>
          <w:sz w:val="36"/>
          <w:szCs w:val="36"/>
          <w14:textFill>
            <w14:solidFill>
              <w14:schemeClr w14:val="tx1"/>
            </w14:solidFill>
          </w14:textFill>
        </w:rPr>
      </w:pPr>
      <w:bookmarkStart w:id="20" w:name="_Toc198316075"/>
      <w:r>
        <w:rPr>
          <w:rFonts w:hint="eastAsia" w:ascii="宋体" w:hAnsi="宋体" w:eastAsia="宋体"/>
          <w:color w:val="000000" w:themeColor="text1"/>
          <w:sz w:val="36"/>
          <w:szCs w:val="36"/>
          <w14:textFill>
            <w14:solidFill>
              <w14:schemeClr w14:val="tx1"/>
            </w14:solidFill>
          </w14:textFill>
        </w:rPr>
        <w:t>第五</w:t>
      </w:r>
      <w:r>
        <w:rPr>
          <w:rFonts w:hint="eastAsia" w:ascii="宋体" w:hAnsi="宋体" w:eastAsia="宋体"/>
          <w:color w:val="000000" w:themeColor="text1"/>
          <w:spacing w:val="120"/>
          <w:sz w:val="36"/>
          <w:szCs w:val="36"/>
          <w14:textFill>
            <w14:solidFill>
              <w14:schemeClr w14:val="tx1"/>
            </w14:solidFill>
          </w14:textFill>
        </w:rPr>
        <w:t>章</w:t>
      </w:r>
      <w:r>
        <w:rPr>
          <w:rFonts w:hint="eastAsia" w:ascii="宋体" w:hAnsi="宋体" w:eastAsia="宋体"/>
          <w:color w:val="000000" w:themeColor="text1"/>
          <w:sz w:val="36"/>
          <w:szCs w:val="36"/>
          <w14:textFill>
            <w14:solidFill>
              <w14:schemeClr w14:val="tx1"/>
            </w14:solidFill>
          </w14:textFill>
        </w:rPr>
        <w:t>拟签订的合同文本</w:t>
      </w:r>
      <w:bookmarkEnd w:id="20"/>
    </w:p>
    <w:p w14:paraId="07BF68D9">
      <w:pPr>
        <w:spacing w:line="360" w:lineRule="auto"/>
        <w:ind w:firstLine="420" w:firstLineChars="200"/>
        <w:rPr>
          <w:rFonts w:ascii="宋体" w:hAnsi="宋体" w:eastAsia="宋体"/>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55261104">
      <w:pPr>
        <w:spacing w:line="360" w:lineRule="auto"/>
        <w:ind w:firstLine="420" w:firstLineChars="200"/>
        <w:rPr>
          <w:rFonts w:ascii="宋体" w:hAnsi="宋体" w:eastAsia="宋体"/>
          <w:color w:val="000000" w:themeColor="text1"/>
          <w:szCs w:val="21"/>
          <w14:textFill>
            <w14:solidFill>
              <w14:schemeClr w14:val="tx1"/>
            </w14:solidFill>
          </w14:textFill>
        </w:rPr>
      </w:pPr>
    </w:p>
    <w:p w14:paraId="3067AB88">
      <w:pPr>
        <w:spacing w:line="360" w:lineRule="auto"/>
        <w:ind w:firstLine="420" w:firstLineChars="20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广西政府采购云平台合同编号：</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p>
    <w:p w14:paraId="142C5B86">
      <w:pPr>
        <w:spacing w:line="360" w:lineRule="auto"/>
        <w:jc w:val="center"/>
        <w:rPr>
          <w:rFonts w:ascii="宋体" w:hAnsi="宋体" w:eastAsia="宋体"/>
          <w:b/>
          <w:color w:val="000000" w:themeColor="text1"/>
          <w:sz w:val="52"/>
          <w:szCs w:val="52"/>
          <w14:textFill>
            <w14:solidFill>
              <w14:schemeClr w14:val="tx1"/>
            </w14:solidFill>
          </w14:textFill>
        </w:rPr>
      </w:pPr>
    </w:p>
    <w:p w14:paraId="04BFD25D">
      <w:pPr>
        <w:spacing w:line="360" w:lineRule="auto"/>
        <w:jc w:val="center"/>
        <w:rPr>
          <w:rFonts w:ascii="宋体" w:hAnsi="宋体" w:eastAsia="宋体"/>
          <w:b/>
          <w:color w:val="000000" w:themeColor="text1"/>
          <w:sz w:val="52"/>
          <w:szCs w:val="52"/>
          <w14:textFill>
            <w14:solidFill>
              <w14:schemeClr w14:val="tx1"/>
            </w14:solidFill>
          </w14:textFill>
        </w:rPr>
      </w:pPr>
      <w:r>
        <w:rPr>
          <w:rFonts w:hint="eastAsia" w:ascii="宋体" w:hAnsi="宋体" w:eastAsia="宋体"/>
          <w:b/>
          <w:color w:val="000000" w:themeColor="text1"/>
          <w:sz w:val="52"/>
          <w:szCs w:val="52"/>
          <w14:textFill>
            <w14:solidFill>
              <w14:schemeClr w14:val="tx1"/>
            </w14:solidFill>
          </w14:textFill>
        </w:rPr>
        <w:t>南 宁 市 政 府 采 购</w:t>
      </w:r>
    </w:p>
    <w:p w14:paraId="4DF5F37B">
      <w:pPr>
        <w:spacing w:line="360" w:lineRule="auto"/>
        <w:ind w:firstLine="420" w:firstLineChars="200"/>
        <w:rPr>
          <w:rFonts w:ascii="宋体" w:hAnsi="宋体" w:eastAsia="宋体"/>
          <w:color w:val="000000" w:themeColor="text1"/>
          <w:szCs w:val="21"/>
          <w14:textFill>
            <w14:solidFill>
              <w14:schemeClr w14:val="tx1"/>
            </w14:solidFill>
          </w14:textFill>
        </w:rPr>
      </w:pPr>
    </w:p>
    <w:p w14:paraId="6F8A8A46">
      <w:pPr>
        <w:spacing w:line="360" w:lineRule="auto"/>
        <w:ind w:firstLine="420" w:firstLineChars="200"/>
        <w:rPr>
          <w:rFonts w:ascii="宋体" w:hAnsi="宋体" w:eastAsia="宋体"/>
          <w:color w:val="000000" w:themeColor="text1"/>
          <w:szCs w:val="21"/>
          <w14:textFill>
            <w14:solidFill>
              <w14:schemeClr w14:val="tx1"/>
            </w14:solidFill>
          </w14:textFill>
        </w:rPr>
      </w:pPr>
    </w:p>
    <w:p w14:paraId="30E7A268">
      <w:pPr>
        <w:spacing w:line="360" w:lineRule="auto"/>
        <w:jc w:val="center"/>
        <w:rPr>
          <w:rFonts w:ascii="宋体" w:hAnsi="宋体" w:eastAsia="宋体"/>
          <w:b/>
          <w:color w:val="000000" w:themeColor="text1"/>
          <w:sz w:val="44"/>
          <w:szCs w:val="44"/>
          <w14:textFill>
            <w14:solidFill>
              <w14:schemeClr w14:val="tx1"/>
            </w14:solidFill>
          </w14:textFill>
        </w:rPr>
      </w:pPr>
      <w:r>
        <w:rPr>
          <w:rFonts w:hint="eastAsia" w:ascii="宋体" w:hAnsi="宋体" w:eastAsia="宋体"/>
          <w:b/>
          <w:color w:val="000000" w:themeColor="text1"/>
          <w:sz w:val="44"/>
          <w:szCs w:val="44"/>
          <w:u w:val="single"/>
          <w14:textFill>
            <w14:solidFill>
              <w14:schemeClr w14:val="tx1"/>
            </w14:solidFill>
          </w14:textFill>
        </w:rPr>
        <w:t xml:space="preserve"> </w:t>
      </w:r>
      <w:r>
        <w:rPr>
          <w:rFonts w:ascii="宋体" w:hAnsi="宋体" w:eastAsia="宋体"/>
          <w:b/>
          <w:color w:val="000000" w:themeColor="text1"/>
          <w:sz w:val="44"/>
          <w:szCs w:val="44"/>
          <w:u w:val="single"/>
          <w14:textFill>
            <w14:solidFill>
              <w14:schemeClr w14:val="tx1"/>
            </w14:solidFill>
          </w14:textFill>
        </w:rPr>
        <w:t xml:space="preserve">           </w:t>
      </w:r>
      <w:r>
        <w:rPr>
          <w:rFonts w:hint="eastAsia" w:ascii="宋体" w:hAnsi="宋体" w:eastAsia="宋体"/>
          <w:b/>
          <w:color w:val="000000" w:themeColor="text1"/>
          <w:sz w:val="44"/>
          <w:szCs w:val="44"/>
          <w14:textFill>
            <w14:solidFill>
              <w14:schemeClr w14:val="tx1"/>
            </w14:solidFill>
          </w14:textFill>
        </w:rPr>
        <w:t>合同</w:t>
      </w:r>
    </w:p>
    <w:p w14:paraId="414E36BD">
      <w:pPr>
        <w:spacing w:line="360" w:lineRule="auto"/>
        <w:ind w:firstLine="420" w:firstLineChars="200"/>
        <w:rPr>
          <w:rFonts w:ascii="宋体" w:hAnsi="宋体" w:eastAsia="宋体"/>
          <w:color w:val="000000" w:themeColor="text1"/>
          <w:szCs w:val="21"/>
          <w14:textFill>
            <w14:solidFill>
              <w14:schemeClr w14:val="tx1"/>
            </w14:solidFill>
          </w14:textFill>
        </w:rPr>
      </w:pPr>
    </w:p>
    <w:p w14:paraId="7096CB05">
      <w:pPr>
        <w:spacing w:line="360" w:lineRule="auto"/>
        <w:ind w:firstLine="420" w:firstLineChars="200"/>
        <w:rPr>
          <w:rFonts w:ascii="宋体" w:hAnsi="宋体" w:eastAsia="宋体"/>
          <w:color w:val="000000" w:themeColor="text1"/>
          <w:szCs w:val="21"/>
          <w14:textFill>
            <w14:solidFill>
              <w14:schemeClr w14:val="tx1"/>
            </w14:solidFill>
          </w14:textFill>
        </w:rPr>
      </w:pPr>
    </w:p>
    <w:p w14:paraId="63F78144">
      <w:pPr>
        <w:spacing w:line="360" w:lineRule="auto"/>
        <w:ind w:firstLine="420" w:firstLineChars="200"/>
        <w:rPr>
          <w:rFonts w:ascii="宋体" w:hAnsi="宋体" w:eastAsia="宋体"/>
          <w:color w:val="000000" w:themeColor="text1"/>
          <w:szCs w:val="21"/>
          <w14:textFill>
            <w14:solidFill>
              <w14:schemeClr w14:val="tx1"/>
            </w14:solidFill>
          </w14:textFill>
        </w:rPr>
      </w:pPr>
    </w:p>
    <w:p w14:paraId="2926F0AF">
      <w:pPr>
        <w:spacing w:line="360" w:lineRule="auto"/>
        <w:ind w:firstLine="420" w:firstLineChars="200"/>
        <w:rPr>
          <w:rFonts w:ascii="宋体" w:hAnsi="宋体" w:eastAsia="宋体"/>
          <w:color w:val="000000" w:themeColor="text1"/>
          <w:szCs w:val="21"/>
          <w14:textFill>
            <w14:solidFill>
              <w14:schemeClr w14:val="tx1"/>
            </w14:solidFill>
          </w14:textFill>
        </w:rPr>
      </w:pPr>
    </w:p>
    <w:p w14:paraId="55EC4164">
      <w:pPr>
        <w:spacing w:line="360" w:lineRule="auto"/>
        <w:ind w:firstLine="723" w:firstLineChars="200"/>
        <w:rPr>
          <w:rFonts w:ascii="宋体" w:hAnsi="宋体" w:eastAsia="宋体"/>
          <w:b/>
          <w:color w:val="000000" w:themeColor="text1"/>
          <w:sz w:val="36"/>
          <w:szCs w:val="36"/>
          <w:u w:val="single"/>
          <w14:textFill>
            <w14:solidFill>
              <w14:schemeClr w14:val="tx1"/>
            </w14:solidFill>
          </w14:textFill>
        </w:rPr>
      </w:pPr>
      <w:r>
        <w:rPr>
          <w:rFonts w:hint="eastAsia" w:ascii="宋体" w:hAnsi="宋体" w:eastAsia="宋体"/>
          <w:b/>
          <w:color w:val="000000" w:themeColor="text1"/>
          <w:sz w:val="36"/>
          <w:szCs w:val="36"/>
          <w14:textFill>
            <w14:solidFill>
              <w14:schemeClr w14:val="tx1"/>
            </w14:solidFill>
          </w14:textFill>
        </w:rPr>
        <w:t>项目编号：</w:t>
      </w:r>
      <w:r>
        <w:rPr>
          <w:rFonts w:hint="eastAsia" w:ascii="宋体" w:hAnsi="宋体" w:eastAsia="宋体"/>
          <w:b/>
          <w:color w:val="000000" w:themeColor="text1"/>
          <w:sz w:val="36"/>
          <w:szCs w:val="36"/>
          <w:u w:val="single"/>
          <w14:textFill>
            <w14:solidFill>
              <w14:schemeClr w14:val="tx1"/>
            </w14:solidFill>
          </w14:textFill>
        </w:rPr>
        <w:t xml:space="preserve"> </w:t>
      </w:r>
      <w:r>
        <w:rPr>
          <w:rFonts w:ascii="宋体" w:hAnsi="宋体" w:eastAsia="宋体"/>
          <w:b/>
          <w:color w:val="000000" w:themeColor="text1"/>
          <w:sz w:val="36"/>
          <w:szCs w:val="36"/>
          <w:u w:val="single"/>
          <w14:textFill>
            <w14:solidFill>
              <w14:schemeClr w14:val="tx1"/>
            </w14:solidFill>
          </w14:textFill>
        </w:rPr>
        <w:t xml:space="preserve">                    </w:t>
      </w:r>
    </w:p>
    <w:p w14:paraId="63956EAB">
      <w:pPr>
        <w:spacing w:line="360" w:lineRule="auto"/>
        <w:ind w:firstLine="723" w:firstLineChars="200"/>
        <w:rPr>
          <w:rFonts w:ascii="宋体" w:hAnsi="宋体" w:eastAsia="宋体"/>
          <w:b/>
          <w:color w:val="000000" w:themeColor="text1"/>
          <w:sz w:val="36"/>
          <w:szCs w:val="36"/>
          <w14:textFill>
            <w14:solidFill>
              <w14:schemeClr w14:val="tx1"/>
            </w14:solidFill>
          </w14:textFill>
        </w:rPr>
      </w:pPr>
      <w:r>
        <w:rPr>
          <w:rFonts w:hint="eastAsia" w:ascii="宋体" w:hAnsi="宋体" w:eastAsia="宋体"/>
          <w:b/>
          <w:color w:val="000000" w:themeColor="text1"/>
          <w:sz w:val="36"/>
          <w:szCs w:val="36"/>
          <w14:textFill>
            <w14:solidFill>
              <w14:schemeClr w14:val="tx1"/>
            </w14:solidFill>
          </w14:textFill>
        </w:rPr>
        <w:t>计划编号：</w:t>
      </w:r>
      <w:r>
        <w:rPr>
          <w:rFonts w:hint="eastAsia" w:ascii="宋体" w:hAnsi="宋体" w:eastAsia="宋体"/>
          <w:b/>
          <w:color w:val="000000" w:themeColor="text1"/>
          <w:sz w:val="36"/>
          <w:szCs w:val="36"/>
          <w:u w:val="single"/>
          <w14:textFill>
            <w14:solidFill>
              <w14:schemeClr w14:val="tx1"/>
            </w14:solidFill>
          </w14:textFill>
        </w:rPr>
        <w:t xml:space="preserve"> </w:t>
      </w:r>
      <w:r>
        <w:rPr>
          <w:rFonts w:ascii="宋体" w:hAnsi="宋体" w:eastAsia="宋体"/>
          <w:b/>
          <w:color w:val="000000" w:themeColor="text1"/>
          <w:sz w:val="36"/>
          <w:szCs w:val="36"/>
          <w:u w:val="single"/>
          <w14:textFill>
            <w14:solidFill>
              <w14:schemeClr w14:val="tx1"/>
            </w14:solidFill>
          </w14:textFill>
        </w:rPr>
        <w:t xml:space="preserve">                    </w:t>
      </w:r>
    </w:p>
    <w:p w14:paraId="76C3920D">
      <w:pPr>
        <w:spacing w:line="360" w:lineRule="auto"/>
        <w:ind w:firstLine="420" w:firstLineChars="200"/>
        <w:rPr>
          <w:rFonts w:ascii="宋体" w:hAnsi="宋体" w:eastAsia="宋体"/>
          <w:color w:val="000000" w:themeColor="text1"/>
          <w:szCs w:val="21"/>
          <w14:textFill>
            <w14:solidFill>
              <w14:schemeClr w14:val="tx1"/>
            </w14:solidFill>
          </w14:textFill>
        </w:rPr>
      </w:pPr>
    </w:p>
    <w:p w14:paraId="47C6E732">
      <w:pPr>
        <w:spacing w:line="360" w:lineRule="auto"/>
        <w:ind w:firstLine="420" w:firstLineChars="200"/>
        <w:rPr>
          <w:rFonts w:ascii="宋体" w:hAnsi="宋体" w:eastAsia="宋体"/>
          <w:color w:val="000000" w:themeColor="text1"/>
          <w:szCs w:val="21"/>
          <w14:textFill>
            <w14:solidFill>
              <w14:schemeClr w14:val="tx1"/>
            </w14:solidFill>
          </w14:textFill>
        </w:rPr>
      </w:pPr>
    </w:p>
    <w:p w14:paraId="34A0475A">
      <w:pPr>
        <w:spacing w:line="360" w:lineRule="auto"/>
        <w:ind w:firstLine="420" w:firstLineChars="200"/>
        <w:rPr>
          <w:rFonts w:ascii="宋体" w:hAnsi="宋体" w:eastAsia="宋体"/>
          <w:color w:val="000000" w:themeColor="text1"/>
          <w:szCs w:val="21"/>
          <w14:textFill>
            <w14:solidFill>
              <w14:schemeClr w14:val="tx1"/>
            </w14:solidFill>
          </w14:textFill>
        </w:rPr>
      </w:pPr>
    </w:p>
    <w:p w14:paraId="03DE078A">
      <w:pPr>
        <w:spacing w:line="360" w:lineRule="auto"/>
        <w:ind w:firstLine="723" w:firstLineChars="200"/>
        <w:rPr>
          <w:rFonts w:ascii="宋体" w:hAnsi="宋体" w:eastAsia="宋体"/>
          <w:b/>
          <w:color w:val="000000" w:themeColor="text1"/>
          <w:sz w:val="36"/>
          <w:szCs w:val="36"/>
          <w14:textFill>
            <w14:solidFill>
              <w14:schemeClr w14:val="tx1"/>
            </w14:solidFill>
          </w14:textFill>
        </w:rPr>
      </w:pPr>
      <w:r>
        <w:rPr>
          <w:rFonts w:hint="eastAsia" w:ascii="宋体" w:hAnsi="宋体" w:eastAsia="宋体"/>
          <w:b/>
          <w:color w:val="000000" w:themeColor="text1"/>
          <w:sz w:val="36"/>
          <w:szCs w:val="36"/>
          <w14:textFill>
            <w14:solidFill>
              <w14:schemeClr w14:val="tx1"/>
            </w14:solidFill>
          </w14:textFill>
        </w:rPr>
        <w:t>采购人：</w:t>
      </w:r>
      <w:r>
        <w:rPr>
          <w:rFonts w:hint="eastAsia" w:ascii="宋体" w:hAnsi="宋体" w:eastAsia="宋体"/>
          <w:b/>
          <w:color w:val="000000" w:themeColor="text1"/>
          <w:sz w:val="36"/>
          <w:szCs w:val="36"/>
          <w:u w:val="single"/>
          <w14:textFill>
            <w14:solidFill>
              <w14:schemeClr w14:val="tx1"/>
            </w14:solidFill>
          </w14:textFill>
        </w:rPr>
        <w:t xml:space="preserve"> </w:t>
      </w:r>
      <w:r>
        <w:rPr>
          <w:rFonts w:ascii="宋体" w:hAnsi="宋体" w:eastAsia="宋体"/>
          <w:b/>
          <w:color w:val="000000" w:themeColor="text1"/>
          <w:sz w:val="36"/>
          <w:szCs w:val="36"/>
          <w:u w:val="single"/>
          <w14:textFill>
            <w14:solidFill>
              <w14:schemeClr w14:val="tx1"/>
            </w14:solidFill>
          </w14:textFill>
        </w:rPr>
        <w:t xml:space="preserve">                      </w:t>
      </w:r>
    </w:p>
    <w:p w14:paraId="77D3E350">
      <w:pPr>
        <w:spacing w:line="360" w:lineRule="auto"/>
        <w:ind w:firstLine="723" w:firstLineChars="200"/>
        <w:rPr>
          <w:rFonts w:ascii="宋体" w:hAnsi="宋体" w:eastAsia="宋体"/>
          <w:b/>
          <w:color w:val="000000" w:themeColor="text1"/>
          <w:sz w:val="36"/>
          <w:szCs w:val="36"/>
          <w14:textFill>
            <w14:solidFill>
              <w14:schemeClr w14:val="tx1"/>
            </w14:solidFill>
          </w14:textFill>
        </w:rPr>
      </w:pPr>
      <w:r>
        <w:rPr>
          <w:rFonts w:hint="eastAsia" w:ascii="宋体" w:hAnsi="宋体" w:eastAsia="宋体"/>
          <w:b/>
          <w:color w:val="000000" w:themeColor="text1"/>
          <w:sz w:val="36"/>
          <w:szCs w:val="36"/>
          <w14:textFill>
            <w14:solidFill>
              <w14:schemeClr w14:val="tx1"/>
            </w14:solidFill>
          </w14:textFill>
        </w:rPr>
        <w:t>中标人：</w:t>
      </w:r>
      <w:r>
        <w:rPr>
          <w:rFonts w:hint="eastAsia" w:ascii="宋体" w:hAnsi="宋体" w:eastAsia="宋体"/>
          <w:b/>
          <w:color w:val="000000" w:themeColor="text1"/>
          <w:sz w:val="36"/>
          <w:szCs w:val="36"/>
          <w:u w:val="single"/>
          <w14:textFill>
            <w14:solidFill>
              <w14:schemeClr w14:val="tx1"/>
            </w14:solidFill>
          </w14:textFill>
        </w:rPr>
        <w:t xml:space="preserve"> </w:t>
      </w:r>
      <w:r>
        <w:rPr>
          <w:rFonts w:ascii="宋体" w:hAnsi="宋体" w:eastAsia="宋体"/>
          <w:b/>
          <w:color w:val="000000" w:themeColor="text1"/>
          <w:sz w:val="36"/>
          <w:szCs w:val="36"/>
          <w:u w:val="single"/>
          <w14:textFill>
            <w14:solidFill>
              <w14:schemeClr w14:val="tx1"/>
            </w14:solidFill>
          </w14:textFill>
        </w:rPr>
        <w:t xml:space="preserve">                      </w:t>
      </w:r>
    </w:p>
    <w:p w14:paraId="16C47E62">
      <w:pPr>
        <w:spacing w:line="360" w:lineRule="auto"/>
        <w:ind w:firstLine="420" w:firstLineChars="200"/>
        <w:rPr>
          <w:rFonts w:ascii="宋体" w:hAnsi="宋体" w:eastAsia="宋体"/>
          <w:color w:val="000000" w:themeColor="text1"/>
          <w:szCs w:val="21"/>
          <w14:textFill>
            <w14:solidFill>
              <w14:schemeClr w14:val="tx1"/>
            </w14:solidFill>
          </w14:textFill>
        </w:rPr>
      </w:pPr>
    </w:p>
    <w:p w14:paraId="0B313512">
      <w:pPr>
        <w:spacing w:line="360" w:lineRule="auto"/>
        <w:ind w:firstLine="420" w:firstLineChars="200"/>
        <w:rPr>
          <w:rFonts w:ascii="宋体" w:hAnsi="宋体" w:eastAsia="宋体"/>
          <w:color w:val="000000" w:themeColor="text1"/>
          <w:szCs w:val="21"/>
          <w14:textFill>
            <w14:solidFill>
              <w14:schemeClr w14:val="tx1"/>
            </w14:solidFill>
          </w14:textFill>
        </w:rPr>
      </w:pPr>
    </w:p>
    <w:p w14:paraId="79CDA13E">
      <w:pPr>
        <w:spacing w:line="360" w:lineRule="auto"/>
        <w:ind w:firstLine="420" w:firstLineChars="200"/>
        <w:rPr>
          <w:rFonts w:ascii="宋体" w:hAnsi="宋体" w:eastAsia="宋体"/>
          <w:color w:val="000000" w:themeColor="text1"/>
          <w:szCs w:val="21"/>
          <w14:textFill>
            <w14:solidFill>
              <w14:schemeClr w14:val="tx1"/>
            </w14:solidFill>
          </w14:textFill>
        </w:rPr>
      </w:pPr>
    </w:p>
    <w:p w14:paraId="60AFC015">
      <w:pPr>
        <w:spacing w:line="360" w:lineRule="auto"/>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签订日期：</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年</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月</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日</w:t>
      </w:r>
    </w:p>
    <w:p w14:paraId="5168C982">
      <w:pPr>
        <w:spacing w:line="360" w:lineRule="auto"/>
        <w:jc w:val="center"/>
        <w:rPr>
          <w:rFonts w:ascii="宋体" w:hAnsi="宋体" w:eastAsia="宋体"/>
          <w:color w:val="000000" w:themeColor="text1"/>
          <w:sz w:val="24"/>
          <w:szCs w:val="24"/>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3C075EF0">
      <w:pPr>
        <w:spacing w:line="360" w:lineRule="auto"/>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合同目录</w:t>
      </w:r>
    </w:p>
    <w:p w14:paraId="01D1E772">
      <w:pPr>
        <w:spacing w:line="360" w:lineRule="auto"/>
        <w:rPr>
          <w:rFonts w:ascii="宋体" w:hAnsi="宋体" w:eastAsia="宋体"/>
          <w:color w:val="000000" w:themeColor="text1"/>
          <w:szCs w:val="21"/>
          <w14:textFill>
            <w14:solidFill>
              <w14:schemeClr w14:val="tx1"/>
            </w14:solidFill>
          </w14:textFill>
        </w:rPr>
      </w:pPr>
    </w:p>
    <w:p w14:paraId="6CA8B41D">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一、第一部分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合同书……………………………………………………………………………（页码）</w:t>
      </w:r>
    </w:p>
    <w:p w14:paraId="1F12A31E">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二、第二部分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合同一般条款……………………………………………………………………（页码）</w:t>
      </w:r>
    </w:p>
    <w:p w14:paraId="29087391">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三、第三部分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合同专用条款……………………………………………………………………（页码）</w:t>
      </w:r>
    </w:p>
    <w:p w14:paraId="444647F5">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四、第四部分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合同附件…………………………………………………………………………（页码）</w:t>
      </w:r>
    </w:p>
    <w:p w14:paraId="57436A61">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4.1中标通知书……………………………………………………………………………………（页码）</w:t>
      </w:r>
    </w:p>
    <w:p w14:paraId="5054E60D">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4.2招标文件货物需求一览表……………………………………………………………………（页码）</w:t>
      </w:r>
    </w:p>
    <w:p w14:paraId="640A6041">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4.3招标文件的更改通知（如有）………………………………………………………………（页码）</w:t>
      </w:r>
    </w:p>
    <w:p w14:paraId="7D1B8E27">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4.4投标函…………………………………………………………………………………………（页码）</w:t>
      </w:r>
    </w:p>
    <w:p w14:paraId="252967A1">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4.5开标一览表……………………………………………………………………………………（页码）</w:t>
      </w:r>
    </w:p>
    <w:p w14:paraId="40794FE6">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4.6技术需求偏离表………………………………………………………………………………（页码）</w:t>
      </w:r>
    </w:p>
    <w:p w14:paraId="08FAFE2E">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4.7商务条款偏离表………………………………………………………………………………（页码）</w:t>
      </w:r>
    </w:p>
    <w:p w14:paraId="1FF5D319">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4.8中标人澄清函（如有请提供）………………………………………………………………（页码）</w:t>
      </w:r>
    </w:p>
    <w:p w14:paraId="34B03C40">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4.9其他与本合同相关的资料（如有请提供）…………………………………………………（页码）</w:t>
      </w:r>
    </w:p>
    <w:p w14:paraId="680438BE">
      <w:pPr>
        <w:spacing w:line="360" w:lineRule="auto"/>
        <w:ind w:firstLine="420" w:firstLineChars="200"/>
        <w:rPr>
          <w:rFonts w:ascii="宋体" w:hAnsi="宋体" w:eastAsia="宋体"/>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0501B488">
      <w:pPr>
        <w:pStyle w:val="3"/>
        <w:jc w:val="center"/>
        <w:rPr>
          <w:rFonts w:ascii="宋体" w:hAnsi="宋体" w:eastAsia="宋体"/>
          <w:color w:val="000000" w:themeColor="text1"/>
          <w:sz w:val="30"/>
          <w:szCs w:val="30"/>
          <w14:textFill>
            <w14:solidFill>
              <w14:schemeClr w14:val="tx1"/>
            </w14:solidFill>
          </w14:textFill>
        </w:rPr>
      </w:pPr>
      <w:bookmarkStart w:id="21" w:name="_Toc198316076"/>
      <w:r>
        <w:rPr>
          <w:rFonts w:hint="eastAsia" w:ascii="宋体" w:hAnsi="宋体" w:eastAsia="宋体"/>
          <w:color w:val="000000" w:themeColor="text1"/>
          <w:sz w:val="30"/>
          <w:szCs w:val="30"/>
          <w14:textFill>
            <w14:solidFill>
              <w14:schemeClr w14:val="tx1"/>
            </w14:solidFill>
          </w14:textFill>
        </w:rPr>
        <w:t>第一部</w:t>
      </w:r>
      <w:r>
        <w:rPr>
          <w:rFonts w:hint="eastAsia" w:ascii="宋体" w:hAnsi="宋体" w:eastAsia="宋体"/>
          <w:color w:val="000000" w:themeColor="text1"/>
          <w:spacing w:val="120"/>
          <w:sz w:val="30"/>
          <w:szCs w:val="30"/>
          <w14:textFill>
            <w14:solidFill>
              <w14:schemeClr w14:val="tx1"/>
            </w14:solidFill>
          </w14:textFill>
        </w:rPr>
        <w:t>分</w:t>
      </w:r>
      <w:r>
        <w:rPr>
          <w:rFonts w:hint="eastAsia" w:ascii="宋体" w:hAnsi="宋体" w:eastAsia="宋体"/>
          <w:color w:val="000000" w:themeColor="text1"/>
          <w:sz w:val="30"/>
          <w:szCs w:val="30"/>
          <w14:textFill>
            <w14:solidFill>
              <w14:schemeClr w14:val="tx1"/>
            </w14:solidFill>
          </w14:textFill>
        </w:rPr>
        <w:t>合同书</w:t>
      </w:r>
      <w:bookmarkEnd w:id="21"/>
    </w:p>
    <w:p w14:paraId="2D77814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年</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月</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日，</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以</w:t>
      </w:r>
      <w:r>
        <w:rPr>
          <w:rFonts w:hint="eastAsia" w:ascii="宋体" w:hAnsi="宋体" w:eastAsia="宋体"/>
          <w:color w:val="000000" w:themeColor="text1"/>
          <w:szCs w:val="21"/>
          <w:u w:val="single"/>
          <w14:textFill>
            <w14:solidFill>
              <w14:schemeClr w14:val="tx1"/>
            </w14:solidFill>
          </w14:textFill>
        </w:rPr>
        <w:t>公开招标方式</w:t>
      </w:r>
      <w:r>
        <w:rPr>
          <w:rFonts w:hint="eastAsia" w:ascii="宋体" w:hAnsi="宋体" w:eastAsia="宋体"/>
          <w:color w:val="000000" w:themeColor="text1"/>
          <w:szCs w:val="21"/>
          <w14:textFill>
            <w14:solidFill>
              <w14:schemeClr w14:val="tx1"/>
            </w14:solidFill>
          </w14:textFill>
        </w:rPr>
        <w:t>对</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项目进行了采购。经</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（相关评定主体名称）评定，</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（中标人名称）为该项目中标人。现于中标通知书发出之日起二十五日内，按照采购文件确定的事项签订本合同。</w:t>
      </w:r>
    </w:p>
    <w:p w14:paraId="5CA7394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根据《中华人民共和国民法典》、《中华人民共和国政府采购法》等相关法律法规之规定，按照平等、自愿、公平和诚实信用的原则，经</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（以下简称：甲方）和</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（中标人名称）（以下简称：乙方）协商一致，约定以下合同条款，以兹共同遵守、全面履行。</w:t>
      </w:r>
    </w:p>
    <w:p w14:paraId="164DA414">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1.1合同组成部分</w:t>
      </w:r>
    </w:p>
    <w:p w14:paraId="3B9C3EB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下列文件为本合同的组成部分，并构成一个整体，需综合解释、相互补充。如果下列文件内容出现不一致的情形，在保证按照采购文件确定的事项的前提下，组成本合同的多个文件的优先适用顺序如下：</w:t>
      </w:r>
    </w:p>
    <w:p w14:paraId="741F268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1.1.1本合同及其补充合同、变更协议；</w:t>
      </w:r>
    </w:p>
    <w:p w14:paraId="6A161BC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1.1.2中标通知书；</w:t>
      </w:r>
    </w:p>
    <w:p w14:paraId="6D3387C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1.1.3投标文件及“投标报价”（含澄清或者说明文件）；</w:t>
      </w:r>
    </w:p>
    <w:p w14:paraId="6CEC3D1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1.1.4招标文件（含澄清或者修改文件）；</w:t>
      </w:r>
    </w:p>
    <w:p w14:paraId="3DEFD7D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1.1.5其他相关采购文件。</w:t>
      </w:r>
    </w:p>
    <w:p w14:paraId="3538607F">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1.2标的物</w:t>
      </w:r>
    </w:p>
    <w:p w14:paraId="4EDAB89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1.2.1标的物1信息</w:t>
      </w:r>
    </w:p>
    <w:p w14:paraId="37E915A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1.2.1.1名称：</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14:paraId="03F0B7D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1.2.1.2数量：</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14:paraId="44C92C2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1.2.1.3质量：</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14:paraId="74AF18A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w:t>
      </w:r>
    </w:p>
    <w:p w14:paraId="7C527624">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1.3价款</w:t>
      </w:r>
    </w:p>
    <w:p w14:paraId="028B466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本合同总价为：人民币</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元（大写：</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元人民币，含税）。</w:t>
      </w:r>
    </w:p>
    <w:p w14:paraId="3419AD7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分项价格：</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3020"/>
        <w:gridCol w:w="3020"/>
      </w:tblGrid>
      <w:tr w14:paraId="267AE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14:paraId="5820C7AF">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序号</w:t>
            </w:r>
          </w:p>
        </w:tc>
        <w:tc>
          <w:tcPr>
            <w:tcW w:w="3020" w:type="dxa"/>
          </w:tcPr>
          <w:p w14:paraId="7C99756A">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分项名称</w:t>
            </w:r>
          </w:p>
        </w:tc>
        <w:tc>
          <w:tcPr>
            <w:tcW w:w="3020" w:type="dxa"/>
          </w:tcPr>
          <w:p w14:paraId="263A527B">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分项价格</w:t>
            </w:r>
          </w:p>
        </w:tc>
      </w:tr>
      <w:tr w14:paraId="1918A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14:paraId="54D3F1CA">
            <w:pPr>
              <w:spacing w:line="360" w:lineRule="auto"/>
              <w:jc w:val="center"/>
              <w:rPr>
                <w:rFonts w:ascii="宋体" w:hAnsi="宋体" w:eastAsia="宋体"/>
                <w:color w:val="000000" w:themeColor="text1"/>
                <w:szCs w:val="21"/>
                <w14:textFill>
                  <w14:solidFill>
                    <w14:schemeClr w14:val="tx1"/>
                  </w14:solidFill>
                </w14:textFill>
              </w:rPr>
            </w:pPr>
          </w:p>
        </w:tc>
        <w:tc>
          <w:tcPr>
            <w:tcW w:w="3020" w:type="dxa"/>
          </w:tcPr>
          <w:p w14:paraId="61EFB968">
            <w:pPr>
              <w:spacing w:line="360" w:lineRule="auto"/>
              <w:jc w:val="center"/>
              <w:rPr>
                <w:rFonts w:ascii="宋体" w:hAnsi="宋体" w:eastAsia="宋体"/>
                <w:color w:val="000000" w:themeColor="text1"/>
                <w:szCs w:val="21"/>
                <w14:textFill>
                  <w14:solidFill>
                    <w14:schemeClr w14:val="tx1"/>
                  </w14:solidFill>
                </w14:textFill>
              </w:rPr>
            </w:pPr>
          </w:p>
        </w:tc>
        <w:tc>
          <w:tcPr>
            <w:tcW w:w="3020" w:type="dxa"/>
          </w:tcPr>
          <w:p w14:paraId="44A8C19E">
            <w:pPr>
              <w:spacing w:line="360" w:lineRule="auto"/>
              <w:jc w:val="center"/>
              <w:rPr>
                <w:rFonts w:ascii="宋体" w:hAnsi="宋体" w:eastAsia="宋体"/>
                <w:color w:val="000000" w:themeColor="text1"/>
                <w:szCs w:val="21"/>
                <w14:textFill>
                  <w14:solidFill>
                    <w14:schemeClr w14:val="tx1"/>
                  </w14:solidFill>
                </w14:textFill>
              </w:rPr>
            </w:pPr>
          </w:p>
        </w:tc>
      </w:tr>
      <w:tr w14:paraId="7C0A4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14:paraId="61DA4466">
            <w:pPr>
              <w:spacing w:line="360" w:lineRule="auto"/>
              <w:jc w:val="center"/>
              <w:rPr>
                <w:rFonts w:ascii="宋体" w:hAnsi="宋体" w:eastAsia="宋体"/>
                <w:color w:val="000000" w:themeColor="text1"/>
                <w:szCs w:val="21"/>
                <w14:textFill>
                  <w14:solidFill>
                    <w14:schemeClr w14:val="tx1"/>
                  </w14:solidFill>
                </w14:textFill>
              </w:rPr>
            </w:pPr>
          </w:p>
        </w:tc>
        <w:tc>
          <w:tcPr>
            <w:tcW w:w="3020" w:type="dxa"/>
          </w:tcPr>
          <w:p w14:paraId="0D7EE92E">
            <w:pPr>
              <w:spacing w:line="360" w:lineRule="auto"/>
              <w:jc w:val="center"/>
              <w:rPr>
                <w:rFonts w:ascii="宋体" w:hAnsi="宋体" w:eastAsia="宋体"/>
                <w:color w:val="000000" w:themeColor="text1"/>
                <w:szCs w:val="21"/>
                <w14:textFill>
                  <w14:solidFill>
                    <w14:schemeClr w14:val="tx1"/>
                  </w14:solidFill>
                </w14:textFill>
              </w:rPr>
            </w:pPr>
          </w:p>
        </w:tc>
        <w:tc>
          <w:tcPr>
            <w:tcW w:w="3020" w:type="dxa"/>
          </w:tcPr>
          <w:p w14:paraId="58C4414E">
            <w:pPr>
              <w:spacing w:line="360" w:lineRule="auto"/>
              <w:jc w:val="center"/>
              <w:rPr>
                <w:rFonts w:ascii="宋体" w:hAnsi="宋体" w:eastAsia="宋体"/>
                <w:color w:val="000000" w:themeColor="text1"/>
                <w:szCs w:val="21"/>
                <w14:textFill>
                  <w14:solidFill>
                    <w14:schemeClr w14:val="tx1"/>
                  </w14:solidFill>
                </w14:textFill>
              </w:rPr>
            </w:pPr>
          </w:p>
        </w:tc>
      </w:tr>
      <w:tr w14:paraId="7C903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14:paraId="3105C78D">
            <w:pPr>
              <w:spacing w:line="360" w:lineRule="auto"/>
              <w:jc w:val="center"/>
              <w:rPr>
                <w:rFonts w:ascii="宋体" w:hAnsi="宋体" w:eastAsia="宋体"/>
                <w:color w:val="000000" w:themeColor="text1"/>
                <w:szCs w:val="21"/>
                <w14:textFill>
                  <w14:solidFill>
                    <w14:schemeClr w14:val="tx1"/>
                  </w14:solidFill>
                </w14:textFill>
              </w:rPr>
            </w:pPr>
          </w:p>
        </w:tc>
        <w:tc>
          <w:tcPr>
            <w:tcW w:w="3020" w:type="dxa"/>
          </w:tcPr>
          <w:p w14:paraId="45C528B1">
            <w:pPr>
              <w:spacing w:line="360" w:lineRule="auto"/>
              <w:jc w:val="center"/>
              <w:rPr>
                <w:rFonts w:ascii="宋体" w:hAnsi="宋体" w:eastAsia="宋体"/>
                <w:color w:val="000000" w:themeColor="text1"/>
                <w:szCs w:val="21"/>
                <w14:textFill>
                  <w14:solidFill>
                    <w14:schemeClr w14:val="tx1"/>
                  </w14:solidFill>
                </w14:textFill>
              </w:rPr>
            </w:pPr>
          </w:p>
        </w:tc>
        <w:tc>
          <w:tcPr>
            <w:tcW w:w="3020" w:type="dxa"/>
          </w:tcPr>
          <w:p w14:paraId="37B6D82E">
            <w:pPr>
              <w:spacing w:line="360" w:lineRule="auto"/>
              <w:jc w:val="center"/>
              <w:rPr>
                <w:rFonts w:ascii="宋体" w:hAnsi="宋体" w:eastAsia="宋体"/>
                <w:color w:val="000000" w:themeColor="text1"/>
                <w:szCs w:val="21"/>
                <w14:textFill>
                  <w14:solidFill>
                    <w14:schemeClr w14:val="tx1"/>
                  </w14:solidFill>
                </w14:textFill>
              </w:rPr>
            </w:pPr>
          </w:p>
        </w:tc>
      </w:tr>
      <w:tr w14:paraId="26BB1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0" w:type="dxa"/>
            <w:gridSpan w:val="2"/>
          </w:tcPr>
          <w:p w14:paraId="44194A6E">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总价</w:t>
            </w:r>
          </w:p>
        </w:tc>
        <w:tc>
          <w:tcPr>
            <w:tcW w:w="3020" w:type="dxa"/>
          </w:tcPr>
          <w:p w14:paraId="1949291E">
            <w:pPr>
              <w:spacing w:line="360" w:lineRule="auto"/>
              <w:jc w:val="center"/>
              <w:rPr>
                <w:rFonts w:ascii="宋体" w:hAnsi="宋体" w:eastAsia="宋体"/>
                <w:color w:val="000000" w:themeColor="text1"/>
                <w:szCs w:val="21"/>
                <w14:textFill>
                  <w14:solidFill>
                    <w14:schemeClr w14:val="tx1"/>
                  </w14:solidFill>
                </w14:textFill>
              </w:rPr>
            </w:pPr>
          </w:p>
        </w:tc>
      </w:tr>
    </w:tbl>
    <w:p w14:paraId="738DA342">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1.4付款方式和发票开具方式</w:t>
      </w:r>
    </w:p>
    <w:p w14:paraId="1BBD12D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1.4.1付款方式：</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14:paraId="3F8973B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1.4.2发票开具方式：</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14:paraId="1729F021">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1.5标的物交付期限、地点、方式和货物期限</w:t>
      </w:r>
    </w:p>
    <w:p w14:paraId="3EEDECF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1.5.1交付期限：</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14:paraId="48A99F4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1.5.2交付地点：</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14:paraId="2E50E3F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1.5.3交付方式：</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14:paraId="7046BE9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1.5.4货物及质保期限：</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14:paraId="650A9FB6">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1.6违约责任</w:t>
      </w:r>
    </w:p>
    <w:p w14:paraId="639E08D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1.6.1除不可抗力外，如果乙方没有按照本合同约定的期限、地点和方式交付标的物，甲方可要求乙方支付违约金，违约金按每迟延交付标的物一日的应交付而未交付标的物价格的万分之五（根据项目实际填写，一般为万分之五）计算，最高限额为本合同总价的2</w:t>
      </w:r>
      <w:r>
        <w:rPr>
          <w:rFonts w:ascii="宋体" w:hAnsi="宋体" w:eastAsia="宋体"/>
          <w:color w:val="000000" w:themeColor="text1"/>
          <w:szCs w:val="21"/>
          <w14:textFill>
            <w14:solidFill>
              <w14:schemeClr w14:val="tx1"/>
            </w14:solidFill>
          </w14:textFill>
        </w:rPr>
        <w:t>0</w:t>
      </w:r>
      <w:r>
        <w:rPr>
          <w:rFonts w:hint="eastAsia" w:ascii="宋体" w:hAnsi="宋体" w:eastAsia="宋体"/>
          <w:color w:val="000000" w:themeColor="text1"/>
          <w:szCs w:val="21"/>
          <w14:textFill>
            <w14:solidFill>
              <w14:schemeClr w14:val="tx1"/>
            </w14:solidFill>
          </w14:textFill>
        </w:rPr>
        <w:t>%（根据项目实际填写，一般为20%）；迟延超过【7】日的，甲方有权在要求乙方支付违约金的同时，书面通知乙方解除本合同，乙方应退回全部已收取的合同价款并按合同总金额的20%（根据项目实际填写，一般为20%）向甲方支付违约金；</w:t>
      </w:r>
    </w:p>
    <w:p w14:paraId="40C7213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1.6.2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252ECE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1.6.3乙方在质保期内未按承诺提供售后等货物的，每发生一次向甲方支付</w:t>
      </w:r>
      <w:r>
        <w:rPr>
          <w:rFonts w:ascii="宋体" w:hAnsi="宋体" w:eastAsia="宋体"/>
          <w:color w:val="000000" w:themeColor="text1"/>
          <w:szCs w:val="21"/>
          <w:u w:val="single"/>
          <w14:textFill>
            <w14:solidFill>
              <w14:schemeClr w14:val="tx1"/>
            </w14:solidFill>
          </w14:textFill>
        </w:rPr>
        <w:t>5000</w:t>
      </w:r>
      <w:r>
        <w:rPr>
          <w:rFonts w:hint="eastAsia" w:ascii="宋体" w:hAnsi="宋体" w:eastAsia="宋体"/>
          <w:color w:val="000000" w:themeColor="text1"/>
          <w:szCs w:val="21"/>
          <w14:textFill>
            <w14:solidFill>
              <w14:schemeClr w14:val="tx1"/>
            </w14:solidFill>
          </w14:textFill>
        </w:rPr>
        <w:t>（根据项目实际填写）元的违约金。在质保期内，乙方在接到甲方报修通知后</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响应，</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内到达采购人现场解决处理，超过时间的，甲方有权委托第三方维修，费用由乙方支付，乙方未遵守本条款的，除赔偿甲方损失外，另外支付元/次的违约金。</w:t>
      </w:r>
    </w:p>
    <w:p w14:paraId="325798F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594DC6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AD93C7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1.6.6如果出现政府采购监督管理部门在处理投诉事项期间，书面通知甲方暂停采购活动的情形，或者询问或质疑事项可能影响中标结果的，导致甲方中止履行合同的情形，均不视为甲方违约。</w:t>
      </w:r>
    </w:p>
    <w:p w14:paraId="1AF21054">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1.7合同争议的解决</w:t>
      </w:r>
    </w:p>
    <w:p w14:paraId="5369319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本合同履行过程中发生的任何争议，双方当事人均应通过友好协商的方式和解或者调解解决；不愿和解、调解或者和解、调解不成的，可以选择下列第</w:t>
      </w:r>
      <w:r>
        <w:rPr>
          <w:rFonts w:hint="eastAsia" w:ascii="宋体" w:hAnsi="宋体" w:eastAsia="宋体"/>
          <w:color w:val="000000" w:themeColor="text1"/>
          <w:szCs w:val="21"/>
          <w:u w:val="single"/>
          <w14:textFill>
            <w14:solidFill>
              <w14:schemeClr w14:val="tx1"/>
            </w14:solidFill>
          </w14:textFill>
        </w:rPr>
        <w:t>1.7.2</w:t>
      </w:r>
      <w:r>
        <w:rPr>
          <w:rFonts w:hint="eastAsia" w:ascii="宋体" w:hAnsi="宋体" w:eastAsia="宋体"/>
          <w:color w:val="000000" w:themeColor="text1"/>
          <w:szCs w:val="21"/>
          <w14:textFill>
            <w14:solidFill>
              <w14:schemeClr w14:val="tx1"/>
            </w14:solidFill>
          </w14:textFill>
        </w:rPr>
        <w:t>种方式解决：</w:t>
      </w:r>
    </w:p>
    <w:p w14:paraId="05A06E3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1.7.1将争议提交</w:t>
      </w:r>
      <w:r>
        <w:rPr>
          <w:rFonts w:hint="eastAsia" w:ascii="宋体" w:hAnsi="宋体" w:eastAsia="宋体"/>
          <w:color w:val="000000" w:themeColor="text1"/>
          <w:szCs w:val="21"/>
          <w:u w:val="single"/>
          <w14:textFill>
            <w14:solidFill>
              <w14:schemeClr w14:val="tx1"/>
            </w14:solidFill>
          </w14:textFill>
        </w:rPr>
        <w:t>南宁市</w:t>
      </w:r>
      <w:r>
        <w:rPr>
          <w:rFonts w:hint="eastAsia" w:ascii="宋体" w:hAnsi="宋体" w:eastAsia="宋体"/>
          <w:color w:val="000000" w:themeColor="text1"/>
          <w:szCs w:val="21"/>
          <w14:textFill>
            <w14:solidFill>
              <w14:schemeClr w14:val="tx1"/>
            </w14:solidFill>
          </w14:textFill>
        </w:rPr>
        <w:t>仲裁委员会依申请仲裁时其现行有效的仲裁规则裁决；</w:t>
      </w:r>
    </w:p>
    <w:p w14:paraId="76B0C6D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1.7.2向</w:t>
      </w:r>
      <w:r>
        <w:rPr>
          <w:rFonts w:hint="eastAsia" w:ascii="宋体" w:hAnsi="宋体" w:eastAsia="宋体"/>
          <w:color w:val="000000" w:themeColor="text1"/>
          <w:szCs w:val="21"/>
          <w:u w:val="single"/>
          <w14:textFill>
            <w14:solidFill>
              <w14:schemeClr w14:val="tx1"/>
            </w14:solidFill>
          </w14:textFill>
        </w:rPr>
        <w:t>甲方所在地</w:t>
      </w:r>
      <w:r>
        <w:rPr>
          <w:rFonts w:hint="eastAsia" w:ascii="宋体" w:hAnsi="宋体" w:eastAsia="宋体"/>
          <w:color w:val="000000" w:themeColor="text1"/>
          <w:szCs w:val="21"/>
          <w14:textFill>
            <w14:solidFill>
              <w14:schemeClr w14:val="tx1"/>
            </w14:solidFill>
          </w14:textFill>
        </w:rPr>
        <w:t>有管辖权的人民法院起诉。</w:t>
      </w:r>
    </w:p>
    <w:p w14:paraId="76C9DD6E">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1.8合同生效</w:t>
      </w:r>
    </w:p>
    <w:p w14:paraId="3940BA6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本合同自双方当事人加盖有效电子公章时生效。</w:t>
      </w:r>
    </w:p>
    <w:tbl>
      <w:tblPr>
        <w:tblStyle w:val="1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0"/>
        <w:gridCol w:w="4530"/>
      </w:tblGrid>
      <w:tr w14:paraId="1B713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30" w:type="dxa"/>
            <w:vAlign w:val="center"/>
          </w:tcPr>
          <w:p w14:paraId="033AC0A2">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甲方：</w:t>
            </w:r>
          </w:p>
        </w:tc>
        <w:tc>
          <w:tcPr>
            <w:tcW w:w="4530" w:type="dxa"/>
            <w:vAlign w:val="center"/>
          </w:tcPr>
          <w:p w14:paraId="7FFCAC76">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乙方：</w:t>
            </w:r>
          </w:p>
        </w:tc>
      </w:tr>
      <w:tr w14:paraId="15559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30" w:type="dxa"/>
            <w:vAlign w:val="center"/>
          </w:tcPr>
          <w:p w14:paraId="609C6E0E">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统一社会信用代码：</w:t>
            </w:r>
          </w:p>
        </w:tc>
        <w:tc>
          <w:tcPr>
            <w:tcW w:w="4530" w:type="dxa"/>
            <w:vAlign w:val="center"/>
          </w:tcPr>
          <w:p w14:paraId="6C370206">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统一社会信用代码或身份证号码：</w:t>
            </w:r>
          </w:p>
        </w:tc>
      </w:tr>
      <w:tr w14:paraId="77C01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30" w:type="dxa"/>
            <w:vAlign w:val="center"/>
          </w:tcPr>
          <w:p w14:paraId="0EDFF968">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住所：</w:t>
            </w:r>
          </w:p>
        </w:tc>
        <w:tc>
          <w:tcPr>
            <w:tcW w:w="4530" w:type="dxa"/>
            <w:vAlign w:val="center"/>
          </w:tcPr>
          <w:p w14:paraId="416FC407">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住所：</w:t>
            </w:r>
          </w:p>
        </w:tc>
      </w:tr>
      <w:tr w14:paraId="5672A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30" w:type="dxa"/>
            <w:vAlign w:val="center"/>
          </w:tcPr>
          <w:p w14:paraId="1E738247">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法定代表人或</w:t>
            </w:r>
          </w:p>
          <w:p w14:paraId="5059A2A7">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授权代表（签字或盖章）：</w:t>
            </w:r>
          </w:p>
        </w:tc>
        <w:tc>
          <w:tcPr>
            <w:tcW w:w="4530" w:type="dxa"/>
            <w:vAlign w:val="center"/>
          </w:tcPr>
          <w:p w14:paraId="19C1B7BD">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法定代表人或</w:t>
            </w:r>
          </w:p>
          <w:p w14:paraId="37B283AF">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授权代表（签字或盖章）：</w:t>
            </w:r>
          </w:p>
        </w:tc>
      </w:tr>
      <w:tr w14:paraId="4A416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30" w:type="dxa"/>
            <w:vAlign w:val="center"/>
          </w:tcPr>
          <w:p w14:paraId="07C9D8A4">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联系人：</w:t>
            </w:r>
          </w:p>
        </w:tc>
        <w:tc>
          <w:tcPr>
            <w:tcW w:w="4530" w:type="dxa"/>
            <w:vAlign w:val="center"/>
          </w:tcPr>
          <w:p w14:paraId="6588C02D">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联系人：</w:t>
            </w:r>
          </w:p>
        </w:tc>
      </w:tr>
      <w:tr w14:paraId="26038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30" w:type="dxa"/>
            <w:vAlign w:val="center"/>
          </w:tcPr>
          <w:p w14:paraId="4AD2193A">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约定送达地址：</w:t>
            </w:r>
          </w:p>
        </w:tc>
        <w:tc>
          <w:tcPr>
            <w:tcW w:w="4530" w:type="dxa"/>
            <w:vAlign w:val="center"/>
          </w:tcPr>
          <w:p w14:paraId="791E99E9">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约定送达地址：</w:t>
            </w:r>
          </w:p>
        </w:tc>
      </w:tr>
      <w:tr w14:paraId="68952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30" w:type="dxa"/>
            <w:vAlign w:val="center"/>
          </w:tcPr>
          <w:p w14:paraId="70C508B6">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邮政编码：</w:t>
            </w:r>
          </w:p>
        </w:tc>
        <w:tc>
          <w:tcPr>
            <w:tcW w:w="4530" w:type="dxa"/>
            <w:vAlign w:val="center"/>
          </w:tcPr>
          <w:p w14:paraId="51EC12AC">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邮政编码：</w:t>
            </w:r>
          </w:p>
        </w:tc>
      </w:tr>
      <w:tr w14:paraId="24CB4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30" w:type="dxa"/>
            <w:vAlign w:val="center"/>
          </w:tcPr>
          <w:p w14:paraId="3C2C9358">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电话：</w:t>
            </w:r>
          </w:p>
        </w:tc>
        <w:tc>
          <w:tcPr>
            <w:tcW w:w="4530" w:type="dxa"/>
            <w:vAlign w:val="center"/>
          </w:tcPr>
          <w:p w14:paraId="151D6C2A">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电话：</w:t>
            </w:r>
          </w:p>
        </w:tc>
      </w:tr>
      <w:tr w14:paraId="042C8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30" w:type="dxa"/>
            <w:vAlign w:val="center"/>
          </w:tcPr>
          <w:p w14:paraId="269E4D2F">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传真：</w:t>
            </w:r>
          </w:p>
        </w:tc>
        <w:tc>
          <w:tcPr>
            <w:tcW w:w="4530" w:type="dxa"/>
            <w:vAlign w:val="center"/>
          </w:tcPr>
          <w:p w14:paraId="2203BB13">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传真：</w:t>
            </w:r>
          </w:p>
        </w:tc>
      </w:tr>
      <w:tr w14:paraId="0BDE6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30" w:type="dxa"/>
            <w:vAlign w:val="center"/>
          </w:tcPr>
          <w:p w14:paraId="3B633471">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电子邮箱：</w:t>
            </w:r>
          </w:p>
        </w:tc>
        <w:tc>
          <w:tcPr>
            <w:tcW w:w="4530" w:type="dxa"/>
            <w:vAlign w:val="center"/>
          </w:tcPr>
          <w:p w14:paraId="67DFB2E2">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电子邮箱：</w:t>
            </w:r>
          </w:p>
        </w:tc>
      </w:tr>
      <w:tr w14:paraId="6D437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30" w:type="dxa"/>
            <w:vAlign w:val="center"/>
          </w:tcPr>
          <w:p w14:paraId="6F34B724">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开户银行：</w:t>
            </w:r>
          </w:p>
        </w:tc>
        <w:tc>
          <w:tcPr>
            <w:tcW w:w="4530" w:type="dxa"/>
            <w:vAlign w:val="center"/>
          </w:tcPr>
          <w:p w14:paraId="5462CC46">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开户银行：</w:t>
            </w:r>
          </w:p>
        </w:tc>
      </w:tr>
      <w:tr w14:paraId="508F8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30" w:type="dxa"/>
            <w:vAlign w:val="center"/>
          </w:tcPr>
          <w:p w14:paraId="51535C99">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开户名称：</w:t>
            </w:r>
          </w:p>
        </w:tc>
        <w:tc>
          <w:tcPr>
            <w:tcW w:w="4530" w:type="dxa"/>
            <w:vAlign w:val="center"/>
          </w:tcPr>
          <w:p w14:paraId="06143705">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开户名称：</w:t>
            </w:r>
          </w:p>
        </w:tc>
      </w:tr>
      <w:tr w14:paraId="392B1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30" w:type="dxa"/>
            <w:vAlign w:val="center"/>
          </w:tcPr>
          <w:p w14:paraId="2C6F836D">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开户账号：</w:t>
            </w:r>
          </w:p>
        </w:tc>
        <w:tc>
          <w:tcPr>
            <w:tcW w:w="4530" w:type="dxa"/>
            <w:vAlign w:val="center"/>
          </w:tcPr>
          <w:p w14:paraId="4D11A671">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开户账号：</w:t>
            </w:r>
          </w:p>
        </w:tc>
      </w:tr>
    </w:tbl>
    <w:p w14:paraId="46676B80">
      <w:pPr>
        <w:spacing w:line="360" w:lineRule="auto"/>
        <w:ind w:firstLine="420" w:firstLineChars="200"/>
        <w:rPr>
          <w:rFonts w:ascii="宋体" w:hAnsi="宋体" w:eastAsia="宋体"/>
          <w:color w:val="000000" w:themeColor="text1"/>
          <w:szCs w:val="21"/>
          <w14:textFill>
            <w14:solidFill>
              <w14:schemeClr w14:val="tx1"/>
            </w14:solidFill>
          </w14:textFill>
        </w:rPr>
      </w:pPr>
    </w:p>
    <w:p w14:paraId="0893D536">
      <w:pPr>
        <w:spacing w:line="360" w:lineRule="auto"/>
        <w:ind w:firstLine="420" w:firstLineChars="200"/>
        <w:rPr>
          <w:rFonts w:ascii="宋体" w:hAnsi="宋体" w:eastAsia="宋体"/>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2A672593">
      <w:pPr>
        <w:pStyle w:val="3"/>
        <w:jc w:val="center"/>
        <w:rPr>
          <w:rFonts w:ascii="宋体" w:hAnsi="宋体" w:eastAsia="宋体"/>
          <w:color w:val="000000" w:themeColor="text1"/>
          <w:sz w:val="30"/>
          <w:szCs w:val="30"/>
          <w14:textFill>
            <w14:solidFill>
              <w14:schemeClr w14:val="tx1"/>
            </w14:solidFill>
          </w14:textFill>
        </w:rPr>
      </w:pPr>
      <w:bookmarkStart w:id="22" w:name="_Toc198316077"/>
      <w:r>
        <w:rPr>
          <w:rFonts w:hint="eastAsia" w:ascii="宋体" w:hAnsi="宋体" w:eastAsia="宋体"/>
          <w:color w:val="000000" w:themeColor="text1"/>
          <w:sz w:val="30"/>
          <w:szCs w:val="30"/>
          <w14:textFill>
            <w14:solidFill>
              <w14:schemeClr w14:val="tx1"/>
            </w14:solidFill>
          </w14:textFill>
        </w:rPr>
        <w:t>第二部</w:t>
      </w:r>
      <w:r>
        <w:rPr>
          <w:rFonts w:hint="eastAsia" w:ascii="宋体" w:hAnsi="宋体" w:eastAsia="宋体"/>
          <w:color w:val="000000" w:themeColor="text1"/>
          <w:spacing w:val="120"/>
          <w:sz w:val="30"/>
          <w:szCs w:val="30"/>
          <w14:textFill>
            <w14:solidFill>
              <w14:schemeClr w14:val="tx1"/>
            </w14:solidFill>
          </w14:textFill>
        </w:rPr>
        <w:t>分</w:t>
      </w:r>
      <w:r>
        <w:rPr>
          <w:rFonts w:hint="eastAsia" w:ascii="宋体" w:hAnsi="宋体" w:eastAsia="宋体"/>
          <w:color w:val="000000" w:themeColor="text1"/>
          <w:sz w:val="30"/>
          <w:szCs w:val="30"/>
          <w14:textFill>
            <w14:solidFill>
              <w14:schemeClr w14:val="tx1"/>
            </w14:solidFill>
          </w14:textFill>
        </w:rPr>
        <w:t>合同一般条款</w:t>
      </w:r>
      <w:bookmarkEnd w:id="22"/>
    </w:p>
    <w:p w14:paraId="521951A4">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2.1定义</w:t>
      </w:r>
    </w:p>
    <w:p w14:paraId="305DE73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本合同中的下列词语应按以下内容进行解释：</w:t>
      </w:r>
    </w:p>
    <w:p w14:paraId="1D7C966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2.1.1“合同”系指采购人和中标人签订的载明双方当事人所达成的协议，并包括所有的附件、附录和构成合同的其他文件。</w:t>
      </w:r>
    </w:p>
    <w:p w14:paraId="4FA3C53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2.1.2“合同价”系指根据合同约定，中标人在完全履行合同义务后，采购人应支付给中标人的价格。</w:t>
      </w:r>
    </w:p>
    <w:p w14:paraId="58D0AA5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2.1.3“标的物”系指中标人根据合同约定应向采购人交付的一切各种形态和种类的货物、货物和工程，包括但不限于原材料、燃料、设备、机械、仪表、备件、计算机软件、信息化系统、信息化维保、物业货物、产品等，并包括工具、手册等其他相关资料。</w:t>
      </w:r>
    </w:p>
    <w:p w14:paraId="5824892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2.1.4“甲方”系指与中标人签署合同的采购人；采购人委托采购机构代表其与乙方签订合同的，采购人的授权委托书作为合同附件。</w:t>
      </w:r>
    </w:p>
    <w:p w14:paraId="0CAE6F1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2.1.5“乙方”系指根据合同约定交付标的物的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1AE7A71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2.1.6“现场”系指合同约定标的物将要运至或者实施或者安装的地点。</w:t>
      </w:r>
    </w:p>
    <w:p w14:paraId="44029F09">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2.2技术规范</w:t>
      </w:r>
    </w:p>
    <w:p w14:paraId="339BE92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7F4C1837">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2.3知识产权</w:t>
      </w:r>
    </w:p>
    <w:p w14:paraId="2549E5C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2.3.1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1F00B71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2.3.2具有知识产权的计算机软件等标的物的知识产权归属，详见</w:t>
      </w:r>
      <w:r>
        <w:rPr>
          <w:rFonts w:hint="eastAsia" w:ascii="宋体" w:hAnsi="宋体" w:eastAsia="宋体"/>
          <w:b/>
          <w:i/>
          <w:color w:val="000000" w:themeColor="text1"/>
          <w:szCs w:val="21"/>
          <w:u w:val="single"/>
          <w14:textFill>
            <w14:solidFill>
              <w14:schemeClr w14:val="tx1"/>
            </w14:solidFill>
          </w14:textFill>
        </w:rPr>
        <w:t>合同专用条款</w:t>
      </w:r>
      <w:r>
        <w:rPr>
          <w:rFonts w:hint="eastAsia" w:ascii="宋体" w:hAnsi="宋体" w:eastAsia="宋体"/>
          <w:color w:val="000000" w:themeColor="text1"/>
          <w:szCs w:val="21"/>
          <w14:textFill>
            <w14:solidFill>
              <w14:schemeClr w14:val="tx1"/>
            </w14:solidFill>
          </w14:textFill>
        </w:rPr>
        <w:t>。</w:t>
      </w:r>
    </w:p>
    <w:p w14:paraId="797BF4B8">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2.4包装和装运</w:t>
      </w:r>
    </w:p>
    <w:p w14:paraId="2368261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2.4.1除</w:t>
      </w:r>
      <w:r>
        <w:rPr>
          <w:rFonts w:hint="eastAsia" w:ascii="宋体" w:hAnsi="宋体" w:eastAsia="宋体"/>
          <w:b/>
          <w:i/>
          <w:color w:val="000000" w:themeColor="text1"/>
          <w:szCs w:val="21"/>
          <w:u w:val="single"/>
          <w14:textFill>
            <w14:solidFill>
              <w14:schemeClr w14:val="tx1"/>
            </w14:solidFill>
          </w14:textFill>
        </w:rPr>
        <w:t>合同专用条款</w:t>
      </w:r>
      <w:r>
        <w:rPr>
          <w:rFonts w:hint="eastAsia" w:ascii="宋体" w:hAnsi="宋体" w:eastAsia="宋体"/>
          <w:color w:val="000000" w:themeColor="text1"/>
          <w:szCs w:val="21"/>
          <w14:textFill>
            <w14:solidFill>
              <w14:schemeClr w14:val="tx1"/>
            </w14:solidFill>
          </w14:textFill>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6D8AF65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2.4.2装运标的物的要求和通知，详见</w:t>
      </w:r>
      <w:r>
        <w:rPr>
          <w:rFonts w:hint="eastAsia" w:ascii="宋体" w:hAnsi="宋体" w:eastAsia="宋体"/>
          <w:b/>
          <w:i/>
          <w:color w:val="000000" w:themeColor="text1"/>
          <w:szCs w:val="21"/>
          <w:u w:val="single"/>
          <w14:textFill>
            <w14:solidFill>
              <w14:schemeClr w14:val="tx1"/>
            </w14:solidFill>
          </w14:textFill>
        </w:rPr>
        <w:t>合同专用条款</w:t>
      </w:r>
      <w:r>
        <w:rPr>
          <w:rFonts w:hint="eastAsia" w:ascii="宋体" w:hAnsi="宋体" w:eastAsia="宋体"/>
          <w:color w:val="000000" w:themeColor="text1"/>
          <w:szCs w:val="21"/>
          <w14:textFill>
            <w14:solidFill>
              <w14:schemeClr w14:val="tx1"/>
            </w14:solidFill>
          </w14:textFill>
        </w:rPr>
        <w:t>。</w:t>
      </w:r>
    </w:p>
    <w:p w14:paraId="071905E1">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2.5履约检查和问题反馈</w:t>
      </w:r>
    </w:p>
    <w:p w14:paraId="66034AE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2.5.1甲方有权在其认为必要时，对乙方是否能够按照合同约定交付标的物进行履约检查，以确保乙方所交付的标的物能够依约满足甲方之项目需求，但不得因履约检查妨碍乙方的正常工作，乙方应予积极配合；</w:t>
      </w:r>
    </w:p>
    <w:p w14:paraId="275D424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2.5.2合同履行期间，甲方有权将履行过程中出现的问题反馈给乙方，双方当事人应以书面形式约定需要完善和改进的内容。</w:t>
      </w:r>
    </w:p>
    <w:p w14:paraId="3FC581A1">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2.6结算方式和付款条件</w:t>
      </w:r>
    </w:p>
    <w:p w14:paraId="170AC86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详见</w:t>
      </w:r>
      <w:r>
        <w:rPr>
          <w:rFonts w:hint="eastAsia" w:ascii="宋体" w:hAnsi="宋体" w:eastAsia="宋体"/>
          <w:b/>
          <w:i/>
          <w:color w:val="000000" w:themeColor="text1"/>
          <w:szCs w:val="21"/>
          <w:u w:val="single"/>
          <w14:textFill>
            <w14:solidFill>
              <w14:schemeClr w14:val="tx1"/>
            </w14:solidFill>
          </w14:textFill>
        </w:rPr>
        <w:t>合同专用条款</w:t>
      </w:r>
      <w:r>
        <w:rPr>
          <w:rFonts w:hint="eastAsia" w:ascii="宋体" w:hAnsi="宋体" w:eastAsia="宋体"/>
          <w:color w:val="000000" w:themeColor="text1"/>
          <w:szCs w:val="21"/>
          <w14:textFill>
            <w14:solidFill>
              <w14:schemeClr w14:val="tx1"/>
            </w14:solidFill>
          </w14:textFill>
        </w:rPr>
        <w:t>。</w:t>
      </w:r>
    </w:p>
    <w:p w14:paraId="13B77CED">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2.7技术资料和保密义务</w:t>
      </w:r>
    </w:p>
    <w:p w14:paraId="0140519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2.7.1乙方有权依据合同约定和项目需要，向甲方了解有关情况，调阅有关资料等，甲方应予积极配合；</w:t>
      </w:r>
    </w:p>
    <w:p w14:paraId="1B86B7E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2.7.2乙方有义务妥善保管和保护由甲方提供的前款信息和资料等；</w:t>
      </w:r>
    </w:p>
    <w:p w14:paraId="1A497BD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2.7.3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102106E5">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2.8质量保证</w:t>
      </w:r>
    </w:p>
    <w:p w14:paraId="5E122CD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2.8.1乙方应建立和完善履行合同的内部质量保证体系，并提供相关内部规章制度给甲方，以便甲方进行监督检查；</w:t>
      </w:r>
    </w:p>
    <w:p w14:paraId="7A4FD5D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2.8.2乙方应保证履行合同的人员数量和素质、软件和硬件设备的配置、场地、环境和设施等满足全面履行合同的要求，并应接受甲方的监督检查。</w:t>
      </w:r>
    </w:p>
    <w:p w14:paraId="63CA85A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2.8.3乙方应确保项目技术人员的数量和水平与投标文件一致。未经甲方书面同意，乙方不得擅自更换投标文件中注明的项目经理和技术负责人。否则甲方有权放弃或终止合同，并没收履约保证金。</w:t>
      </w:r>
    </w:p>
    <w:p w14:paraId="6B75F92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2.8.4因乙方原因造成甲方其他系统不能正常运行，酿成重大事故（工作日系统中断一天以上）的，乙方应承担全部法律责任，并赔偿经济损失，赔偿金额为项目总价的30%。</w:t>
      </w:r>
    </w:p>
    <w:p w14:paraId="27E47B27">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2.9标的物的风险负担</w:t>
      </w:r>
    </w:p>
    <w:p w14:paraId="0355585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标的物或者在途标的物或者交付给第一承运人后的标的物毁损、灭失的风险负担详见</w:t>
      </w:r>
      <w:r>
        <w:rPr>
          <w:rFonts w:hint="eastAsia" w:ascii="宋体" w:hAnsi="宋体" w:eastAsia="宋体"/>
          <w:b/>
          <w:i/>
          <w:color w:val="000000" w:themeColor="text1"/>
          <w:szCs w:val="21"/>
          <w:u w:val="single"/>
          <w14:textFill>
            <w14:solidFill>
              <w14:schemeClr w14:val="tx1"/>
            </w14:solidFill>
          </w14:textFill>
        </w:rPr>
        <w:t>合同专用条款</w:t>
      </w:r>
      <w:r>
        <w:rPr>
          <w:rFonts w:hint="eastAsia" w:ascii="宋体" w:hAnsi="宋体" w:eastAsia="宋体"/>
          <w:color w:val="000000" w:themeColor="text1"/>
          <w:szCs w:val="21"/>
          <w14:textFill>
            <w14:solidFill>
              <w14:schemeClr w14:val="tx1"/>
            </w14:solidFill>
          </w14:textFill>
        </w:rPr>
        <w:t>。</w:t>
      </w:r>
    </w:p>
    <w:p w14:paraId="7C29EA66">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2.10延迟交货/交付</w:t>
      </w:r>
    </w:p>
    <w:p w14:paraId="6F12362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28B3701F">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2.11合同变更</w:t>
      </w:r>
    </w:p>
    <w:p w14:paraId="06E130E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081DC70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2.11.2合同继续履行将损害国家利益和社会公共利益的，双方当事人应当以书面形式变更合同。有过错的一方应当承担赔偿责任，双方当事人都有过错的，各自承担相应的责任。</w:t>
      </w:r>
    </w:p>
    <w:p w14:paraId="7968A7A9">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2.12合同转让和分包</w:t>
      </w:r>
    </w:p>
    <w:p w14:paraId="3EF4FBF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577369C7">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2.13不可抗力</w:t>
      </w:r>
    </w:p>
    <w:p w14:paraId="01ADEDD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2.13.1如果任何一方遭遇法律规定的不可抗力，致使合同履行受阻时，履行合同的期限应予延长，延长的期限应相当于不可抗力所影响的时间；</w:t>
      </w:r>
    </w:p>
    <w:p w14:paraId="0889C57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2.13.2受不可抗力影响的一方在不可抗力发生后，应在</w:t>
      </w:r>
      <w:r>
        <w:rPr>
          <w:rFonts w:hint="eastAsia" w:ascii="宋体" w:hAnsi="宋体" w:eastAsia="宋体"/>
          <w:b/>
          <w:i/>
          <w:color w:val="000000" w:themeColor="text1"/>
          <w:szCs w:val="21"/>
          <w:u w:val="single"/>
          <w14:textFill>
            <w14:solidFill>
              <w14:schemeClr w14:val="tx1"/>
            </w14:solidFill>
          </w14:textFill>
        </w:rPr>
        <w:t>合同专用条款</w:t>
      </w:r>
      <w:r>
        <w:rPr>
          <w:rFonts w:hint="eastAsia" w:ascii="宋体" w:hAnsi="宋体" w:eastAsia="宋体"/>
          <w:color w:val="000000" w:themeColor="text1"/>
          <w:szCs w:val="21"/>
          <w14:textFill>
            <w14:solidFill>
              <w14:schemeClr w14:val="tx1"/>
            </w14:solidFill>
          </w14:textFill>
        </w:rPr>
        <w:t>约定时间内以书面形式通知对方当事人，并在</w:t>
      </w:r>
      <w:r>
        <w:rPr>
          <w:rFonts w:hint="eastAsia" w:ascii="宋体" w:hAnsi="宋体" w:eastAsia="宋体"/>
          <w:b/>
          <w:i/>
          <w:color w:val="000000" w:themeColor="text1"/>
          <w:szCs w:val="21"/>
          <w:u w:val="single"/>
          <w14:textFill>
            <w14:solidFill>
              <w14:schemeClr w14:val="tx1"/>
            </w14:solidFill>
          </w14:textFill>
        </w:rPr>
        <w:t>合同专用条款</w:t>
      </w:r>
      <w:r>
        <w:rPr>
          <w:rFonts w:hint="eastAsia" w:ascii="宋体" w:hAnsi="宋体" w:eastAsia="宋体"/>
          <w:color w:val="000000" w:themeColor="text1"/>
          <w:szCs w:val="21"/>
          <w14:textFill>
            <w14:solidFill>
              <w14:schemeClr w14:val="tx1"/>
            </w14:solidFill>
          </w14:textFill>
        </w:rPr>
        <w:t>约定时间内，将有关部门出具的证明文件送达对方当事人。</w:t>
      </w:r>
    </w:p>
    <w:p w14:paraId="286A46B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2.13.3因不可抗力致使不能实现合同目的的，当事人可以解除合同；</w:t>
      </w:r>
    </w:p>
    <w:p w14:paraId="1026F5E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2.13.4因不可抗力致使合同有变更必要的，双方当事人应在</w:t>
      </w:r>
      <w:r>
        <w:rPr>
          <w:rFonts w:hint="eastAsia" w:ascii="宋体" w:hAnsi="宋体" w:eastAsia="宋体"/>
          <w:b/>
          <w:i/>
          <w:color w:val="000000" w:themeColor="text1"/>
          <w:szCs w:val="21"/>
          <w:u w:val="single"/>
          <w14:textFill>
            <w14:solidFill>
              <w14:schemeClr w14:val="tx1"/>
            </w14:solidFill>
          </w14:textFill>
        </w:rPr>
        <w:t>合同专用条款</w:t>
      </w:r>
      <w:r>
        <w:rPr>
          <w:rFonts w:hint="eastAsia" w:ascii="宋体" w:hAnsi="宋体" w:eastAsia="宋体"/>
          <w:color w:val="000000" w:themeColor="text1"/>
          <w:szCs w:val="21"/>
          <w14:textFill>
            <w14:solidFill>
              <w14:schemeClr w14:val="tx1"/>
            </w14:solidFill>
          </w14:textFill>
        </w:rPr>
        <w:t>约定时间内以书面形式变更合同；</w:t>
      </w:r>
    </w:p>
    <w:p w14:paraId="41B50C1B">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2.14税费</w:t>
      </w:r>
    </w:p>
    <w:p w14:paraId="599E2DD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与合同有关的一切税费，均按照中华人民共和国法律的相关规定执行。</w:t>
      </w:r>
    </w:p>
    <w:p w14:paraId="24510139">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2.15乙方破产</w:t>
      </w:r>
    </w:p>
    <w:p w14:paraId="52A8AE1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C2A8B28">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2.16合同中止、终止</w:t>
      </w:r>
    </w:p>
    <w:p w14:paraId="7729543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2.16.1双方当事人不得擅自中止或者终止合同；</w:t>
      </w:r>
    </w:p>
    <w:p w14:paraId="0790EE9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2.16.2合同继续履行将损害国家利益和社会公共利益的，双方当事人应当中止或者终止合同。有过错的一方应当承担赔偿责任，双方当事人都有过错的，各自承担相应的责任。</w:t>
      </w:r>
    </w:p>
    <w:p w14:paraId="5E1EEA0E">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2.17检验和验收</w:t>
      </w:r>
    </w:p>
    <w:p w14:paraId="6305FFF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2.17.1标的物交付前，乙方应对标的物的质量、数量等方面进行详细、全面的检验，并向甲方出具证明标的物符合合同约定的文件；标的物交付时，乙方在</w:t>
      </w:r>
      <w:r>
        <w:rPr>
          <w:rFonts w:hint="eastAsia" w:ascii="宋体" w:hAnsi="宋体" w:eastAsia="宋体"/>
          <w:b/>
          <w:i/>
          <w:color w:val="000000" w:themeColor="text1"/>
          <w:szCs w:val="21"/>
          <w:u w:val="single"/>
          <w14:textFill>
            <w14:solidFill>
              <w14:schemeClr w14:val="tx1"/>
            </w14:solidFill>
          </w14:textFill>
        </w:rPr>
        <w:t>合同专用条款</w:t>
      </w:r>
      <w:r>
        <w:rPr>
          <w:rFonts w:hint="eastAsia" w:ascii="宋体" w:hAnsi="宋体" w:eastAsia="宋体"/>
          <w:color w:val="000000" w:themeColor="text1"/>
          <w:szCs w:val="21"/>
          <w14:textFill>
            <w14:solidFill>
              <w14:schemeClr w14:val="tx1"/>
            </w14:solidFill>
          </w14:textFill>
        </w:rPr>
        <w:t>约定时间内组织验收，并可依法邀请相关方参加，验收应出具验收书。</w:t>
      </w:r>
    </w:p>
    <w:p w14:paraId="783886C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14:paraId="2B96A1E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2.17.3检验和验收标准、程序等具体内容以及前述验收书的效力详见</w:t>
      </w:r>
      <w:r>
        <w:rPr>
          <w:rFonts w:hint="eastAsia" w:ascii="宋体" w:hAnsi="宋体" w:eastAsia="宋体"/>
          <w:b/>
          <w:i/>
          <w:color w:val="000000" w:themeColor="text1"/>
          <w:szCs w:val="21"/>
          <w:u w:val="single"/>
          <w14:textFill>
            <w14:solidFill>
              <w14:schemeClr w14:val="tx1"/>
            </w14:solidFill>
          </w14:textFill>
        </w:rPr>
        <w:t>合同专用条款</w:t>
      </w:r>
      <w:r>
        <w:rPr>
          <w:rFonts w:hint="eastAsia" w:ascii="宋体" w:hAnsi="宋体" w:eastAsia="宋体"/>
          <w:color w:val="000000" w:themeColor="text1"/>
          <w:szCs w:val="21"/>
          <w14:textFill>
            <w14:solidFill>
              <w14:schemeClr w14:val="tx1"/>
            </w14:solidFill>
          </w14:textFill>
        </w:rPr>
        <w:t>。</w:t>
      </w:r>
    </w:p>
    <w:p w14:paraId="4CCD3A09">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2.18通知和送达</w:t>
      </w:r>
    </w:p>
    <w:p w14:paraId="78384A6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2.18.1任何一方因履行合同而以合同第一部分尾部所列明的“约定送达地址”为收件地址的所有通知、文件、材料，均视为已向对方当事人送达；任何一方变更上述送达方式或者地址的，应于7个工作日内书面通知对方当事人，在对方当事人收到有关变更通知之前，变更前的约定送达方式或者地址仍视为有效。</w:t>
      </w:r>
    </w:p>
    <w:p w14:paraId="228C2BA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14:paraId="7673DA2B">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2.19计量单位</w:t>
      </w:r>
    </w:p>
    <w:p w14:paraId="5585936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除技术规范中另有规定外，合同的计量单位均使用国家法定计量单位。</w:t>
      </w:r>
    </w:p>
    <w:p w14:paraId="007523A7">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2.20合同使用的文字和适用的法律</w:t>
      </w:r>
    </w:p>
    <w:p w14:paraId="28E55E7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2.20.1合同使用汉语书就、变更和解释；</w:t>
      </w:r>
    </w:p>
    <w:p w14:paraId="0266AA5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2.20.2合同适用中华人民共和国法律。</w:t>
      </w:r>
    </w:p>
    <w:p w14:paraId="37A0C0A7">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2.21履约保证金</w:t>
      </w:r>
    </w:p>
    <w:p w14:paraId="2D0B92F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本项目不收取履约保证金</w:t>
      </w:r>
    </w:p>
    <w:p w14:paraId="3012AB35">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2.22中小企业政策</w:t>
      </w:r>
    </w:p>
    <w:p w14:paraId="573EEC0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2.22.1</w:t>
      </w:r>
      <w:r>
        <w:rPr>
          <w:rFonts w:hint="eastAsia" w:ascii="宋体" w:hAnsi="宋体" w:eastAsia="宋体"/>
          <w:color w:val="000000" w:themeColor="text1"/>
          <w:szCs w:val="21"/>
          <w14:textFill>
            <w14:solidFill>
              <w14:schemeClr w14:val="tx1"/>
            </w14:solidFill>
          </w14:textFill>
        </w:rPr>
        <w:t>本合同（□是</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sym w:font="Wingdings 2" w:char="F052"/>
      </w:r>
      <w:r>
        <w:rPr>
          <w:rFonts w:hint="eastAsia" w:ascii="宋体" w:hAnsi="宋体" w:eastAsia="宋体"/>
          <w:color w:val="000000" w:themeColor="text1"/>
          <w:szCs w:val="21"/>
          <w14:textFill>
            <w14:solidFill>
              <w14:schemeClr w14:val="tx1"/>
            </w14:solidFill>
          </w14:textFill>
        </w:rPr>
        <w:t>否）为中小企业“政采贷”可融资合同，关于中小企业信用融资事项见采购文件“投标人须知正文”。</w:t>
      </w:r>
    </w:p>
    <w:p w14:paraId="23F2290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2.22.2</w:t>
      </w:r>
      <w:r>
        <w:rPr>
          <w:rFonts w:hint="eastAsia" w:ascii="宋体" w:hAnsi="宋体" w:eastAsia="宋体"/>
          <w:color w:val="000000" w:themeColor="text1"/>
          <w:szCs w:val="21"/>
          <w14:textFill>
            <w14:solidFill>
              <w14:schemeClr w14:val="tx1"/>
            </w14:solidFill>
          </w14:textFill>
        </w:rPr>
        <w:t>本合同（□是</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sym w:font="Wingdings 2" w:char="F052"/>
      </w:r>
      <w:r>
        <w:rPr>
          <w:rFonts w:hint="eastAsia" w:ascii="宋体" w:hAnsi="宋体" w:eastAsia="宋体"/>
          <w:color w:val="000000" w:themeColor="text1"/>
          <w:szCs w:val="21"/>
          <w14:textFill>
            <w14:solidFill>
              <w14:schemeClr w14:val="tx1"/>
            </w14:solidFill>
          </w14:textFill>
        </w:rPr>
        <w:t>否）为中小企业预留合同。</w:t>
      </w:r>
    </w:p>
    <w:p w14:paraId="1C1CD2E1">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2.23合同份数</w:t>
      </w:r>
    </w:p>
    <w:p w14:paraId="18D2B35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本合同壹式</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份，甲方执</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份，乙方执</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份。每份均具有同等法律效力。</w:t>
      </w:r>
    </w:p>
    <w:p w14:paraId="6636F3E2">
      <w:pPr>
        <w:spacing w:line="360" w:lineRule="auto"/>
        <w:ind w:firstLine="420" w:firstLineChars="200"/>
        <w:rPr>
          <w:rFonts w:ascii="宋体" w:hAnsi="宋体" w:eastAsia="宋体"/>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653718CA">
      <w:pPr>
        <w:pStyle w:val="3"/>
        <w:jc w:val="center"/>
        <w:rPr>
          <w:rFonts w:ascii="宋体" w:hAnsi="宋体" w:eastAsia="宋体"/>
          <w:color w:val="000000" w:themeColor="text1"/>
          <w:sz w:val="30"/>
          <w:szCs w:val="30"/>
          <w14:textFill>
            <w14:solidFill>
              <w14:schemeClr w14:val="tx1"/>
            </w14:solidFill>
          </w14:textFill>
        </w:rPr>
      </w:pPr>
      <w:bookmarkStart w:id="23" w:name="_Toc198316078"/>
      <w:r>
        <w:rPr>
          <w:rFonts w:hint="eastAsia" w:ascii="宋体" w:hAnsi="宋体" w:eastAsia="宋体"/>
          <w:color w:val="000000" w:themeColor="text1"/>
          <w:sz w:val="30"/>
          <w:szCs w:val="30"/>
          <w14:textFill>
            <w14:solidFill>
              <w14:schemeClr w14:val="tx1"/>
            </w14:solidFill>
          </w14:textFill>
        </w:rPr>
        <w:t>第三部</w:t>
      </w:r>
      <w:r>
        <w:rPr>
          <w:rFonts w:hint="eastAsia" w:ascii="宋体" w:hAnsi="宋体" w:eastAsia="宋体"/>
          <w:color w:val="000000" w:themeColor="text1"/>
          <w:spacing w:val="120"/>
          <w:sz w:val="30"/>
          <w:szCs w:val="30"/>
          <w14:textFill>
            <w14:solidFill>
              <w14:schemeClr w14:val="tx1"/>
            </w14:solidFill>
          </w14:textFill>
        </w:rPr>
        <w:t>分</w:t>
      </w:r>
      <w:r>
        <w:rPr>
          <w:rFonts w:hint="eastAsia" w:ascii="宋体" w:hAnsi="宋体" w:eastAsia="宋体"/>
          <w:color w:val="000000" w:themeColor="text1"/>
          <w:sz w:val="30"/>
          <w:szCs w:val="30"/>
          <w14:textFill>
            <w14:solidFill>
              <w14:schemeClr w14:val="tx1"/>
            </w14:solidFill>
          </w14:textFill>
        </w:rPr>
        <w:t>合同专用条款</w:t>
      </w:r>
      <w:bookmarkEnd w:id="23"/>
    </w:p>
    <w:p w14:paraId="0DBEE89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p w14:paraId="6FEE595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2.3.2具有知识产权的标的物知识产权归属：</w:t>
      </w:r>
    </w:p>
    <w:p w14:paraId="25E79443">
      <w:pPr>
        <w:spacing w:line="360" w:lineRule="auto"/>
        <w:ind w:firstLine="420" w:firstLineChars="20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p>
    <w:p w14:paraId="402FA6D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2.4.1包装和装运专用条款（如果有）：</w:t>
      </w:r>
    </w:p>
    <w:p w14:paraId="7F2000B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p>
    <w:p w14:paraId="09C81CF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2.4.2装运标的物的要求和通知：</w:t>
      </w:r>
    </w:p>
    <w:p w14:paraId="5D0BD0E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p>
    <w:p w14:paraId="295AD97C">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2.6结算方式和付款条件</w:t>
      </w:r>
    </w:p>
    <w:p w14:paraId="1D56252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本次项目合同总价为大写人民币</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元）。本项目采用以下勾选结算方式进行支付：</w:t>
      </w:r>
    </w:p>
    <w:p w14:paraId="0CDCA22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□采用一次性支付方式，付款条件为：</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p>
    <w:p w14:paraId="0745D9F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□采用分期付款方式，付款条件为：</w:t>
      </w:r>
    </w:p>
    <w:p w14:paraId="1DC673E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第一期付款：</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p>
    <w:p w14:paraId="615922B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第二期付款：</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p>
    <w:p w14:paraId="33965A8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p w14:paraId="2A1B5A1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甲方无故逾期支付货物费用的，按照每逾期一日支付欠付货物费额度的</w:t>
      </w:r>
      <w:r>
        <w:rPr>
          <w:rFonts w:hint="eastAsia" w:ascii="宋体" w:hAnsi="宋体" w:eastAsia="宋体"/>
          <w:color w:val="000000" w:themeColor="text1"/>
          <w:szCs w:val="21"/>
          <w:u w:val="single"/>
          <w14:textFill>
            <w14:solidFill>
              <w14:schemeClr w14:val="tx1"/>
            </w14:solidFill>
          </w14:textFill>
        </w:rPr>
        <w:t>万分之五</w:t>
      </w:r>
      <w:r>
        <w:rPr>
          <w:rFonts w:hint="eastAsia" w:ascii="宋体" w:hAnsi="宋体" w:eastAsia="宋体"/>
          <w:color w:val="000000" w:themeColor="text1"/>
          <w:szCs w:val="21"/>
          <w14:textFill>
            <w14:solidFill>
              <w14:schemeClr w14:val="tx1"/>
            </w14:solidFill>
          </w14:textFill>
        </w:rPr>
        <w:t>承担违约责任，违约金上限按照《合同书》约定执行。</w:t>
      </w:r>
    </w:p>
    <w:p w14:paraId="765BD98D">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2.9标的物的风险负担</w:t>
      </w:r>
    </w:p>
    <w:p w14:paraId="3CB5F51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标的物或者在途标的物或者交付给第一承运人后的标的物毁损、灭失的风险负担：</w:t>
      </w:r>
    </w:p>
    <w:p w14:paraId="2B87C7A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乙方</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p>
    <w:p w14:paraId="1303EF4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2.13.2受不可抗力影响的一方在不可抗力发生后，应在</w:t>
      </w:r>
      <w:r>
        <w:rPr>
          <w:rFonts w:hint="eastAsia" w:ascii="宋体" w:hAnsi="宋体" w:eastAsia="宋体"/>
          <w:color w:val="000000" w:themeColor="text1"/>
          <w:szCs w:val="21"/>
          <w:u w:val="single"/>
          <w14:textFill>
            <w14:solidFill>
              <w14:schemeClr w14:val="tx1"/>
            </w14:solidFill>
          </w14:textFill>
        </w:rPr>
        <w:t>5</w:t>
      </w:r>
      <w:r>
        <w:rPr>
          <w:rFonts w:hint="eastAsia" w:ascii="宋体" w:hAnsi="宋体" w:eastAsia="宋体"/>
          <w:color w:val="000000" w:themeColor="text1"/>
          <w:szCs w:val="21"/>
          <w14:textFill>
            <w14:solidFill>
              <w14:schemeClr w14:val="tx1"/>
            </w14:solidFill>
          </w14:textFill>
        </w:rPr>
        <w:t>日内以书面形式通知对方当事人，并在</w:t>
      </w:r>
      <w:r>
        <w:rPr>
          <w:rFonts w:hint="eastAsia" w:ascii="宋体" w:hAnsi="宋体" w:eastAsia="宋体"/>
          <w:color w:val="000000" w:themeColor="text1"/>
          <w:szCs w:val="21"/>
          <w:u w:val="single"/>
          <w14:textFill>
            <w14:solidFill>
              <w14:schemeClr w14:val="tx1"/>
            </w14:solidFill>
          </w14:textFill>
        </w:rPr>
        <w:t>5</w:t>
      </w:r>
      <w:r>
        <w:rPr>
          <w:rFonts w:hint="eastAsia" w:ascii="宋体" w:hAnsi="宋体" w:eastAsia="宋体"/>
          <w:color w:val="000000" w:themeColor="text1"/>
          <w:szCs w:val="21"/>
          <w14:textFill>
            <w14:solidFill>
              <w14:schemeClr w14:val="tx1"/>
            </w14:solidFill>
          </w14:textFill>
        </w:rPr>
        <w:t>日内，将有关部门出具的证明文件送达对方当事人。</w:t>
      </w:r>
    </w:p>
    <w:p w14:paraId="18FFF9F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2.13.4因不可抗力致使合同有变更必要的，双方当事人应在</w:t>
      </w:r>
      <w:r>
        <w:rPr>
          <w:rFonts w:hint="eastAsia" w:ascii="宋体" w:hAnsi="宋体" w:eastAsia="宋体"/>
          <w:color w:val="000000" w:themeColor="text1"/>
          <w:szCs w:val="21"/>
          <w:u w:val="single"/>
          <w14:textFill>
            <w14:solidFill>
              <w14:schemeClr w14:val="tx1"/>
            </w14:solidFill>
          </w14:textFill>
        </w:rPr>
        <w:t>10</w:t>
      </w:r>
      <w:r>
        <w:rPr>
          <w:rFonts w:hint="eastAsia" w:ascii="宋体" w:hAnsi="宋体" w:eastAsia="宋体"/>
          <w:color w:val="000000" w:themeColor="text1"/>
          <w:szCs w:val="21"/>
          <w14:textFill>
            <w14:solidFill>
              <w14:schemeClr w14:val="tx1"/>
            </w14:solidFill>
          </w14:textFill>
        </w:rPr>
        <w:t>日内以书面形式变更合同；</w:t>
      </w:r>
    </w:p>
    <w:p w14:paraId="2F25844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2.17.1标的物交付前，乙方应对标的物的质量、数量等方面进行详细、全面的检验，并向甲方出具证明标的物符合合同约定的文件；标的物交付时，乙方在</w:t>
      </w:r>
      <w:r>
        <w:rPr>
          <w:rFonts w:hint="eastAsia" w:ascii="宋体" w:hAnsi="宋体" w:eastAsia="宋体"/>
          <w:color w:val="000000" w:themeColor="text1"/>
          <w:szCs w:val="21"/>
          <w:u w:val="single"/>
          <w14:textFill>
            <w14:solidFill>
              <w14:schemeClr w14:val="tx1"/>
            </w14:solidFill>
          </w14:textFill>
        </w:rPr>
        <w:t>15</w:t>
      </w:r>
      <w:r>
        <w:rPr>
          <w:rFonts w:hint="eastAsia" w:ascii="宋体" w:hAnsi="宋体" w:eastAsia="宋体"/>
          <w:color w:val="000000" w:themeColor="text1"/>
          <w:szCs w:val="21"/>
          <w14:textFill>
            <w14:solidFill>
              <w14:schemeClr w14:val="tx1"/>
            </w14:solidFill>
          </w14:textFill>
        </w:rPr>
        <w:t>日内发起验收，并可依法邀请相关方参加，验收应出具验收书。</w:t>
      </w:r>
    </w:p>
    <w:p w14:paraId="4D4F46F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2.17.3检验和验收标准、程序等具体内容以及前述验收书的效力：</w:t>
      </w:r>
    </w:p>
    <w:p w14:paraId="75626903">
      <w:pPr>
        <w:spacing w:line="360" w:lineRule="auto"/>
        <w:ind w:firstLine="420" w:firstLineChars="20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①国家有关质量标准；②招标文件；③乙方投标文件</w:t>
      </w:r>
    </w:p>
    <w:p w14:paraId="5B639EE2">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3.1其他：</w:t>
      </w:r>
    </w:p>
    <w:p w14:paraId="17D33B9D">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项目验收：</w:t>
      </w:r>
    </w:p>
    <w:p w14:paraId="1DA2C50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086CC8C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5060299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1428DD9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4、验收产生的费用由乙方支付。</w:t>
      </w:r>
    </w:p>
    <w:p w14:paraId="7EC9281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5、验收内容及资料要求：</w:t>
      </w:r>
    </w:p>
    <w:p w14:paraId="061301F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根据采购文件确定的技术指标或者货物要求确定验收指标和标准。未进行相应约定的，应当符合国家强制性规定、政策要求、安全标准、行业或企业有关标准等。</w:t>
      </w:r>
    </w:p>
    <w:p w14:paraId="223E7EC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5.1验收内容</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3020"/>
        <w:gridCol w:w="3020"/>
      </w:tblGrid>
      <w:tr w14:paraId="6F479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14:paraId="529348CD">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序号</w:t>
            </w:r>
          </w:p>
        </w:tc>
        <w:tc>
          <w:tcPr>
            <w:tcW w:w="3020" w:type="dxa"/>
          </w:tcPr>
          <w:p w14:paraId="775CC180">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验收内容</w:t>
            </w:r>
          </w:p>
        </w:tc>
        <w:tc>
          <w:tcPr>
            <w:tcW w:w="3020" w:type="dxa"/>
          </w:tcPr>
          <w:p w14:paraId="3C785452">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验收标准</w:t>
            </w:r>
          </w:p>
        </w:tc>
      </w:tr>
      <w:tr w14:paraId="4868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14:paraId="291F325F">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tc>
        <w:tc>
          <w:tcPr>
            <w:tcW w:w="3020" w:type="dxa"/>
          </w:tcPr>
          <w:p w14:paraId="2CDC315E">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交货产品数量</w:t>
            </w:r>
          </w:p>
        </w:tc>
        <w:tc>
          <w:tcPr>
            <w:tcW w:w="3020" w:type="dxa"/>
          </w:tcPr>
          <w:p w14:paraId="165EA83C">
            <w:pPr>
              <w:spacing w:line="360" w:lineRule="auto"/>
              <w:jc w:val="center"/>
              <w:rPr>
                <w:rFonts w:ascii="宋体" w:hAnsi="宋体" w:eastAsia="宋体"/>
                <w:color w:val="000000" w:themeColor="text1"/>
                <w:szCs w:val="21"/>
                <w14:textFill>
                  <w14:solidFill>
                    <w14:schemeClr w14:val="tx1"/>
                  </w14:solidFill>
                </w14:textFill>
              </w:rPr>
            </w:pPr>
          </w:p>
        </w:tc>
      </w:tr>
      <w:tr w14:paraId="002D3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14:paraId="775024CD">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p>
        </w:tc>
        <w:tc>
          <w:tcPr>
            <w:tcW w:w="3020" w:type="dxa"/>
          </w:tcPr>
          <w:p w14:paraId="58A0CC60">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交货产品的质量文件</w:t>
            </w:r>
          </w:p>
        </w:tc>
        <w:tc>
          <w:tcPr>
            <w:tcW w:w="3020" w:type="dxa"/>
          </w:tcPr>
          <w:p w14:paraId="2BCD5B1D">
            <w:pPr>
              <w:spacing w:line="360" w:lineRule="auto"/>
              <w:jc w:val="center"/>
              <w:rPr>
                <w:rFonts w:ascii="宋体" w:hAnsi="宋体" w:eastAsia="宋体"/>
                <w:color w:val="000000" w:themeColor="text1"/>
                <w:szCs w:val="21"/>
                <w14:textFill>
                  <w14:solidFill>
                    <w14:schemeClr w14:val="tx1"/>
                  </w14:solidFill>
                </w14:textFill>
              </w:rPr>
            </w:pPr>
          </w:p>
        </w:tc>
      </w:tr>
      <w:tr w14:paraId="09EFB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14:paraId="60E48C0F">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w:t>
            </w:r>
          </w:p>
        </w:tc>
        <w:tc>
          <w:tcPr>
            <w:tcW w:w="3020" w:type="dxa"/>
          </w:tcPr>
          <w:p w14:paraId="3ADDF5AA">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交货产品技术、性能指标</w:t>
            </w:r>
          </w:p>
        </w:tc>
        <w:tc>
          <w:tcPr>
            <w:tcW w:w="3020" w:type="dxa"/>
          </w:tcPr>
          <w:p w14:paraId="7026574B">
            <w:pPr>
              <w:spacing w:line="360" w:lineRule="auto"/>
              <w:jc w:val="center"/>
              <w:rPr>
                <w:rFonts w:ascii="宋体" w:hAnsi="宋体" w:eastAsia="宋体"/>
                <w:color w:val="000000" w:themeColor="text1"/>
                <w:szCs w:val="21"/>
                <w14:textFill>
                  <w14:solidFill>
                    <w14:schemeClr w14:val="tx1"/>
                  </w14:solidFill>
                </w14:textFill>
              </w:rPr>
            </w:pPr>
          </w:p>
        </w:tc>
      </w:tr>
      <w:tr w14:paraId="64F0A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14:paraId="4D6FD237">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w:t>
            </w:r>
          </w:p>
        </w:tc>
        <w:tc>
          <w:tcPr>
            <w:tcW w:w="3020" w:type="dxa"/>
          </w:tcPr>
          <w:p w14:paraId="55E071A1">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售后货物承诺</w:t>
            </w:r>
          </w:p>
        </w:tc>
        <w:tc>
          <w:tcPr>
            <w:tcW w:w="3020" w:type="dxa"/>
          </w:tcPr>
          <w:p w14:paraId="1E740BAD">
            <w:pPr>
              <w:spacing w:line="360" w:lineRule="auto"/>
              <w:jc w:val="center"/>
              <w:rPr>
                <w:rFonts w:ascii="宋体" w:hAnsi="宋体" w:eastAsia="宋体"/>
                <w:color w:val="000000" w:themeColor="text1"/>
                <w:szCs w:val="21"/>
                <w14:textFill>
                  <w14:solidFill>
                    <w14:schemeClr w14:val="tx1"/>
                  </w14:solidFill>
                </w14:textFill>
              </w:rPr>
            </w:pPr>
          </w:p>
        </w:tc>
      </w:tr>
      <w:tr w14:paraId="7A715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14:paraId="7FF74F7B">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w:t>
            </w:r>
          </w:p>
        </w:tc>
        <w:tc>
          <w:tcPr>
            <w:tcW w:w="3020" w:type="dxa"/>
          </w:tcPr>
          <w:p w14:paraId="4DB12C00">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其他工作</w:t>
            </w:r>
          </w:p>
        </w:tc>
        <w:tc>
          <w:tcPr>
            <w:tcW w:w="3020" w:type="dxa"/>
          </w:tcPr>
          <w:p w14:paraId="20F1E1D4">
            <w:pPr>
              <w:spacing w:line="360" w:lineRule="auto"/>
              <w:jc w:val="center"/>
              <w:rPr>
                <w:rFonts w:ascii="宋体" w:hAnsi="宋体" w:eastAsia="宋体"/>
                <w:color w:val="000000" w:themeColor="text1"/>
                <w:szCs w:val="21"/>
                <w14:textFill>
                  <w14:solidFill>
                    <w14:schemeClr w14:val="tx1"/>
                  </w14:solidFill>
                </w14:textFill>
              </w:rPr>
            </w:pPr>
          </w:p>
        </w:tc>
      </w:tr>
    </w:tbl>
    <w:p w14:paraId="69005C30">
      <w:pPr>
        <w:spacing w:line="360" w:lineRule="auto"/>
        <w:ind w:firstLine="420" w:firstLineChars="200"/>
        <w:rPr>
          <w:rFonts w:ascii="宋体" w:hAnsi="宋体" w:eastAsia="宋体"/>
          <w:color w:val="000000" w:themeColor="text1"/>
          <w:szCs w:val="21"/>
          <w14:textFill>
            <w14:solidFill>
              <w14:schemeClr w14:val="tx1"/>
            </w14:solidFill>
          </w14:textFill>
        </w:rPr>
      </w:pPr>
    </w:p>
    <w:p w14:paraId="4DDD8151">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5.2验收资料要求</w:t>
      </w:r>
    </w:p>
    <w:p w14:paraId="45B6DF2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验收资料要求包括（不限于）以下内容：</w:t>
      </w:r>
    </w:p>
    <w:p w14:paraId="139B0BF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（1）采购文件；</w:t>
      </w:r>
    </w:p>
    <w:p w14:paraId="3E27032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（2）投标文件；</w:t>
      </w:r>
    </w:p>
    <w:p w14:paraId="79B0FC1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（3）采购合同；</w:t>
      </w:r>
    </w:p>
    <w:p w14:paraId="15C48B3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（4）到货核验单（需采购核验人、复核人及乙方交货人三方签字盖章）、产品拍照图片、产品说明书、产品合格证、质量保证书原件、三包凭证、产品的检测报告、原厂质保承诺函等；</w:t>
      </w:r>
    </w:p>
    <w:p w14:paraId="301CF2E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（5）其他需提供的相关材料。</w:t>
      </w:r>
    </w:p>
    <w:p w14:paraId="619E62E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p>
    <w:p w14:paraId="1445F8FD">
      <w:pPr>
        <w:spacing w:line="360" w:lineRule="auto"/>
        <w:ind w:firstLine="420" w:firstLineChars="200"/>
        <w:rPr>
          <w:rFonts w:ascii="宋体" w:hAnsi="宋体" w:eastAsia="宋体"/>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5B6DC20C">
      <w:pPr>
        <w:spacing w:line="360" w:lineRule="auto"/>
        <w:ind w:firstLine="420" w:firstLineChars="200"/>
        <w:rPr>
          <w:rFonts w:ascii="宋体" w:hAnsi="宋体" w:eastAsia="宋体"/>
          <w:color w:val="000000" w:themeColor="text1"/>
          <w:szCs w:val="21"/>
          <w14:textFill>
            <w14:solidFill>
              <w14:schemeClr w14:val="tx1"/>
            </w14:solidFill>
          </w14:textFill>
        </w:rPr>
      </w:pPr>
    </w:p>
    <w:p w14:paraId="1CBA32C8">
      <w:pPr>
        <w:spacing w:line="360" w:lineRule="auto"/>
        <w:ind w:firstLine="420" w:firstLineChars="200"/>
        <w:rPr>
          <w:rFonts w:ascii="宋体" w:hAnsi="宋体" w:eastAsia="宋体"/>
          <w:color w:val="000000" w:themeColor="text1"/>
          <w:szCs w:val="21"/>
          <w14:textFill>
            <w14:solidFill>
              <w14:schemeClr w14:val="tx1"/>
            </w14:solidFill>
          </w14:textFill>
        </w:rPr>
      </w:pPr>
    </w:p>
    <w:p w14:paraId="2E3AF621">
      <w:pPr>
        <w:spacing w:line="360" w:lineRule="auto"/>
        <w:ind w:firstLine="420" w:firstLineChars="200"/>
        <w:rPr>
          <w:rFonts w:ascii="宋体" w:hAnsi="宋体" w:eastAsia="宋体"/>
          <w:color w:val="000000" w:themeColor="text1"/>
          <w:szCs w:val="21"/>
          <w14:textFill>
            <w14:solidFill>
              <w14:schemeClr w14:val="tx1"/>
            </w14:solidFill>
          </w14:textFill>
        </w:rPr>
      </w:pPr>
    </w:p>
    <w:p w14:paraId="270110CE">
      <w:pPr>
        <w:spacing w:line="360" w:lineRule="auto"/>
        <w:ind w:firstLine="420" w:firstLineChars="200"/>
        <w:rPr>
          <w:rFonts w:ascii="宋体" w:hAnsi="宋体" w:eastAsia="宋体"/>
          <w:color w:val="000000" w:themeColor="text1"/>
          <w:szCs w:val="21"/>
          <w14:textFill>
            <w14:solidFill>
              <w14:schemeClr w14:val="tx1"/>
            </w14:solidFill>
          </w14:textFill>
        </w:rPr>
      </w:pPr>
    </w:p>
    <w:p w14:paraId="6EEE66E1">
      <w:pPr>
        <w:spacing w:line="360" w:lineRule="auto"/>
        <w:ind w:firstLine="420" w:firstLineChars="200"/>
        <w:rPr>
          <w:rFonts w:ascii="宋体" w:hAnsi="宋体" w:eastAsia="宋体"/>
          <w:color w:val="000000" w:themeColor="text1"/>
          <w:szCs w:val="21"/>
          <w14:textFill>
            <w14:solidFill>
              <w14:schemeClr w14:val="tx1"/>
            </w14:solidFill>
          </w14:textFill>
        </w:rPr>
      </w:pPr>
    </w:p>
    <w:p w14:paraId="4AEDC0D8">
      <w:pPr>
        <w:spacing w:line="360" w:lineRule="auto"/>
        <w:ind w:firstLine="420" w:firstLineChars="200"/>
        <w:rPr>
          <w:rFonts w:ascii="宋体" w:hAnsi="宋体" w:eastAsia="宋体"/>
          <w:color w:val="000000" w:themeColor="text1"/>
          <w:szCs w:val="21"/>
          <w14:textFill>
            <w14:solidFill>
              <w14:schemeClr w14:val="tx1"/>
            </w14:solidFill>
          </w14:textFill>
        </w:rPr>
      </w:pPr>
    </w:p>
    <w:p w14:paraId="1E0C0918">
      <w:pPr>
        <w:spacing w:line="360" w:lineRule="auto"/>
        <w:ind w:firstLine="420" w:firstLineChars="200"/>
        <w:rPr>
          <w:rFonts w:ascii="宋体" w:hAnsi="宋体" w:eastAsia="宋体"/>
          <w:color w:val="000000" w:themeColor="text1"/>
          <w:szCs w:val="21"/>
          <w14:textFill>
            <w14:solidFill>
              <w14:schemeClr w14:val="tx1"/>
            </w14:solidFill>
          </w14:textFill>
        </w:rPr>
      </w:pPr>
    </w:p>
    <w:p w14:paraId="4EC5A367">
      <w:pPr>
        <w:spacing w:line="360" w:lineRule="auto"/>
        <w:ind w:firstLine="420" w:firstLineChars="200"/>
        <w:rPr>
          <w:rFonts w:ascii="宋体" w:hAnsi="宋体" w:eastAsia="宋体"/>
          <w:color w:val="000000" w:themeColor="text1"/>
          <w:szCs w:val="21"/>
          <w14:textFill>
            <w14:solidFill>
              <w14:schemeClr w14:val="tx1"/>
            </w14:solidFill>
          </w14:textFill>
        </w:rPr>
      </w:pPr>
    </w:p>
    <w:p w14:paraId="0F1A7D6A">
      <w:pPr>
        <w:spacing w:line="360" w:lineRule="auto"/>
        <w:ind w:firstLine="420" w:firstLineChars="200"/>
        <w:rPr>
          <w:rFonts w:ascii="宋体" w:hAnsi="宋体" w:eastAsia="宋体"/>
          <w:color w:val="000000" w:themeColor="text1"/>
          <w:szCs w:val="21"/>
          <w14:textFill>
            <w14:solidFill>
              <w14:schemeClr w14:val="tx1"/>
            </w14:solidFill>
          </w14:textFill>
        </w:rPr>
      </w:pPr>
    </w:p>
    <w:p w14:paraId="0649FA91">
      <w:pPr>
        <w:spacing w:line="360" w:lineRule="auto"/>
        <w:ind w:firstLine="420" w:firstLineChars="200"/>
        <w:rPr>
          <w:rFonts w:ascii="宋体" w:hAnsi="宋体" w:eastAsia="宋体"/>
          <w:color w:val="000000" w:themeColor="text1"/>
          <w:szCs w:val="21"/>
          <w14:textFill>
            <w14:solidFill>
              <w14:schemeClr w14:val="tx1"/>
            </w14:solidFill>
          </w14:textFill>
        </w:rPr>
      </w:pPr>
    </w:p>
    <w:p w14:paraId="5F1E42D9">
      <w:pPr>
        <w:spacing w:line="360" w:lineRule="auto"/>
        <w:ind w:firstLine="420" w:firstLineChars="200"/>
        <w:rPr>
          <w:rFonts w:ascii="宋体" w:hAnsi="宋体" w:eastAsia="宋体"/>
          <w:color w:val="000000" w:themeColor="text1"/>
          <w:szCs w:val="21"/>
          <w14:textFill>
            <w14:solidFill>
              <w14:schemeClr w14:val="tx1"/>
            </w14:solidFill>
          </w14:textFill>
        </w:rPr>
      </w:pPr>
    </w:p>
    <w:p w14:paraId="26F76530">
      <w:pPr>
        <w:spacing w:line="360" w:lineRule="auto"/>
        <w:ind w:firstLine="420" w:firstLineChars="200"/>
        <w:rPr>
          <w:rFonts w:ascii="宋体" w:hAnsi="宋体" w:eastAsia="宋体"/>
          <w:color w:val="000000" w:themeColor="text1"/>
          <w:szCs w:val="21"/>
          <w14:textFill>
            <w14:solidFill>
              <w14:schemeClr w14:val="tx1"/>
            </w14:solidFill>
          </w14:textFill>
        </w:rPr>
      </w:pPr>
    </w:p>
    <w:p w14:paraId="7BF19A8E">
      <w:pPr>
        <w:spacing w:line="360" w:lineRule="auto"/>
        <w:ind w:firstLine="420" w:firstLineChars="200"/>
        <w:rPr>
          <w:rFonts w:ascii="宋体" w:hAnsi="宋体" w:eastAsia="宋体"/>
          <w:color w:val="000000" w:themeColor="text1"/>
          <w:szCs w:val="21"/>
          <w14:textFill>
            <w14:solidFill>
              <w14:schemeClr w14:val="tx1"/>
            </w14:solidFill>
          </w14:textFill>
        </w:rPr>
      </w:pPr>
    </w:p>
    <w:p w14:paraId="7EC33BA8">
      <w:pPr>
        <w:pStyle w:val="2"/>
        <w:spacing w:before="0" w:after="0" w:line="240" w:lineRule="auto"/>
        <w:jc w:val="center"/>
        <w:rPr>
          <w:rFonts w:ascii="宋体" w:hAnsi="宋体" w:eastAsia="宋体"/>
          <w:color w:val="000000" w:themeColor="text1"/>
          <w:sz w:val="36"/>
          <w:szCs w:val="36"/>
          <w14:textFill>
            <w14:solidFill>
              <w14:schemeClr w14:val="tx1"/>
            </w14:solidFill>
          </w14:textFill>
        </w:rPr>
      </w:pPr>
      <w:bookmarkStart w:id="24" w:name="_Toc198316079"/>
      <w:r>
        <w:rPr>
          <w:rFonts w:hint="eastAsia" w:ascii="宋体" w:hAnsi="宋体" w:eastAsia="宋体"/>
          <w:color w:val="000000" w:themeColor="text1"/>
          <w:sz w:val="36"/>
          <w:szCs w:val="36"/>
          <w14:textFill>
            <w14:solidFill>
              <w14:schemeClr w14:val="tx1"/>
            </w14:solidFill>
          </w14:textFill>
        </w:rPr>
        <w:t>第六</w:t>
      </w:r>
      <w:r>
        <w:rPr>
          <w:rFonts w:hint="eastAsia" w:ascii="宋体" w:hAnsi="宋体" w:eastAsia="宋体"/>
          <w:color w:val="000000" w:themeColor="text1"/>
          <w:spacing w:val="120"/>
          <w:sz w:val="36"/>
          <w:szCs w:val="36"/>
          <w14:textFill>
            <w14:solidFill>
              <w14:schemeClr w14:val="tx1"/>
            </w14:solidFill>
          </w14:textFill>
        </w:rPr>
        <w:t>章</w:t>
      </w:r>
      <w:r>
        <w:rPr>
          <w:rFonts w:hint="eastAsia" w:ascii="宋体" w:hAnsi="宋体" w:eastAsia="宋体"/>
          <w:color w:val="000000" w:themeColor="text1"/>
          <w:sz w:val="36"/>
          <w:szCs w:val="36"/>
          <w14:textFill>
            <w14:solidFill>
              <w14:schemeClr w14:val="tx1"/>
            </w14:solidFill>
          </w14:textFill>
        </w:rPr>
        <w:t>投标文件格式</w:t>
      </w:r>
      <w:bookmarkEnd w:id="24"/>
    </w:p>
    <w:p w14:paraId="22D4A8D3">
      <w:pPr>
        <w:spacing w:line="360" w:lineRule="auto"/>
        <w:ind w:firstLine="420" w:firstLineChars="200"/>
        <w:rPr>
          <w:rFonts w:ascii="宋体" w:hAnsi="宋体" w:eastAsia="宋体"/>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535D65D1">
      <w:pPr>
        <w:pStyle w:val="3"/>
        <w:jc w:val="center"/>
        <w:rPr>
          <w:rFonts w:ascii="宋体" w:hAnsi="宋体" w:eastAsia="宋体"/>
          <w:color w:val="000000" w:themeColor="text1"/>
          <w:sz w:val="30"/>
          <w:szCs w:val="30"/>
          <w14:textFill>
            <w14:solidFill>
              <w14:schemeClr w14:val="tx1"/>
            </w14:solidFill>
          </w14:textFill>
        </w:rPr>
      </w:pPr>
      <w:bookmarkStart w:id="25" w:name="_Toc198316080"/>
      <w:r>
        <w:rPr>
          <w:rFonts w:hint="eastAsia" w:ascii="宋体" w:hAnsi="宋体" w:eastAsia="宋体"/>
          <w:color w:val="000000" w:themeColor="text1"/>
          <w:sz w:val="30"/>
          <w:szCs w:val="30"/>
          <w14:textFill>
            <w14:solidFill>
              <w14:schemeClr w14:val="tx1"/>
            </w14:solidFill>
          </w14:textFill>
        </w:rPr>
        <w:t>第一</w:t>
      </w:r>
      <w:r>
        <w:rPr>
          <w:rFonts w:hint="eastAsia" w:ascii="宋体" w:hAnsi="宋体" w:eastAsia="宋体"/>
          <w:color w:val="000000" w:themeColor="text1"/>
          <w:spacing w:val="120"/>
          <w:sz w:val="30"/>
          <w:szCs w:val="30"/>
          <w14:textFill>
            <w14:solidFill>
              <w14:schemeClr w14:val="tx1"/>
            </w14:solidFill>
          </w14:textFill>
        </w:rPr>
        <w:t>节</w:t>
      </w:r>
      <w:r>
        <w:rPr>
          <w:rFonts w:hint="eastAsia" w:ascii="宋体" w:hAnsi="宋体" w:eastAsia="宋体"/>
          <w:color w:val="000000" w:themeColor="text1"/>
          <w:sz w:val="30"/>
          <w:szCs w:val="30"/>
          <w14:textFill>
            <w14:solidFill>
              <w14:schemeClr w14:val="tx1"/>
            </w14:solidFill>
          </w14:textFill>
        </w:rPr>
        <w:t>投标文件外层包装封面</w:t>
      </w:r>
      <w:bookmarkEnd w:id="25"/>
    </w:p>
    <w:p w14:paraId="4117E17C">
      <w:pPr>
        <w:spacing w:line="360" w:lineRule="auto"/>
        <w:ind w:firstLine="420" w:firstLineChars="200"/>
        <w:rPr>
          <w:rFonts w:ascii="宋体" w:hAnsi="宋体" w:eastAsia="宋体"/>
          <w:color w:val="000000" w:themeColor="text1"/>
          <w:szCs w:val="21"/>
          <w14:textFill>
            <w14:solidFill>
              <w14:schemeClr w14:val="tx1"/>
            </w14:solidFill>
          </w14:textFill>
        </w:rPr>
      </w:pPr>
    </w:p>
    <w:p w14:paraId="4C3234BA">
      <w:pPr>
        <w:spacing w:line="360" w:lineRule="auto"/>
        <w:ind w:firstLine="420" w:firstLineChars="200"/>
        <w:rPr>
          <w:rFonts w:ascii="宋体" w:hAnsi="宋体" w:eastAsia="宋体"/>
          <w:color w:val="000000" w:themeColor="text1"/>
          <w:szCs w:val="21"/>
          <w14:textFill>
            <w14:solidFill>
              <w14:schemeClr w14:val="tx1"/>
            </w14:solidFill>
          </w14:textFill>
        </w:rPr>
      </w:pPr>
    </w:p>
    <w:p w14:paraId="3D1DA5E0">
      <w:pPr>
        <w:spacing w:line="360" w:lineRule="auto"/>
        <w:ind w:firstLine="420" w:firstLineChars="200"/>
        <w:rPr>
          <w:rFonts w:ascii="宋体" w:hAnsi="宋体" w:eastAsia="宋体"/>
          <w:color w:val="000000" w:themeColor="text1"/>
          <w:szCs w:val="21"/>
          <w14:textFill>
            <w14:solidFill>
              <w14:schemeClr w14:val="tx1"/>
            </w14:solidFill>
          </w14:textFill>
        </w:rPr>
      </w:pPr>
    </w:p>
    <w:p w14:paraId="35716834">
      <w:pPr>
        <w:spacing w:line="360" w:lineRule="auto"/>
        <w:ind w:firstLine="420" w:firstLineChars="200"/>
        <w:rPr>
          <w:rFonts w:ascii="宋体" w:hAnsi="宋体" w:eastAsia="宋体"/>
          <w:color w:val="000000" w:themeColor="text1"/>
          <w:szCs w:val="21"/>
          <w14:textFill>
            <w14:solidFill>
              <w14:schemeClr w14:val="tx1"/>
            </w14:solidFill>
          </w14:textFill>
        </w:rPr>
      </w:pPr>
    </w:p>
    <w:p w14:paraId="5AB766F5">
      <w:pPr>
        <w:spacing w:line="360" w:lineRule="auto"/>
        <w:jc w:val="center"/>
        <w:rPr>
          <w:rFonts w:ascii="宋体" w:hAnsi="宋体" w:eastAsia="宋体"/>
          <w:color w:val="000000" w:themeColor="text1"/>
          <w:sz w:val="44"/>
          <w:szCs w:val="44"/>
          <w14:textFill>
            <w14:solidFill>
              <w14:schemeClr w14:val="tx1"/>
            </w14:solidFill>
          </w14:textFill>
        </w:rPr>
      </w:pPr>
      <w:r>
        <w:rPr>
          <w:rFonts w:hint="eastAsia" w:ascii="宋体" w:hAnsi="宋体" w:eastAsia="宋体"/>
          <w:color w:val="000000" w:themeColor="text1"/>
          <w:sz w:val="44"/>
          <w:szCs w:val="44"/>
          <w14:textFill>
            <w14:solidFill>
              <w14:schemeClr w14:val="tx1"/>
            </w14:solidFill>
          </w14:textFill>
        </w:rPr>
        <w:t>[项目采购-项目名称]</w:t>
      </w:r>
    </w:p>
    <w:p w14:paraId="48F5BD90">
      <w:pPr>
        <w:spacing w:line="360" w:lineRule="auto"/>
        <w:jc w:val="center"/>
        <w:rPr>
          <w:rFonts w:ascii="宋体" w:hAnsi="宋体" w:eastAsia="宋体"/>
          <w:color w:val="000000" w:themeColor="text1"/>
          <w:sz w:val="44"/>
          <w:szCs w:val="44"/>
          <w14:textFill>
            <w14:solidFill>
              <w14:schemeClr w14:val="tx1"/>
            </w14:solidFill>
          </w14:textFill>
        </w:rPr>
      </w:pPr>
      <w:r>
        <w:rPr>
          <w:rFonts w:hint="eastAsia" w:ascii="宋体" w:hAnsi="宋体" w:eastAsia="宋体"/>
          <w:color w:val="000000" w:themeColor="text1"/>
          <w:sz w:val="44"/>
          <w:szCs w:val="44"/>
          <w14:textFill>
            <w14:solidFill>
              <w14:schemeClr w14:val="tx1"/>
            </w14:solidFill>
          </w14:textFill>
        </w:rPr>
        <w:t>投标文件</w:t>
      </w:r>
    </w:p>
    <w:p w14:paraId="1676211F">
      <w:pPr>
        <w:spacing w:line="360" w:lineRule="auto"/>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（电子投标文件）</w:t>
      </w:r>
    </w:p>
    <w:p w14:paraId="4CE153A4">
      <w:pPr>
        <w:spacing w:line="360" w:lineRule="auto"/>
        <w:ind w:firstLine="420" w:firstLineChars="20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项目名称：</w:t>
      </w:r>
      <w:r>
        <w:rPr>
          <w:rFonts w:hint="eastAsia" w:ascii="宋体" w:hAnsi="宋体" w:eastAsia="宋体"/>
          <w:color w:val="000000" w:themeColor="text1"/>
          <w:szCs w:val="21"/>
          <w:u w:val="single"/>
          <w14:textFill>
            <w14:solidFill>
              <w14:schemeClr w14:val="tx1"/>
            </w14:solidFill>
          </w14:textFill>
        </w:rPr>
        <w:t>[项目采购-项目名称]</w:t>
      </w:r>
      <w:r>
        <w:rPr>
          <w:rFonts w:ascii="宋体" w:hAnsi="宋体" w:eastAsia="宋体"/>
          <w:color w:val="000000" w:themeColor="text1"/>
          <w:szCs w:val="21"/>
          <w:u w:val="single"/>
          <w14:textFill>
            <w14:solidFill>
              <w14:schemeClr w14:val="tx1"/>
            </w14:solidFill>
          </w14:textFill>
        </w:rPr>
        <w:t xml:space="preserve">                                                      </w:t>
      </w:r>
    </w:p>
    <w:p w14:paraId="7B5288F3">
      <w:pPr>
        <w:spacing w:line="360" w:lineRule="auto"/>
        <w:ind w:firstLine="420" w:firstLineChars="20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采购方式：</w:t>
      </w:r>
      <w:r>
        <w:rPr>
          <w:rFonts w:hint="eastAsia" w:ascii="宋体" w:hAnsi="宋体" w:eastAsia="宋体"/>
          <w:color w:val="000000" w:themeColor="text1"/>
          <w:szCs w:val="21"/>
          <w:u w:val="single"/>
          <w14:textFill>
            <w14:solidFill>
              <w14:schemeClr w14:val="tx1"/>
            </w14:solidFill>
          </w14:textFill>
        </w:rPr>
        <w:t>[项目采购-采购方式]</w:t>
      </w:r>
      <w:r>
        <w:rPr>
          <w:rFonts w:ascii="宋体" w:hAnsi="宋体" w:eastAsia="宋体"/>
          <w:color w:val="000000" w:themeColor="text1"/>
          <w:szCs w:val="21"/>
          <w:u w:val="single"/>
          <w14:textFill>
            <w14:solidFill>
              <w14:schemeClr w14:val="tx1"/>
            </w14:solidFill>
          </w14:textFill>
        </w:rPr>
        <w:t xml:space="preserve">                                                      </w:t>
      </w:r>
    </w:p>
    <w:p w14:paraId="285CD255">
      <w:pPr>
        <w:spacing w:line="360" w:lineRule="auto"/>
        <w:ind w:firstLine="420" w:firstLineChars="20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项目编号：</w:t>
      </w:r>
      <w:r>
        <w:rPr>
          <w:rFonts w:hint="eastAsia" w:ascii="宋体" w:hAnsi="宋体" w:eastAsia="宋体"/>
          <w:color w:val="000000" w:themeColor="text1"/>
          <w:szCs w:val="21"/>
          <w:u w:val="single"/>
          <w14:textFill>
            <w14:solidFill>
              <w14:schemeClr w14:val="tx1"/>
            </w14:solidFill>
          </w14:textFill>
        </w:rPr>
        <w:t>[项目采购-项目编号]</w:t>
      </w:r>
      <w:r>
        <w:rPr>
          <w:rFonts w:ascii="宋体" w:hAnsi="宋体" w:eastAsia="宋体"/>
          <w:color w:val="000000" w:themeColor="text1"/>
          <w:szCs w:val="21"/>
          <w:u w:val="single"/>
          <w14:textFill>
            <w14:solidFill>
              <w14:schemeClr w14:val="tx1"/>
            </w14:solidFill>
          </w14:textFill>
        </w:rPr>
        <w:t xml:space="preserve">                                                      </w:t>
      </w:r>
    </w:p>
    <w:p w14:paraId="0BFDCAB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所投分标：</w:t>
      </w:r>
      <w:r>
        <w:rPr>
          <w:rFonts w:ascii="宋体" w:hAnsi="宋体" w:eastAsia="宋体"/>
          <w:color w:val="000000" w:themeColor="text1"/>
          <w:szCs w:val="21"/>
          <w:u w:val="single"/>
          <w14:textFill>
            <w14:solidFill>
              <w14:schemeClr w14:val="tx1"/>
            </w14:solidFill>
          </w14:textFill>
        </w:rPr>
        <w:t xml:space="preserve">                                                                         </w:t>
      </w:r>
    </w:p>
    <w:p w14:paraId="2255AA8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投标人名称：</w:t>
      </w:r>
      <w:r>
        <w:rPr>
          <w:rFonts w:ascii="宋体" w:hAnsi="宋体" w:eastAsia="宋体"/>
          <w:color w:val="000000" w:themeColor="text1"/>
          <w:szCs w:val="21"/>
          <w:u w:val="single"/>
          <w14:textFill>
            <w14:solidFill>
              <w14:schemeClr w14:val="tx1"/>
            </w14:solidFill>
          </w14:textFill>
        </w:rPr>
        <w:t xml:space="preserve">                                                                       </w:t>
      </w:r>
    </w:p>
    <w:p w14:paraId="4B7C397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投标人地址：</w:t>
      </w:r>
      <w:r>
        <w:rPr>
          <w:rFonts w:ascii="宋体" w:hAnsi="宋体" w:eastAsia="宋体"/>
          <w:color w:val="000000" w:themeColor="text1"/>
          <w:szCs w:val="21"/>
          <w:u w:val="single"/>
          <w14:textFill>
            <w14:solidFill>
              <w14:schemeClr w14:val="tx1"/>
            </w14:solidFill>
          </w14:textFill>
        </w:rPr>
        <w:t xml:space="preserve">                                                                       </w:t>
      </w:r>
    </w:p>
    <w:p w14:paraId="77B64394">
      <w:pPr>
        <w:spacing w:line="360" w:lineRule="auto"/>
        <w:ind w:firstLine="420" w:firstLineChars="200"/>
        <w:rPr>
          <w:rFonts w:ascii="宋体" w:hAnsi="宋体" w:eastAsia="宋体"/>
          <w:color w:val="000000" w:themeColor="text1"/>
          <w:szCs w:val="21"/>
          <w14:textFill>
            <w14:solidFill>
              <w14:schemeClr w14:val="tx1"/>
            </w14:solidFill>
          </w14:textFill>
        </w:rPr>
      </w:pPr>
    </w:p>
    <w:p w14:paraId="264B766F">
      <w:pPr>
        <w:spacing w:line="360" w:lineRule="auto"/>
        <w:ind w:firstLine="420" w:firstLineChars="200"/>
        <w:rPr>
          <w:rFonts w:ascii="宋体" w:hAnsi="宋体" w:eastAsia="宋体"/>
          <w:color w:val="000000" w:themeColor="text1"/>
          <w:szCs w:val="21"/>
          <w14:textFill>
            <w14:solidFill>
              <w14:schemeClr w14:val="tx1"/>
            </w14:solidFill>
          </w14:textFill>
        </w:rPr>
      </w:pPr>
    </w:p>
    <w:p w14:paraId="380B48EE">
      <w:pPr>
        <w:spacing w:line="360" w:lineRule="auto"/>
        <w:ind w:firstLine="420" w:firstLineChars="200"/>
        <w:rPr>
          <w:rFonts w:ascii="宋体" w:hAnsi="宋体" w:eastAsia="宋体"/>
          <w:color w:val="000000" w:themeColor="text1"/>
          <w:szCs w:val="21"/>
          <w14:textFill>
            <w14:solidFill>
              <w14:schemeClr w14:val="tx1"/>
            </w14:solidFill>
          </w14:textFill>
        </w:rPr>
      </w:pPr>
    </w:p>
    <w:p w14:paraId="23F9ACAD">
      <w:pPr>
        <w:spacing w:line="360" w:lineRule="auto"/>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投标截止时间前不得解密</w:t>
      </w:r>
    </w:p>
    <w:p w14:paraId="3C623700">
      <w:pPr>
        <w:spacing w:line="360" w:lineRule="auto"/>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年</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月</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日</w:t>
      </w:r>
    </w:p>
    <w:p w14:paraId="1EE4BFC9">
      <w:pPr>
        <w:spacing w:line="360" w:lineRule="auto"/>
        <w:jc w:val="center"/>
        <w:rPr>
          <w:rFonts w:ascii="宋体" w:hAnsi="宋体" w:eastAsia="宋体"/>
          <w:color w:val="000000" w:themeColor="text1"/>
          <w:sz w:val="24"/>
          <w:szCs w:val="24"/>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489E521E">
      <w:pPr>
        <w:pStyle w:val="3"/>
        <w:jc w:val="center"/>
        <w:rPr>
          <w:rFonts w:ascii="宋体" w:hAnsi="宋体" w:eastAsia="宋体"/>
          <w:color w:val="000000" w:themeColor="text1"/>
          <w:sz w:val="30"/>
          <w:szCs w:val="30"/>
          <w14:textFill>
            <w14:solidFill>
              <w14:schemeClr w14:val="tx1"/>
            </w14:solidFill>
          </w14:textFill>
        </w:rPr>
      </w:pPr>
      <w:bookmarkStart w:id="26" w:name="_Toc198316081"/>
      <w:r>
        <w:rPr>
          <w:rFonts w:hint="eastAsia" w:ascii="宋体" w:hAnsi="宋体" w:eastAsia="宋体"/>
          <w:color w:val="000000" w:themeColor="text1"/>
          <w:sz w:val="30"/>
          <w:szCs w:val="30"/>
          <w14:textFill>
            <w14:solidFill>
              <w14:schemeClr w14:val="tx1"/>
            </w14:solidFill>
          </w14:textFill>
        </w:rPr>
        <w:t>第二</w:t>
      </w:r>
      <w:r>
        <w:rPr>
          <w:rFonts w:hint="eastAsia" w:ascii="宋体" w:hAnsi="宋体" w:eastAsia="宋体"/>
          <w:color w:val="000000" w:themeColor="text1"/>
          <w:spacing w:val="120"/>
          <w:sz w:val="30"/>
          <w:szCs w:val="30"/>
          <w14:textFill>
            <w14:solidFill>
              <w14:schemeClr w14:val="tx1"/>
            </w14:solidFill>
          </w14:textFill>
        </w:rPr>
        <w:t>节</w:t>
      </w:r>
      <w:r>
        <w:rPr>
          <w:rFonts w:hint="eastAsia" w:ascii="宋体" w:hAnsi="宋体" w:eastAsia="宋体"/>
          <w:color w:val="000000" w:themeColor="text1"/>
          <w:sz w:val="30"/>
          <w:szCs w:val="30"/>
          <w14:textFill>
            <w14:solidFill>
              <w14:schemeClr w14:val="tx1"/>
            </w14:solidFill>
          </w14:textFill>
        </w:rPr>
        <w:t>资格证明文件格式</w:t>
      </w:r>
      <w:bookmarkEnd w:id="26"/>
    </w:p>
    <w:p w14:paraId="7CC12967">
      <w:pPr>
        <w:spacing w:line="360" w:lineRule="auto"/>
        <w:ind w:firstLine="420" w:firstLineChars="200"/>
        <w:rPr>
          <w:rFonts w:ascii="宋体" w:hAnsi="宋体" w:eastAsia="宋体"/>
          <w:color w:val="000000" w:themeColor="text1"/>
          <w:szCs w:val="21"/>
          <w14:textFill>
            <w14:solidFill>
              <w14:schemeClr w14:val="tx1"/>
            </w14:solidFill>
          </w14:textFill>
        </w:rPr>
      </w:pPr>
    </w:p>
    <w:p w14:paraId="195E52D3">
      <w:pPr>
        <w:spacing w:line="360" w:lineRule="auto"/>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电子投标文件</w:t>
      </w:r>
    </w:p>
    <w:p w14:paraId="529C2C9D">
      <w:pPr>
        <w:spacing w:line="360" w:lineRule="auto"/>
        <w:ind w:firstLine="420" w:firstLineChars="200"/>
        <w:rPr>
          <w:rFonts w:ascii="宋体" w:hAnsi="宋体" w:eastAsia="宋体"/>
          <w:color w:val="000000" w:themeColor="text1"/>
          <w:szCs w:val="21"/>
          <w14:textFill>
            <w14:solidFill>
              <w14:schemeClr w14:val="tx1"/>
            </w14:solidFill>
          </w14:textFill>
        </w:rPr>
      </w:pPr>
    </w:p>
    <w:p w14:paraId="4C685335">
      <w:pPr>
        <w:spacing w:line="360" w:lineRule="auto"/>
        <w:jc w:val="center"/>
        <w:rPr>
          <w:rFonts w:ascii="宋体" w:hAnsi="宋体" w:eastAsia="宋体"/>
          <w:b/>
          <w:color w:val="000000" w:themeColor="text1"/>
          <w:sz w:val="32"/>
          <w:szCs w:val="32"/>
          <w14:textFill>
            <w14:solidFill>
              <w14:schemeClr w14:val="tx1"/>
            </w14:solidFill>
          </w14:textFill>
        </w:rPr>
      </w:pPr>
      <w:r>
        <w:rPr>
          <w:rFonts w:hint="eastAsia" w:ascii="宋体" w:hAnsi="宋体" w:eastAsia="宋体"/>
          <w:b/>
          <w:color w:val="000000" w:themeColor="text1"/>
          <w:sz w:val="32"/>
          <w:szCs w:val="32"/>
          <w14:textFill>
            <w14:solidFill>
              <w14:schemeClr w14:val="tx1"/>
            </w14:solidFill>
          </w14:textFill>
        </w:rPr>
        <w:t>资格证明文件（封面）</w:t>
      </w:r>
    </w:p>
    <w:p w14:paraId="594CFFBB">
      <w:pPr>
        <w:spacing w:line="360" w:lineRule="auto"/>
        <w:ind w:firstLine="420" w:firstLineChars="200"/>
        <w:rPr>
          <w:rFonts w:ascii="宋体" w:hAnsi="宋体" w:eastAsia="宋体"/>
          <w:color w:val="000000" w:themeColor="text1"/>
          <w:szCs w:val="21"/>
          <w14:textFill>
            <w14:solidFill>
              <w14:schemeClr w14:val="tx1"/>
            </w14:solidFill>
          </w14:textFill>
        </w:rPr>
      </w:pPr>
    </w:p>
    <w:p w14:paraId="79FB7CDA">
      <w:pPr>
        <w:spacing w:line="360" w:lineRule="auto"/>
        <w:ind w:firstLine="420" w:firstLineChars="200"/>
        <w:rPr>
          <w:rFonts w:ascii="宋体" w:hAnsi="宋体" w:eastAsia="宋体"/>
          <w:color w:val="000000" w:themeColor="text1"/>
          <w:szCs w:val="21"/>
          <w14:textFill>
            <w14:solidFill>
              <w14:schemeClr w14:val="tx1"/>
            </w14:solidFill>
          </w14:textFill>
        </w:rPr>
      </w:pPr>
    </w:p>
    <w:p w14:paraId="3FF1A1D2">
      <w:pPr>
        <w:spacing w:line="360" w:lineRule="auto"/>
        <w:ind w:firstLine="420" w:firstLineChars="200"/>
        <w:rPr>
          <w:rFonts w:ascii="宋体" w:hAnsi="宋体" w:eastAsia="宋体"/>
          <w:color w:val="000000" w:themeColor="text1"/>
          <w:szCs w:val="21"/>
          <w14:textFill>
            <w14:solidFill>
              <w14:schemeClr w14:val="tx1"/>
            </w14:solidFill>
          </w14:textFill>
        </w:rPr>
      </w:pPr>
    </w:p>
    <w:p w14:paraId="33D9BB0C">
      <w:pPr>
        <w:spacing w:line="360" w:lineRule="auto"/>
        <w:ind w:firstLine="420" w:firstLineChars="200"/>
        <w:rPr>
          <w:rFonts w:ascii="宋体" w:hAnsi="宋体" w:eastAsia="宋体"/>
          <w:color w:val="000000" w:themeColor="text1"/>
          <w:szCs w:val="21"/>
          <w14:textFill>
            <w14:solidFill>
              <w14:schemeClr w14:val="tx1"/>
            </w14:solidFill>
          </w14:textFill>
        </w:rPr>
      </w:pPr>
    </w:p>
    <w:p w14:paraId="42E99952">
      <w:pPr>
        <w:spacing w:line="360" w:lineRule="auto"/>
        <w:ind w:firstLine="420" w:firstLineChars="200"/>
        <w:rPr>
          <w:rFonts w:ascii="宋体" w:hAnsi="宋体" w:eastAsia="宋体"/>
          <w:color w:val="000000" w:themeColor="text1"/>
          <w:szCs w:val="21"/>
          <w14:textFill>
            <w14:solidFill>
              <w14:schemeClr w14:val="tx1"/>
            </w14:solidFill>
          </w14:textFill>
        </w:rPr>
      </w:pPr>
    </w:p>
    <w:p w14:paraId="16ABB017">
      <w:pPr>
        <w:spacing w:line="360" w:lineRule="auto"/>
        <w:ind w:firstLine="420" w:firstLineChars="200"/>
        <w:rPr>
          <w:rFonts w:ascii="宋体" w:hAnsi="宋体" w:eastAsia="宋体"/>
          <w:color w:val="000000" w:themeColor="text1"/>
          <w:szCs w:val="21"/>
          <w14:textFill>
            <w14:solidFill>
              <w14:schemeClr w14:val="tx1"/>
            </w14:solidFill>
          </w14:textFill>
        </w:rPr>
      </w:pPr>
    </w:p>
    <w:p w14:paraId="538F18E7">
      <w:pPr>
        <w:spacing w:line="360" w:lineRule="auto"/>
        <w:ind w:firstLine="420" w:firstLineChars="200"/>
        <w:rPr>
          <w:rFonts w:ascii="宋体" w:hAnsi="宋体" w:eastAsia="宋体"/>
          <w:color w:val="000000" w:themeColor="text1"/>
          <w:szCs w:val="21"/>
          <w14:textFill>
            <w14:solidFill>
              <w14:schemeClr w14:val="tx1"/>
            </w14:solidFill>
          </w14:textFill>
        </w:rPr>
      </w:pPr>
    </w:p>
    <w:p w14:paraId="33BB38C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项目名称：</w:t>
      </w:r>
    </w:p>
    <w:p w14:paraId="307CE7A1">
      <w:pPr>
        <w:spacing w:line="360" w:lineRule="auto"/>
        <w:ind w:firstLine="420" w:firstLineChars="200"/>
        <w:rPr>
          <w:rFonts w:ascii="宋体" w:hAnsi="宋体" w:eastAsia="宋体"/>
          <w:color w:val="000000" w:themeColor="text1"/>
          <w:szCs w:val="21"/>
          <w14:textFill>
            <w14:solidFill>
              <w14:schemeClr w14:val="tx1"/>
            </w14:solidFill>
          </w14:textFill>
        </w:rPr>
      </w:pPr>
    </w:p>
    <w:p w14:paraId="42CEE91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项目编号：</w:t>
      </w:r>
    </w:p>
    <w:p w14:paraId="16D052B9">
      <w:pPr>
        <w:spacing w:line="360" w:lineRule="auto"/>
        <w:ind w:firstLine="420" w:firstLineChars="200"/>
        <w:rPr>
          <w:rFonts w:ascii="宋体" w:hAnsi="宋体" w:eastAsia="宋体"/>
          <w:color w:val="000000" w:themeColor="text1"/>
          <w:szCs w:val="21"/>
          <w14:textFill>
            <w14:solidFill>
              <w14:schemeClr w14:val="tx1"/>
            </w14:solidFill>
          </w14:textFill>
        </w:rPr>
      </w:pPr>
    </w:p>
    <w:p w14:paraId="51024E5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所投分标：</w:t>
      </w:r>
    </w:p>
    <w:p w14:paraId="60850061">
      <w:pPr>
        <w:spacing w:line="360" w:lineRule="auto"/>
        <w:ind w:firstLine="420" w:firstLineChars="200"/>
        <w:rPr>
          <w:rFonts w:ascii="宋体" w:hAnsi="宋体" w:eastAsia="宋体"/>
          <w:color w:val="000000" w:themeColor="text1"/>
          <w:szCs w:val="21"/>
          <w14:textFill>
            <w14:solidFill>
              <w14:schemeClr w14:val="tx1"/>
            </w14:solidFill>
          </w14:textFill>
        </w:rPr>
      </w:pPr>
    </w:p>
    <w:p w14:paraId="696C64B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投标人名称：</w:t>
      </w:r>
    </w:p>
    <w:p w14:paraId="7E610517">
      <w:pPr>
        <w:spacing w:line="360" w:lineRule="auto"/>
        <w:ind w:firstLine="420" w:firstLineChars="200"/>
        <w:rPr>
          <w:rFonts w:ascii="宋体" w:hAnsi="宋体" w:eastAsia="宋体"/>
          <w:color w:val="000000" w:themeColor="text1"/>
          <w:szCs w:val="21"/>
          <w14:textFill>
            <w14:solidFill>
              <w14:schemeClr w14:val="tx1"/>
            </w14:solidFill>
          </w14:textFill>
        </w:rPr>
      </w:pPr>
    </w:p>
    <w:p w14:paraId="75F66BA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投标人地址：</w:t>
      </w:r>
    </w:p>
    <w:p w14:paraId="6B0D352B">
      <w:pPr>
        <w:spacing w:line="360" w:lineRule="auto"/>
        <w:ind w:firstLine="420" w:firstLineChars="200"/>
        <w:rPr>
          <w:rFonts w:ascii="宋体" w:hAnsi="宋体" w:eastAsia="宋体"/>
          <w:color w:val="000000" w:themeColor="text1"/>
          <w:szCs w:val="21"/>
          <w14:textFill>
            <w14:solidFill>
              <w14:schemeClr w14:val="tx1"/>
            </w14:solidFill>
          </w14:textFill>
        </w:rPr>
      </w:pPr>
    </w:p>
    <w:p w14:paraId="74BDAF86">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年</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月</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日</w:t>
      </w:r>
    </w:p>
    <w:p w14:paraId="2C03A017">
      <w:pPr>
        <w:spacing w:line="360" w:lineRule="auto"/>
        <w:jc w:val="center"/>
        <w:rPr>
          <w:rFonts w:ascii="宋体" w:hAnsi="宋体" w:eastAsia="宋体"/>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2221684D">
      <w:pPr>
        <w:spacing w:line="360" w:lineRule="auto"/>
        <w:jc w:val="center"/>
        <w:rPr>
          <w:rFonts w:ascii="宋体" w:hAnsi="宋体" w:eastAsia="宋体"/>
          <w:b/>
          <w:color w:val="000000" w:themeColor="text1"/>
          <w:sz w:val="36"/>
          <w:szCs w:val="36"/>
          <w14:textFill>
            <w14:solidFill>
              <w14:schemeClr w14:val="tx1"/>
            </w14:solidFill>
          </w14:textFill>
        </w:rPr>
      </w:pPr>
      <w:r>
        <w:rPr>
          <w:rFonts w:hint="eastAsia" w:ascii="宋体" w:hAnsi="宋体" w:eastAsia="宋体"/>
          <w:b/>
          <w:color w:val="000000" w:themeColor="text1"/>
          <w:sz w:val="36"/>
          <w:szCs w:val="36"/>
          <w14:textFill>
            <w14:solidFill>
              <w14:schemeClr w14:val="tx1"/>
            </w14:solidFill>
          </w14:textFill>
        </w:rPr>
        <w:t>资格证明文件目录</w:t>
      </w:r>
    </w:p>
    <w:p w14:paraId="76AB128F">
      <w:pPr>
        <w:spacing w:line="360" w:lineRule="auto"/>
        <w:rPr>
          <w:rFonts w:ascii="宋体" w:hAnsi="宋体" w:eastAsia="宋体"/>
          <w:color w:val="000000" w:themeColor="text1"/>
          <w:szCs w:val="21"/>
          <w14:textFill>
            <w14:solidFill>
              <w14:schemeClr w14:val="tx1"/>
            </w14:solidFill>
          </w14:textFill>
        </w:rPr>
      </w:pPr>
    </w:p>
    <w:p w14:paraId="1BF3E7D2">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一、营业执照（或事业法人登记证或其他工商等登记证明材料）复印件（投标人为自然人的，须提供自然人的身份证明）…………………………………………………………………………………（页码）</w:t>
      </w:r>
    </w:p>
    <w:p w14:paraId="77111E1B">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二、符合参与政府采购活动的资格条件依法缴纳税收、社会保障资金等方面的材料……………………………………………………………………………………………………（页码）</w:t>
      </w:r>
    </w:p>
    <w:p w14:paraId="66BCE233">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三、财务状况报告方面的材料……………………………………………………………………（页码）</w:t>
      </w:r>
    </w:p>
    <w:p w14:paraId="773EAA0C">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四、投标人直接控股股东信息……………………………………………………………………（页码）</w:t>
      </w:r>
    </w:p>
    <w:p w14:paraId="3A0E814D">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五、投标人直接关联关系信息表…………………………………………………………………（页码）</w:t>
      </w:r>
    </w:p>
    <w:p w14:paraId="59833306">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六、投标资格声明函…………………………………………………………………………………（页码）</w:t>
      </w:r>
    </w:p>
    <w:p w14:paraId="19495508">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p w14:paraId="2D4FE44E">
      <w:pPr>
        <w:spacing w:line="360" w:lineRule="auto"/>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注：以上目录是基本格式要求，各投标人可根据自身情况进一步向下增加内容或细化。</w:t>
      </w:r>
    </w:p>
    <w:p w14:paraId="6CF65A5A">
      <w:pPr>
        <w:spacing w:line="360" w:lineRule="auto"/>
        <w:ind w:firstLine="420" w:firstLineChars="200"/>
        <w:rPr>
          <w:rFonts w:ascii="宋体" w:hAnsi="宋体" w:eastAsia="宋体"/>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41F51C9E">
      <w:pPr>
        <w:spacing w:line="360" w:lineRule="auto"/>
        <w:jc w:val="center"/>
        <w:rPr>
          <w:rFonts w:ascii="宋体" w:hAnsi="宋体" w:eastAsia="宋体"/>
          <w:b/>
          <w:color w:val="000000" w:themeColor="text1"/>
          <w:sz w:val="30"/>
          <w:szCs w:val="30"/>
          <w14:textFill>
            <w14:solidFill>
              <w14:schemeClr w14:val="tx1"/>
            </w14:solidFill>
          </w14:textFill>
        </w:rPr>
      </w:pPr>
      <w:r>
        <w:rPr>
          <w:rFonts w:hint="eastAsia" w:ascii="宋体" w:hAnsi="宋体" w:eastAsia="宋体"/>
          <w:b/>
          <w:color w:val="000000" w:themeColor="text1"/>
          <w:sz w:val="30"/>
          <w:szCs w:val="30"/>
          <w14:textFill>
            <w14:solidFill>
              <w14:schemeClr w14:val="tx1"/>
            </w14:solidFill>
          </w14:textFill>
        </w:rPr>
        <w:t>一、营业执照（或事业法人登记证或其他工商等登记证明材料）复印件（投标人为自然人的，提供自然人的身份证明）</w:t>
      </w:r>
    </w:p>
    <w:p w14:paraId="73579EDB">
      <w:pPr>
        <w:spacing w:line="360" w:lineRule="auto"/>
        <w:ind w:firstLine="420" w:firstLineChars="200"/>
        <w:rPr>
          <w:rFonts w:ascii="宋体" w:hAnsi="宋体" w:eastAsia="宋体"/>
          <w:color w:val="000000" w:themeColor="text1"/>
          <w:szCs w:val="21"/>
          <w14:textFill>
            <w14:solidFill>
              <w14:schemeClr w14:val="tx1"/>
            </w14:solidFill>
          </w14:textFill>
        </w:rPr>
      </w:pPr>
    </w:p>
    <w:p w14:paraId="03762003">
      <w:pPr>
        <w:spacing w:line="360" w:lineRule="auto"/>
        <w:ind w:firstLine="5040" w:firstLineChars="24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投标人名称（电子签章）：</w:t>
      </w:r>
    </w:p>
    <w:p w14:paraId="65B6CEA8">
      <w:pPr>
        <w:spacing w:line="360" w:lineRule="auto"/>
        <w:ind w:firstLine="5040" w:firstLineChars="24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年</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月</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日</w:t>
      </w:r>
    </w:p>
    <w:p w14:paraId="3122EC62">
      <w:pPr>
        <w:spacing w:line="360" w:lineRule="auto"/>
        <w:ind w:firstLine="420" w:firstLineChars="200"/>
        <w:rPr>
          <w:rFonts w:ascii="宋体" w:hAnsi="宋体" w:eastAsia="宋体"/>
          <w:color w:val="000000" w:themeColor="text1"/>
          <w:szCs w:val="21"/>
          <w14:textFill>
            <w14:solidFill>
              <w14:schemeClr w14:val="tx1"/>
            </w14:solidFill>
          </w14:textFill>
        </w:rPr>
      </w:pPr>
    </w:p>
    <w:p w14:paraId="23D32DEA">
      <w:pPr>
        <w:spacing w:line="360" w:lineRule="auto"/>
        <w:jc w:val="center"/>
        <w:rPr>
          <w:rFonts w:ascii="宋体" w:hAnsi="宋体" w:eastAsia="宋体"/>
          <w:b/>
          <w:color w:val="000000" w:themeColor="text1"/>
          <w:sz w:val="30"/>
          <w:szCs w:val="30"/>
          <w14:textFill>
            <w14:solidFill>
              <w14:schemeClr w14:val="tx1"/>
            </w14:solidFill>
          </w14:textFill>
        </w:rPr>
      </w:pPr>
      <w:r>
        <w:rPr>
          <w:rFonts w:hint="eastAsia" w:ascii="宋体" w:hAnsi="宋体" w:eastAsia="宋体"/>
          <w:b/>
          <w:color w:val="000000" w:themeColor="text1"/>
          <w:sz w:val="30"/>
          <w:szCs w:val="30"/>
          <w14:textFill>
            <w14:solidFill>
              <w14:schemeClr w14:val="tx1"/>
            </w14:solidFill>
          </w14:textFill>
        </w:rPr>
        <w:t>二、符合参与政府采购活动的资格条件依法缴纳税收、社会保障资金等方面的材料</w:t>
      </w:r>
    </w:p>
    <w:p w14:paraId="77953A54">
      <w:pPr>
        <w:spacing w:line="360" w:lineRule="auto"/>
        <w:ind w:firstLine="420" w:firstLineChars="200"/>
        <w:rPr>
          <w:rFonts w:ascii="宋体" w:hAnsi="宋体" w:eastAsia="宋体"/>
          <w:color w:val="000000" w:themeColor="text1"/>
          <w:szCs w:val="21"/>
          <w14:textFill>
            <w14:solidFill>
              <w14:schemeClr w14:val="tx1"/>
            </w14:solidFill>
          </w14:textFill>
        </w:rPr>
      </w:pPr>
    </w:p>
    <w:p w14:paraId="32EB9DEE">
      <w:pPr>
        <w:spacing w:line="360" w:lineRule="auto"/>
        <w:ind w:firstLine="5040" w:firstLineChars="24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投标人名称（电子签章）：</w:t>
      </w:r>
    </w:p>
    <w:p w14:paraId="14167F37">
      <w:pPr>
        <w:spacing w:line="360" w:lineRule="auto"/>
        <w:ind w:firstLine="5040" w:firstLineChars="24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年</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月</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日</w:t>
      </w:r>
    </w:p>
    <w:p w14:paraId="3E1B2CF5">
      <w:pPr>
        <w:spacing w:line="360" w:lineRule="auto"/>
        <w:ind w:firstLine="420" w:firstLineChars="200"/>
        <w:rPr>
          <w:rFonts w:ascii="宋体" w:hAnsi="宋体" w:eastAsia="宋体"/>
          <w:color w:val="000000" w:themeColor="text1"/>
          <w:szCs w:val="21"/>
          <w14:textFill>
            <w14:solidFill>
              <w14:schemeClr w14:val="tx1"/>
            </w14:solidFill>
          </w14:textFill>
        </w:rPr>
      </w:pPr>
    </w:p>
    <w:p w14:paraId="339893E3">
      <w:pPr>
        <w:spacing w:line="360" w:lineRule="auto"/>
        <w:jc w:val="center"/>
        <w:rPr>
          <w:rFonts w:ascii="宋体" w:hAnsi="宋体" w:eastAsia="宋体"/>
          <w:b/>
          <w:color w:val="000000" w:themeColor="text1"/>
          <w:sz w:val="30"/>
          <w:szCs w:val="30"/>
          <w14:textFill>
            <w14:solidFill>
              <w14:schemeClr w14:val="tx1"/>
            </w14:solidFill>
          </w14:textFill>
        </w:rPr>
      </w:pPr>
      <w:r>
        <w:rPr>
          <w:rFonts w:hint="eastAsia" w:ascii="宋体" w:hAnsi="宋体" w:eastAsia="宋体"/>
          <w:b/>
          <w:color w:val="000000" w:themeColor="text1"/>
          <w:sz w:val="30"/>
          <w:szCs w:val="30"/>
          <w14:textFill>
            <w14:solidFill>
              <w14:schemeClr w14:val="tx1"/>
            </w14:solidFill>
          </w14:textFill>
        </w:rPr>
        <w:t>三、财务状况报告方面的材料</w:t>
      </w:r>
    </w:p>
    <w:p w14:paraId="7F6E3FFB">
      <w:pPr>
        <w:spacing w:line="360" w:lineRule="auto"/>
        <w:ind w:firstLine="420" w:firstLineChars="200"/>
        <w:rPr>
          <w:rFonts w:ascii="宋体" w:hAnsi="宋体" w:eastAsia="宋体"/>
          <w:color w:val="000000" w:themeColor="text1"/>
          <w:szCs w:val="21"/>
          <w14:textFill>
            <w14:solidFill>
              <w14:schemeClr w14:val="tx1"/>
            </w14:solidFill>
          </w14:textFill>
        </w:rPr>
      </w:pPr>
    </w:p>
    <w:p w14:paraId="43997C31">
      <w:pPr>
        <w:spacing w:line="360" w:lineRule="auto"/>
        <w:ind w:firstLine="5040" w:firstLineChars="24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投标人名称（电子签章）：</w:t>
      </w:r>
    </w:p>
    <w:p w14:paraId="723E2EF3">
      <w:pPr>
        <w:spacing w:line="360" w:lineRule="auto"/>
        <w:ind w:firstLine="5040" w:firstLineChars="24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年</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月</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日</w:t>
      </w:r>
    </w:p>
    <w:p w14:paraId="569C2799">
      <w:pPr>
        <w:spacing w:line="360" w:lineRule="auto"/>
        <w:ind w:firstLine="420" w:firstLineChars="200"/>
        <w:rPr>
          <w:rFonts w:ascii="宋体" w:hAnsi="宋体" w:eastAsia="宋体"/>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3FA7F438">
      <w:pPr>
        <w:spacing w:line="360" w:lineRule="auto"/>
        <w:jc w:val="center"/>
        <w:rPr>
          <w:rFonts w:ascii="宋体" w:hAnsi="宋体" w:eastAsia="宋体"/>
          <w:b/>
          <w:color w:val="000000" w:themeColor="text1"/>
          <w:sz w:val="30"/>
          <w:szCs w:val="30"/>
          <w14:textFill>
            <w14:solidFill>
              <w14:schemeClr w14:val="tx1"/>
            </w14:solidFill>
          </w14:textFill>
        </w:rPr>
      </w:pPr>
      <w:r>
        <w:rPr>
          <w:rFonts w:hint="eastAsia" w:ascii="宋体" w:hAnsi="宋体" w:eastAsia="宋体"/>
          <w:b/>
          <w:color w:val="000000" w:themeColor="text1"/>
          <w:sz w:val="30"/>
          <w:szCs w:val="30"/>
          <w14:textFill>
            <w14:solidFill>
              <w14:schemeClr w14:val="tx1"/>
            </w14:solidFill>
          </w14:textFill>
        </w:rPr>
        <w:t>四、投标人直接控股股东信息表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778"/>
        <w:gridCol w:w="1191"/>
        <w:gridCol w:w="3402"/>
        <w:gridCol w:w="843"/>
      </w:tblGrid>
      <w:tr w14:paraId="64425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FBE4D5" w:themeFill="accent2" w:themeFillTint="33"/>
            <w:vAlign w:val="center"/>
          </w:tcPr>
          <w:p w14:paraId="2950E7CE">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序号</w:t>
            </w:r>
          </w:p>
        </w:tc>
        <w:tc>
          <w:tcPr>
            <w:tcW w:w="2778" w:type="dxa"/>
            <w:shd w:val="clear" w:color="auto" w:fill="FBE4D5" w:themeFill="accent2" w:themeFillTint="33"/>
            <w:vAlign w:val="center"/>
          </w:tcPr>
          <w:p w14:paraId="1FD98D0D">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直接控股股东名称</w:t>
            </w:r>
          </w:p>
        </w:tc>
        <w:tc>
          <w:tcPr>
            <w:tcW w:w="1191" w:type="dxa"/>
            <w:shd w:val="clear" w:color="auto" w:fill="FBE4D5" w:themeFill="accent2" w:themeFillTint="33"/>
            <w:vAlign w:val="center"/>
          </w:tcPr>
          <w:p w14:paraId="7804DC93">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出资比例</w:t>
            </w:r>
          </w:p>
        </w:tc>
        <w:tc>
          <w:tcPr>
            <w:tcW w:w="3402" w:type="dxa"/>
            <w:shd w:val="clear" w:color="auto" w:fill="FBE4D5" w:themeFill="accent2" w:themeFillTint="33"/>
            <w:vAlign w:val="center"/>
          </w:tcPr>
          <w:p w14:paraId="6D8EDDB9">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身份证号码或者统一社会信用代码</w:t>
            </w:r>
          </w:p>
        </w:tc>
        <w:tc>
          <w:tcPr>
            <w:tcW w:w="843" w:type="dxa"/>
            <w:shd w:val="clear" w:color="auto" w:fill="FBE4D5" w:themeFill="accent2" w:themeFillTint="33"/>
            <w:vAlign w:val="center"/>
          </w:tcPr>
          <w:p w14:paraId="1CDCF8D2">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备注</w:t>
            </w:r>
          </w:p>
        </w:tc>
      </w:tr>
      <w:tr w14:paraId="648E1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F1F1F1" w:themeFill="background1" w:themeFillShade="F2"/>
            <w:vAlign w:val="center"/>
          </w:tcPr>
          <w:p w14:paraId="6047E42E">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tc>
        <w:tc>
          <w:tcPr>
            <w:tcW w:w="2778" w:type="dxa"/>
            <w:shd w:val="clear" w:color="auto" w:fill="F1F1F1" w:themeFill="background1" w:themeFillShade="F2"/>
            <w:vAlign w:val="center"/>
          </w:tcPr>
          <w:p w14:paraId="41099F96">
            <w:pPr>
              <w:spacing w:line="360" w:lineRule="auto"/>
              <w:jc w:val="center"/>
              <w:rPr>
                <w:rFonts w:ascii="宋体" w:hAnsi="宋体" w:eastAsia="宋体"/>
                <w:color w:val="000000" w:themeColor="text1"/>
                <w:szCs w:val="21"/>
                <w14:textFill>
                  <w14:solidFill>
                    <w14:schemeClr w14:val="tx1"/>
                  </w14:solidFill>
                </w14:textFill>
              </w:rPr>
            </w:pPr>
          </w:p>
        </w:tc>
        <w:tc>
          <w:tcPr>
            <w:tcW w:w="1191" w:type="dxa"/>
            <w:shd w:val="clear" w:color="auto" w:fill="F1F1F1" w:themeFill="background1" w:themeFillShade="F2"/>
            <w:vAlign w:val="center"/>
          </w:tcPr>
          <w:p w14:paraId="293C2665">
            <w:pPr>
              <w:spacing w:line="360" w:lineRule="auto"/>
              <w:jc w:val="center"/>
              <w:rPr>
                <w:rFonts w:ascii="宋体" w:hAnsi="宋体" w:eastAsia="宋体"/>
                <w:color w:val="000000" w:themeColor="text1"/>
                <w:szCs w:val="21"/>
                <w14:textFill>
                  <w14:solidFill>
                    <w14:schemeClr w14:val="tx1"/>
                  </w14:solidFill>
                </w14:textFill>
              </w:rPr>
            </w:pPr>
          </w:p>
        </w:tc>
        <w:tc>
          <w:tcPr>
            <w:tcW w:w="3402" w:type="dxa"/>
            <w:shd w:val="clear" w:color="auto" w:fill="F1F1F1" w:themeFill="background1" w:themeFillShade="F2"/>
            <w:vAlign w:val="center"/>
          </w:tcPr>
          <w:p w14:paraId="0399AF8F">
            <w:pPr>
              <w:spacing w:line="360" w:lineRule="auto"/>
              <w:jc w:val="center"/>
              <w:rPr>
                <w:rFonts w:ascii="宋体" w:hAnsi="宋体" w:eastAsia="宋体"/>
                <w:color w:val="000000" w:themeColor="text1"/>
                <w:szCs w:val="21"/>
                <w14:textFill>
                  <w14:solidFill>
                    <w14:schemeClr w14:val="tx1"/>
                  </w14:solidFill>
                </w14:textFill>
              </w:rPr>
            </w:pPr>
          </w:p>
        </w:tc>
        <w:tc>
          <w:tcPr>
            <w:tcW w:w="843" w:type="dxa"/>
            <w:shd w:val="clear" w:color="auto" w:fill="F1F1F1" w:themeFill="background1" w:themeFillShade="F2"/>
            <w:vAlign w:val="center"/>
          </w:tcPr>
          <w:p w14:paraId="39F0C3A3">
            <w:pPr>
              <w:spacing w:line="360" w:lineRule="auto"/>
              <w:jc w:val="center"/>
              <w:rPr>
                <w:rFonts w:ascii="宋体" w:hAnsi="宋体" w:eastAsia="宋体"/>
                <w:color w:val="000000" w:themeColor="text1"/>
                <w:szCs w:val="21"/>
                <w14:textFill>
                  <w14:solidFill>
                    <w14:schemeClr w14:val="tx1"/>
                  </w14:solidFill>
                </w14:textFill>
              </w:rPr>
            </w:pPr>
          </w:p>
        </w:tc>
      </w:tr>
      <w:tr w14:paraId="6FD7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F1F1F1" w:themeFill="background1" w:themeFillShade="F2"/>
            <w:vAlign w:val="center"/>
          </w:tcPr>
          <w:p w14:paraId="392FA743">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p>
        </w:tc>
        <w:tc>
          <w:tcPr>
            <w:tcW w:w="2778" w:type="dxa"/>
            <w:shd w:val="clear" w:color="auto" w:fill="F1F1F1" w:themeFill="background1" w:themeFillShade="F2"/>
            <w:vAlign w:val="center"/>
          </w:tcPr>
          <w:p w14:paraId="743082E3">
            <w:pPr>
              <w:spacing w:line="360" w:lineRule="auto"/>
              <w:jc w:val="center"/>
              <w:rPr>
                <w:rFonts w:ascii="宋体" w:hAnsi="宋体" w:eastAsia="宋体"/>
                <w:color w:val="000000" w:themeColor="text1"/>
                <w:szCs w:val="21"/>
                <w14:textFill>
                  <w14:solidFill>
                    <w14:schemeClr w14:val="tx1"/>
                  </w14:solidFill>
                </w14:textFill>
              </w:rPr>
            </w:pPr>
          </w:p>
        </w:tc>
        <w:tc>
          <w:tcPr>
            <w:tcW w:w="1191" w:type="dxa"/>
            <w:shd w:val="clear" w:color="auto" w:fill="F1F1F1" w:themeFill="background1" w:themeFillShade="F2"/>
            <w:vAlign w:val="center"/>
          </w:tcPr>
          <w:p w14:paraId="041A3E99">
            <w:pPr>
              <w:spacing w:line="360" w:lineRule="auto"/>
              <w:jc w:val="center"/>
              <w:rPr>
                <w:rFonts w:ascii="宋体" w:hAnsi="宋体" w:eastAsia="宋体"/>
                <w:color w:val="000000" w:themeColor="text1"/>
                <w:szCs w:val="21"/>
                <w14:textFill>
                  <w14:solidFill>
                    <w14:schemeClr w14:val="tx1"/>
                  </w14:solidFill>
                </w14:textFill>
              </w:rPr>
            </w:pPr>
          </w:p>
        </w:tc>
        <w:tc>
          <w:tcPr>
            <w:tcW w:w="3402" w:type="dxa"/>
            <w:shd w:val="clear" w:color="auto" w:fill="F1F1F1" w:themeFill="background1" w:themeFillShade="F2"/>
            <w:vAlign w:val="center"/>
          </w:tcPr>
          <w:p w14:paraId="7DE01812">
            <w:pPr>
              <w:spacing w:line="360" w:lineRule="auto"/>
              <w:jc w:val="center"/>
              <w:rPr>
                <w:rFonts w:ascii="宋体" w:hAnsi="宋体" w:eastAsia="宋体"/>
                <w:color w:val="000000" w:themeColor="text1"/>
                <w:szCs w:val="21"/>
                <w14:textFill>
                  <w14:solidFill>
                    <w14:schemeClr w14:val="tx1"/>
                  </w14:solidFill>
                </w14:textFill>
              </w:rPr>
            </w:pPr>
          </w:p>
        </w:tc>
        <w:tc>
          <w:tcPr>
            <w:tcW w:w="843" w:type="dxa"/>
            <w:shd w:val="clear" w:color="auto" w:fill="F1F1F1" w:themeFill="background1" w:themeFillShade="F2"/>
            <w:vAlign w:val="center"/>
          </w:tcPr>
          <w:p w14:paraId="190855FD">
            <w:pPr>
              <w:spacing w:line="360" w:lineRule="auto"/>
              <w:jc w:val="center"/>
              <w:rPr>
                <w:rFonts w:ascii="宋体" w:hAnsi="宋体" w:eastAsia="宋体"/>
                <w:color w:val="000000" w:themeColor="text1"/>
                <w:szCs w:val="21"/>
                <w14:textFill>
                  <w14:solidFill>
                    <w14:schemeClr w14:val="tx1"/>
                  </w14:solidFill>
                </w14:textFill>
              </w:rPr>
            </w:pPr>
          </w:p>
        </w:tc>
      </w:tr>
      <w:tr w14:paraId="1906A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F1F1F1" w:themeFill="background1" w:themeFillShade="F2"/>
            <w:vAlign w:val="center"/>
          </w:tcPr>
          <w:p w14:paraId="3BD5CE15">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w:t>
            </w:r>
          </w:p>
        </w:tc>
        <w:tc>
          <w:tcPr>
            <w:tcW w:w="2778" w:type="dxa"/>
            <w:shd w:val="clear" w:color="auto" w:fill="F1F1F1" w:themeFill="background1" w:themeFillShade="F2"/>
            <w:vAlign w:val="center"/>
          </w:tcPr>
          <w:p w14:paraId="144FCD14">
            <w:pPr>
              <w:spacing w:line="360" w:lineRule="auto"/>
              <w:jc w:val="center"/>
              <w:rPr>
                <w:rFonts w:ascii="宋体" w:hAnsi="宋体" w:eastAsia="宋体"/>
                <w:color w:val="000000" w:themeColor="text1"/>
                <w:szCs w:val="21"/>
                <w14:textFill>
                  <w14:solidFill>
                    <w14:schemeClr w14:val="tx1"/>
                  </w14:solidFill>
                </w14:textFill>
              </w:rPr>
            </w:pPr>
          </w:p>
        </w:tc>
        <w:tc>
          <w:tcPr>
            <w:tcW w:w="1191" w:type="dxa"/>
            <w:shd w:val="clear" w:color="auto" w:fill="F1F1F1" w:themeFill="background1" w:themeFillShade="F2"/>
            <w:vAlign w:val="center"/>
          </w:tcPr>
          <w:p w14:paraId="547B3CC0">
            <w:pPr>
              <w:spacing w:line="360" w:lineRule="auto"/>
              <w:jc w:val="center"/>
              <w:rPr>
                <w:rFonts w:ascii="宋体" w:hAnsi="宋体" w:eastAsia="宋体"/>
                <w:color w:val="000000" w:themeColor="text1"/>
                <w:szCs w:val="21"/>
                <w14:textFill>
                  <w14:solidFill>
                    <w14:schemeClr w14:val="tx1"/>
                  </w14:solidFill>
                </w14:textFill>
              </w:rPr>
            </w:pPr>
          </w:p>
        </w:tc>
        <w:tc>
          <w:tcPr>
            <w:tcW w:w="3402" w:type="dxa"/>
            <w:shd w:val="clear" w:color="auto" w:fill="F1F1F1" w:themeFill="background1" w:themeFillShade="F2"/>
            <w:vAlign w:val="center"/>
          </w:tcPr>
          <w:p w14:paraId="16D66C57">
            <w:pPr>
              <w:spacing w:line="360" w:lineRule="auto"/>
              <w:jc w:val="center"/>
              <w:rPr>
                <w:rFonts w:ascii="宋体" w:hAnsi="宋体" w:eastAsia="宋体"/>
                <w:color w:val="000000" w:themeColor="text1"/>
                <w:szCs w:val="21"/>
                <w14:textFill>
                  <w14:solidFill>
                    <w14:schemeClr w14:val="tx1"/>
                  </w14:solidFill>
                </w14:textFill>
              </w:rPr>
            </w:pPr>
          </w:p>
        </w:tc>
        <w:tc>
          <w:tcPr>
            <w:tcW w:w="843" w:type="dxa"/>
            <w:shd w:val="clear" w:color="auto" w:fill="F1F1F1" w:themeFill="background1" w:themeFillShade="F2"/>
            <w:vAlign w:val="center"/>
          </w:tcPr>
          <w:p w14:paraId="3B07103C">
            <w:pPr>
              <w:spacing w:line="360" w:lineRule="auto"/>
              <w:jc w:val="center"/>
              <w:rPr>
                <w:rFonts w:ascii="宋体" w:hAnsi="宋体" w:eastAsia="宋体"/>
                <w:color w:val="000000" w:themeColor="text1"/>
                <w:szCs w:val="21"/>
                <w14:textFill>
                  <w14:solidFill>
                    <w14:schemeClr w14:val="tx1"/>
                  </w14:solidFill>
                </w14:textFill>
              </w:rPr>
            </w:pPr>
          </w:p>
        </w:tc>
      </w:tr>
      <w:tr w14:paraId="59CB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F1F1F1" w:themeFill="background1" w:themeFillShade="F2"/>
            <w:vAlign w:val="center"/>
          </w:tcPr>
          <w:p w14:paraId="2EDB6F94">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w:t>
            </w:r>
          </w:p>
        </w:tc>
        <w:tc>
          <w:tcPr>
            <w:tcW w:w="2778" w:type="dxa"/>
            <w:shd w:val="clear" w:color="auto" w:fill="F1F1F1" w:themeFill="background1" w:themeFillShade="F2"/>
            <w:vAlign w:val="center"/>
          </w:tcPr>
          <w:p w14:paraId="33544FAB">
            <w:pPr>
              <w:spacing w:line="360" w:lineRule="auto"/>
              <w:jc w:val="center"/>
              <w:rPr>
                <w:rFonts w:ascii="宋体" w:hAnsi="宋体" w:eastAsia="宋体"/>
                <w:color w:val="000000" w:themeColor="text1"/>
                <w:szCs w:val="21"/>
                <w14:textFill>
                  <w14:solidFill>
                    <w14:schemeClr w14:val="tx1"/>
                  </w14:solidFill>
                </w14:textFill>
              </w:rPr>
            </w:pPr>
          </w:p>
        </w:tc>
        <w:tc>
          <w:tcPr>
            <w:tcW w:w="1191" w:type="dxa"/>
            <w:shd w:val="clear" w:color="auto" w:fill="F1F1F1" w:themeFill="background1" w:themeFillShade="F2"/>
            <w:vAlign w:val="center"/>
          </w:tcPr>
          <w:p w14:paraId="448110DD">
            <w:pPr>
              <w:spacing w:line="360" w:lineRule="auto"/>
              <w:jc w:val="center"/>
              <w:rPr>
                <w:rFonts w:ascii="宋体" w:hAnsi="宋体" w:eastAsia="宋体"/>
                <w:color w:val="000000" w:themeColor="text1"/>
                <w:szCs w:val="21"/>
                <w14:textFill>
                  <w14:solidFill>
                    <w14:schemeClr w14:val="tx1"/>
                  </w14:solidFill>
                </w14:textFill>
              </w:rPr>
            </w:pPr>
          </w:p>
        </w:tc>
        <w:tc>
          <w:tcPr>
            <w:tcW w:w="3402" w:type="dxa"/>
            <w:shd w:val="clear" w:color="auto" w:fill="F1F1F1" w:themeFill="background1" w:themeFillShade="F2"/>
            <w:vAlign w:val="center"/>
          </w:tcPr>
          <w:p w14:paraId="2670BB8A">
            <w:pPr>
              <w:spacing w:line="360" w:lineRule="auto"/>
              <w:jc w:val="center"/>
              <w:rPr>
                <w:rFonts w:ascii="宋体" w:hAnsi="宋体" w:eastAsia="宋体"/>
                <w:color w:val="000000" w:themeColor="text1"/>
                <w:szCs w:val="21"/>
                <w14:textFill>
                  <w14:solidFill>
                    <w14:schemeClr w14:val="tx1"/>
                  </w14:solidFill>
                </w14:textFill>
              </w:rPr>
            </w:pPr>
          </w:p>
        </w:tc>
        <w:tc>
          <w:tcPr>
            <w:tcW w:w="843" w:type="dxa"/>
            <w:shd w:val="clear" w:color="auto" w:fill="F1F1F1" w:themeFill="background1" w:themeFillShade="F2"/>
            <w:vAlign w:val="center"/>
          </w:tcPr>
          <w:p w14:paraId="4DD75B06">
            <w:pPr>
              <w:spacing w:line="360" w:lineRule="auto"/>
              <w:jc w:val="center"/>
              <w:rPr>
                <w:rFonts w:ascii="宋体" w:hAnsi="宋体" w:eastAsia="宋体"/>
                <w:color w:val="000000" w:themeColor="text1"/>
                <w:szCs w:val="21"/>
                <w14:textFill>
                  <w14:solidFill>
                    <w14:schemeClr w14:val="tx1"/>
                  </w14:solidFill>
                </w14:textFill>
              </w:rPr>
            </w:pPr>
          </w:p>
        </w:tc>
      </w:tr>
    </w:tbl>
    <w:p w14:paraId="7B05822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w:t>
      </w:r>
    </w:p>
    <w:p w14:paraId="1D5F3AD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960D26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2.本表所指的控股关系仅限于直接控股关系，不包括间接的控股关系。公司实际控制人与公司之间的关系不属于本表所指的直接控股关系。</w:t>
      </w:r>
    </w:p>
    <w:p w14:paraId="4275594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3.供应商不存在直接控股股东的，则填“无”。</w:t>
      </w:r>
    </w:p>
    <w:p w14:paraId="2AEF66D7">
      <w:pPr>
        <w:spacing w:line="360" w:lineRule="auto"/>
        <w:ind w:firstLine="420" w:firstLineChars="200"/>
        <w:rPr>
          <w:rFonts w:ascii="宋体" w:hAnsi="宋体" w:eastAsia="宋体"/>
          <w:color w:val="000000" w:themeColor="text1"/>
          <w:szCs w:val="21"/>
          <w14:textFill>
            <w14:solidFill>
              <w14:schemeClr w14:val="tx1"/>
            </w14:solidFill>
          </w14:textFill>
        </w:rPr>
      </w:pPr>
    </w:p>
    <w:p w14:paraId="3D4922B8">
      <w:pPr>
        <w:spacing w:line="360" w:lineRule="auto"/>
        <w:ind w:firstLine="5040" w:firstLineChars="24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投标人名称（电子签章）：</w:t>
      </w:r>
    </w:p>
    <w:p w14:paraId="39C5B3CD">
      <w:pPr>
        <w:spacing w:line="360" w:lineRule="auto"/>
        <w:ind w:firstLine="5040" w:firstLineChars="24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年</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月</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日</w:t>
      </w:r>
    </w:p>
    <w:p w14:paraId="708F99D5">
      <w:pPr>
        <w:spacing w:line="360" w:lineRule="auto"/>
        <w:ind w:firstLine="420" w:firstLineChars="200"/>
        <w:rPr>
          <w:rFonts w:ascii="宋体" w:hAnsi="宋体" w:eastAsia="宋体"/>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500D82D4">
      <w:pPr>
        <w:spacing w:line="360" w:lineRule="auto"/>
        <w:jc w:val="center"/>
        <w:rPr>
          <w:rFonts w:ascii="宋体" w:hAnsi="宋体" w:eastAsia="宋体"/>
          <w:b/>
          <w:color w:val="000000" w:themeColor="text1"/>
          <w:sz w:val="30"/>
          <w:szCs w:val="30"/>
          <w14:textFill>
            <w14:solidFill>
              <w14:schemeClr w14:val="tx1"/>
            </w14:solidFill>
          </w14:textFill>
        </w:rPr>
      </w:pPr>
      <w:r>
        <w:rPr>
          <w:rFonts w:hint="eastAsia" w:ascii="宋体" w:hAnsi="宋体" w:eastAsia="宋体"/>
          <w:b/>
          <w:color w:val="000000" w:themeColor="text1"/>
          <w:sz w:val="30"/>
          <w:szCs w:val="30"/>
          <w14:textFill>
            <w14:solidFill>
              <w14:schemeClr w14:val="tx1"/>
            </w14:solidFill>
          </w14:textFill>
        </w:rPr>
        <w:t>五、投标人直接管理关系信息表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542"/>
        <w:gridCol w:w="2265"/>
        <w:gridCol w:w="2265"/>
      </w:tblGrid>
      <w:tr w14:paraId="212EF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FBE4D5" w:themeFill="accent2" w:themeFillTint="33"/>
          </w:tcPr>
          <w:p w14:paraId="3160E1FF">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序号</w:t>
            </w:r>
          </w:p>
        </w:tc>
        <w:tc>
          <w:tcPr>
            <w:tcW w:w="3542" w:type="dxa"/>
            <w:shd w:val="clear" w:color="auto" w:fill="FBE4D5" w:themeFill="accent2" w:themeFillTint="33"/>
          </w:tcPr>
          <w:p w14:paraId="6CCACB73">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直接管理关系单位名称</w:t>
            </w:r>
          </w:p>
        </w:tc>
        <w:tc>
          <w:tcPr>
            <w:tcW w:w="2265" w:type="dxa"/>
            <w:shd w:val="clear" w:color="auto" w:fill="FBE4D5" w:themeFill="accent2" w:themeFillTint="33"/>
          </w:tcPr>
          <w:p w14:paraId="3AEBF67C">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统一社会信用代码</w:t>
            </w:r>
          </w:p>
        </w:tc>
        <w:tc>
          <w:tcPr>
            <w:tcW w:w="2265" w:type="dxa"/>
            <w:shd w:val="clear" w:color="auto" w:fill="FBE4D5" w:themeFill="accent2" w:themeFillTint="33"/>
          </w:tcPr>
          <w:p w14:paraId="095BC8B2">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备注</w:t>
            </w:r>
          </w:p>
        </w:tc>
      </w:tr>
      <w:tr w14:paraId="15A77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F1F1F1" w:themeFill="background1" w:themeFillShade="F2"/>
          </w:tcPr>
          <w:p w14:paraId="2221D83B">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tc>
        <w:tc>
          <w:tcPr>
            <w:tcW w:w="3542" w:type="dxa"/>
            <w:shd w:val="clear" w:color="auto" w:fill="F1F1F1" w:themeFill="background1" w:themeFillShade="F2"/>
          </w:tcPr>
          <w:p w14:paraId="077108AF">
            <w:pPr>
              <w:spacing w:line="360" w:lineRule="auto"/>
              <w:jc w:val="center"/>
              <w:rPr>
                <w:rFonts w:ascii="宋体" w:hAnsi="宋体" w:eastAsia="宋体"/>
                <w:color w:val="000000" w:themeColor="text1"/>
                <w:szCs w:val="21"/>
                <w14:textFill>
                  <w14:solidFill>
                    <w14:schemeClr w14:val="tx1"/>
                  </w14:solidFill>
                </w14:textFill>
              </w:rPr>
            </w:pPr>
          </w:p>
        </w:tc>
        <w:tc>
          <w:tcPr>
            <w:tcW w:w="2265" w:type="dxa"/>
            <w:shd w:val="clear" w:color="auto" w:fill="F1F1F1" w:themeFill="background1" w:themeFillShade="F2"/>
          </w:tcPr>
          <w:p w14:paraId="1666CC5C">
            <w:pPr>
              <w:spacing w:line="360" w:lineRule="auto"/>
              <w:jc w:val="center"/>
              <w:rPr>
                <w:rFonts w:ascii="宋体" w:hAnsi="宋体" w:eastAsia="宋体"/>
                <w:color w:val="000000" w:themeColor="text1"/>
                <w:szCs w:val="21"/>
                <w14:textFill>
                  <w14:solidFill>
                    <w14:schemeClr w14:val="tx1"/>
                  </w14:solidFill>
                </w14:textFill>
              </w:rPr>
            </w:pPr>
          </w:p>
        </w:tc>
        <w:tc>
          <w:tcPr>
            <w:tcW w:w="2265" w:type="dxa"/>
            <w:shd w:val="clear" w:color="auto" w:fill="F1F1F1" w:themeFill="background1" w:themeFillShade="F2"/>
          </w:tcPr>
          <w:p w14:paraId="00BAB467">
            <w:pPr>
              <w:spacing w:line="360" w:lineRule="auto"/>
              <w:jc w:val="center"/>
              <w:rPr>
                <w:rFonts w:ascii="宋体" w:hAnsi="宋体" w:eastAsia="宋体"/>
                <w:color w:val="000000" w:themeColor="text1"/>
                <w:szCs w:val="21"/>
                <w14:textFill>
                  <w14:solidFill>
                    <w14:schemeClr w14:val="tx1"/>
                  </w14:solidFill>
                </w14:textFill>
              </w:rPr>
            </w:pPr>
          </w:p>
        </w:tc>
      </w:tr>
      <w:tr w14:paraId="75E99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F1F1F1" w:themeFill="background1" w:themeFillShade="F2"/>
          </w:tcPr>
          <w:p w14:paraId="53C43555">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p>
        </w:tc>
        <w:tc>
          <w:tcPr>
            <w:tcW w:w="3542" w:type="dxa"/>
            <w:shd w:val="clear" w:color="auto" w:fill="F1F1F1" w:themeFill="background1" w:themeFillShade="F2"/>
          </w:tcPr>
          <w:p w14:paraId="293EEE03">
            <w:pPr>
              <w:spacing w:line="360" w:lineRule="auto"/>
              <w:jc w:val="center"/>
              <w:rPr>
                <w:rFonts w:ascii="宋体" w:hAnsi="宋体" w:eastAsia="宋体"/>
                <w:color w:val="000000" w:themeColor="text1"/>
                <w:szCs w:val="21"/>
                <w14:textFill>
                  <w14:solidFill>
                    <w14:schemeClr w14:val="tx1"/>
                  </w14:solidFill>
                </w14:textFill>
              </w:rPr>
            </w:pPr>
          </w:p>
        </w:tc>
        <w:tc>
          <w:tcPr>
            <w:tcW w:w="2265" w:type="dxa"/>
            <w:shd w:val="clear" w:color="auto" w:fill="F1F1F1" w:themeFill="background1" w:themeFillShade="F2"/>
          </w:tcPr>
          <w:p w14:paraId="6E3DA913">
            <w:pPr>
              <w:spacing w:line="360" w:lineRule="auto"/>
              <w:jc w:val="center"/>
              <w:rPr>
                <w:rFonts w:ascii="宋体" w:hAnsi="宋体" w:eastAsia="宋体"/>
                <w:color w:val="000000" w:themeColor="text1"/>
                <w:szCs w:val="21"/>
                <w14:textFill>
                  <w14:solidFill>
                    <w14:schemeClr w14:val="tx1"/>
                  </w14:solidFill>
                </w14:textFill>
              </w:rPr>
            </w:pPr>
          </w:p>
        </w:tc>
        <w:tc>
          <w:tcPr>
            <w:tcW w:w="2265" w:type="dxa"/>
            <w:shd w:val="clear" w:color="auto" w:fill="F1F1F1" w:themeFill="background1" w:themeFillShade="F2"/>
          </w:tcPr>
          <w:p w14:paraId="4E8C42C0">
            <w:pPr>
              <w:spacing w:line="360" w:lineRule="auto"/>
              <w:jc w:val="center"/>
              <w:rPr>
                <w:rFonts w:ascii="宋体" w:hAnsi="宋体" w:eastAsia="宋体"/>
                <w:color w:val="000000" w:themeColor="text1"/>
                <w:szCs w:val="21"/>
                <w14:textFill>
                  <w14:solidFill>
                    <w14:schemeClr w14:val="tx1"/>
                  </w14:solidFill>
                </w14:textFill>
              </w:rPr>
            </w:pPr>
          </w:p>
        </w:tc>
      </w:tr>
      <w:tr w14:paraId="296ED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F1F1F1" w:themeFill="background1" w:themeFillShade="F2"/>
          </w:tcPr>
          <w:p w14:paraId="1E00C42B">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w:t>
            </w:r>
          </w:p>
        </w:tc>
        <w:tc>
          <w:tcPr>
            <w:tcW w:w="3542" w:type="dxa"/>
            <w:shd w:val="clear" w:color="auto" w:fill="F1F1F1" w:themeFill="background1" w:themeFillShade="F2"/>
          </w:tcPr>
          <w:p w14:paraId="1E726098">
            <w:pPr>
              <w:spacing w:line="360" w:lineRule="auto"/>
              <w:jc w:val="center"/>
              <w:rPr>
                <w:rFonts w:ascii="宋体" w:hAnsi="宋体" w:eastAsia="宋体"/>
                <w:color w:val="000000" w:themeColor="text1"/>
                <w:szCs w:val="21"/>
                <w14:textFill>
                  <w14:solidFill>
                    <w14:schemeClr w14:val="tx1"/>
                  </w14:solidFill>
                </w14:textFill>
              </w:rPr>
            </w:pPr>
          </w:p>
        </w:tc>
        <w:tc>
          <w:tcPr>
            <w:tcW w:w="2265" w:type="dxa"/>
            <w:shd w:val="clear" w:color="auto" w:fill="F1F1F1" w:themeFill="background1" w:themeFillShade="F2"/>
          </w:tcPr>
          <w:p w14:paraId="24F058D3">
            <w:pPr>
              <w:spacing w:line="360" w:lineRule="auto"/>
              <w:jc w:val="center"/>
              <w:rPr>
                <w:rFonts w:ascii="宋体" w:hAnsi="宋体" w:eastAsia="宋体"/>
                <w:color w:val="000000" w:themeColor="text1"/>
                <w:szCs w:val="21"/>
                <w14:textFill>
                  <w14:solidFill>
                    <w14:schemeClr w14:val="tx1"/>
                  </w14:solidFill>
                </w14:textFill>
              </w:rPr>
            </w:pPr>
          </w:p>
        </w:tc>
        <w:tc>
          <w:tcPr>
            <w:tcW w:w="2265" w:type="dxa"/>
            <w:shd w:val="clear" w:color="auto" w:fill="F1F1F1" w:themeFill="background1" w:themeFillShade="F2"/>
          </w:tcPr>
          <w:p w14:paraId="338C5392">
            <w:pPr>
              <w:spacing w:line="360" w:lineRule="auto"/>
              <w:jc w:val="center"/>
              <w:rPr>
                <w:rFonts w:ascii="宋体" w:hAnsi="宋体" w:eastAsia="宋体"/>
                <w:color w:val="000000" w:themeColor="text1"/>
                <w:szCs w:val="21"/>
                <w14:textFill>
                  <w14:solidFill>
                    <w14:schemeClr w14:val="tx1"/>
                  </w14:solidFill>
                </w14:textFill>
              </w:rPr>
            </w:pPr>
          </w:p>
        </w:tc>
      </w:tr>
      <w:tr w14:paraId="141CA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F1F1F1" w:themeFill="background1" w:themeFillShade="F2"/>
          </w:tcPr>
          <w:p w14:paraId="1BFC3C03">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3542" w:type="dxa"/>
            <w:shd w:val="clear" w:color="auto" w:fill="F1F1F1" w:themeFill="background1" w:themeFillShade="F2"/>
          </w:tcPr>
          <w:p w14:paraId="3696EFCB">
            <w:pPr>
              <w:spacing w:line="360" w:lineRule="auto"/>
              <w:jc w:val="center"/>
              <w:rPr>
                <w:rFonts w:ascii="宋体" w:hAnsi="宋体" w:eastAsia="宋体"/>
                <w:color w:val="000000" w:themeColor="text1"/>
                <w:szCs w:val="21"/>
                <w14:textFill>
                  <w14:solidFill>
                    <w14:schemeClr w14:val="tx1"/>
                  </w14:solidFill>
                </w14:textFill>
              </w:rPr>
            </w:pPr>
          </w:p>
        </w:tc>
        <w:tc>
          <w:tcPr>
            <w:tcW w:w="2265" w:type="dxa"/>
            <w:shd w:val="clear" w:color="auto" w:fill="F1F1F1" w:themeFill="background1" w:themeFillShade="F2"/>
          </w:tcPr>
          <w:p w14:paraId="577A1B22">
            <w:pPr>
              <w:spacing w:line="360" w:lineRule="auto"/>
              <w:jc w:val="center"/>
              <w:rPr>
                <w:rFonts w:ascii="宋体" w:hAnsi="宋体" w:eastAsia="宋体"/>
                <w:color w:val="000000" w:themeColor="text1"/>
                <w:szCs w:val="21"/>
                <w14:textFill>
                  <w14:solidFill>
                    <w14:schemeClr w14:val="tx1"/>
                  </w14:solidFill>
                </w14:textFill>
              </w:rPr>
            </w:pPr>
          </w:p>
        </w:tc>
        <w:tc>
          <w:tcPr>
            <w:tcW w:w="2265" w:type="dxa"/>
            <w:shd w:val="clear" w:color="auto" w:fill="F1F1F1" w:themeFill="background1" w:themeFillShade="F2"/>
          </w:tcPr>
          <w:p w14:paraId="026FBFC5">
            <w:pPr>
              <w:spacing w:line="360" w:lineRule="auto"/>
              <w:jc w:val="center"/>
              <w:rPr>
                <w:rFonts w:ascii="宋体" w:hAnsi="宋体" w:eastAsia="宋体"/>
                <w:color w:val="000000" w:themeColor="text1"/>
                <w:szCs w:val="21"/>
                <w14:textFill>
                  <w14:solidFill>
                    <w14:schemeClr w14:val="tx1"/>
                  </w14:solidFill>
                </w14:textFill>
              </w:rPr>
            </w:pPr>
          </w:p>
        </w:tc>
      </w:tr>
    </w:tbl>
    <w:p w14:paraId="2A898D6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w:t>
      </w:r>
    </w:p>
    <w:p w14:paraId="7A036CB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1.管理关系：是指不具有出资持股关系的其他单位之间存在的管理与被管理关系，如一些上下级关系的事业单位和团体组织。</w:t>
      </w:r>
    </w:p>
    <w:p w14:paraId="706E3AF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2.本表所指的管理关系仅限于直接管理关系，不包括间接的管理关系。</w:t>
      </w:r>
    </w:p>
    <w:p w14:paraId="4FD9D0A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3.供应商不存在直接管理关系的，则填“无”。</w:t>
      </w:r>
    </w:p>
    <w:p w14:paraId="7226814A">
      <w:pPr>
        <w:spacing w:line="360" w:lineRule="auto"/>
        <w:ind w:firstLine="420" w:firstLineChars="200"/>
        <w:rPr>
          <w:rFonts w:ascii="宋体" w:hAnsi="宋体" w:eastAsia="宋体"/>
          <w:color w:val="000000" w:themeColor="text1"/>
          <w:szCs w:val="21"/>
          <w14:textFill>
            <w14:solidFill>
              <w14:schemeClr w14:val="tx1"/>
            </w14:solidFill>
          </w14:textFill>
        </w:rPr>
      </w:pPr>
    </w:p>
    <w:p w14:paraId="4A3ADFEE">
      <w:pPr>
        <w:spacing w:line="360" w:lineRule="auto"/>
        <w:ind w:firstLine="5040" w:firstLineChars="24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投标人名称（电子签章）：</w:t>
      </w:r>
    </w:p>
    <w:p w14:paraId="4FAD849A">
      <w:pPr>
        <w:spacing w:line="360" w:lineRule="auto"/>
        <w:ind w:firstLine="5040" w:firstLineChars="24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年</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月</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日</w:t>
      </w:r>
    </w:p>
    <w:p w14:paraId="4EC4EB4D">
      <w:pPr>
        <w:spacing w:line="360" w:lineRule="auto"/>
        <w:ind w:firstLine="420" w:firstLineChars="200"/>
        <w:rPr>
          <w:rFonts w:ascii="宋体" w:hAnsi="宋体" w:eastAsia="宋体"/>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7383BD44">
      <w:pPr>
        <w:spacing w:line="360" w:lineRule="auto"/>
        <w:jc w:val="center"/>
        <w:rPr>
          <w:rFonts w:ascii="宋体" w:hAnsi="宋体" w:eastAsia="宋体"/>
          <w:b/>
          <w:color w:val="000000" w:themeColor="text1"/>
          <w:sz w:val="30"/>
          <w:szCs w:val="30"/>
          <w14:textFill>
            <w14:solidFill>
              <w14:schemeClr w14:val="tx1"/>
            </w14:solidFill>
          </w14:textFill>
        </w:rPr>
      </w:pPr>
      <w:r>
        <w:rPr>
          <w:rFonts w:hint="eastAsia" w:ascii="宋体" w:hAnsi="宋体" w:eastAsia="宋体"/>
          <w:b/>
          <w:color w:val="000000" w:themeColor="text1"/>
          <w:sz w:val="30"/>
          <w:szCs w:val="30"/>
          <w14:textFill>
            <w14:solidFill>
              <w14:schemeClr w14:val="tx1"/>
            </w14:solidFill>
          </w14:textFill>
        </w:rPr>
        <w:t>六、投标资格声明函</w:t>
      </w:r>
    </w:p>
    <w:p w14:paraId="2000C0CF">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致：</w:t>
      </w:r>
      <w:r>
        <w:rPr>
          <w:rFonts w:hint="eastAsia" w:ascii="宋体" w:hAnsi="宋体" w:eastAsia="宋体"/>
          <w:color w:val="000000" w:themeColor="text1"/>
          <w:szCs w:val="21"/>
          <w:u w:val="single"/>
          <w14:textFill>
            <w14:solidFill>
              <w14:schemeClr w14:val="tx1"/>
            </w14:solidFill>
          </w14:textFill>
        </w:rPr>
        <w:t>[项目采购-采购组织机构_]</w:t>
      </w:r>
    </w:p>
    <w:p w14:paraId="57F1764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我方愿意参加贵方组织的</w:t>
      </w:r>
      <w:r>
        <w:rPr>
          <w:rFonts w:hint="eastAsia" w:ascii="宋体" w:hAnsi="宋体" w:eastAsia="宋体"/>
          <w:color w:val="000000" w:themeColor="text1"/>
          <w:szCs w:val="21"/>
          <w:u w:val="single"/>
          <w14:textFill>
            <w14:solidFill>
              <w14:schemeClr w14:val="tx1"/>
            </w14:solidFill>
          </w14:textFill>
        </w:rPr>
        <w:t>[项目采购-项目名称_]</w:t>
      </w:r>
      <w:r>
        <w:rPr>
          <w:rFonts w:hint="eastAsia" w:ascii="宋体" w:hAnsi="宋体" w:eastAsia="宋体"/>
          <w:color w:val="000000" w:themeColor="text1"/>
          <w:szCs w:val="21"/>
          <w14:textFill>
            <w14:solidFill>
              <w14:schemeClr w14:val="tx1"/>
            </w14:solidFill>
          </w14:textFill>
        </w:rPr>
        <w:t>（项目编号：</w:t>
      </w:r>
      <w:r>
        <w:rPr>
          <w:rFonts w:hint="eastAsia" w:ascii="宋体" w:hAnsi="宋体" w:eastAsia="宋体"/>
          <w:color w:val="000000" w:themeColor="text1"/>
          <w:szCs w:val="21"/>
          <w:u w:val="single"/>
          <w14:textFill>
            <w14:solidFill>
              <w14:schemeClr w14:val="tx1"/>
            </w14:solidFill>
          </w14:textFill>
        </w:rPr>
        <w:t>[项目采购-项目编号]</w:t>
      </w:r>
      <w:r>
        <w:rPr>
          <w:rFonts w:hint="eastAsia" w:ascii="宋体" w:hAnsi="宋体" w:eastAsia="宋体"/>
          <w:color w:val="000000" w:themeColor="text1"/>
          <w:szCs w:val="21"/>
          <w14:textFill>
            <w14:solidFill>
              <w14:schemeClr w14:val="tx1"/>
            </w14:solidFill>
          </w14:textFill>
        </w:rPr>
        <w:t>）项目的投标，为便于贵方公正、择优地确定中标人，我方就本次投标有关事项郑重声明如下：</w:t>
      </w:r>
    </w:p>
    <w:p w14:paraId="65535AA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49C9C93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5D38B87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3.经查询，在“信用中国”和“中国政府采购网”网站我方未被列入失信被执行人、重大税收违法失信主体、政府采购严重违法失信行为记录名单。</w:t>
      </w:r>
    </w:p>
    <w:p w14:paraId="640A832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4.以上事项如有虚假或隐瞒，我方愿意承担一切后果，并不再寻求任何旨在减轻或免除法律责任的辩解。</w:t>
      </w:r>
    </w:p>
    <w:p w14:paraId="02555C2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说明：</w:t>
      </w:r>
    </w:p>
    <w:p w14:paraId="1FBD5C3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1.对列入失信被执行人、重大税收违法失信主体、政府采购严重违法失信行为记录名单的投标人，将被拒绝参与本项目政府采购活动。</w:t>
      </w:r>
    </w:p>
    <w:p w14:paraId="3E86D91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641FEB2">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3.如为联合体投标，盖章处须加盖联合体各方公章并由联合体各方法定代表人分别签署，否则投标无效。</w:t>
      </w:r>
    </w:p>
    <w:p w14:paraId="3CD4E23C">
      <w:pPr>
        <w:spacing w:line="360" w:lineRule="auto"/>
        <w:ind w:firstLine="420" w:firstLineChars="200"/>
        <w:rPr>
          <w:rFonts w:ascii="宋体" w:hAnsi="宋体" w:eastAsia="宋体"/>
          <w:color w:val="000000" w:themeColor="text1"/>
          <w:szCs w:val="21"/>
          <w14:textFill>
            <w14:solidFill>
              <w14:schemeClr w14:val="tx1"/>
            </w14:solidFill>
          </w14:textFill>
        </w:rPr>
      </w:pPr>
    </w:p>
    <w:p w14:paraId="4DF7DD08">
      <w:pPr>
        <w:spacing w:line="360" w:lineRule="auto"/>
        <w:ind w:firstLine="5040" w:firstLineChars="24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投标人名称（电子签章）：</w:t>
      </w:r>
    </w:p>
    <w:p w14:paraId="38E74F74">
      <w:pPr>
        <w:spacing w:line="360" w:lineRule="auto"/>
        <w:ind w:firstLine="5040" w:firstLineChars="24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年</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月</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日</w:t>
      </w:r>
    </w:p>
    <w:p w14:paraId="1CDFDCED">
      <w:pPr>
        <w:spacing w:line="360" w:lineRule="auto"/>
        <w:ind w:firstLine="420" w:firstLineChars="200"/>
        <w:rPr>
          <w:rFonts w:ascii="宋体" w:hAnsi="宋体" w:eastAsia="宋体"/>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532B2406">
      <w:pPr>
        <w:spacing w:line="360" w:lineRule="auto"/>
        <w:jc w:val="center"/>
        <w:rPr>
          <w:rFonts w:ascii="宋体" w:hAnsi="宋体" w:eastAsia="宋体"/>
          <w:b/>
          <w:color w:val="000000" w:themeColor="text1"/>
          <w:sz w:val="30"/>
          <w:szCs w:val="30"/>
          <w14:textFill>
            <w14:solidFill>
              <w14:schemeClr w14:val="tx1"/>
            </w14:solidFill>
          </w14:textFill>
        </w:rPr>
      </w:pPr>
      <w:r>
        <w:rPr>
          <w:rFonts w:hint="eastAsia" w:ascii="宋体" w:hAnsi="宋体" w:eastAsia="宋体"/>
          <w:b/>
          <w:color w:val="000000" w:themeColor="text1"/>
          <w:sz w:val="30"/>
          <w:szCs w:val="30"/>
          <w14:textFill>
            <w14:solidFill>
              <w14:schemeClr w14:val="tx1"/>
            </w14:solidFill>
          </w14:textFill>
        </w:rPr>
        <w:t>七、联合体协议书</w:t>
      </w:r>
    </w:p>
    <w:p w14:paraId="3911CF4D">
      <w:pPr>
        <w:spacing w:line="360" w:lineRule="auto"/>
        <w:ind w:firstLine="420" w:firstLineChars="200"/>
        <w:rPr>
          <w:rFonts w:ascii="宋体" w:hAnsi="宋体" w:eastAsia="宋体"/>
          <w:color w:val="000000" w:themeColor="text1"/>
          <w:szCs w:val="21"/>
          <w14:textFill>
            <w14:solidFill>
              <w14:schemeClr w14:val="tx1"/>
            </w14:solidFill>
          </w14:textFill>
        </w:rPr>
      </w:pPr>
    </w:p>
    <w:p w14:paraId="7B4A7DA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（所有成员单位名称）自愿组成联合体，共同参加</w:t>
      </w:r>
      <w:r>
        <w:rPr>
          <w:rFonts w:hint="eastAsia" w:ascii="宋体" w:hAnsi="宋体" w:eastAsia="宋体"/>
          <w:color w:val="000000" w:themeColor="text1"/>
          <w:szCs w:val="21"/>
          <w:u w:val="single"/>
          <w14:textFill>
            <w14:solidFill>
              <w14:schemeClr w14:val="tx1"/>
            </w14:solidFill>
          </w14:textFill>
        </w:rPr>
        <w:t>[项目采购-采购组织机构]</w:t>
      </w:r>
      <w:r>
        <w:rPr>
          <w:rFonts w:hint="eastAsia" w:ascii="宋体" w:hAnsi="宋体" w:eastAsia="宋体"/>
          <w:color w:val="000000" w:themeColor="text1"/>
          <w:szCs w:val="21"/>
          <w14:textFill>
            <w14:solidFill>
              <w14:schemeClr w14:val="tx1"/>
            </w14:solidFill>
          </w14:textFill>
        </w:rPr>
        <w:t>组织的</w:t>
      </w:r>
      <w:r>
        <w:rPr>
          <w:rFonts w:hint="eastAsia" w:ascii="宋体" w:hAnsi="宋体" w:eastAsia="宋体"/>
          <w:color w:val="000000" w:themeColor="text1"/>
          <w:szCs w:val="21"/>
          <w:u w:val="single"/>
          <w14:textFill>
            <w14:solidFill>
              <w14:schemeClr w14:val="tx1"/>
            </w14:solidFill>
          </w14:textFill>
        </w:rPr>
        <w:t>[项目采购-项目名称]</w:t>
      </w:r>
      <w:r>
        <w:rPr>
          <w:rFonts w:hint="eastAsia" w:ascii="宋体" w:hAnsi="宋体" w:eastAsia="宋体"/>
          <w:color w:val="000000" w:themeColor="text1"/>
          <w:szCs w:val="21"/>
          <w14:textFill>
            <w14:solidFill>
              <w14:schemeClr w14:val="tx1"/>
            </w14:solidFill>
          </w14:textFill>
        </w:rPr>
        <w:t>（项目编号：</w:t>
      </w:r>
      <w:r>
        <w:rPr>
          <w:rFonts w:hint="eastAsia" w:ascii="宋体" w:hAnsi="宋体" w:eastAsia="宋体"/>
          <w:color w:val="000000" w:themeColor="text1"/>
          <w:szCs w:val="21"/>
          <w:u w:val="single"/>
          <w14:textFill>
            <w14:solidFill>
              <w14:schemeClr w14:val="tx1"/>
            </w14:solidFill>
          </w14:textFill>
        </w:rPr>
        <w:t>[项目采购-项目编号]）</w:t>
      </w:r>
      <w:r>
        <w:rPr>
          <w:rFonts w:hint="eastAsia" w:ascii="宋体" w:hAnsi="宋体" w:eastAsia="宋体"/>
          <w:color w:val="000000" w:themeColor="text1"/>
          <w:szCs w:val="21"/>
          <w14:textFill>
            <w14:solidFill>
              <w14:schemeClr w14:val="tx1"/>
            </w14:solidFill>
          </w14:textFill>
        </w:rPr>
        <w:t>投标。现就联合体投标事宜订立如下协议：</w:t>
      </w:r>
    </w:p>
    <w:p w14:paraId="73C2A6A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（某成员单位名称）为联合体名称牵头人。</w:t>
      </w:r>
    </w:p>
    <w:p w14:paraId="0D818B1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3DC1295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3、联合体牵头人在本项目中签署和盖章的一切文件和处理的一切事宜，联合体各成员均予以承认。联合体各成员将严格按照招标文件、投标文件和合同的要求全面履行义务，并向招标人承担连带责任。</w:t>
      </w:r>
    </w:p>
    <w:p w14:paraId="365C262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4、联合体各成员单位内部的职责分工如下：</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14:paraId="08318D4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5、本联合体中，</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（某成员单位名称）为</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（请填写：中型、小型、微型）企业，其协议合同金额占联合体协议合同总金额的</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%。【如联合体成员中有小型、微型企业的，请填写此条，否则无需填写；如联合体成员中有多个小型、微型企业的，请逐一列出。】</w:t>
      </w:r>
    </w:p>
    <w:p w14:paraId="70068D9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6、本协议书自签署之日起生效，合同履行完毕后自动失效。</w:t>
      </w:r>
    </w:p>
    <w:p w14:paraId="4673237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7、本协议书一式</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份，联合体成员和采购代理机构各执一份。</w:t>
      </w:r>
    </w:p>
    <w:p w14:paraId="4A25447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注：本协议书由法定代表人签字的，应附法定代表人身份证明；本协议书由委托代理人签字的，应附法定代表人授权委托书。</w:t>
      </w:r>
    </w:p>
    <w:p w14:paraId="12C0126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牵头人名称：</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（公章/电子签章）</w:t>
      </w:r>
    </w:p>
    <w:p w14:paraId="6D8DA67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法定代表人或其委托代理人：</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（手写签名/电子签名）</w:t>
      </w:r>
    </w:p>
    <w:p w14:paraId="6E3923C3">
      <w:pPr>
        <w:spacing w:line="360" w:lineRule="auto"/>
        <w:ind w:firstLine="420" w:firstLineChars="200"/>
        <w:rPr>
          <w:rFonts w:ascii="宋体" w:hAnsi="宋体" w:eastAsia="宋体"/>
          <w:color w:val="000000" w:themeColor="text1"/>
          <w:szCs w:val="21"/>
          <w14:textFill>
            <w14:solidFill>
              <w14:schemeClr w14:val="tx1"/>
            </w14:solidFill>
          </w14:textFill>
        </w:rPr>
      </w:pPr>
    </w:p>
    <w:p w14:paraId="211DD09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成员一名称：</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（公章/电子签章）</w:t>
      </w:r>
    </w:p>
    <w:p w14:paraId="0FD75E1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法定代表人或其委托代理人：</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（手写签名/电子签名）</w:t>
      </w:r>
    </w:p>
    <w:p w14:paraId="54404A4D">
      <w:pPr>
        <w:spacing w:line="360" w:lineRule="auto"/>
        <w:ind w:firstLine="420" w:firstLineChars="200"/>
        <w:rPr>
          <w:rFonts w:ascii="宋体" w:hAnsi="宋体" w:eastAsia="宋体"/>
          <w:color w:val="000000" w:themeColor="text1"/>
          <w:szCs w:val="21"/>
          <w14:textFill>
            <w14:solidFill>
              <w14:schemeClr w14:val="tx1"/>
            </w14:solidFill>
          </w14:textFill>
        </w:rPr>
      </w:pPr>
    </w:p>
    <w:p w14:paraId="416F588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成员二名称：</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（公章/电子签章）</w:t>
      </w:r>
    </w:p>
    <w:p w14:paraId="67A4ADE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法定代表人或其委托代理人：</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（手写签名/电子签名）</w:t>
      </w:r>
    </w:p>
    <w:p w14:paraId="33B055DA">
      <w:pPr>
        <w:spacing w:line="360" w:lineRule="auto"/>
        <w:ind w:firstLine="420" w:firstLineChars="200"/>
        <w:rPr>
          <w:rFonts w:ascii="宋体" w:hAnsi="宋体" w:eastAsia="宋体"/>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0EDA6B5C">
      <w:pPr>
        <w:spacing w:line="360" w:lineRule="auto"/>
        <w:jc w:val="center"/>
        <w:rPr>
          <w:rFonts w:ascii="宋体" w:hAnsi="宋体" w:eastAsia="宋体"/>
          <w:b/>
          <w:color w:val="000000" w:themeColor="text1"/>
          <w:sz w:val="30"/>
          <w:szCs w:val="30"/>
          <w14:textFill>
            <w14:solidFill>
              <w14:schemeClr w14:val="tx1"/>
            </w14:solidFill>
          </w14:textFill>
        </w:rPr>
      </w:pPr>
      <w:r>
        <w:rPr>
          <w:rFonts w:hint="eastAsia" w:ascii="宋体" w:hAnsi="宋体" w:eastAsia="宋体"/>
          <w:b/>
          <w:color w:val="000000" w:themeColor="text1"/>
          <w:sz w:val="30"/>
          <w:szCs w:val="30"/>
          <w14:textFill>
            <w14:solidFill>
              <w14:schemeClr w14:val="tx1"/>
            </w14:solidFill>
          </w14:textFill>
        </w:rPr>
        <w:t>八、符合特定资格条件（如有）的有关证明材料</w:t>
      </w:r>
    </w:p>
    <w:p w14:paraId="6C554FC2">
      <w:pPr>
        <w:spacing w:line="360" w:lineRule="auto"/>
        <w:ind w:firstLine="420" w:firstLineChars="200"/>
        <w:rPr>
          <w:rFonts w:ascii="宋体" w:hAnsi="宋体" w:eastAsia="宋体"/>
          <w:color w:val="000000" w:themeColor="text1"/>
          <w:szCs w:val="21"/>
          <w14:textFill>
            <w14:solidFill>
              <w14:schemeClr w14:val="tx1"/>
            </w14:solidFill>
          </w14:textFill>
        </w:rPr>
      </w:pPr>
    </w:p>
    <w:p w14:paraId="1FE1AD2E">
      <w:pPr>
        <w:spacing w:line="360" w:lineRule="auto"/>
        <w:ind w:firstLine="420" w:firstLineChars="200"/>
        <w:rPr>
          <w:rFonts w:ascii="宋体" w:hAnsi="宋体" w:eastAsia="宋体"/>
          <w:color w:val="000000" w:themeColor="text1"/>
          <w:szCs w:val="21"/>
          <w14:textFill>
            <w14:solidFill>
              <w14:schemeClr w14:val="tx1"/>
            </w14:solidFill>
          </w14:textFill>
        </w:rPr>
      </w:pPr>
    </w:p>
    <w:p w14:paraId="2FBD802C">
      <w:pPr>
        <w:spacing w:line="360" w:lineRule="auto"/>
        <w:ind w:firstLine="5040" w:firstLineChars="24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投标人名称（电子签章）：</w:t>
      </w:r>
    </w:p>
    <w:p w14:paraId="13EAF63F">
      <w:pPr>
        <w:spacing w:line="360" w:lineRule="auto"/>
        <w:ind w:firstLine="5040" w:firstLineChars="24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年</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月</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日</w:t>
      </w:r>
    </w:p>
    <w:p w14:paraId="37F595B2">
      <w:pPr>
        <w:spacing w:line="360" w:lineRule="auto"/>
        <w:ind w:firstLine="420" w:firstLineChars="200"/>
        <w:rPr>
          <w:rFonts w:ascii="宋体" w:hAnsi="宋体" w:eastAsia="宋体"/>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637C9A17">
      <w:pPr>
        <w:pStyle w:val="3"/>
        <w:jc w:val="center"/>
        <w:rPr>
          <w:rFonts w:ascii="宋体" w:hAnsi="宋体" w:eastAsia="宋体"/>
          <w:color w:val="000000" w:themeColor="text1"/>
          <w:sz w:val="30"/>
          <w:szCs w:val="30"/>
          <w14:textFill>
            <w14:solidFill>
              <w14:schemeClr w14:val="tx1"/>
            </w14:solidFill>
          </w14:textFill>
        </w:rPr>
      </w:pPr>
      <w:bookmarkStart w:id="27" w:name="_Toc198316082"/>
      <w:r>
        <w:rPr>
          <w:rFonts w:hint="eastAsia" w:ascii="宋体" w:hAnsi="宋体" w:eastAsia="宋体"/>
          <w:color w:val="000000" w:themeColor="text1"/>
          <w:sz w:val="30"/>
          <w:szCs w:val="30"/>
          <w14:textFill>
            <w14:solidFill>
              <w14:schemeClr w14:val="tx1"/>
            </w14:solidFill>
          </w14:textFill>
        </w:rPr>
        <w:t>第三</w:t>
      </w:r>
      <w:r>
        <w:rPr>
          <w:rFonts w:hint="eastAsia" w:ascii="宋体" w:hAnsi="宋体" w:eastAsia="宋体"/>
          <w:color w:val="000000" w:themeColor="text1"/>
          <w:spacing w:val="120"/>
          <w:sz w:val="30"/>
          <w:szCs w:val="30"/>
          <w14:textFill>
            <w14:solidFill>
              <w14:schemeClr w14:val="tx1"/>
            </w14:solidFill>
          </w14:textFill>
        </w:rPr>
        <w:t>节</w:t>
      </w:r>
      <w:r>
        <w:rPr>
          <w:rFonts w:hint="eastAsia" w:ascii="宋体" w:hAnsi="宋体" w:eastAsia="宋体"/>
          <w:color w:val="000000" w:themeColor="text1"/>
          <w:sz w:val="30"/>
          <w:szCs w:val="30"/>
          <w14:textFill>
            <w14:solidFill>
              <w14:schemeClr w14:val="tx1"/>
            </w14:solidFill>
          </w14:textFill>
        </w:rPr>
        <w:t>商务文件格式</w:t>
      </w:r>
      <w:bookmarkEnd w:id="27"/>
    </w:p>
    <w:p w14:paraId="3E3048AF">
      <w:pPr>
        <w:spacing w:line="360" w:lineRule="auto"/>
        <w:ind w:firstLine="420" w:firstLineChars="200"/>
        <w:rPr>
          <w:rFonts w:ascii="宋体" w:hAnsi="宋体" w:eastAsia="宋体"/>
          <w:color w:val="000000" w:themeColor="text1"/>
          <w:szCs w:val="21"/>
          <w14:textFill>
            <w14:solidFill>
              <w14:schemeClr w14:val="tx1"/>
            </w14:solidFill>
          </w14:textFill>
        </w:rPr>
      </w:pPr>
    </w:p>
    <w:p w14:paraId="5D6143BB">
      <w:pPr>
        <w:spacing w:line="360" w:lineRule="auto"/>
        <w:ind w:firstLine="420" w:firstLineChars="200"/>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电子投标文件</w:t>
      </w:r>
    </w:p>
    <w:p w14:paraId="777034D2">
      <w:pPr>
        <w:spacing w:line="360" w:lineRule="auto"/>
        <w:ind w:firstLine="420" w:firstLineChars="200"/>
        <w:rPr>
          <w:rFonts w:ascii="宋体" w:hAnsi="宋体" w:eastAsia="宋体"/>
          <w:color w:val="000000" w:themeColor="text1"/>
          <w:szCs w:val="21"/>
          <w14:textFill>
            <w14:solidFill>
              <w14:schemeClr w14:val="tx1"/>
            </w14:solidFill>
          </w14:textFill>
        </w:rPr>
      </w:pPr>
    </w:p>
    <w:p w14:paraId="26A75EF7">
      <w:pPr>
        <w:spacing w:line="360" w:lineRule="auto"/>
        <w:jc w:val="center"/>
        <w:rPr>
          <w:rFonts w:ascii="宋体" w:hAnsi="宋体" w:eastAsia="宋体"/>
          <w:b/>
          <w:color w:val="000000" w:themeColor="text1"/>
          <w:sz w:val="32"/>
          <w:szCs w:val="32"/>
          <w14:textFill>
            <w14:solidFill>
              <w14:schemeClr w14:val="tx1"/>
            </w14:solidFill>
          </w14:textFill>
        </w:rPr>
      </w:pPr>
      <w:r>
        <w:rPr>
          <w:rFonts w:hint="eastAsia" w:ascii="宋体" w:hAnsi="宋体" w:eastAsia="宋体"/>
          <w:b/>
          <w:color w:val="000000" w:themeColor="text1"/>
          <w:sz w:val="32"/>
          <w:szCs w:val="32"/>
          <w14:textFill>
            <w14:solidFill>
              <w14:schemeClr w14:val="tx1"/>
            </w14:solidFill>
          </w14:textFill>
        </w:rPr>
        <w:t>商务文件（封面）</w:t>
      </w:r>
    </w:p>
    <w:p w14:paraId="7DF2FB2D">
      <w:pPr>
        <w:spacing w:line="360" w:lineRule="auto"/>
        <w:ind w:firstLine="420" w:firstLineChars="200"/>
        <w:rPr>
          <w:rFonts w:ascii="宋体" w:hAnsi="宋体" w:eastAsia="宋体"/>
          <w:color w:val="000000" w:themeColor="text1"/>
          <w:szCs w:val="21"/>
          <w14:textFill>
            <w14:solidFill>
              <w14:schemeClr w14:val="tx1"/>
            </w14:solidFill>
          </w14:textFill>
        </w:rPr>
      </w:pPr>
    </w:p>
    <w:p w14:paraId="6D9AD83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项目名称：</w:t>
      </w:r>
    </w:p>
    <w:p w14:paraId="6864D0E6">
      <w:pPr>
        <w:spacing w:line="360" w:lineRule="auto"/>
        <w:ind w:firstLine="420" w:firstLineChars="200"/>
        <w:rPr>
          <w:rFonts w:ascii="宋体" w:hAnsi="宋体" w:eastAsia="宋体"/>
          <w:color w:val="000000" w:themeColor="text1"/>
          <w:szCs w:val="21"/>
          <w14:textFill>
            <w14:solidFill>
              <w14:schemeClr w14:val="tx1"/>
            </w14:solidFill>
          </w14:textFill>
        </w:rPr>
      </w:pPr>
    </w:p>
    <w:p w14:paraId="7EAF068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项目编号：</w:t>
      </w:r>
    </w:p>
    <w:p w14:paraId="1B9B7138">
      <w:pPr>
        <w:spacing w:line="360" w:lineRule="auto"/>
        <w:ind w:firstLine="420" w:firstLineChars="200"/>
        <w:rPr>
          <w:rFonts w:ascii="宋体" w:hAnsi="宋体" w:eastAsia="宋体"/>
          <w:color w:val="000000" w:themeColor="text1"/>
          <w:szCs w:val="21"/>
          <w14:textFill>
            <w14:solidFill>
              <w14:schemeClr w14:val="tx1"/>
            </w14:solidFill>
          </w14:textFill>
        </w:rPr>
      </w:pPr>
    </w:p>
    <w:p w14:paraId="3553401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所投分标：</w:t>
      </w:r>
    </w:p>
    <w:p w14:paraId="55CEAEE3">
      <w:pPr>
        <w:spacing w:line="360" w:lineRule="auto"/>
        <w:ind w:firstLine="420" w:firstLineChars="200"/>
        <w:rPr>
          <w:rFonts w:ascii="宋体" w:hAnsi="宋体" w:eastAsia="宋体"/>
          <w:color w:val="000000" w:themeColor="text1"/>
          <w:szCs w:val="21"/>
          <w14:textFill>
            <w14:solidFill>
              <w14:schemeClr w14:val="tx1"/>
            </w14:solidFill>
          </w14:textFill>
        </w:rPr>
      </w:pPr>
    </w:p>
    <w:p w14:paraId="75180FF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投标人名称：</w:t>
      </w:r>
    </w:p>
    <w:p w14:paraId="37290D82">
      <w:pPr>
        <w:spacing w:line="360" w:lineRule="auto"/>
        <w:ind w:firstLine="420" w:firstLineChars="200"/>
        <w:rPr>
          <w:rFonts w:ascii="宋体" w:hAnsi="宋体" w:eastAsia="宋体"/>
          <w:color w:val="000000" w:themeColor="text1"/>
          <w:szCs w:val="21"/>
          <w14:textFill>
            <w14:solidFill>
              <w14:schemeClr w14:val="tx1"/>
            </w14:solidFill>
          </w14:textFill>
        </w:rPr>
      </w:pPr>
    </w:p>
    <w:p w14:paraId="3CF8167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投标人地址：</w:t>
      </w:r>
    </w:p>
    <w:p w14:paraId="1482655E">
      <w:pPr>
        <w:spacing w:line="360" w:lineRule="auto"/>
        <w:ind w:firstLine="420" w:firstLineChars="200"/>
        <w:rPr>
          <w:rFonts w:ascii="宋体" w:hAnsi="宋体" w:eastAsia="宋体"/>
          <w:color w:val="000000" w:themeColor="text1"/>
          <w:szCs w:val="21"/>
          <w14:textFill>
            <w14:solidFill>
              <w14:schemeClr w14:val="tx1"/>
            </w14:solidFill>
          </w14:textFill>
        </w:rPr>
      </w:pPr>
    </w:p>
    <w:p w14:paraId="697778F9">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年</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月</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日</w:t>
      </w:r>
    </w:p>
    <w:p w14:paraId="2768E0A5">
      <w:pPr>
        <w:spacing w:line="360" w:lineRule="auto"/>
        <w:jc w:val="center"/>
        <w:rPr>
          <w:rFonts w:ascii="宋体" w:hAnsi="宋体" w:eastAsia="宋体"/>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7D7EDAE7">
      <w:pPr>
        <w:spacing w:line="360" w:lineRule="auto"/>
        <w:jc w:val="center"/>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商务文件目录</w:t>
      </w:r>
    </w:p>
    <w:p w14:paraId="06A0BC45">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一、无围标串标行为的承诺函……………………………………………………………………（页码）</w:t>
      </w:r>
    </w:p>
    <w:p w14:paraId="5F63495A">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二、法定代表人身份证明及法定代表人有效身份证正反面复印件……………………………（页码）</w:t>
      </w:r>
    </w:p>
    <w:p w14:paraId="7F01FAED">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三、法定代表人授权委托书（如有委托时）……………………………………………………（页码）</w:t>
      </w:r>
    </w:p>
    <w:p w14:paraId="0A045242">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四、商务条款偏离表………………………………………………………………………………（页码）</w:t>
      </w:r>
    </w:p>
    <w:p w14:paraId="62D460B4">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p w14:paraId="088EB21C">
      <w:pPr>
        <w:spacing w:line="360" w:lineRule="auto"/>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注：以上目录是基本格式要求，各投标人可根据自身情况进一步向下增加内容或细化。</w:t>
      </w:r>
    </w:p>
    <w:p w14:paraId="6553920B">
      <w:pPr>
        <w:spacing w:line="360" w:lineRule="auto"/>
        <w:rPr>
          <w:rFonts w:ascii="宋体" w:hAnsi="宋体" w:eastAsia="宋体"/>
          <w:b/>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5216A0D6">
      <w:pPr>
        <w:spacing w:line="360" w:lineRule="auto"/>
        <w:jc w:val="center"/>
        <w:rPr>
          <w:rFonts w:ascii="宋体" w:hAnsi="宋体" w:eastAsia="宋体"/>
          <w:b/>
          <w:color w:val="000000" w:themeColor="text1"/>
          <w:sz w:val="30"/>
          <w:szCs w:val="30"/>
          <w14:textFill>
            <w14:solidFill>
              <w14:schemeClr w14:val="tx1"/>
            </w14:solidFill>
          </w14:textFill>
        </w:rPr>
      </w:pPr>
      <w:r>
        <w:rPr>
          <w:rFonts w:hint="eastAsia" w:ascii="宋体" w:hAnsi="宋体" w:eastAsia="宋体"/>
          <w:b/>
          <w:color w:val="000000" w:themeColor="text1"/>
          <w:sz w:val="30"/>
          <w:szCs w:val="30"/>
          <w14:textFill>
            <w14:solidFill>
              <w14:schemeClr w14:val="tx1"/>
            </w14:solidFill>
          </w14:textFill>
        </w:rPr>
        <w:t>一、无围标串标行为的承诺函</w:t>
      </w:r>
    </w:p>
    <w:p w14:paraId="492520B6">
      <w:pPr>
        <w:spacing w:line="360" w:lineRule="auto"/>
        <w:jc w:val="center"/>
        <w:rPr>
          <w:rFonts w:ascii="宋体" w:hAnsi="宋体" w:eastAsia="宋体"/>
          <w:b/>
          <w:color w:val="000000" w:themeColor="text1"/>
          <w:sz w:val="30"/>
          <w:szCs w:val="30"/>
          <w14:textFill>
            <w14:solidFill>
              <w14:schemeClr w14:val="tx1"/>
            </w14:solidFill>
          </w14:textFill>
        </w:rPr>
      </w:pPr>
      <w:r>
        <w:rPr>
          <w:rFonts w:hint="eastAsia" w:ascii="宋体" w:hAnsi="宋体" w:eastAsia="宋体"/>
          <w:b/>
          <w:color w:val="000000" w:themeColor="text1"/>
          <w:sz w:val="30"/>
          <w:szCs w:val="30"/>
          <w14:textFill>
            <w14:solidFill>
              <w14:schemeClr w14:val="tx1"/>
            </w14:solidFill>
          </w14:textFill>
        </w:rPr>
        <w:t>投标人参加本项目无围标串标行为的承诺函</w:t>
      </w:r>
    </w:p>
    <w:p w14:paraId="3064C055">
      <w:pPr>
        <w:spacing w:line="360" w:lineRule="auto"/>
        <w:ind w:firstLine="420" w:firstLineChars="200"/>
        <w:rPr>
          <w:rFonts w:ascii="宋体" w:hAnsi="宋体" w:eastAsia="宋体"/>
          <w:color w:val="000000" w:themeColor="text1"/>
          <w:szCs w:val="21"/>
          <w14:textFill>
            <w14:solidFill>
              <w14:schemeClr w14:val="tx1"/>
            </w14:solidFill>
          </w14:textFill>
        </w:rPr>
      </w:pPr>
    </w:p>
    <w:p w14:paraId="24334B08">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一、我方承诺无下列相互串通投标的情形：</w:t>
      </w:r>
    </w:p>
    <w:p w14:paraId="5ED236B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1.不同投标人的投标文件由同一单位或者个人编制；或者不同投标人报名的IP地址一致的；或者编制标书硬件设备CPU编号、硬盘编号、网卡地址一致的情况。</w:t>
      </w:r>
    </w:p>
    <w:p w14:paraId="4188F46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2.不同投标人委托同一单位或者个人办理投标事宜；</w:t>
      </w:r>
    </w:p>
    <w:p w14:paraId="3E14CD9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3.不同的投标人的投标文件载明的项目管理员为同一个人；</w:t>
      </w:r>
    </w:p>
    <w:p w14:paraId="3F1EE55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4.不同投标人的投标文件异常一致或者投标报价呈规律性差异；</w:t>
      </w:r>
    </w:p>
    <w:p w14:paraId="1F5197F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5.不同投标人的投标文件相互混装；</w:t>
      </w:r>
    </w:p>
    <w:p w14:paraId="183EE81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6.不同投标人的投标保证金从同一单位或者个人账户转出。</w:t>
      </w:r>
    </w:p>
    <w:p w14:paraId="405BB27F">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二、我方承诺无下列恶意串通的情形：</w:t>
      </w:r>
    </w:p>
    <w:p w14:paraId="18DB85A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1.投标人直接或者间接从采购人或者采购代理机构处获得其他投标人的相关信息并修改其投标文件或者投标文件；</w:t>
      </w:r>
    </w:p>
    <w:p w14:paraId="38A4525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2.投标人按照采购人或者采购代理机构的授意撤换、修改投标文件或者投标文件；</w:t>
      </w:r>
    </w:p>
    <w:p w14:paraId="12F8475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3.投标人之间协商报价、技术方案等投标文件或者投标文件的实质性内容；</w:t>
      </w:r>
    </w:p>
    <w:p w14:paraId="59D5F67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4.属于同一集团、协会、商会等组织成员的投标人按照该组织要求协同参加政府采购活动；</w:t>
      </w:r>
    </w:p>
    <w:p w14:paraId="005C80C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5.投标人之间事先约定一致抬高或者压低投标报价，或者在招标项目中事先约定轮流以高价位或者低价位中标，或者事先约定由某一特定投标人中标，然后再参加投标；</w:t>
      </w:r>
    </w:p>
    <w:p w14:paraId="77C62F4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6.投标人之间商定部分投标人放弃参加政府采购活动或者放弃中标；</w:t>
      </w:r>
    </w:p>
    <w:p w14:paraId="0911C6B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7.投标人与采购人或者采购代理机构之间、投标人相互之间，为谋求特定投标人中标或者排斥其他投标人的其他串通行为。</w:t>
      </w:r>
    </w:p>
    <w:p w14:paraId="0A001FD6">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以上情形一经核查属实，接受政府采购监管部门对我方认定存在围标串标行为，我方愿意承担一切后果，并不再寻求任何旨在减轻或者免除法律责任的辩解。</w:t>
      </w:r>
    </w:p>
    <w:p w14:paraId="41D21CAC">
      <w:pPr>
        <w:spacing w:line="360" w:lineRule="auto"/>
        <w:ind w:firstLine="5040" w:firstLineChars="24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投标人名称（电子签章）：</w:t>
      </w:r>
    </w:p>
    <w:p w14:paraId="34A2DAB6">
      <w:pPr>
        <w:spacing w:line="360" w:lineRule="auto"/>
        <w:ind w:firstLine="5040" w:firstLineChars="24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年</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月</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日</w:t>
      </w:r>
    </w:p>
    <w:p w14:paraId="66AD44FE">
      <w:pPr>
        <w:spacing w:line="360" w:lineRule="auto"/>
        <w:ind w:firstLine="420" w:firstLineChars="200"/>
        <w:rPr>
          <w:rFonts w:ascii="宋体" w:hAnsi="宋体" w:eastAsia="宋体"/>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203CAC0D">
      <w:pPr>
        <w:spacing w:line="360" w:lineRule="auto"/>
        <w:jc w:val="center"/>
        <w:rPr>
          <w:rFonts w:ascii="宋体" w:hAnsi="宋体" w:eastAsia="宋体"/>
          <w:b/>
          <w:color w:val="000000" w:themeColor="text1"/>
          <w:sz w:val="30"/>
          <w:szCs w:val="30"/>
          <w14:textFill>
            <w14:solidFill>
              <w14:schemeClr w14:val="tx1"/>
            </w14:solidFill>
          </w14:textFill>
        </w:rPr>
      </w:pPr>
      <w:r>
        <w:rPr>
          <w:rFonts w:hint="eastAsia" w:ascii="宋体" w:hAnsi="宋体" w:eastAsia="宋体"/>
          <w:b/>
          <w:color w:val="000000" w:themeColor="text1"/>
          <w:sz w:val="30"/>
          <w:szCs w:val="30"/>
          <w14:textFill>
            <w14:solidFill>
              <w14:schemeClr w14:val="tx1"/>
            </w14:solidFill>
          </w14:textFill>
        </w:rPr>
        <w:t>二、法定代表人身份证明</w:t>
      </w:r>
    </w:p>
    <w:p w14:paraId="52A13827">
      <w:pPr>
        <w:spacing w:line="360" w:lineRule="auto"/>
        <w:ind w:firstLine="420" w:firstLineChars="200"/>
        <w:rPr>
          <w:rFonts w:ascii="宋体" w:hAnsi="宋体" w:eastAsia="宋体"/>
          <w:color w:val="000000" w:themeColor="text1"/>
          <w:szCs w:val="21"/>
          <w14:textFill>
            <w14:solidFill>
              <w14:schemeClr w14:val="tx1"/>
            </w14:solidFill>
          </w14:textFill>
        </w:rPr>
      </w:pPr>
    </w:p>
    <w:p w14:paraId="0DF40A4F">
      <w:pPr>
        <w:spacing w:line="360" w:lineRule="auto"/>
        <w:jc w:val="center"/>
        <w:rPr>
          <w:rFonts w:ascii="宋体" w:hAnsi="宋体" w:eastAsia="宋体"/>
          <w:b/>
          <w:color w:val="000000" w:themeColor="text1"/>
          <w:sz w:val="30"/>
          <w:szCs w:val="30"/>
          <w14:textFill>
            <w14:solidFill>
              <w14:schemeClr w14:val="tx1"/>
            </w14:solidFill>
          </w14:textFill>
        </w:rPr>
      </w:pPr>
      <w:r>
        <w:rPr>
          <w:rFonts w:hint="eastAsia" w:ascii="宋体" w:hAnsi="宋体" w:eastAsia="宋体"/>
          <w:b/>
          <w:color w:val="000000" w:themeColor="text1"/>
          <w:sz w:val="30"/>
          <w:szCs w:val="30"/>
          <w14:textFill>
            <w14:solidFill>
              <w14:schemeClr w14:val="tx1"/>
            </w14:solidFill>
          </w14:textFill>
        </w:rPr>
        <w:t>法定代表人身份证明</w:t>
      </w:r>
    </w:p>
    <w:p w14:paraId="663C3FE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投标人：</w:t>
      </w:r>
      <w:r>
        <w:rPr>
          <w:rFonts w:ascii="宋体" w:hAnsi="宋体" w:eastAsia="宋体"/>
          <w:color w:val="000000" w:themeColor="text1"/>
          <w:szCs w:val="21"/>
          <w:u w:val="single"/>
          <w14:textFill>
            <w14:solidFill>
              <w14:schemeClr w14:val="tx1"/>
            </w14:solidFill>
          </w14:textFill>
        </w:rPr>
        <w:t xml:space="preserve">                                                                           </w:t>
      </w:r>
    </w:p>
    <w:p w14:paraId="306B8A0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地址：</w:t>
      </w:r>
      <w:r>
        <w:rPr>
          <w:rFonts w:ascii="宋体" w:hAnsi="宋体" w:eastAsia="宋体"/>
          <w:color w:val="000000" w:themeColor="text1"/>
          <w:szCs w:val="21"/>
          <w:u w:val="single"/>
          <w14:textFill>
            <w14:solidFill>
              <w14:schemeClr w14:val="tx1"/>
            </w14:solidFill>
          </w14:textFill>
        </w:rPr>
        <w:t xml:space="preserve">                                                                             </w:t>
      </w:r>
    </w:p>
    <w:p w14:paraId="289A3E7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姓名：</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性别：</w:t>
      </w:r>
      <w:r>
        <w:rPr>
          <w:rFonts w:ascii="宋体" w:hAnsi="宋体" w:eastAsia="宋体"/>
          <w:color w:val="000000" w:themeColor="text1"/>
          <w:szCs w:val="21"/>
          <w:u w:val="single"/>
          <w14:textFill>
            <w14:solidFill>
              <w14:schemeClr w14:val="tx1"/>
            </w14:solidFill>
          </w14:textFill>
        </w:rPr>
        <w:t xml:space="preserve">                                   </w:t>
      </w:r>
    </w:p>
    <w:p w14:paraId="405AA5C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年龄：</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职务：</w:t>
      </w:r>
      <w:r>
        <w:rPr>
          <w:rFonts w:ascii="宋体" w:hAnsi="宋体" w:eastAsia="宋体"/>
          <w:color w:val="000000" w:themeColor="text1"/>
          <w:szCs w:val="21"/>
          <w:u w:val="single"/>
          <w14:textFill>
            <w14:solidFill>
              <w14:schemeClr w14:val="tx1"/>
            </w14:solidFill>
          </w14:textFill>
        </w:rPr>
        <w:t xml:space="preserve">                                   </w:t>
      </w:r>
    </w:p>
    <w:p w14:paraId="7097BC7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身份证号码：</w:t>
      </w:r>
      <w:r>
        <w:rPr>
          <w:rFonts w:ascii="宋体" w:hAnsi="宋体" w:eastAsia="宋体"/>
          <w:color w:val="000000" w:themeColor="text1"/>
          <w:szCs w:val="21"/>
          <w:u w:val="single"/>
          <w14:textFill>
            <w14:solidFill>
              <w14:schemeClr w14:val="tx1"/>
            </w14:solidFill>
          </w14:textFill>
        </w:rPr>
        <w:t xml:space="preserve">                                                                       </w:t>
      </w:r>
    </w:p>
    <w:p w14:paraId="0826A31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系</w:t>
      </w:r>
      <w:r>
        <w:rPr>
          <w:rFonts w:hint="eastAsia" w:ascii="宋体" w:hAnsi="宋体" w:eastAsia="宋体"/>
          <w:color w:val="000000" w:themeColor="text1"/>
          <w:szCs w:val="21"/>
          <w:u w:val="single"/>
          <w14:textFill>
            <w14:solidFill>
              <w14:schemeClr w14:val="tx1"/>
            </w14:solidFill>
          </w14:textFill>
        </w:rPr>
        <w:t>（投标人名称）</w:t>
      </w:r>
      <w:r>
        <w:rPr>
          <w:rFonts w:hint="eastAsia" w:ascii="宋体" w:hAnsi="宋体" w:eastAsia="宋体"/>
          <w:color w:val="000000" w:themeColor="text1"/>
          <w:szCs w:val="21"/>
          <w14:textFill>
            <w14:solidFill>
              <w14:schemeClr w14:val="tx1"/>
            </w14:solidFill>
          </w14:textFill>
        </w:rPr>
        <w:t>的法定代表人。</w:t>
      </w:r>
    </w:p>
    <w:p w14:paraId="4D4A515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特此证明。</w:t>
      </w:r>
    </w:p>
    <w:p w14:paraId="371F36BF">
      <w:pPr>
        <w:spacing w:line="360" w:lineRule="auto"/>
        <w:ind w:firstLine="420" w:firstLineChars="200"/>
        <w:rPr>
          <w:rFonts w:ascii="宋体" w:hAnsi="宋体" w:eastAsia="宋体"/>
          <w:color w:val="000000" w:themeColor="text1"/>
          <w:szCs w:val="21"/>
          <w14:textFill>
            <w14:solidFill>
              <w14:schemeClr w14:val="tx1"/>
            </w14:solidFill>
          </w14:textFill>
        </w:rPr>
      </w:pPr>
    </w:p>
    <w:p w14:paraId="43840372">
      <w:pPr>
        <w:spacing w:line="360" w:lineRule="auto"/>
        <w:ind w:firstLine="420" w:firstLineChars="200"/>
        <w:rPr>
          <w:rFonts w:ascii="宋体" w:hAnsi="宋体" w:eastAsia="宋体"/>
          <w:color w:val="000000" w:themeColor="text1"/>
          <w:szCs w:val="21"/>
          <w14:textFill>
            <w14:solidFill>
              <w14:schemeClr w14:val="tx1"/>
            </w14:solidFill>
          </w14:textFill>
        </w:rPr>
      </w:pPr>
    </w:p>
    <w:p w14:paraId="3A84FFE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附件：法定代表人有效身份证正反面复印件</w:t>
      </w:r>
    </w:p>
    <w:p w14:paraId="1B596848">
      <w:pPr>
        <w:spacing w:line="360" w:lineRule="auto"/>
        <w:ind w:firstLine="420" w:firstLineChars="200"/>
        <w:rPr>
          <w:rFonts w:ascii="宋体" w:hAnsi="宋体" w:eastAsia="宋体"/>
          <w:color w:val="000000" w:themeColor="text1"/>
          <w:szCs w:val="21"/>
          <w14:textFill>
            <w14:solidFill>
              <w14:schemeClr w14:val="tx1"/>
            </w14:solidFill>
          </w14:textFill>
        </w:rPr>
      </w:pPr>
    </w:p>
    <w:p w14:paraId="50024A34">
      <w:pPr>
        <w:spacing w:line="360" w:lineRule="auto"/>
        <w:ind w:firstLine="5040" w:firstLineChars="24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投标人名称（电子签章）：</w:t>
      </w:r>
    </w:p>
    <w:p w14:paraId="02E581A3">
      <w:pPr>
        <w:spacing w:line="360" w:lineRule="auto"/>
        <w:ind w:firstLine="5040" w:firstLineChars="24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年</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月</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日</w:t>
      </w:r>
    </w:p>
    <w:p w14:paraId="39AB0E66">
      <w:pPr>
        <w:spacing w:line="360" w:lineRule="auto"/>
        <w:ind w:firstLine="420" w:firstLineChars="200"/>
        <w:rPr>
          <w:rFonts w:ascii="宋体" w:hAnsi="宋体" w:eastAsia="宋体"/>
          <w:color w:val="000000" w:themeColor="text1"/>
          <w:szCs w:val="21"/>
          <w14:textFill>
            <w14:solidFill>
              <w14:schemeClr w14:val="tx1"/>
            </w14:solidFill>
          </w14:textFill>
        </w:rPr>
      </w:pPr>
    </w:p>
    <w:p w14:paraId="7254442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注：自然人投标的无需提供</w:t>
      </w:r>
    </w:p>
    <w:p w14:paraId="25C6BE78">
      <w:pPr>
        <w:spacing w:line="360" w:lineRule="auto"/>
        <w:ind w:firstLine="420" w:firstLineChars="200"/>
        <w:rPr>
          <w:rFonts w:ascii="宋体" w:hAnsi="宋体" w:eastAsia="宋体"/>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5485CDA5">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附件：</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2623A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9" w:hRule="atLeast"/>
        </w:trPr>
        <w:tc>
          <w:tcPr>
            <w:tcW w:w="9060" w:type="dxa"/>
          </w:tcPr>
          <w:p w14:paraId="2C2F1ACB">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法定代表身份证复印件粘帖处（正、反面）</w:t>
            </w:r>
          </w:p>
        </w:tc>
      </w:tr>
    </w:tbl>
    <w:p w14:paraId="41DC9776">
      <w:pPr>
        <w:spacing w:line="360" w:lineRule="auto"/>
        <w:jc w:val="center"/>
        <w:rPr>
          <w:rFonts w:ascii="宋体" w:hAnsi="宋体" w:eastAsia="宋体"/>
          <w:color w:val="000000" w:themeColor="text1"/>
          <w:szCs w:val="21"/>
          <w14:textFill>
            <w14:solidFill>
              <w14:schemeClr w14:val="tx1"/>
            </w14:solidFill>
          </w14:textFill>
        </w:rPr>
      </w:pPr>
    </w:p>
    <w:p w14:paraId="46AB516C">
      <w:pPr>
        <w:spacing w:line="360" w:lineRule="auto"/>
        <w:jc w:val="center"/>
        <w:rPr>
          <w:rFonts w:ascii="宋体" w:hAnsi="宋体" w:eastAsia="宋体"/>
          <w:b/>
          <w:color w:val="000000" w:themeColor="text1"/>
          <w:sz w:val="30"/>
          <w:szCs w:val="30"/>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355F87FB">
      <w:pPr>
        <w:spacing w:line="360" w:lineRule="auto"/>
        <w:jc w:val="center"/>
        <w:rPr>
          <w:rFonts w:ascii="宋体" w:hAnsi="宋体" w:eastAsia="宋体"/>
          <w:b/>
          <w:color w:val="000000" w:themeColor="text1"/>
          <w:sz w:val="30"/>
          <w:szCs w:val="30"/>
          <w14:textFill>
            <w14:solidFill>
              <w14:schemeClr w14:val="tx1"/>
            </w14:solidFill>
          </w14:textFill>
        </w:rPr>
      </w:pPr>
      <w:r>
        <w:rPr>
          <w:rFonts w:hint="eastAsia" w:ascii="宋体" w:hAnsi="宋体" w:eastAsia="宋体"/>
          <w:b/>
          <w:color w:val="000000" w:themeColor="text1"/>
          <w:sz w:val="30"/>
          <w:szCs w:val="30"/>
          <w14:textFill>
            <w14:solidFill>
              <w14:schemeClr w14:val="tx1"/>
            </w14:solidFill>
          </w14:textFill>
        </w:rPr>
        <w:t>三、法定代表人授权委托书（如有委托时）</w:t>
      </w:r>
    </w:p>
    <w:p w14:paraId="2CF089AB">
      <w:pPr>
        <w:spacing w:line="360" w:lineRule="auto"/>
        <w:jc w:val="center"/>
        <w:rPr>
          <w:rFonts w:ascii="宋体" w:hAnsi="宋体" w:eastAsia="宋体"/>
          <w:b/>
          <w:color w:val="000000" w:themeColor="text1"/>
          <w:sz w:val="30"/>
          <w:szCs w:val="30"/>
          <w14:textFill>
            <w14:solidFill>
              <w14:schemeClr w14:val="tx1"/>
            </w14:solidFill>
          </w14:textFill>
        </w:rPr>
      </w:pPr>
      <w:r>
        <w:rPr>
          <w:rFonts w:hint="eastAsia" w:ascii="宋体" w:hAnsi="宋体" w:eastAsia="宋体"/>
          <w:b/>
          <w:color w:val="000000" w:themeColor="text1"/>
          <w:sz w:val="30"/>
          <w:szCs w:val="30"/>
          <w14:textFill>
            <w14:solidFill>
              <w14:schemeClr w14:val="tx1"/>
            </w14:solidFill>
          </w14:textFill>
        </w:rPr>
        <w:t>法定代表人授权委托书</w:t>
      </w:r>
    </w:p>
    <w:p w14:paraId="22DE24AA">
      <w:pPr>
        <w:spacing w:line="360" w:lineRule="auto"/>
        <w:ind w:firstLine="420" w:firstLineChars="200"/>
        <w:rPr>
          <w:rFonts w:ascii="宋体" w:hAnsi="宋体" w:eastAsia="宋体"/>
          <w:color w:val="000000" w:themeColor="text1"/>
          <w:szCs w:val="21"/>
          <w14:textFill>
            <w14:solidFill>
              <w14:schemeClr w14:val="tx1"/>
            </w14:solidFill>
          </w14:textFill>
        </w:rPr>
      </w:pPr>
    </w:p>
    <w:p w14:paraId="3F31426F">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致：</w:t>
      </w:r>
      <w:r>
        <w:rPr>
          <w:rFonts w:hint="eastAsia" w:ascii="宋体" w:hAnsi="宋体" w:eastAsia="宋体"/>
          <w:color w:val="000000" w:themeColor="text1"/>
          <w:szCs w:val="21"/>
          <w:u w:val="single"/>
          <w14:textFill>
            <w14:solidFill>
              <w14:schemeClr w14:val="tx1"/>
            </w14:solidFill>
          </w14:textFill>
        </w:rPr>
        <w:t>[项目采购-采购组织机构]</w:t>
      </w:r>
    </w:p>
    <w:p w14:paraId="5FCE6A6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本人</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（姓名）系</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（投标人名称）的法定代表人，现授权我单位在职正式员工</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（姓名和职务）为我方代理人。代理人根据授权，以我方名义签署、澄清、说明、补正、递交、撤回、修改贵方组织的</w:t>
      </w:r>
      <w:r>
        <w:rPr>
          <w:rFonts w:hint="eastAsia" w:ascii="宋体" w:hAnsi="宋体" w:eastAsia="宋体"/>
          <w:color w:val="000000" w:themeColor="text1"/>
          <w:szCs w:val="21"/>
          <w:u w:val="single"/>
          <w14:textFill>
            <w14:solidFill>
              <w14:schemeClr w14:val="tx1"/>
            </w14:solidFill>
          </w14:textFill>
        </w:rPr>
        <w:t>[项目采购-项目名称]</w:t>
      </w:r>
      <w:r>
        <w:rPr>
          <w:rFonts w:hint="eastAsia" w:ascii="宋体" w:hAnsi="宋体" w:eastAsia="宋体"/>
          <w:color w:val="000000" w:themeColor="text1"/>
          <w:szCs w:val="21"/>
          <w14:textFill>
            <w14:solidFill>
              <w14:schemeClr w14:val="tx1"/>
            </w14:solidFill>
          </w14:textFill>
        </w:rPr>
        <w:t>项目（项目编号：</w:t>
      </w:r>
      <w:r>
        <w:rPr>
          <w:rFonts w:hint="eastAsia" w:ascii="宋体" w:hAnsi="宋体" w:eastAsia="宋体"/>
          <w:color w:val="000000" w:themeColor="text1"/>
          <w:szCs w:val="21"/>
          <w:u w:val="single"/>
          <w14:textFill>
            <w14:solidFill>
              <w14:schemeClr w14:val="tx1"/>
            </w14:solidFill>
          </w14:textFill>
        </w:rPr>
        <w:t>[项目采购-项目编号]</w:t>
      </w:r>
      <w:r>
        <w:rPr>
          <w:rFonts w:hint="eastAsia" w:ascii="宋体" w:hAnsi="宋体" w:eastAsia="宋体"/>
          <w:color w:val="000000" w:themeColor="text1"/>
          <w:szCs w:val="21"/>
          <w14:textFill>
            <w14:solidFill>
              <w14:schemeClr w14:val="tx1"/>
            </w14:solidFill>
          </w14:textFill>
        </w:rPr>
        <w:t>）的投标文件、签订合同和处理一切有关事宜，其法律后果由我方承担。</w:t>
      </w:r>
    </w:p>
    <w:p w14:paraId="0CD4AF3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本授权书于</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年</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月</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日签字生效，委托期限：</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14:paraId="5653650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代理人无转委托权。</w:t>
      </w:r>
    </w:p>
    <w:p w14:paraId="58572A96">
      <w:pPr>
        <w:spacing w:line="360" w:lineRule="auto"/>
        <w:ind w:firstLine="420" w:firstLineChars="200"/>
        <w:rPr>
          <w:rFonts w:ascii="宋体" w:hAnsi="宋体" w:eastAsia="宋体"/>
          <w:color w:val="000000" w:themeColor="text1"/>
          <w:szCs w:val="21"/>
          <w14:textFill>
            <w14:solidFill>
              <w14:schemeClr w14:val="tx1"/>
            </w14:solidFill>
          </w14:textFill>
        </w:rPr>
      </w:pPr>
    </w:p>
    <w:p w14:paraId="2309980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投标人（或联合体投标牵头人名称）（盖单位公章）：</w:t>
      </w:r>
      <w:r>
        <w:rPr>
          <w:rFonts w:ascii="宋体" w:hAnsi="宋体" w:eastAsia="宋体"/>
          <w:color w:val="000000" w:themeColor="text1"/>
          <w:szCs w:val="21"/>
          <w:u w:val="single"/>
          <w14:textFill>
            <w14:solidFill>
              <w14:schemeClr w14:val="tx1"/>
            </w14:solidFill>
          </w14:textFill>
        </w:rPr>
        <w:t xml:space="preserve">                                     </w:t>
      </w:r>
    </w:p>
    <w:p w14:paraId="421B299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法定代表人（签字）：</w:t>
      </w:r>
      <w:r>
        <w:rPr>
          <w:rFonts w:ascii="宋体" w:hAnsi="宋体" w:eastAsia="宋体"/>
          <w:color w:val="000000" w:themeColor="text1"/>
          <w:szCs w:val="21"/>
          <w:u w:val="single"/>
          <w14:textFill>
            <w14:solidFill>
              <w14:schemeClr w14:val="tx1"/>
            </w14:solidFill>
          </w14:textFill>
        </w:rPr>
        <w:t xml:space="preserve">                                                                </w:t>
      </w:r>
    </w:p>
    <w:p w14:paraId="2716DA1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法定代表人身份证号码：</w:t>
      </w:r>
      <w:r>
        <w:rPr>
          <w:rFonts w:ascii="宋体" w:hAnsi="宋体" w:eastAsia="宋体"/>
          <w:color w:val="000000" w:themeColor="text1"/>
          <w:szCs w:val="21"/>
          <w:u w:val="single"/>
          <w14:textFill>
            <w14:solidFill>
              <w14:schemeClr w14:val="tx1"/>
            </w14:solidFill>
          </w14:textFill>
        </w:rPr>
        <w:t xml:space="preserve">                                                             </w:t>
      </w:r>
    </w:p>
    <w:p w14:paraId="32B9C7E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委托代理人（签字）：</w:t>
      </w:r>
      <w:r>
        <w:rPr>
          <w:rFonts w:ascii="宋体" w:hAnsi="宋体" w:eastAsia="宋体"/>
          <w:color w:val="000000" w:themeColor="text1"/>
          <w:szCs w:val="21"/>
          <w:u w:val="single"/>
          <w14:textFill>
            <w14:solidFill>
              <w14:schemeClr w14:val="tx1"/>
            </w14:solidFill>
          </w14:textFill>
        </w:rPr>
        <w:t xml:space="preserve">                                                                </w:t>
      </w:r>
    </w:p>
    <w:p w14:paraId="1C37969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委托代理人身份证号码：</w:t>
      </w:r>
      <w:r>
        <w:rPr>
          <w:rFonts w:ascii="宋体" w:hAnsi="宋体" w:eastAsia="宋体"/>
          <w:color w:val="000000" w:themeColor="text1"/>
          <w:szCs w:val="21"/>
          <w:u w:val="single"/>
          <w14:textFill>
            <w14:solidFill>
              <w14:schemeClr w14:val="tx1"/>
            </w14:solidFill>
          </w14:textFill>
        </w:rPr>
        <w:t xml:space="preserve">                                                             </w:t>
      </w:r>
    </w:p>
    <w:p w14:paraId="1B98908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成员一名称（盖单位公章）：</w:t>
      </w:r>
      <w:r>
        <w:rPr>
          <w:rFonts w:ascii="宋体" w:hAnsi="宋体" w:eastAsia="宋体"/>
          <w:color w:val="000000" w:themeColor="text1"/>
          <w:szCs w:val="21"/>
          <w:u w:val="single"/>
          <w14:textFill>
            <w14:solidFill>
              <w14:schemeClr w14:val="tx1"/>
            </w14:solidFill>
          </w14:textFill>
        </w:rPr>
        <w:t xml:space="preserve">                                                          </w:t>
      </w:r>
    </w:p>
    <w:p w14:paraId="46EE0A1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法定代表人（签字）：</w:t>
      </w:r>
      <w:r>
        <w:rPr>
          <w:rFonts w:ascii="宋体" w:hAnsi="宋体" w:eastAsia="宋体"/>
          <w:color w:val="000000" w:themeColor="text1"/>
          <w:szCs w:val="21"/>
          <w:u w:val="single"/>
          <w14:textFill>
            <w14:solidFill>
              <w14:schemeClr w14:val="tx1"/>
            </w14:solidFill>
          </w14:textFill>
        </w:rPr>
        <w:t xml:space="preserve">                                                                </w:t>
      </w:r>
    </w:p>
    <w:p w14:paraId="3506469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成员二名称（盖单位公章）：</w:t>
      </w:r>
      <w:r>
        <w:rPr>
          <w:rFonts w:ascii="宋体" w:hAnsi="宋体" w:eastAsia="宋体"/>
          <w:color w:val="000000" w:themeColor="text1"/>
          <w:szCs w:val="21"/>
          <w:u w:val="single"/>
          <w14:textFill>
            <w14:solidFill>
              <w14:schemeClr w14:val="tx1"/>
            </w14:solidFill>
          </w14:textFill>
        </w:rPr>
        <w:t xml:space="preserve">                                                          </w:t>
      </w:r>
    </w:p>
    <w:p w14:paraId="4CCFAD3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法定代表人或其委托代理人（签字）：</w:t>
      </w:r>
      <w:r>
        <w:rPr>
          <w:rFonts w:ascii="宋体" w:hAnsi="宋体" w:eastAsia="宋体"/>
          <w:color w:val="000000" w:themeColor="text1"/>
          <w:szCs w:val="21"/>
          <w:u w:val="single"/>
          <w14:textFill>
            <w14:solidFill>
              <w14:schemeClr w14:val="tx1"/>
            </w14:solidFill>
          </w14:textFill>
        </w:rPr>
        <w:t xml:space="preserve">                                                  </w:t>
      </w:r>
    </w:p>
    <w:p w14:paraId="5635931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w:t>
      </w:r>
    </w:p>
    <w:p w14:paraId="6059A1D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w:t>
      </w:r>
    </w:p>
    <w:p w14:paraId="69A29AE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1.法定代表人和委托代理人必须在授权委托书上亲笔签名，不得使用印章、签名章或者其他电子制版签名代替，</w:t>
      </w:r>
      <w:r>
        <w:rPr>
          <w:rFonts w:hint="eastAsia" w:ascii="宋体" w:hAnsi="宋体" w:eastAsia="宋体"/>
          <w:b/>
          <w:color w:val="000000" w:themeColor="text1"/>
          <w:szCs w:val="21"/>
          <w14:textFill>
            <w14:solidFill>
              <w14:schemeClr w14:val="tx1"/>
            </w14:solidFill>
          </w14:textFill>
        </w:rPr>
        <w:t>否则作无效投标处理；</w:t>
      </w:r>
    </w:p>
    <w:p w14:paraId="1E1E96E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2.以联合体形式投标的，本授权委托书应由联合体牵头人的法定代表人按上述规定签署。</w:t>
      </w:r>
    </w:p>
    <w:p w14:paraId="168FA16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1F2F36C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4.若为联合体投标须各方签字或盖章。</w:t>
      </w:r>
    </w:p>
    <w:p w14:paraId="7154FB4E">
      <w:pPr>
        <w:spacing w:line="360" w:lineRule="auto"/>
        <w:ind w:firstLine="420" w:firstLineChars="200"/>
        <w:rPr>
          <w:rFonts w:ascii="宋体" w:hAnsi="宋体" w:eastAsia="宋体"/>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6439D413">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附件：</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53346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6" w:hRule="atLeast"/>
        </w:trPr>
        <w:tc>
          <w:tcPr>
            <w:tcW w:w="9060" w:type="dxa"/>
          </w:tcPr>
          <w:p w14:paraId="1989B6BE">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全权代表身份证复印件粘帖处（正、反面）</w:t>
            </w:r>
          </w:p>
        </w:tc>
      </w:tr>
    </w:tbl>
    <w:p w14:paraId="1CA14E0E">
      <w:pPr>
        <w:spacing w:line="360" w:lineRule="auto"/>
        <w:jc w:val="center"/>
        <w:rPr>
          <w:rFonts w:ascii="宋体" w:hAnsi="宋体" w:eastAsia="宋体"/>
          <w:color w:val="000000" w:themeColor="text1"/>
          <w:szCs w:val="21"/>
          <w14:textFill>
            <w14:solidFill>
              <w14:schemeClr w14:val="tx1"/>
            </w14:solidFill>
          </w14:textFill>
        </w:rPr>
      </w:pPr>
    </w:p>
    <w:p w14:paraId="733C3D4F">
      <w:pPr>
        <w:spacing w:line="360" w:lineRule="auto"/>
        <w:ind w:firstLine="420" w:firstLineChars="200"/>
        <w:rPr>
          <w:rFonts w:ascii="宋体" w:hAnsi="宋体" w:eastAsia="宋体"/>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6908F1D0">
      <w:pPr>
        <w:spacing w:line="360" w:lineRule="auto"/>
        <w:jc w:val="center"/>
        <w:rPr>
          <w:rFonts w:ascii="宋体" w:hAnsi="宋体" w:eastAsia="宋体"/>
          <w:b/>
          <w:color w:val="000000" w:themeColor="text1"/>
          <w:sz w:val="30"/>
          <w:szCs w:val="30"/>
          <w14:textFill>
            <w14:solidFill>
              <w14:schemeClr w14:val="tx1"/>
            </w14:solidFill>
          </w14:textFill>
        </w:rPr>
      </w:pPr>
      <w:r>
        <w:rPr>
          <w:rFonts w:hint="eastAsia" w:ascii="宋体" w:hAnsi="宋体" w:eastAsia="宋体"/>
          <w:b/>
          <w:color w:val="000000" w:themeColor="text1"/>
          <w:sz w:val="30"/>
          <w:szCs w:val="30"/>
          <w14:textFill>
            <w14:solidFill>
              <w14:schemeClr w14:val="tx1"/>
            </w14:solidFill>
          </w14:textFill>
        </w:rPr>
        <w:t>四、商务条款偏离表</w:t>
      </w:r>
    </w:p>
    <w:p w14:paraId="1731AAFB">
      <w:pPr>
        <w:spacing w:line="360" w:lineRule="auto"/>
        <w:jc w:val="center"/>
        <w:rPr>
          <w:rFonts w:ascii="宋体" w:hAnsi="宋体" w:eastAsia="宋体"/>
          <w:b/>
          <w:color w:val="000000" w:themeColor="text1"/>
          <w:sz w:val="30"/>
          <w:szCs w:val="30"/>
          <w14:textFill>
            <w14:solidFill>
              <w14:schemeClr w14:val="tx1"/>
            </w14:solidFill>
          </w14:textFill>
        </w:rPr>
      </w:pPr>
      <w:r>
        <w:rPr>
          <w:rFonts w:hint="eastAsia" w:ascii="宋体" w:hAnsi="宋体" w:eastAsia="宋体"/>
          <w:b/>
          <w:color w:val="000000" w:themeColor="text1"/>
          <w:sz w:val="30"/>
          <w:szCs w:val="30"/>
          <w14:textFill>
            <w14:solidFill>
              <w14:schemeClr w14:val="tx1"/>
            </w14:solidFill>
          </w14:textFill>
        </w:rPr>
        <w:t>（注：按项目需求表具体项目修改）</w:t>
      </w:r>
    </w:p>
    <w:p w14:paraId="677920AB">
      <w:pPr>
        <w:spacing w:line="360" w:lineRule="auto"/>
        <w:ind w:firstLine="420" w:firstLineChars="200"/>
        <w:rPr>
          <w:rFonts w:ascii="宋体" w:hAnsi="宋体" w:eastAsia="宋体"/>
          <w:color w:val="000000" w:themeColor="text1"/>
          <w:szCs w:val="21"/>
          <w14:textFill>
            <w14:solidFill>
              <w14:schemeClr w14:val="tx1"/>
            </w14:solidFill>
          </w14:textFill>
        </w:rPr>
      </w:pPr>
    </w:p>
    <w:p w14:paraId="2CE736E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请逐条对应本项目招标文件第二章“货物需求一览表”中“商务条款”的要求，详细填写相应的具体内容。“偏离说明”一栏应当选择“正偏离”、“负偏离”或“无偏离”进行填写。</w:t>
      </w:r>
    </w:p>
    <w:tbl>
      <w:tblPr>
        <w:tblStyle w:val="14"/>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2601"/>
        <w:gridCol w:w="2733"/>
        <w:gridCol w:w="2856"/>
      </w:tblGrid>
      <w:tr w14:paraId="6BC48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pct"/>
            <w:vAlign w:val="center"/>
          </w:tcPr>
          <w:p w14:paraId="3D31521F">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项号</w:t>
            </w:r>
          </w:p>
        </w:tc>
        <w:tc>
          <w:tcPr>
            <w:tcW w:w="1402" w:type="pct"/>
            <w:vAlign w:val="center"/>
          </w:tcPr>
          <w:p w14:paraId="282836D2">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招标文件的商务需求</w:t>
            </w:r>
          </w:p>
        </w:tc>
        <w:tc>
          <w:tcPr>
            <w:tcW w:w="1473" w:type="pct"/>
            <w:vAlign w:val="center"/>
          </w:tcPr>
          <w:p w14:paraId="29CBDBAD">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投标文件承诺的商务条款</w:t>
            </w:r>
          </w:p>
        </w:tc>
        <w:tc>
          <w:tcPr>
            <w:tcW w:w="1539" w:type="pct"/>
            <w:vAlign w:val="center"/>
          </w:tcPr>
          <w:p w14:paraId="0CB736F8">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偏离说明</w:t>
            </w:r>
          </w:p>
        </w:tc>
      </w:tr>
      <w:tr w14:paraId="76206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pct"/>
            <w:vMerge w:val="restart"/>
            <w:vAlign w:val="center"/>
          </w:tcPr>
          <w:p w14:paraId="6D942CE3">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一</w:t>
            </w:r>
          </w:p>
        </w:tc>
        <w:tc>
          <w:tcPr>
            <w:tcW w:w="1402" w:type="pct"/>
            <w:vAlign w:val="center"/>
          </w:tcPr>
          <w:p w14:paraId="688AF4FA">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tc>
        <w:tc>
          <w:tcPr>
            <w:tcW w:w="1473" w:type="pct"/>
            <w:vAlign w:val="center"/>
          </w:tcPr>
          <w:p w14:paraId="35E5060B">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tc>
        <w:tc>
          <w:tcPr>
            <w:tcW w:w="1539" w:type="pct"/>
            <w:vAlign w:val="center"/>
          </w:tcPr>
          <w:p w14:paraId="2E25AB10">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正偏离（负偏离或无偏离）</w:t>
            </w:r>
          </w:p>
        </w:tc>
      </w:tr>
      <w:tr w14:paraId="58ED3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pct"/>
            <w:vMerge w:val="continue"/>
            <w:vAlign w:val="center"/>
          </w:tcPr>
          <w:p w14:paraId="533DB9F1">
            <w:pPr>
              <w:spacing w:line="360" w:lineRule="auto"/>
              <w:jc w:val="center"/>
              <w:rPr>
                <w:rFonts w:ascii="宋体" w:hAnsi="宋体" w:eastAsia="宋体"/>
                <w:color w:val="000000" w:themeColor="text1"/>
                <w:szCs w:val="21"/>
                <w14:textFill>
                  <w14:solidFill>
                    <w14:schemeClr w14:val="tx1"/>
                  </w14:solidFill>
                </w14:textFill>
              </w:rPr>
            </w:pPr>
          </w:p>
        </w:tc>
        <w:tc>
          <w:tcPr>
            <w:tcW w:w="1402" w:type="pct"/>
            <w:vAlign w:val="center"/>
          </w:tcPr>
          <w:p w14:paraId="02133948">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2……</w:t>
            </w:r>
          </w:p>
        </w:tc>
        <w:tc>
          <w:tcPr>
            <w:tcW w:w="1473" w:type="pct"/>
            <w:vAlign w:val="center"/>
          </w:tcPr>
          <w:p w14:paraId="368933C2">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2……</w:t>
            </w:r>
          </w:p>
        </w:tc>
        <w:tc>
          <w:tcPr>
            <w:tcW w:w="1539" w:type="pct"/>
            <w:vAlign w:val="center"/>
          </w:tcPr>
          <w:p w14:paraId="48936096">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正偏离（负偏离或无偏离）</w:t>
            </w:r>
          </w:p>
        </w:tc>
      </w:tr>
      <w:tr w14:paraId="255EB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pct"/>
            <w:vMerge w:val="continue"/>
            <w:vAlign w:val="center"/>
          </w:tcPr>
          <w:p w14:paraId="1EDAF41B">
            <w:pPr>
              <w:spacing w:line="360" w:lineRule="auto"/>
              <w:jc w:val="center"/>
              <w:rPr>
                <w:rFonts w:ascii="宋体" w:hAnsi="宋体" w:eastAsia="宋体"/>
                <w:color w:val="000000" w:themeColor="text1"/>
                <w:szCs w:val="21"/>
                <w14:textFill>
                  <w14:solidFill>
                    <w14:schemeClr w14:val="tx1"/>
                  </w14:solidFill>
                </w14:textFill>
              </w:rPr>
            </w:pPr>
          </w:p>
        </w:tc>
        <w:tc>
          <w:tcPr>
            <w:tcW w:w="1402" w:type="pct"/>
            <w:vAlign w:val="center"/>
          </w:tcPr>
          <w:p w14:paraId="50D36DEC">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3……</w:t>
            </w:r>
          </w:p>
        </w:tc>
        <w:tc>
          <w:tcPr>
            <w:tcW w:w="1473" w:type="pct"/>
            <w:vAlign w:val="center"/>
          </w:tcPr>
          <w:p w14:paraId="5A2CE6D3">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3……</w:t>
            </w:r>
          </w:p>
        </w:tc>
        <w:tc>
          <w:tcPr>
            <w:tcW w:w="1539" w:type="pct"/>
            <w:vAlign w:val="center"/>
          </w:tcPr>
          <w:p w14:paraId="07A022AB">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正偏离（负偏离或无偏离）</w:t>
            </w:r>
          </w:p>
        </w:tc>
      </w:tr>
      <w:tr w14:paraId="7DAA4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pct"/>
            <w:vMerge w:val="continue"/>
            <w:vAlign w:val="center"/>
          </w:tcPr>
          <w:p w14:paraId="3CB232B2">
            <w:pPr>
              <w:spacing w:line="360" w:lineRule="auto"/>
              <w:jc w:val="center"/>
              <w:rPr>
                <w:rFonts w:ascii="宋体" w:hAnsi="宋体" w:eastAsia="宋体"/>
                <w:color w:val="000000" w:themeColor="text1"/>
                <w:szCs w:val="21"/>
                <w14:textFill>
                  <w14:solidFill>
                    <w14:schemeClr w14:val="tx1"/>
                  </w14:solidFill>
                </w14:textFill>
              </w:rPr>
            </w:pPr>
          </w:p>
        </w:tc>
        <w:tc>
          <w:tcPr>
            <w:tcW w:w="1402" w:type="pct"/>
            <w:vAlign w:val="center"/>
          </w:tcPr>
          <w:p w14:paraId="1B4F984E">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473" w:type="pct"/>
            <w:vAlign w:val="center"/>
          </w:tcPr>
          <w:p w14:paraId="5792A04E">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539" w:type="pct"/>
            <w:vAlign w:val="center"/>
          </w:tcPr>
          <w:p w14:paraId="2F1CC47A">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正偏离（负偏离或无偏离）</w:t>
            </w:r>
          </w:p>
        </w:tc>
      </w:tr>
      <w:tr w14:paraId="16B8A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pct"/>
            <w:vMerge w:val="restart"/>
            <w:vAlign w:val="center"/>
          </w:tcPr>
          <w:p w14:paraId="081792D5">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二</w:t>
            </w:r>
          </w:p>
        </w:tc>
        <w:tc>
          <w:tcPr>
            <w:tcW w:w="1402" w:type="pct"/>
            <w:vAlign w:val="center"/>
          </w:tcPr>
          <w:p w14:paraId="0B68ADA7">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tc>
        <w:tc>
          <w:tcPr>
            <w:tcW w:w="1473" w:type="pct"/>
            <w:vAlign w:val="center"/>
          </w:tcPr>
          <w:p w14:paraId="49DAA2F4">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tc>
        <w:tc>
          <w:tcPr>
            <w:tcW w:w="1539" w:type="pct"/>
            <w:vAlign w:val="center"/>
          </w:tcPr>
          <w:p w14:paraId="63AA48D3">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正偏离（负偏离或无偏离）</w:t>
            </w:r>
          </w:p>
        </w:tc>
      </w:tr>
      <w:tr w14:paraId="39B23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pct"/>
            <w:vMerge w:val="continue"/>
            <w:vAlign w:val="center"/>
          </w:tcPr>
          <w:p w14:paraId="45CC1E1B">
            <w:pPr>
              <w:spacing w:line="360" w:lineRule="auto"/>
              <w:jc w:val="center"/>
              <w:rPr>
                <w:rFonts w:ascii="宋体" w:hAnsi="宋体" w:eastAsia="宋体"/>
                <w:color w:val="000000" w:themeColor="text1"/>
                <w:szCs w:val="21"/>
                <w14:textFill>
                  <w14:solidFill>
                    <w14:schemeClr w14:val="tx1"/>
                  </w14:solidFill>
                </w14:textFill>
              </w:rPr>
            </w:pPr>
          </w:p>
        </w:tc>
        <w:tc>
          <w:tcPr>
            <w:tcW w:w="1402" w:type="pct"/>
            <w:vAlign w:val="center"/>
          </w:tcPr>
          <w:p w14:paraId="42ABD5C3">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2……</w:t>
            </w:r>
          </w:p>
        </w:tc>
        <w:tc>
          <w:tcPr>
            <w:tcW w:w="1473" w:type="pct"/>
            <w:vAlign w:val="center"/>
          </w:tcPr>
          <w:p w14:paraId="55347F84">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2……</w:t>
            </w:r>
          </w:p>
        </w:tc>
        <w:tc>
          <w:tcPr>
            <w:tcW w:w="1539" w:type="pct"/>
            <w:vAlign w:val="center"/>
          </w:tcPr>
          <w:p w14:paraId="5A0CD773">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正偏离（负偏离或无偏离）</w:t>
            </w:r>
          </w:p>
        </w:tc>
      </w:tr>
      <w:tr w14:paraId="0F9D1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pct"/>
            <w:vMerge w:val="continue"/>
            <w:vAlign w:val="center"/>
          </w:tcPr>
          <w:p w14:paraId="0416EE0A">
            <w:pPr>
              <w:spacing w:line="360" w:lineRule="auto"/>
              <w:jc w:val="center"/>
              <w:rPr>
                <w:rFonts w:ascii="宋体" w:hAnsi="宋体" w:eastAsia="宋体"/>
                <w:color w:val="000000" w:themeColor="text1"/>
                <w:szCs w:val="21"/>
                <w14:textFill>
                  <w14:solidFill>
                    <w14:schemeClr w14:val="tx1"/>
                  </w14:solidFill>
                </w14:textFill>
              </w:rPr>
            </w:pPr>
          </w:p>
        </w:tc>
        <w:tc>
          <w:tcPr>
            <w:tcW w:w="1402" w:type="pct"/>
            <w:vAlign w:val="center"/>
          </w:tcPr>
          <w:p w14:paraId="7EB6AE0D">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3……</w:t>
            </w:r>
          </w:p>
        </w:tc>
        <w:tc>
          <w:tcPr>
            <w:tcW w:w="1473" w:type="pct"/>
            <w:vAlign w:val="center"/>
          </w:tcPr>
          <w:p w14:paraId="4140204F">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3……</w:t>
            </w:r>
          </w:p>
        </w:tc>
        <w:tc>
          <w:tcPr>
            <w:tcW w:w="1539" w:type="pct"/>
            <w:vAlign w:val="center"/>
          </w:tcPr>
          <w:p w14:paraId="54244CA4">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正偏离（负偏离或无偏离）</w:t>
            </w:r>
          </w:p>
        </w:tc>
      </w:tr>
      <w:tr w14:paraId="3449F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pct"/>
            <w:vMerge w:val="continue"/>
            <w:vAlign w:val="center"/>
          </w:tcPr>
          <w:p w14:paraId="187628EA">
            <w:pPr>
              <w:spacing w:line="360" w:lineRule="auto"/>
              <w:jc w:val="center"/>
              <w:rPr>
                <w:rFonts w:ascii="宋体" w:hAnsi="宋体" w:eastAsia="宋体"/>
                <w:color w:val="000000" w:themeColor="text1"/>
                <w:szCs w:val="21"/>
                <w14:textFill>
                  <w14:solidFill>
                    <w14:schemeClr w14:val="tx1"/>
                  </w14:solidFill>
                </w14:textFill>
              </w:rPr>
            </w:pPr>
          </w:p>
        </w:tc>
        <w:tc>
          <w:tcPr>
            <w:tcW w:w="1402" w:type="pct"/>
            <w:vAlign w:val="center"/>
          </w:tcPr>
          <w:p w14:paraId="080C53C1">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473" w:type="pct"/>
            <w:vAlign w:val="center"/>
          </w:tcPr>
          <w:p w14:paraId="5BF5D62C">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539" w:type="pct"/>
            <w:vAlign w:val="center"/>
          </w:tcPr>
          <w:p w14:paraId="012645A2">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正偏离（负偏离或无偏离）</w:t>
            </w:r>
          </w:p>
        </w:tc>
      </w:tr>
      <w:tr w14:paraId="6EDF3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pct"/>
            <w:vMerge w:val="restart"/>
            <w:vAlign w:val="center"/>
          </w:tcPr>
          <w:p w14:paraId="15963EBB">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402" w:type="pct"/>
            <w:vAlign w:val="center"/>
          </w:tcPr>
          <w:p w14:paraId="3FF1393A">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tc>
        <w:tc>
          <w:tcPr>
            <w:tcW w:w="1473" w:type="pct"/>
            <w:vAlign w:val="center"/>
          </w:tcPr>
          <w:p w14:paraId="242D4B7D">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tc>
        <w:tc>
          <w:tcPr>
            <w:tcW w:w="1539" w:type="pct"/>
            <w:vAlign w:val="center"/>
          </w:tcPr>
          <w:p w14:paraId="78B5BB4C">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正偏离（负偏离或无偏离）</w:t>
            </w:r>
          </w:p>
        </w:tc>
      </w:tr>
      <w:tr w14:paraId="6737F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pct"/>
            <w:vMerge w:val="continue"/>
            <w:vAlign w:val="center"/>
          </w:tcPr>
          <w:p w14:paraId="0473B59D">
            <w:pPr>
              <w:spacing w:line="360" w:lineRule="auto"/>
              <w:jc w:val="center"/>
              <w:rPr>
                <w:rFonts w:ascii="宋体" w:hAnsi="宋体" w:eastAsia="宋体"/>
                <w:color w:val="000000" w:themeColor="text1"/>
                <w:szCs w:val="21"/>
                <w14:textFill>
                  <w14:solidFill>
                    <w14:schemeClr w14:val="tx1"/>
                  </w14:solidFill>
                </w14:textFill>
              </w:rPr>
            </w:pPr>
          </w:p>
        </w:tc>
        <w:tc>
          <w:tcPr>
            <w:tcW w:w="1402" w:type="pct"/>
            <w:vAlign w:val="center"/>
          </w:tcPr>
          <w:p w14:paraId="660AED46">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2……</w:t>
            </w:r>
          </w:p>
        </w:tc>
        <w:tc>
          <w:tcPr>
            <w:tcW w:w="1473" w:type="pct"/>
            <w:vAlign w:val="center"/>
          </w:tcPr>
          <w:p w14:paraId="4C3D7AD5">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2……</w:t>
            </w:r>
          </w:p>
        </w:tc>
        <w:tc>
          <w:tcPr>
            <w:tcW w:w="1539" w:type="pct"/>
            <w:vAlign w:val="center"/>
          </w:tcPr>
          <w:p w14:paraId="6D9E2680">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正偏离（负偏离或无偏离）</w:t>
            </w:r>
          </w:p>
        </w:tc>
      </w:tr>
      <w:tr w14:paraId="25039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pct"/>
            <w:vMerge w:val="continue"/>
            <w:vAlign w:val="center"/>
          </w:tcPr>
          <w:p w14:paraId="68FD81AF">
            <w:pPr>
              <w:spacing w:line="360" w:lineRule="auto"/>
              <w:jc w:val="center"/>
              <w:rPr>
                <w:rFonts w:ascii="宋体" w:hAnsi="宋体" w:eastAsia="宋体"/>
                <w:color w:val="000000" w:themeColor="text1"/>
                <w:szCs w:val="21"/>
                <w14:textFill>
                  <w14:solidFill>
                    <w14:schemeClr w14:val="tx1"/>
                  </w14:solidFill>
                </w14:textFill>
              </w:rPr>
            </w:pPr>
          </w:p>
        </w:tc>
        <w:tc>
          <w:tcPr>
            <w:tcW w:w="1402" w:type="pct"/>
            <w:vAlign w:val="center"/>
          </w:tcPr>
          <w:p w14:paraId="606518CC">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3……</w:t>
            </w:r>
          </w:p>
        </w:tc>
        <w:tc>
          <w:tcPr>
            <w:tcW w:w="1473" w:type="pct"/>
            <w:vAlign w:val="center"/>
          </w:tcPr>
          <w:p w14:paraId="21753E7A">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3……</w:t>
            </w:r>
          </w:p>
        </w:tc>
        <w:tc>
          <w:tcPr>
            <w:tcW w:w="1539" w:type="pct"/>
            <w:vAlign w:val="center"/>
          </w:tcPr>
          <w:p w14:paraId="29EA852B">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正偏离（负偏离或无偏离）</w:t>
            </w:r>
          </w:p>
        </w:tc>
      </w:tr>
      <w:tr w14:paraId="6ED13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pct"/>
            <w:vMerge w:val="continue"/>
            <w:vAlign w:val="center"/>
          </w:tcPr>
          <w:p w14:paraId="165CAF21">
            <w:pPr>
              <w:spacing w:line="360" w:lineRule="auto"/>
              <w:jc w:val="center"/>
              <w:rPr>
                <w:rFonts w:ascii="宋体" w:hAnsi="宋体" w:eastAsia="宋体"/>
                <w:color w:val="000000" w:themeColor="text1"/>
                <w:szCs w:val="21"/>
                <w14:textFill>
                  <w14:solidFill>
                    <w14:schemeClr w14:val="tx1"/>
                  </w14:solidFill>
                </w14:textFill>
              </w:rPr>
            </w:pPr>
          </w:p>
        </w:tc>
        <w:tc>
          <w:tcPr>
            <w:tcW w:w="1402" w:type="pct"/>
            <w:vAlign w:val="center"/>
          </w:tcPr>
          <w:p w14:paraId="7CB73DB5">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473" w:type="pct"/>
            <w:vAlign w:val="center"/>
          </w:tcPr>
          <w:p w14:paraId="1CC735DA">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539" w:type="pct"/>
            <w:vAlign w:val="center"/>
          </w:tcPr>
          <w:p w14:paraId="2169B1A8">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正偏离（负偏离或无偏离）</w:t>
            </w:r>
          </w:p>
        </w:tc>
      </w:tr>
      <w:tr w14:paraId="444AE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14:paraId="6BFC2CAD">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分标（此处有分标时填写具体分标号，无分标时填写“无”）</w:t>
            </w:r>
          </w:p>
        </w:tc>
      </w:tr>
    </w:tbl>
    <w:p w14:paraId="091AA6A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w:t>
      </w:r>
    </w:p>
    <w:p w14:paraId="5E771A8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1.表格内容均需按要求填写并盖章，不得留空，否则按投标无效处理。</w:t>
      </w:r>
    </w:p>
    <w:p w14:paraId="1A423F3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2.当投标文件的商务内容低于招标文件要求时，投标人应当如实写明“负偏离”，否则视为虚假应标。</w:t>
      </w:r>
    </w:p>
    <w:p w14:paraId="7A7F9FA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3.采购需求中带“▲”及“★”的条款，也要分别在本表“投标文件的商务需求”、“投标文件承诺的商务条款”中标记。</w:t>
      </w:r>
    </w:p>
    <w:p w14:paraId="0D1BD95B">
      <w:pPr>
        <w:spacing w:line="360" w:lineRule="auto"/>
        <w:ind w:firstLine="5040" w:firstLineChars="24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投标人名称（电子签章）：</w:t>
      </w:r>
    </w:p>
    <w:p w14:paraId="006E20E6">
      <w:pPr>
        <w:spacing w:line="360" w:lineRule="auto"/>
        <w:ind w:firstLine="5040" w:firstLineChars="24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年</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月</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日</w:t>
      </w:r>
    </w:p>
    <w:p w14:paraId="1BF0CACF">
      <w:pPr>
        <w:spacing w:line="360" w:lineRule="auto"/>
        <w:ind w:firstLine="420" w:firstLineChars="200"/>
        <w:rPr>
          <w:rFonts w:ascii="宋体" w:hAnsi="宋体" w:eastAsia="宋体"/>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7FA123F7">
      <w:pPr>
        <w:spacing w:line="360" w:lineRule="auto"/>
        <w:jc w:val="center"/>
        <w:rPr>
          <w:rFonts w:ascii="宋体" w:hAnsi="宋体" w:eastAsia="宋体"/>
          <w:b/>
          <w:color w:val="000000" w:themeColor="text1"/>
          <w:sz w:val="30"/>
          <w:szCs w:val="30"/>
          <w14:textFill>
            <w14:solidFill>
              <w14:schemeClr w14:val="tx1"/>
            </w14:solidFill>
          </w14:textFill>
        </w:rPr>
      </w:pPr>
      <w:r>
        <w:rPr>
          <w:rFonts w:hint="eastAsia" w:ascii="宋体" w:hAnsi="宋体" w:eastAsia="宋体"/>
          <w:b/>
          <w:color w:val="000000" w:themeColor="text1"/>
          <w:sz w:val="30"/>
          <w:szCs w:val="30"/>
          <w14:textFill>
            <w14:solidFill>
              <w14:schemeClr w14:val="tx1"/>
            </w14:solidFill>
          </w14:textFill>
        </w:rPr>
        <w:t>五、投标人情况介绍</w:t>
      </w:r>
    </w:p>
    <w:p w14:paraId="63EDABFC">
      <w:pPr>
        <w:spacing w:line="360" w:lineRule="auto"/>
        <w:jc w:val="center"/>
        <w:rPr>
          <w:rFonts w:ascii="宋体" w:hAnsi="宋体" w:eastAsia="宋体"/>
          <w:b/>
          <w:color w:val="000000" w:themeColor="text1"/>
          <w:sz w:val="30"/>
          <w:szCs w:val="30"/>
          <w14:textFill>
            <w14:solidFill>
              <w14:schemeClr w14:val="tx1"/>
            </w14:solidFill>
          </w14:textFill>
        </w:rPr>
      </w:pPr>
      <w:r>
        <w:rPr>
          <w:rFonts w:hint="eastAsia" w:ascii="宋体" w:hAnsi="宋体" w:eastAsia="宋体"/>
          <w:b/>
          <w:color w:val="000000" w:themeColor="text1"/>
          <w:sz w:val="30"/>
          <w:szCs w:val="30"/>
          <w14:textFill>
            <w14:solidFill>
              <w14:schemeClr w14:val="tx1"/>
            </w14:solidFill>
          </w14:textFill>
        </w:rPr>
        <w:t>（格式自拟）</w:t>
      </w:r>
    </w:p>
    <w:p w14:paraId="2FEBBE56">
      <w:pPr>
        <w:spacing w:line="360" w:lineRule="auto"/>
        <w:ind w:firstLine="420" w:firstLineChars="200"/>
        <w:rPr>
          <w:rFonts w:ascii="宋体" w:hAnsi="宋体" w:eastAsia="宋体"/>
          <w:color w:val="000000" w:themeColor="text1"/>
          <w:szCs w:val="21"/>
          <w14:textFill>
            <w14:solidFill>
              <w14:schemeClr w14:val="tx1"/>
            </w14:solidFill>
          </w14:textFill>
        </w:rPr>
      </w:pPr>
    </w:p>
    <w:p w14:paraId="01F1B047">
      <w:pPr>
        <w:spacing w:line="360" w:lineRule="auto"/>
        <w:ind w:firstLine="5040" w:firstLineChars="24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投标人名称（电子签章）：</w:t>
      </w:r>
    </w:p>
    <w:p w14:paraId="30044EC3">
      <w:pPr>
        <w:spacing w:line="360" w:lineRule="auto"/>
        <w:ind w:firstLine="5040" w:firstLineChars="24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年</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月</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日</w:t>
      </w:r>
    </w:p>
    <w:p w14:paraId="304E66CF">
      <w:pPr>
        <w:spacing w:line="360" w:lineRule="auto"/>
        <w:ind w:firstLine="420" w:firstLineChars="200"/>
        <w:rPr>
          <w:rFonts w:ascii="宋体" w:hAnsi="宋体" w:eastAsia="宋体"/>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4ACAE71E">
      <w:pPr>
        <w:spacing w:line="360" w:lineRule="auto"/>
        <w:jc w:val="center"/>
        <w:rPr>
          <w:rFonts w:ascii="宋体" w:hAnsi="宋体" w:eastAsia="宋体"/>
          <w:b/>
          <w:color w:val="000000" w:themeColor="text1"/>
          <w:sz w:val="30"/>
          <w:szCs w:val="30"/>
          <w14:textFill>
            <w14:solidFill>
              <w14:schemeClr w14:val="tx1"/>
            </w14:solidFill>
          </w14:textFill>
        </w:rPr>
      </w:pPr>
      <w:r>
        <w:rPr>
          <w:rFonts w:hint="eastAsia" w:ascii="宋体" w:hAnsi="宋体" w:eastAsia="宋体"/>
          <w:b/>
          <w:color w:val="000000" w:themeColor="text1"/>
          <w:sz w:val="30"/>
          <w:szCs w:val="30"/>
          <w14:textFill>
            <w14:solidFill>
              <w14:schemeClr w14:val="tx1"/>
            </w14:solidFill>
          </w14:textFill>
        </w:rPr>
        <w:t>六、投标人类似的业绩证明文件</w:t>
      </w:r>
    </w:p>
    <w:p w14:paraId="65115485">
      <w:pPr>
        <w:spacing w:line="360" w:lineRule="auto"/>
        <w:ind w:firstLine="420" w:firstLineChars="200"/>
        <w:rPr>
          <w:rFonts w:ascii="宋体" w:hAnsi="宋体" w:eastAsia="宋体"/>
          <w:color w:val="000000" w:themeColor="text1"/>
          <w:szCs w:val="21"/>
          <w14:textFill>
            <w14:solidFill>
              <w14:schemeClr w14:val="tx1"/>
            </w14:solidFill>
          </w14:textFill>
        </w:rPr>
      </w:pPr>
    </w:p>
    <w:p w14:paraId="64E45E5C">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附表：投标人类似的业绩一览表（投标人同类项目合同复印件、用户验收报告、用户评价意见格式自拟）</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4"/>
        <w:gridCol w:w="1324"/>
        <w:gridCol w:w="1335"/>
        <w:gridCol w:w="1325"/>
        <w:gridCol w:w="1326"/>
        <w:gridCol w:w="1326"/>
        <w:gridCol w:w="1326"/>
      </w:tblGrid>
      <w:tr w14:paraId="497F1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vMerge w:val="restart"/>
            <w:vAlign w:val="center"/>
          </w:tcPr>
          <w:p w14:paraId="2804ECC7">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采购人名称</w:t>
            </w:r>
          </w:p>
        </w:tc>
        <w:tc>
          <w:tcPr>
            <w:tcW w:w="1375" w:type="dxa"/>
            <w:vMerge w:val="restart"/>
            <w:vAlign w:val="center"/>
          </w:tcPr>
          <w:p w14:paraId="5FFC63B6">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项目名称</w:t>
            </w:r>
          </w:p>
        </w:tc>
        <w:tc>
          <w:tcPr>
            <w:tcW w:w="1375" w:type="dxa"/>
            <w:vMerge w:val="restart"/>
            <w:vAlign w:val="center"/>
          </w:tcPr>
          <w:p w14:paraId="708A19A7">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合同金额（万元）</w:t>
            </w:r>
          </w:p>
        </w:tc>
        <w:tc>
          <w:tcPr>
            <w:tcW w:w="4127" w:type="dxa"/>
            <w:gridSpan w:val="3"/>
            <w:vAlign w:val="center"/>
          </w:tcPr>
          <w:p w14:paraId="7D070204">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附件在投标文件中页码</w:t>
            </w:r>
          </w:p>
        </w:tc>
        <w:tc>
          <w:tcPr>
            <w:tcW w:w="1376" w:type="dxa"/>
            <w:vMerge w:val="restart"/>
            <w:vAlign w:val="center"/>
          </w:tcPr>
          <w:p w14:paraId="10E55874">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采购人联系人及联系电话</w:t>
            </w:r>
          </w:p>
        </w:tc>
      </w:tr>
      <w:tr w14:paraId="654BF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vMerge w:val="continue"/>
            <w:vAlign w:val="center"/>
          </w:tcPr>
          <w:p w14:paraId="2C9B9CA8">
            <w:pPr>
              <w:spacing w:line="360" w:lineRule="auto"/>
              <w:jc w:val="center"/>
              <w:rPr>
                <w:rFonts w:ascii="宋体" w:hAnsi="宋体" w:eastAsia="宋体"/>
                <w:color w:val="000000" w:themeColor="text1"/>
                <w:szCs w:val="21"/>
                <w14:textFill>
                  <w14:solidFill>
                    <w14:schemeClr w14:val="tx1"/>
                  </w14:solidFill>
                </w14:textFill>
              </w:rPr>
            </w:pPr>
          </w:p>
        </w:tc>
        <w:tc>
          <w:tcPr>
            <w:tcW w:w="1375" w:type="dxa"/>
            <w:vMerge w:val="continue"/>
            <w:vAlign w:val="center"/>
          </w:tcPr>
          <w:p w14:paraId="68D594BF">
            <w:pPr>
              <w:spacing w:line="360" w:lineRule="auto"/>
              <w:jc w:val="center"/>
              <w:rPr>
                <w:rFonts w:ascii="宋体" w:hAnsi="宋体" w:eastAsia="宋体"/>
                <w:color w:val="000000" w:themeColor="text1"/>
                <w:szCs w:val="21"/>
                <w14:textFill>
                  <w14:solidFill>
                    <w14:schemeClr w14:val="tx1"/>
                  </w14:solidFill>
                </w14:textFill>
              </w:rPr>
            </w:pPr>
          </w:p>
        </w:tc>
        <w:tc>
          <w:tcPr>
            <w:tcW w:w="1375" w:type="dxa"/>
            <w:vMerge w:val="continue"/>
            <w:vAlign w:val="center"/>
          </w:tcPr>
          <w:p w14:paraId="64B85AAC">
            <w:pPr>
              <w:spacing w:line="360" w:lineRule="auto"/>
              <w:jc w:val="center"/>
              <w:rPr>
                <w:rFonts w:ascii="宋体" w:hAnsi="宋体" w:eastAsia="宋体"/>
                <w:color w:val="000000" w:themeColor="text1"/>
                <w:szCs w:val="21"/>
                <w14:textFill>
                  <w14:solidFill>
                    <w14:schemeClr w14:val="tx1"/>
                  </w14:solidFill>
                </w14:textFill>
              </w:rPr>
            </w:pPr>
          </w:p>
        </w:tc>
        <w:tc>
          <w:tcPr>
            <w:tcW w:w="1375" w:type="dxa"/>
            <w:vAlign w:val="center"/>
          </w:tcPr>
          <w:p w14:paraId="0F7B58EC">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合同</w:t>
            </w:r>
          </w:p>
        </w:tc>
        <w:tc>
          <w:tcPr>
            <w:tcW w:w="1376" w:type="dxa"/>
            <w:vAlign w:val="center"/>
          </w:tcPr>
          <w:p w14:paraId="0A0F0072">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验收报告</w:t>
            </w:r>
          </w:p>
        </w:tc>
        <w:tc>
          <w:tcPr>
            <w:tcW w:w="1376" w:type="dxa"/>
            <w:vAlign w:val="center"/>
          </w:tcPr>
          <w:p w14:paraId="7C90DD6B">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用户评价</w:t>
            </w:r>
          </w:p>
        </w:tc>
        <w:tc>
          <w:tcPr>
            <w:tcW w:w="1376" w:type="dxa"/>
            <w:vMerge w:val="continue"/>
            <w:vAlign w:val="center"/>
          </w:tcPr>
          <w:p w14:paraId="5C8B4110">
            <w:pPr>
              <w:spacing w:line="360" w:lineRule="auto"/>
              <w:jc w:val="center"/>
              <w:rPr>
                <w:rFonts w:ascii="宋体" w:hAnsi="宋体" w:eastAsia="宋体"/>
                <w:color w:val="000000" w:themeColor="text1"/>
                <w:szCs w:val="21"/>
                <w14:textFill>
                  <w14:solidFill>
                    <w14:schemeClr w14:val="tx1"/>
                  </w14:solidFill>
                </w14:textFill>
              </w:rPr>
            </w:pPr>
          </w:p>
        </w:tc>
      </w:tr>
      <w:tr w14:paraId="1E57B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vAlign w:val="center"/>
          </w:tcPr>
          <w:p w14:paraId="2D8D1F9D">
            <w:pPr>
              <w:spacing w:line="360" w:lineRule="auto"/>
              <w:jc w:val="center"/>
              <w:rPr>
                <w:rFonts w:ascii="宋体" w:hAnsi="宋体" w:eastAsia="宋体"/>
                <w:color w:val="000000" w:themeColor="text1"/>
                <w:szCs w:val="21"/>
                <w14:textFill>
                  <w14:solidFill>
                    <w14:schemeClr w14:val="tx1"/>
                  </w14:solidFill>
                </w14:textFill>
              </w:rPr>
            </w:pPr>
          </w:p>
        </w:tc>
        <w:tc>
          <w:tcPr>
            <w:tcW w:w="1375" w:type="dxa"/>
            <w:vAlign w:val="center"/>
          </w:tcPr>
          <w:p w14:paraId="1A028FF2">
            <w:pPr>
              <w:spacing w:line="360" w:lineRule="auto"/>
              <w:jc w:val="center"/>
              <w:rPr>
                <w:rFonts w:ascii="宋体" w:hAnsi="宋体" w:eastAsia="宋体"/>
                <w:color w:val="000000" w:themeColor="text1"/>
                <w:szCs w:val="21"/>
                <w14:textFill>
                  <w14:solidFill>
                    <w14:schemeClr w14:val="tx1"/>
                  </w14:solidFill>
                </w14:textFill>
              </w:rPr>
            </w:pPr>
          </w:p>
        </w:tc>
        <w:tc>
          <w:tcPr>
            <w:tcW w:w="1375" w:type="dxa"/>
            <w:vAlign w:val="center"/>
          </w:tcPr>
          <w:p w14:paraId="6F58FC72">
            <w:pPr>
              <w:spacing w:line="360" w:lineRule="auto"/>
              <w:jc w:val="center"/>
              <w:rPr>
                <w:rFonts w:ascii="宋体" w:hAnsi="宋体" w:eastAsia="宋体"/>
                <w:color w:val="000000" w:themeColor="text1"/>
                <w:szCs w:val="21"/>
                <w14:textFill>
                  <w14:solidFill>
                    <w14:schemeClr w14:val="tx1"/>
                  </w14:solidFill>
                </w14:textFill>
              </w:rPr>
            </w:pPr>
          </w:p>
        </w:tc>
        <w:tc>
          <w:tcPr>
            <w:tcW w:w="1375" w:type="dxa"/>
            <w:vAlign w:val="center"/>
          </w:tcPr>
          <w:p w14:paraId="43D990D5">
            <w:pPr>
              <w:spacing w:line="360" w:lineRule="auto"/>
              <w:jc w:val="center"/>
              <w:rPr>
                <w:rFonts w:ascii="宋体" w:hAnsi="宋体" w:eastAsia="宋体"/>
                <w:color w:val="000000" w:themeColor="text1"/>
                <w:szCs w:val="21"/>
                <w14:textFill>
                  <w14:solidFill>
                    <w14:schemeClr w14:val="tx1"/>
                  </w14:solidFill>
                </w14:textFill>
              </w:rPr>
            </w:pPr>
          </w:p>
        </w:tc>
        <w:tc>
          <w:tcPr>
            <w:tcW w:w="1376" w:type="dxa"/>
            <w:vAlign w:val="center"/>
          </w:tcPr>
          <w:p w14:paraId="0C96191E">
            <w:pPr>
              <w:spacing w:line="360" w:lineRule="auto"/>
              <w:jc w:val="center"/>
              <w:rPr>
                <w:rFonts w:ascii="宋体" w:hAnsi="宋体" w:eastAsia="宋体"/>
                <w:color w:val="000000" w:themeColor="text1"/>
                <w:szCs w:val="21"/>
                <w14:textFill>
                  <w14:solidFill>
                    <w14:schemeClr w14:val="tx1"/>
                  </w14:solidFill>
                </w14:textFill>
              </w:rPr>
            </w:pPr>
          </w:p>
        </w:tc>
        <w:tc>
          <w:tcPr>
            <w:tcW w:w="1376" w:type="dxa"/>
            <w:vAlign w:val="center"/>
          </w:tcPr>
          <w:p w14:paraId="754E504A">
            <w:pPr>
              <w:spacing w:line="360" w:lineRule="auto"/>
              <w:jc w:val="center"/>
              <w:rPr>
                <w:rFonts w:ascii="宋体" w:hAnsi="宋体" w:eastAsia="宋体"/>
                <w:color w:val="000000" w:themeColor="text1"/>
                <w:szCs w:val="21"/>
                <w14:textFill>
                  <w14:solidFill>
                    <w14:schemeClr w14:val="tx1"/>
                  </w14:solidFill>
                </w14:textFill>
              </w:rPr>
            </w:pPr>
          </w:p>
        </w:tc>
        <w:tc>
          <w:tcPr>
            <w:tcW w:w="1376" w:type="dxa"/>
            <w:vAlign w:val="center"/>
          </w:tcPr>
          <w:p w14:paraId="586B1028">
            <w:pPr>
              <w:spacing w:line="360" w:lineRule="auto"/>
              <w:jc w:val="center"/>
              <w:rPr>
                <w:rFonts w:ascii="宋体" w:hAnsi="宋体" w:eastAsia="宋体"/>
                <w:color w:val="000000" w:themeColor="text1"/>
                <w:szCs w:val="21"/>
                <w14:textFill>
                  <w14:solidFill>
                    <w14:schemeClr w14:val="tx1"/>
                  </w14:solidFill>
                </w14:textFill>
              </w:rPr>
            </w:pPr>
          </w:p>
        </w:tc>
      </w:tr>
      <w:tr w14:paraId="0DB60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vAlign w:val="center"/>
          </w:tcPr>
          <w:p w14:paraId="2513C87A">
            <w:pPr>
              <w:spacing w:line="360" w:lineRule="auto"/>
              <w:jc w:val="center"/>
              <w:rPr>
                <w:rFonts w:ascii="宋体" w:hAnsi="宋体" w:eastAsia="宋体"/>
                <w:color w:val="000000" w:themeColor="text1"/>
                <w:szCs w:val="21"/>
                <w14:textFill>
                  <w14:solidFill>
                    <w14:schemeClr w14:val="tx1"/>
                  </w14:solidFill>
                </w14:textFill>
              </w:rPr>
            </w:pPr>
          </w:p>
        </w:tc>
        <w:tc>
          <w:tcPr>
            <w:tcW w:w="1375" w:type="dxa"/>
            <w:vAlign w:val="center"/>
          </w:tcPr>
          <w:p w14:paraId="02FEBAE1">
            <w:pPr>
              <w:spacing w:line="360" w:lineRule="auto"/>
              <w:jc w:val="center"/>
              <w:rPr>
                <w:rFonts w:ascii="宋体" w:hAnsi="宋体" w:eastAsia="宋体"/>
                <w:color w:val="000000" w:themeColor="text1"/>
                <w:szCs w:val="21"/>
                <w14:textFill>
                  <w14:solidFill>
                    <w14:schemeClr w14:val="tx1"/>
                  </w14:solidFill>
                </w14:textFill>
              </w:rPr>
            </w:pPr>
          </w:p>
        </w:tc>
        <w:tc>
          <w:tcPr>
            <w:tcW w:w="1375" w:type="dxa"/>
            <w:vAlign w:val="center"/>
          </w:tcPr>
          <w:p w14:paraId="0153F2F4">
            <w:pPr>
              <w:spacing w:line="360" w:lineRule="auto"/>
              <w:jc w:val="center"/>
              <w:rPr>
                <w:rFonts w:ascii="宋体" w:hAnsi="宋体" w:eastAsia="宋体"/>
                <w:color w:val="000000" w:themeColor="text1"/>
                <w:szCs w:val="21"/>
                <w14:textFill>
                  <w14:solidFill>
                    <w14:schemeClr w14:val="tx1"/>
                  </w14:solidFill>
                </w14:textFill>
              </w:rPr>
            </w:pPr>
          </w:p>
        </w:tc>
        <w:tc>
          <w:tcPr>
            <w:tcW w:w="1375" w:type="dxa"/>
            <w:vAlign w:val="center"/>
          </w:tcPr>
          <w:p w14:paraId="0C9C2A60">
            <w:pPr>
              <w:spacing w:line="360" w:lineRule="auto"/>
              <w:jc w:val="center"/>
              <w:rPr>
                <w:rFonts w:ascii="宋体" w:hAnsi="宋体" w:eastAsia="宋体"/>
                <w:color w:val="000000" w:themeColor="text1"/>
                <w:szCs w:val="21"/>
                <w14:textFill>
                  <w14:solidFill>
                    <w14:schemeClr w14:val="tx1"/>
                  </w14:solidFill>
                </w14:textFill>
              </w:rPr>
            </w:pPr>
          </w:p>
        </w:tc>
        <w:tc>
          <w:tcPr>
            <w:tcW w:w="1376" w:type="dxa"/>
            <w:vAlign w:val="center"/>
          </w:tcPr>
          <w:p w14:paraId="5E126408">
            <w:pPr>
              <w:spacing w:line="360" w:lineRule="auto"/>
              <w:jc w:val="center"/>
              <w:rPr>
                <w:rFonts w:ascii="宋体" w:hAnsi="宋体" w:eastAsia="宋体"/>
                <w:color w:val="000000" w:themeColor="text1"/>
                <w:szCs w:val="21"/>
                <w14:textFill>
                  <w14:solidFill>
                    <w14:schemeClr w14:val="tx1"/>
                  </w14:solidFill>
                </w14:textFill>
              </w:rPr>
            </w:pPr>
          </w:p>
        </w:tc>
        <w:tc>
          <w:tcPr>
            <w:tcW w:w="1376" w:type="dxa"/>
            <w:vAlign w:val="center"/>
          </w:tcPr>
          <w:p w14:paraId="029478B5">
            <w:pPr>
              <w:spacing w:line="360" w:lineRule="auto"/>
              <w:jc w:val="center"/>
              <w:rPr>
                <w:rFonts w:ascii="宋体" w:hAnsi="宋体" w:eastAsia="宋体"/>
                <w:color w:val="000000" w:themeColor="text1"/>
                <w:szCs w:val="21"/>
                <w14:textFill>
                  <w14:solidFill>
                    <w14:schemeClr w14:val="tx1"/>
                  </w14:solidFill>
                </w14:textFill>
              </w:rPr>
            </w:pPr>
          </w:p>
        </w:tc>
        <w:tc>
          <w:tcPr>
            <w:tcW w:w="1376" w:type="dxa"/>
            <w:vAlign w:val="center"/>
          </w:tcPr>
          <w:p w14:paraId="14E76FBA">
            <w:pPr>
              <w:spacing w:line="360" w:lineRule="auto"/>
              <w:jc w:val="center"/>
              <w:rPr>
                <w:rFonts w:ascii="宋体" w:hAnsi="宋体" w:eastAsia="宋体"/>
                <w:color w:val="000000" w:themeColor="text1"/>
                <w:szCs w:val="21"/>
                <w14:textFill>
                  <w14:solidFill>
                    <w14:schemeClr w14:val="tx1"/>
                  </w14:solidFill>
                </w14:textFill>
              </w:rPr>
            </w:pPr>
          </w:p>
        </w:tc>
      </w:tr>
      <w:tr w14:paraId="4AB0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vAlign w:val="center"/>
          </w:tcPr>
          <w:p w14:paraId="1A3835A5">
            <w:pPr>
              <w:spacing w:line="360" w:lineRule="auto"/>
              <w:jc w:val="center"/>
              <w:rPr>
                <w:rFonts w:ascii="宋体" w:hAnsi="宋体" w:eastAsia="宋体"/>
                <w:color w:val="000000" w:themeColor="text1"/>
                <w:szCs w:val="21"/>
                <w14:textFill>
                  <w14:solidFill>
                    <w14:schemeClr w14:val="tx1"/>
                  </w14:solidFill>
                </w14:textFill>
              </w:rPr>
            </w:pPr>
          </w:p>
        </w:tc>
        <w:tc>
          <w:tcPr>
            <w:tcW w:w="1375" w:type="dxa"/>
            <w:vAlign w:val="center"/>
          </w:tcPr>
          <w:p w14:paraId="796EB036">
            <w:pPr>
              <w:spacing w:line="360" w:lineRule="auto"/>
              <w:jc w:val="center"/>
              <w:rPr>
                <w:rFonts w:ascii="宋体" w:hAnsi="宋体" w:eastAsia="宋体"/>
                <w:color w:val="000000" w:themeColor="text1"/>
                <w:szCs w:val="21"/>
                <w14:textFill>
                  <w14:solidFill>
                    <w14:schemeClr w14:val="tx1"/>
                  </w14:solidFill>
                </w14:textFill>
              </w:rPr>
            </w:pPr>
          </w:p>
        </w:tc>
        <w:tc>
          <w:tcPr>
            <w:tcW w:w="1375" w:type="dxa"/>
            <w:vAlign w:val="center"/>
          </w:tcPr>
          <w:p w14:paraId="266B0D71">
            <w:pPr>
              <w:spacing w:line="360" w:lineRule="auto"/>
              <w:jc w:val="center"/>
              <w:rPr>
                <w:rFonts w:ascii="宋体" w:hAnsi="宋体" w:eastAsia="宋体"/>
                <w:color w:val="000000" w:themeColor="text1"/>
                <w:szCs w:val="21"/>
                <w14:textFill>
                  <w14:solidFill>
                    <w14:schemeClr w14:val="tx1"/>
                  </w14:solidFill>
                </w14:textFill>
              </w:rPr>
            </w:pPr>
          </w:p>
        </w:tc>
        <w:tc>
          <w:tcPr>
            <w:tcW w:w="1375" w:type="dxa"/>
            <w:vAlign w:val="center"/>
          </w:tcPr>
          <w:p w14:paraId="73EF6B69">
            <w:pPr>
              <w:spacing w:line="360" w:lineRule="auto"/>
              <w:jc w:val="center"/>
              <w:rPr>
                <w:rFonts w:ascii="宋体" w:hAnsi="宋体" w:eastAsia="宋体"/>
                <w:color w:val="000000" w:themeColor="text1"/>
                <w:szCs w:val="21"/>
                <w14:textFill>
                  <w14:solidFill>
                    <w14:schemeClr w14:val="tx1"/>
                  </w14:solidFill>
                </w14:textFill>
              </w:rPr>
            </w:pPr>
          </w:p>
        </w:tc>
        <w:tc>
          <w:tcPr>
            <w:tcW w:w="1376" w:type="dxa"/>
            <w:vAlign w:val="center"/>
          </w:tcPr>
          <w:p w14:paraId="42F8804C">
            <w:pPr>
              <w:spacing w:line="360" w:lineRule="auto"/>
              <w:jc w:val="center"/>
              <w:rPr>
                <w:rFonts w:ascii="宋体" w:hAnsi="宋体" w:eastAsia="宋体"/>
                <w:color w:val="000000" w:themeColor="text1"/>
                <w:szCs w:val="21"/>
                <w14:textFill>
                  <w14:solidFill>
                    <w14:schemeClr w14:val="tx1"/>
                  </w14:solidFill>
                </w14:textFill>
              </w:rPr>
            </w:pPr>
          </w:p>
        </w:tc>
        <w:tc>
          <w:tcPr>
            <w:tcW w:w="1376" w:type="dxa"/>
            <w:vAlign w:val="center"/>
          </w:tcPr>
          <w:p w14:paraId="525EC5D7">
            <w:pPr>
              <w:spacing w:line="360" w:lineRule="auto"/>
              <w:jc w:val="center"/>
              <w:rPr>
                <w:rFonts w:ascii="宋体" w:hAnsi="宋体" w:eastAsia="宋体"/>
                <w:color w:val="000000" w:themeColor="text1"/>
                <w:szCs w:val="21"/>
                <w14:textFill>
                  <w14:solidFill>
                    <w14:schemeClr w14:val="tx1"/>
                  </w14:solidFill>
                </w14:textFill>
              </w:rPr>
            </w:pPr>
          </w:p>
        </w:tc>
        <w:tc>
          <w:tcPr>
            <w:tcW w:w="1376" w:type="dxa"/>
            <w:vAlign w:val="center"/>
          </w:tcPr>
          <w:p w14:paraId="18D8A7F8">
            <w:pPr>
              <w:spacing w:line="360" w:lineRule="auto"/>
              <w:jc w:val="center"/>
              <w:rPr>
                <w:rFonts w:ascii="宋体" w:hAnsi="宋体" w:eastAsia="宋体"/>
                <w:color w:val="000000" w:themeColor="text1"/>
                <w:szCs w:val="21"/>
                <w14:textFill>
                  <w14:solidFill>
                    <w14:schemeClr w14:val="tx1"/>
                  </w14:solidFill>
                </w14:textFill>
              </w:rPr>
            </w:pPr>
          </w:p>
        </w:tc>
      </w:tr>
      <w:tr w14:paraId="3378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vAlign w:val="center"/>
          </w:tcPr>
          <w:p w14:paraId="7134DD8E">
            <w:pPr>
              <w:spacing w:line="360" w:lineRule="auto"/>
              <w:jc w:val="center"/>
              <w:rPr>
                <w:rFonts w:ascii="宋体" w:hAnsi="宋体" w:eastAsia="宋体"/>
                <w:color w:val="000000" w:themeColor="text1"/>
                <w:szCs w:val="21"/>
                <w14:textFill>
                  <w14:solidFill>
                    <w14:schemeClr w14:val="tx1"/>
                  </w14:solidFill>
                </w14:textFill>
              </w:rPr>
            </w:pPr>
          </w:p>
        </w:tc>
        <w:tc>
          <w:tcPr>
            <w:tcW w:w="1375" w:type="dxa"/>
            <w:vAlign w:val="center"/>
          </w:tcPr>
          <w:p w14:paraId="142477EA">
            <w:pPr>
              <w:spacing w:line="360" w:lineRule="auto"/>
              <w:jc w:val="center"/>
              <w:rPr>
                <w:rFonts w:ascii="宋体" w:hAnsi="宋体" w:eastAsia="宋体"/>
                <w:color w:val="000000" w:themeColor="text1"/>
                <w:szCs w:val="21"/>
                <w14:textFill>
                  <w14:solidFill>
                    <w14:schemeClr w14:val="tx1"/>
                  </w14:solidFill>
                </w14:textFill>
              </w:rPr>
            </w:pPr>
          </w:p>
        </w:tc>
        <w:tc>
          <w:tcPr>
            <w:tcW w:w="1375" w:type="dxa"/>
            <w:vAlign w:val="center"/>
          </w:tcPr>
          <w:p w14:paraId="56191211">
            <w:pPr>
              <w:spacing w:line="360" w:lineRule="auto"/>
              <w:jc w:val="center"/>
              <w:rPr>
                <w:rFonts w:ascii="宋体" w:hAnsi="宋体" w:eastAsia="宋体"/>
                <w:color w:val="000000" w:themeColor="text1"/>
                <w:szCs w:val="21"/>
                <w14:textFill>
                  <w14:solidFill>
                    <w14:schemeClr w14:val="tx1"/>
                  </w14:solidFill>
                </w14:textFill>
              </w:rPr>
            </w:pPr>
          </w:p>
        </w:tc>
        <w:tc>
          <w:tcPr>
            <w:tcW w:w="1375" w:type="dxa"/>
            <w:vAlign w:val="center"/>
          </w:tcPr>
          <w:p w14:paraId="1AD6E9A6">
            <w:pPr>
              <w:spacing w:line="360" w:lineRule="auto"/>
              <w:jc w:val="center"/>
              <w:rPr>
                <w:rFonts w:ascii="宋体" w:hAnsi="宋体" w:eastAsia="宋体"/>
                <w:color w:val="000000" w:themeColor="text1"/>
                <w:szCs w:val="21"/>
                <w14:textFill>
                  <w14:solidFill>
                    <w14:schemeClr w14:val="tx1"/>
                  </w14:solidFill>
                </w14:textFill>
              </w:rPr>
            </w:pPr>
          </w:p>
        </w:tc>
        <w:tc>
          <w:tcPr>
            <w:tcW w:w="1376" w:type="dxa"/>
            <w:vAlign w:val="center"/>
          </w:tcPr>
          <w:p w14:paraId="41CE461E">
            <w:pPr>
              <w:spacing w:line="360" w:lineRule="auto"/>
              <w:jc w:val="center"/>
              <w:rPr>
                <w:rFonts w:ascii="宋体" w:hAnsi="宋体" w:eastAsia="宋体"/>
                <w:color w:val="000000" w:themeColor="text1"/>
                <w:szCs w:val="21"/>
                <w14:textFill>
                  <w14:solidFill>
                    <w14:schemeClr w14:val="tx1"/>
                  </w14:solidFill>
                </w14:textFill>
              </w:rPr>
            </w:pPr>
          </w:p>
        </w:tc>
        <w:tc>
          <w:tcPr>
            <w:tcW w:w="1376" w:type="dxa"/>
            <w:vAlign w:val="center"/>
          </w:tcPr>
          <w:p w14:paraId="2164CB4F">
            <w:pPr>
              <w:spacing w:line="360" w:lineRule="auto"/>
              <w:jc w:val="center"/>
              <w:rPr>
                <w:rFonts w:ascii="宋体" w:hAnsi="宋体" w:eastAsia="宋体"/>
                <w:color w:val="000000" w:themeColor="text1"/>
                <w:szCs w:val="21"/>
                <w14:textFill>
                  <w14:solidFill>
                    <w14:schemeClr w14:val="tx1"/>
                  </w14:solidFill>
                </w14:textFill>
              </w:rPr>
            </w:pPr>
          </w:p>
        </w:tc>
        <w:tc>
          <w:tcPr>
            <w:tcW w:w="1376" w:type="dxa"/>
            <w:vAlign w:val="center"/>
          </w:tcPr>
          <w:p w14:paraId="32D86A72">
            <w:pPr>
              <w:spacing w:line="360" w:lineRule="auto"/>
              <w:jc w:val="center"/>
              <w:rPr>
                <w:rFonts w:ascii="宋体" w:hAnsi="宋体" w:eastAsia="宋体"/>
                <w:color w:val="000000" w:themeColor="text1"/>
                <w:szCs w:val="21"/>
                <w14:textFill>
                  <w14:solidFill>
                    <w14:schemeClr w14:val="tx1"/>
                  </w14:solidFill>
                </w14:textFill>
              </w:rPr>
            </w:pPr>
          </w:p>
        </w:tc>
      </w:tr>
      <w:tr w14:paraId="32DB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vAlign w:val="center"/>
          </w:tcPr>
          <w:p w14:paraId="2B5EE1A9">
            <w:pPr>
              <w:spacing w:line="360" w:lineRule="auto"/>
              <w:jc w:val="center"/>
              <w:rPr>
                <w:rFonts w:ascii="宋体" w:hAnsi="宋体" w:eastAsia="宋体"/>
                <w:color w:val="000000" w:themeColor="text1"/>
                <w:szCs w:val="21"/>
                <w14:textFill>
                  <w14:solidFill>
                    <w14:schemeClr w14:val="tx1"/>
                  </w14:solidFill>
                </w14:textFill>
              </w:rPr>
            </w:pPr>
          </w:p>
        </w:tc>
        <w:tc>
          <w:tcPr>
            <w:tcW w:w="1375" w:type="dxa"/>
            <w:vAlign w:val="center"/>
          </w:tcPr>
          <w:p w14:paraId="7203EB81">
            <w:pPr>
              <w:spacing w:line="360" w:lineRule="auto"/>
              <w:jc w:val="center"/>
              <w:rPr>
                <w:rFonts w:ascii="宋体" w:hAnsi="宋体" w:eastAsia="宋体"/>
                <w:color w:val="000000" w:themeColor="text1"/>
                <w:szCs w:val="21"/>
                <w14:textFill>
                  <w14:solidFill>
                    <w14:schemeClr w14:val="tx1"/>
                  </w14:solidFill>
                </w14:textFill>
              </w:rPr>
            </w:pPr>
          </w:p>
        </w:tc>
        <w:tc>
          <w:tcPr>
            <w:tcW w:w="1375" w:type="dxa"/>
            <w:vAlign w:val="center"/>
          </w:tcPr>
          <w:p w14:paraId="1B6EAF46">
            <w:pPr>
              <w:spacing w:line="360" w:lineRule="auto"/>
              <w:jc w:val="center"/>
              <w:rPr>
                <w:rFonts w:ascii="宋体" w:hAnsi="宋体" w:eastAsia="宋体"/>
                <w:color w:val="000000" w:themeColor="text1"/>
                <w:szCs w:val="21"/>
                <w14:textFill>
                  <w14:solidFill>
                    <w14:schemeClr w14:val="tx1"/>
                  </w14:solidFill>
                </w14:textFill>
              </w:rPr>
            </w:pPr>
          </w:p>
        </w:tc>
        <w:tc>
          <w:tcPr>
            <w:tcW w:w="1375" w:type="dxa"/>
            <w:vAlign w:val="center"/>
          </w:tcPr>
          <w:p w14:paraId="0046CA34">
            <w:pPr>
              <w:spacing w:line="360" w:lineRule="auto"/>
              <w:jc w:val="center"/>
              <w:rPr>
                <w:rFonts w:ascii="宋体" w:hAnsi="宋体" w:eastAsia="宋体"/>
                <w:color w:val="000000" w:themeColor="text1"/>
                <w:szCs w:val="21"/>
                <w14:textFill>
                  <w14:solidFill>
                    <w14:schemeClr w14:val="tx1"/>
                  </w14:solidFill>
                </w14:textFill>
              </w:rPr>
            </w:pPr>
          </w:p>
        </w:tc>
        <w:tc>
          <w:tcPr>
            <w:tcW w:w="1376" w:type="dxa"/>
            <w:vAlign w:val="center"/>
          </w:tcPr>
          <w:p w14:paraId="36C7E217">
            <w:pPr>
              <w:spacing w:line="360" w:lineRule="auto"/>
              <w:jc w:val="center"/>
              <w:rPr>
                <w:rFonts w:ascii="宋体" w:hAnsi="宋体" w:eastAsia="宋体"/>
                <w:color w:val="000000" w:themeColor="text1"/>
                <w:szCs w:val="21"/>
                <w14:textFill>
                  <w14:solidFill>
                    <w14:schemeClr w14:val="tx1"/>
                  </w14:solidFill>
                </w14:textFill>
              </w:rPr>
            </w:pPr>
          </w:p>
        </w:tc>
        <w:tc>
          <w:tcPr>
            <w:tcW w:w="1376" w:type="dxa"/>
            <w:vAlign w:val="center"/>
          </w:tcPr>
          <w:p w14:paraId="2D3964D9">
            <w:pPr>
              <w:spacing w:line="360" w:lineRule="auto"/>
              <w:jc w:val="center"/>
              <w:rPr>
                <w:rFonts w:ascii="宋体" w:hAnsi="宋体" w:eastAsia="宋体"/>
                <w:color w:val="000000" w:themeColor="text1"/>
                <w:szCs w:val="21"/>
                <w14:textFill>
                  <w14:solidFill>
                    <w14:schemeClr w14:val="tx1"/>
                  </w14:solidFill>
                </w14:textFill>
              </w:rPr>
            </w:pPr>
          </w:p>
        </w:tc>
        <w:tc>
          <w:tcPr>
            <w:tcW w:w="1376" w:type="dxa"/>
            <w:vAlign w:val="center"/>
          </w:tcPr>
          <w:p w14:paraId="0DDEAE8E">
            <w:pPr>
              <w:spacing w:line="360" w:lineRule="auto"/>
              <w:jc w:val="center"/>
              <w:rPr>
                <w:rFonts w:ascii="宋体" w:hAnsi="宋体" w:eastAsia="宋体"/>
                <w:color w:val="000000" w:themeColor="text1"/>
                <w:szCs w:val="21"/>
                <w14:textFill>
                  <w14:solidFill>
                    <w14:schemeClr w14:val="tx1"/>
                  </w14:solidFill>
                </w14:textFill>
              </w:rPr>
            </w:pPr>
          </w:p>
        </w:tc>
      </w:tr>
    </w:tbl>
    <w:p w14:paraId="1CCB11F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注：投标人可按上述的格式自行编制，并注明所在投标人商务技术文件页码。</w:t>
      </w:r>
    </w:p>
    <w:p w14:paraId="357BDDCF">
      <w:pPr>
        <w:spacing w:line="360" w:lineRule="auto"/>
        <w:ind w:firstLine="420" w:firstLineChars="200"/>
        <w:rPr>
          <w:rFonts w:ascii="宋体" w:hAnsi="宋体" w:eastAsia="宋体"/>
          <w:color w:val="000000" w:themeColor="text1"/>
          <w:szCs w:val="21"/>
          <w14:textFill>
            <w14:solidFill>
              <w14:schemeClr w14:val="tx1"/>
            </w14:solidFill>
          </w14:textFill>
        </w:rPr>
      </w:pPr>
    </w:p>
    <w:p w14:paraId="6BF91BD3">
      <w:pPr>
        <w:spacing w:line="360" w:lineRule="auto"/>
        <w:ind w:firstLine="5040" w:firstLineChars="24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投标人名称（电子签章）：</w:t>
      </w:r>
    </w:p>
    <w:p w14:paraId="4EAD4E62">
      <w:pPr>
        <w:spacing w:line="360" w:lineRule="auto"/>
        <w:ind w:firstLine="5040" w:firstLineChars="24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年</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月</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日</w:t>
      </w:r>
    </w:p>
    <w:p w14:paraId="69A4F29F">
      <w:pPr>
        <w:spacing w:line="360" w:lineRule="auto"/>
        <w:ind w:firstLine="420" w:firstLineChars="200"/>
        <w:rPr>
          <w:rFonts w:ascii="宋体" w:hAnsi="宋体" w:eastAsia="宋体"/>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77FCA29D">
      <w:pPr>
        <w:pStyle w:val="3"/>
        <w:jc w:val="center"/>
        <w:rPr>
          <w:rFonts w:ascii="宋体" w:hAnsi="宋体" w:eastAsia="宋体"/>
          <w:color w:val="000000" w:themeColor="text1"/>
          <w:sz w:val="30"/>
          <w:szCs w:val="30"/>
          <w14:textFill>
            <w14:solidFill>
              <w14:schemeClr w14:val="tx1"/>
            </w14:solidFill>
          </w14:textFill>
        </w:rPr>
      </w:pPr>
      <w:bookmarkStart w:id="28" w:name="_Toc198316083"/>
      <w:r>
        <w:rPr>
          <w:rFonts w:hint="eastAsia" w:ascii="宋体" w:hAnsi="宋体" w:eastAsia="宋体"/>
          <w:color w:val="000000" w:themeColor="text1"/>
          <w:sz w:val="30"/>
          <w:szCs w:val="30"/>
          <w14:textFill>
            <w14:solidFill>
              <w14:schemeClr w14:val="tx1"/>
            </w14:solidFill>
          </w14:textFill>
        </w:rPr>
        <w:t>第四</w:t>
      </w:r>
      <w:r>
        <w:rPr>
          <w:rFonts w:hint="eastAsia" w:ascii="宋体" w:hAnsi="宋体" w:eastAsia="宋体"/>
          <w:color w:val="000000" w:themeColor="text1"/>
          <w:spacing w:val="120"/>
          <w:sz w:val="30"/>
          <w:szCs w:val="30"/>
          <w14:textFill>
            <w14:solidFill>
              <w14:schemeClr w14:val="tx1"/>
            </w14:solidFill>
          </w14:textFill>
        </w:rPr>
        <w:t>节</w:t>
      </w:r>
      <w:r>
        <w:rPr>
          <w:rFonts w:hint="eastAsia" w:ascii="宋体" w:hAnsi="宋体" w:eastAsia="宋体"/>
          <w:color w:val="000000" w:themeColor="text1"/>
          <w:sz w:val="30"/>
          <w:szCs w:val="30"/>
          <w14:textFill>
            <w14:solidFill>
              <w14:schemeClr w14:val="tx1"/>
            </w14:solidFill>
          </w14:textFill>
        </w:rPr>
        <w:t>技术文件格式</w:t>
      </w:r>
      <w:bookmarkEnd w:id="28"/>
    </w:p>
    <w:p w14:paraId="31F74D9C">
      <w:pPr>
        <w:spacing w:line="360" w:lineRule="auto"/>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电子投标文件</w:t>
      </w:r>
    </w:p>
    <w:p w14:paraId="776914CA">
      <w:pPr>
        <w:spacing w:line="360" w:lineRule="auto"/>
        <w:ind w:firstLine="420" w:firstLineChars="200"/>
        <w:rPr>
          <w:rFonts w:ascii="宋体" w:hAnsi="宋体" w:eastAsia="宋体"/>
          <w:color w:val="000000" w:themeColor="text1"/>
          <w:szCs w:val="21"/>
          <w14:textFill>
            <w14:solidFill>
              <w14:schemeClr w14:val="tx1"/>
            </w14:solidFill>
          </w14:textFill>
        </w:rPr>
      </w:pPr>
    </w:p>
    <w:p w14:paraId="154F6F4A">
      <w:pPr>
        <w:spacing w:line="360" w:lineRule="auto"/>
        <w:ind w:firstLine="420" w:firstLineChars="200"/>
        <w:rPr>
          <w:rFonts w:ascii="宋体" w:hAnsi="宋体" w:eastAsia="宋体"/>
          <w:color w:val="000000" w:themeColor="text1"/>
          <w:szCs w:val="21"/>
          <w14:textFill>
            <w14:solidFill>
              <w14:schemeClr w14:val="tx1"/>
            </w14:solidFill>
          </w14:textFill>
        </w:rPr>
      </w:pPr>
    </w:p>
    <w:p w14:paraId="236D1E8F">
      <w:pPr>
        <w:spacing w:line="360" w:lineRule="auto"/>
        <w:ind w:firstLine="420" w:firstLineChars="200"/>
        <w:rPr>
          <w:rFonts w:ascii="宋体" w:hAnsi="宋体" w:eastAsia="宋体"/>
          <w:color w:val="000000" w:themeColor="text1"/>
          <w:szCs w:val="21"/>
          <w14:textFill>
            <w14:solidFill>
              <w14:schemeClr w14:val="tx1"/>
            </w14:solidFill>
          </w14:textFill>
        </w:rPr>
      </w:pPr>
    </w:p>
    <w:p w14:paraId="2C3A2207">
      <w:pPr>
        <w:spacing w:line="360" w:lineRule="auto"/>
        <w:ind w:firstLine="420" w:firstLineChars="200"/>
        <w:rPr>
          <w:rFonts w:ascii="宋体" w:hAnsi="宋体" w:eastAsia="宋体"/>
          <w:color w:val="000000" w:themeColor="text1"/>
          <w:szCs w:val="21"/>
          <w14:textFill>
            <w14:solidFill>
              <w14:schemeClr w14:val="tx1"/>
            </w14:solidFill>
          </w14:textFill>
        </w:rPr>
      </w:pPr>
    </w:p>
    <w:p w14:paraId="4D38245C">
      <w:pPr>
        <w:spacing w:line="360" w:lineRule="auto"/>
        <w:jc w:val="center"/>
        <w:rPr>
          <w:rFonts w:ascii="宋体" w:hAnsi="宋体" w:eastAsia="宋体"/>
          <w:b/>
          <w:color w:val="000000" w:themeColor="text1"/>
          <w:sz w:val="32"/>
          <w:szCs w:val="32"/>
          <w14:textFill>
            <w14:solidFill>
              <w14:schemeClr w14:val="tx1"/>
            </w14:solidFill>
          </w14:textFill>
        </w:rPr>
      </w:pPr>
      <w:r>
        <w:rPr>
          <w:rFonts w:hint="eastAsia" w:ascii="宋体" w:hAnsi="宋体" w:eastAsia="宋体"/>
          <w:b/>
          <w:color w:val="000000" w:themeColor="text1"/>
          <w:sz w:val="32"/>
          <w:szCs w:val="32"/>
          <w14:textFill>
            <w14:solidFill>
              <w14:schemeClr w14:val="tx1"/>
            </w14:solidFill>
          </w14:textFill>
        </w:rPr>
        <w:t>技术文件（封面）</w:t>
      </w:r>
    </w:p>
    <w:p w14:paraId="7DD7B1A3">
      <w:pPr>
        <w:spacing w:line="360" w:lineRule="auto"/>
        <w:ind w:firstLine="420" w:firstLineChars="200"/>
        <w:rPr>
          <w:rFonts w:ascii="宋体" w:hAnsi="宋体" w:eastAsia="宋体"/>
          <w:color w:val="000000" w:themeColor="text1"/>
          <w:szCs w:val="21"/>
          <w14:textFill>
            <w14:solidFill>
              <w14:schemeClr w14:val="tx1"/>
            </w14:solidFill>
          </w14:textFill>
        </w:rPr>
      </w:pPr>
    </w:p>
    <w:p w14:paraId="56C6C0B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项目名称：</w:t>
      </w:r>
    </w:p>
    <w:p w14:paraId="21DBE1C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项目编号：</w:t>
      </w:r>
    </w:p>
    <w:p w14:paraId="0B70889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所投分标：</w:t>
      </w:r>
    </w:p>
    <w:p w14:paraId="7734329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投标人名称：</w:t>
      </w:r>
    </w:p>
    <w:p w14:paraId="2886884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投标人地址：</w:t>
      </w:r>
    </w:p>
    <w:p w14:paraId="4C25E993">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年</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月</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日</w:t>
      </w:r>
    </w:p>
    <w:p w14:paraId="657E7C93">
      <w:pPr>
        <w:spacing w:line="360" w:lineRule="auto"/>
        <w:jc w:val="center"/>
        <w:rPr>
          <w:rFonts w:ascii="宋体" w:hAnsi="宋体" w:eastAsia="宋体"/>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407DFAE1">
      <w:pPr>
        <w:spacing w:line="360" w:lineRule="auto"/>
        <w:jc w:val="center"/>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技术文件目录</w:t>
      </w:r>
    </w:p>
    <w:p w14:paraId="3C0E5DA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一、技术需求偏离表……………………………………………………………（页码）</w:t>
      </w:r>
    </w:p>
    <w:p w14:paraId="0E2BE0A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p w14:paraId="445652B7">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注：以上目录是基本格式要求，各投标人可根据自身情况进一步向下增加内容或细化。</w:t>
      </w:r>
    </w:p>
    <w:p w14:paraId="3EB00D79">
      <w:pPr>
        <w:spacing w:line="360" w:lineRule="auto"/>
        <w:ind w:firstLine="422" w:firstLineChars="200"/>
        <w:rPr>
          <w:rFonts w:ascii="宋体" w:hAnsi="宋体" w:eastAsia="宋体"/>
          <w:b/>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0301B061">
      <w:pPr>
        <w:spacing w:line="360" w:lineRule="auto"/>
        <w:jc w:val="center"/>
        <w:rPr>
          <w:rFonts w:ascii="宋体" w:hAnsi="宋体" w:eastAsia="宋体"/>
          <w:b/>
          <w:color w:val="000000" w:themeColor="text1"/>
          <w:sz w:val="30"/>
          <w:szCs w:val="30"/>
          <w14:textFill>
            <w14:solidFill>
              <w14:schemeClr w14:val="tx1"/>
            </w14:solidFill>
          </w14:textFill>
        </w:rPr>
      </w:pPr>
      <w:r>
        <w:rPr>
          <w:rFonts w:hint="eastAsia" w:ascii="宋体" w:hAnsi="宋体" w:eastAsia="宋体"/>
          <w:b/>
          <w:color w:val="000000" w:themeColor="text1"/>
          <w:sz w:val="30"/>
          <w:szCs w:val="30"/>
          <w14:textFill>
            <w14:solidFill>
              <w14:schemeClr w14:val="tx1"/>
            </w14:solidFill>
          </w14:textFill>
        </w:rPr>
        <w:t>一、技术需求偏离表</w:t>
      </w:r>
    </w:p>
    <w:p w14:paraId="72D82F69">
      <w:pPr>
        <w:spacing w:line="360" w:lineRule="auto"/>
        <w:ind w:firstLine="420" w:firstLineChars="200"/>
        <w:rPr>
          <w:rFonts w:ascii="宋体" w:hAnsi="宋体" w:eastAsia="宋体"/>
          <w:color w:val="000000" w:themeColor="text1"/>
          <w:szCs w:val="21"/>
          <w14:textFill>
            <w14:solidFill>
              <w14:schemeClr w14:val="tx1"/>
            </w14:solidFill>
          </w14:textFill>
        </w:rPr>
      </w:pPr>
    </w:p>
    <w:p w14:paraId="6A9FB57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请根据所投货物的实际技术参数，</w:t>
      </w:r>
      <w:r>
        <w:rPr>
          <w:rFonts w:hint="eastAsia" w:ascii="宋体" w:hAnsi="宋体" w:eastAsia="宋体"/>
          <w:b/>
          <w:color w:val="000000" w:themeColor="text1"/>
          <w:sz w:val="28"/>
          <w:szCs w:val="28"/>
          <w14:textFill>
            <w14:solidFill>
              <w14:schemeClr w14:val="tx1"/>
            </w14:solidFill>
          </w14:textFill>
        </w:rPr>
        <w:t>逐条对应</w:t>
      </w:r>
      <w:r>
        <w:rPr>
          <w:rFonts w:hint="eastAsia" w:ascii="宋体" w:hAnsi="宋体" w:eastAsia="宋体"/>
          <w:color w:val="000000" w:themeColor="text1"/>
          <w:szCs w:val="21"/>
          <w14:textFill>
            <w14:solidFill>
              <w14:schemeClr w14:val="tx1"/>
            </w14:solidFill>
          </w14:textFill>
        </w:rPr>
        <w:t>本项目招标文件第二章“货物需求一览表”中的</w:t>
      </w:r>
      <w:r>
        <w:rPr>
          <w:rFonts w:hint="eastAsia" w:ascii="宋体" w:hAnsi="宋体" w:eastAsia="宋体"/>
          <w:b/>
          <w:color w:val="000000" w:themeColor="text1"/>
          <w:sz w:val="28"/>
          <w:szCs w:val="28"/>
          <w14:textFill>
            <w14:solidFill>
              <w14:schemeClr w14:val="tx1"/>
            </w14:solidFill>
          </w14:textFill>
        </w:rPr>
        <w:t>采购清单及货物参数</w:t>
      </w:r>
      <w:r>
        <w:rPr>
          <w:rFonts w:hint="eastAsia" w:ascii="宋体" w:hAnsi="宋体" w:eastAsia="宋体"/>
          <w:color w:val="000000" w:themeColor="text1"/>
          <w:szCs w:val="21"/>
          <w14:textFill>
            <w14:solidFill>
              <w14:schemeClr w14:val="tx1"/>
            </w14:solidFill>
          </w14:textFill>
        </w:rPr>
        <w:t>详细填写相应的具体内容。“偏离说明”一栏应当选择“正偏离”、“负偏离”或“无偏离”进行填写。</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1510"/>
        <w:gridCol w:w="1510"/>
        <w:gridCol w:w="1510"/>
        <w:gridCol w:w="1510"/>
        <w:gridCol w:w="1510"/>
      </w:tblGrid>
      <w:tr w14:paraId="5EC53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restart"/>
            <w:vAlign w:val="center"/>
          </w:tcPr>
          <w:p w14:paraId="0C02BEB4">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项号</w:t>
            </w:r>
          </w:p>
        </w:tc>
        <w:tc>
          <w:tcPr>
            <w:tcW w:w="3020" w:type="dxa"/>
            <w:gridSpan w:val="2"/>
            <w:vAlign w:val="center"/>
          </w:tcPr>
          <w:p w14:paraId="605AB2A4">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招标文件需求</w:t>
            </w:r>
          </w:p>
        </w:tc>
        <w:tc>
          <w:tcPr>
            <w:tcW w:w="3020" w:type="dxa"/>
            <w:gridSpan w:val="2"/>
            <w:vAlign w:val="center"/>
          </w:tcPr>
          <w:p w14:paraId="128420B6">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投标文件承诺</w:t>
            </w:r>
          </w:p>
        </w:tc>
        <w:tc>
          <w:tcPr>
            <w:tcW w:w="1510" w:type="dxa"/>
            <w:vMerge w:val="restart"/>
            <w:vAlign w:val="center"/>
          </w:tcPr>
          <w:p w14:paraId="71E7A581">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偏离说明</w:t>
            </w:r>
          </w:p>
        </w:tc>
      </w:tr>
      <w:tr w14:paraId="64EA1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Merge w:val="continue"/>
            <w:vAlign w:val="center"/>
          </w:tcPr>
          <w:p w14:paraId="4F3521E8">
            <w:pPr>
              <w:spacing w:line="360" w:lineRule="auto"/>
              <w:jc w:val="center"/>
              <w:rPr>
                <w:rFonts w:ascii="宋体" w:hAnsi="宋体" w:eastAsia="宋体"/>
                <w:color w:val="000000" w:themeColor="text1"/>
                <w:szCs w:val="21"/>
                <w14:textFill>
                  <w14:solidFill>
                    <w14:schemeClr w14:val="tx1"/>
                  </w14:solidFill>
                </w14:textFill>
              </w:rPr>
            </w:pPr>
          </w:p>
        </w:tc>
        <w:tc>
          <w:tcPr>
            <w:tcW w:w="1510" w:type="dxa"/>
            <w:vAlign w:val="center"/>
          </w:tcPr>
          <w:p w14:paraId="4462ABAE">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货物名称</w:t>
            </w:r>
          </w:p>
        </w:tc>
        <w:tc>
          <w:tcPr>
            <w:tcW w:w="1510" w:type="dxa"/>
            <w:vAlign w:val="center"/>
          </w:tcPr>
          <w:p w14:paraId="1861095B">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货物参数</w:t>
            </w:r>
          </w:p>
        </w:tc>
        <w:tc>
          <w:tcPr>
            <w:tcW w:w="1510" w:type="dxa"/>
            <w:vAlign w:val="center"/>
          </w:tcPr>
          <w:p w14:paraId="5DB0A50C">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货物名称</w:t>
            </w:r>
          </w:p>
        </w:tc>
        <w:tc>
          <w:tcPr>
            <w:tcW w:w="1510" w:type="dxa"/>
            <w:vAlign w:val="center"/>
          </w:tcPr>
          <w:p w14:paraId="5CB8B804">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所提供货物的内容</w:t>
            </w:r>
          </w:p>
        </w:tc>
        <w:tc>
          <w:tcPr>
            <w:tcW w:w="1510" w:type="dxa"/>
            <w:vMerge w:val="continue"/>
            <w:vAlign w:val="center"/>
          </w:tcPr>
          <w:p w14:paraId="3578588E">
            <w:pPr>
              <w:spacing w:line="360" w:lineRule="auto"/>
              <w:jc w:val="center"/>
              <w:rPr>
                <w:rFonts w:ascii="宋体" w:hAnsi="宋体" w:eastAsia="宋体"/>
                <w:color w:val="000000" w:themeColor="text1"/>
                <w:szCs w:val="21"/>
                <w14:textFill>
                  <w14:solidFill>
                    <w14:schemeClr w14:val="tx1"/>
                  </w14:solidFill>
                </w14:textFill>
              </w:rPr>
            </w:pPr>
          </w:p>
        </w:tc>
      </w:tr>
      <w:tr w14:paraId="48859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Align w:val="center"/>
          </w:tcPr>
          <w:p w14:paraId="03824069">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w:t>
            </w:r>
          </w:p>
        </w:tc>
        <w:tc>
          <w:tcPr>
            <w:tcW w:w="1510" w:type="dxa"/>
            <w:vAlign w:val="center"/>
          </w:tcPr>
          <w:p w14:paraId="36EDBFF5">
            <w:pPr>
              <w:spacing w:line="360" w:lineRule="auto"/>
              <w:jc w:val="lef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w:t>
            </w:r>
          </w:p>
        </w:tc>
        <w:tc>
          <w:tcPr>
            <w:tcW w:w="1510" w:type="dxa"/>
            <w:vAlign w:val="center"/>
          </w:tcPr>
          <w:p w14:paraId="59E9DC3D">
            <w:pPr>
              <w:spacing w:line="360" w:lineRule="auto"/>
              <w:jc w:val="lef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w:t>
            </w:r>
          </w:p>
          <w:p w14:paraId="7BB2FFE0">
            <w:pPr>
              <w:spacing w:line="360" w:lineRule="auto"/>
              <w:jc w:val="lef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2……</w:t>
            </w:r>
          </w:p>
          <w:p w14:paraId="1D0F2DE9">
            <w:pPr>
              <w:spacing w:line="360" w:lineRule="auto"/>
              <w:jc w:val="lef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3……</w:t>
            </w:r>
          </w:p>
          <w:p w14:paraId="6A610F18">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510" w:type="dxa"/>
            <w:vAlign w:val="center"/>
          </w:tcPr>
          <w:p w14:paraId="288D088D">
            <w:pPr>
              <w:spacing w:line="360" w:lineRule="auto"/>
              <w:jc w:val="lef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w:t>
            </w:r>
          </w:p>
        </w:tc>
        <w:tc>
          <w:tcPr>
            <w:tcW w:w="1510" w:type="dxa"/>
            <w:vAlign w:val="center"/>
          </w:tcPr>
          <w:p w14:paraId="458DD43A">
            <w:pPr>
              <w:spacing w:line="360" w:lineRule="auto"/>
              <w:jc w:val="lef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w:t>
            </w:r>
          </w:p>
          <w:p w14:paraId="6D138817">
            <w:pPr>
              <w:spacing w:line="360" w:lineRule="auto"/>
              <w:jc w:val="lef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2……</w:t>
            </w:r>
          </w:p>
          <w:p w14:paraId="2158BE16">
            <w:pPr>
              <w:spacing w:line="360" w:lineRule="auto"/>
              <w:jc w:val="lef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3……</w:t>
            </w:r>
          </w:p>
          <w:p w14:paraId="648122D7">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510" w:type="dxa"/>
            <w:vAlign w:val="center"/>
          </w:tcPr>
          <w:p w14:paraId="49226B92">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正偏离（负偏离或无偏离）</w:t>
            </w:r>
          </w:p>
        </w:tc>
      </w:tr>
      <w:tr w14:paraId="4884F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Align w:val="center"/>
          </w:tcPr>
          <w:p w14:paraId="47BAE66E">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p>
        </w:tc>
        <w:tc>
          <w:tcPr>
            <w:tcW w:w="1510" w:type="dxa"/>
            <w:vAlign w:val="center"/>
          </w:tcPr>
          <w:p w14:paraId="6826D650">
            <w:pPr>
              <w:spacing w:line="360" w:lineRule="auto"/>
              <w:jc w:val="lef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w:t>
            </w:r>
          </w:p>
        </w:tc>
        <w:tc>
          <w:tcPr>
            <w:tcW w:w="1510" w:type="dxa"/>
            <w:vAlign w:val="center"/>
          </w:tcPr>
          <w:p w14:paraId="34F8986D">
            <w:pPr>
              <w:spacing w:line="360" w:lineRule="auto"/>
              <w:jc w:val="lef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w:t>
            </w:r>
          </w:p>
          <w:p w14:paraId="3FFC4D83">
            <w:pPr>
              <w:spacing w:line="360" w:lineRule="auto"/>
              <w:jc w:val="lef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2……</w:t>
            </w:r>
          </w:p>
          <w:p w14:paraId="4D36721B">
            <w:pPr>
              <w:spacing w:line="360" w:lineRule="auto"/>
              <w:jc w:val="lef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3……</w:t>
            </w:r>
          </w:p>
          <w:p w14:paraId="3CC455A4">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510" w:type="dxa"/>
            <w:vAlign w:val="center"/>
          </w:tcPr>
          <w:p w14:paraId="53165AA1">
            <w:pPr>
              <w:spacing w:line="360" w:lineRule="auto"/>
              <w:jc w:val="lef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w:t>
            </w:r>
          </w:p>
        </w:tc>
        <w:tc>
          <w:tcPr>
            <w:tcW w:w="1510" w:type="dxa"/>
            <w:vAlign w:val="center"/>
          </w:tcPr>
          <w:p w14:paraId="1B9FBB77">
            <w:pPr>
              <w:spacing w:line="360" w:lineRule="auto"/>
              <w:jc w:val="lef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w:t>
            </w:r>
          </w:p>
          <w:p w14:paraId="59E78A10">
            <w:pPr>
              <w:spacing w:line="360" w:lineRule="auto"/>
              <w:jc w:val="lef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2……</w:t>
            </w:r>
          </w:p>
          <w:p w14:paraId="22A86CBE">
            <w:pPr>
              <w:spacing w:line="360" w:lineRule="auto"/>
              <w:jc w:val="lef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3……</w:t>
            </w:r>
          </w:p>
          <w:p w14:paraId="32608233">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510" w:type="dxa"/>
            <w:vAlign w:val="center"/>
          </w:tcPr>
          <w:p w14:paraId="3B6FBBD0">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正偏离（负偏离或无偏离）</w:t>
            </w:r>
          </w:p>
        </w:tc>
      </w:tr>
      <w:tr w14:paraId="6E3C5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Align w:val="center"/>
          </w:tcPr>
          <w:p w14:paraId="3072BBA6">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510" w:type="dxa"/>
            <w:vAlign w:val="center"/>
          </w:tcPr>
          <w:p w14:paraId="3C95AEC4">
            <w:pPr>
              <w:spacing w:line="360" w:lineRule="auto"/>
              <w:jc w:val="center"/>
              <w:rPr>
                <w:rFonts w:ascii="宋体" w:hAnsi="宋体" w:eastAsia="宋体"/>
                <w:color w:val="000000" w:themeColor="text1"/>
                <w:szCs w:val="21"/>
                <w14:textFill>
                  <w14:solidFill>
                    <w14:schemeClr w14:val="tx1"/>
                  </w14:solidFill>
                </w14:textFill>
              </w:rPr>
            </w:pPr>
          </w:p>
        </w:tc>
        <w:tc>
          <w:tcPr>
            <w:tcW w:w="1510" w:type="dxa"/>
            <w:vAlign w:val="center"/>
          </w:tcPr>
          <w:p w14:paraId="555E586A">
            <w:pPr>
              <w:spacing w:line="360" w:lineRule="auto"/>
              <w:jc w:val="center"/>
              <w:rPr>
                <w:rFonts w:ascii="宋体" w:hAnsi="宋体" w:eastAsia="宋体"/>
                <w:color w:val="000000" w:themeColor="text1"/>
                <w:szCs w:val="21"/>
                <w14:textFill>
                  <w14:solidFill>
                    <w14:schemeClr w14:val="tx1"/>
                  </w14:solidFill>
                </w14:textFill>
              </w:rPr>
            </w:pPr>
          </w:p>
        </w:tc>
        <w:tc>
          <w:tcPr>
            <w:tcW w:w="1510" w:type="dxa"/>
            <w:vAlign w:val="center"/>
          </w:tcPr>
          <w:p w14:paraId="1F72B1BA">
            <w:pPr>
              <w:spacing w:line="360" w:lineRule="auto"/>
              <w:jc w:val="center"/>
              <w:rPr>
                <w:rFonts w:ascii="宋体" w:hAnsi="宋体" w:eastAsia="宋体"/>
                <w:color w:val="000000" w:themeColor="text1"/>
                <w:szCs w:val="21"/>
                <w14:textFill>
                  <w14:solidFill>
                    <w14:schemeClr w14:val="tx1"/>
                  </w14:solidFill>
                </w14:textFill>
              </w:rPr>
            </w:pPr>
          </w:p>
        </w:tc>
        <w:tc>
          <w:tcPr>
            <w:tcW w:w="1510" w:type="dxa"/>
            <w:vAlign w:val="center"/>
          </w:tcPr>
          <w:p w14:paraId="0E18F089">
            <w:pPr>
              <w:spacing w:line="360" w:lineRule="auto"/>
              <w:jc w:val="center"/>
              <w:rPr>
                <w:rFonts w:ascii="宋体" w:hAnsi="宋体" w:eastAsia="宋体"/>
                <w:color w:val="000000" w:themeColor="text1"/>
                <w:szCs w:val="21"/>
                <w14:textFill>
                  <w14:solidFill>
                    <w14:schemeClr w14:val="tx1"/>
                  </w14:solidFill>
                </w14:textFill>
              </w:rPr>
            </w:pPr>
          </w:p>
        </w:tc>
        <w:tc>
          <w:tcPr>
            <w:tcW w:w="1510" w:type="dxa"/>
            <w:vAlign w:val="center"/>
          </w:tcPr>
          <w:p w14:paraId="6DD06194">
            <w:pPr>
              <w:spacing w:line="360" w:lineRule="auto"/>
              <w:jc w:val="center"/>
              <w:rPr>
                <w:rFonts w:ascii="宋体" w:hAnsi="宋体" w:eastAsia="宋体"/>
                <w:color w:val="000000" w:themeColor="text1"/>
                <w:szCs w:val="21"/>
                <w14:textFill>
                  <w14:solidFill>
                    <w14:schemeClr w14:val="tx1"/>
                  </w14:solidFill>
                </w14:textFill>
              </w:rPr>
            </w:pPr>
          </w:p>
        </w:tc>
      </w:tr>
      <w:tr w14:paraId="7E840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6"/>
            <w:vAlign w:val="center"/>
          </w:tcPr>
          <w:p w14:paraId="1B2BE885">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分标（此处有分标时填写具体分标号，无分标时填写“无”）</w:t>
            </w:r>
          </w:p>
        </w:tc>
      </w:tr>
    </w:tbl>
    <w:p w14:paraId="293EF94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w:t>
      </w:r>
    </w:p>
    <w:p w14:paraId="6FEE857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1.表格内容均需按要求填写并盖章，不得留空，否则按投标无效处理。</w:t>
      </w:r>
    </w:p>
    <w:p w14:paraId="2C84050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2.当投标文件的货物内容低于招标文件要求时，投标人应当如实写明“负偏离”，否则视为虚假应标。</w:t>
      </w:r>
    </w:p>
    <w:p w14:paraId="5FC261E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3.采购需求中带“▲”及“●”的条款，也要分别在本表“货物参数”、“所提供货物的内容”中标记。</w:t>
      </w:r>
    </w:p>
    <w:p w14:paraId="3F3355EE">
      <w:pPr>
        <w:spacing w:line="360" w:lineRule="auto"/>
        <w:ind w:firstLine="420" w:firstLineChars="200"/>
        <w:rPr>
          <w:rFonts w:ascii="宋体" w:hAnsi="宋体" w:eastAsia="宋体"/>
          <w:color w:val="000000" w:themeColor="text1"/>
          <w:szCs w:val="21"/>
          <w14:textFill>
            <w14:solidFill>
              <w14:schemeClr w14:val="tx1"/>
            </w14:solidFill>
          </w14:textFill>
        </w:rPr>
      </w:pPr>
    </w:p>
    <w:p w14:paraId="2F7451F8">
      <w:pPr>
        <w:spacing w:line="360" w:lineRule="auto"/>
        <w:ind w:firstLine="5040" w:firstLineChars="24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投标人名称（电子签章）：</w:t>
      </w:r>
    </w:p>
    <w:p w14:paraId="1C796E03">
      <w:pPr>
        <w:spacing w:line="360" w:lineRule="auto"/>
        <w:ind w:firstLine="5040" w:firstLineChars="24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年</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月</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日</w:t>
      </w:r>
    </w:p>
    <w:p w14:paraId="797E3789">
      <w:pPr>
        <w:spacing w:line="360" w:lineRule="auto"/>
        <w:ind w:firstLine="420" w:firstLineChars="200"/>
        <w:rPr>
          <w:rFonts w:ascii="宋体" w:hAnsi="宋体" w:eastAsia="宋体"/>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7A2589C9">
      <w:pPr>
        <w:spacing w:line="360" w:lineRule="auto"/>
        <w:jc w:val="center"/>
        <w:rPr>
          <w:rFonts w:ascii="宋体" w:hAnsi="宋体" w:eastAsia="宋体"/>
          <w:b/>
          <w:color w:val="000000" w:themeColor="text1"/>
          <w:sz w:val="30"/>
          <w:szCs w:val="30"/>
          <w14:textFill>
            <w14:solidFill>
              <w14:schemeClr w14:val="tx1"/>
            </w14:solidFill>
          </w14:textFill>
        </w:rPr>
      </w:pPr>
      <w:r>
        <w:rPr>
          <w:rFonts w:hint="eastAsia" w:ascii="宋体" w:hAnsi="宋体" w:eastAsia="宋体"/>
          <w:b/>
          <w:color w:val="000000" w:themeColor="text1"/>
          <w:sz w:val="30"/>
          <w:szCs w:val="30"/>
          <w14:textFill>
            <w14:solidFill>
              <w14:schemeClr w14:val="tx1"/>
            </w14:solidFill>
          </w14:textFill>
        </w:rPr>
        <w:t>二、项目实施组织货物方案</w:t>
      </w:r>
    </w:p>
    <w:p w14:paraId="0D23F08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（由投标人根据采购需求及招标文件要求编制）</w:t>
      </w:r>
    </w:p>
    <w:p w14:paraId="36CE9B3F">
      <w:pPr>
        <w:spacing w:line="360" w:lineRule="auto"/>
        <w:ind w:firstLine="420" w:firstLineChars="200"/>
        <w:rPr>
          <w:rFonts w:ascii="宋体" w:hAnsi="宋体" w:eastAsia="宋体"/>
          <w:color w:val="000000" w:themeColor="text1"/>
          <w:szCs w:val="21"/>
          <w14:textFill>
            <w14:solidFill>
              <w14:schemeClr w14:val="tx1"/>
            </w14:solidFill>
          </w14:textFill>
        </w:rPr>
      </w:pPr>
    </w:p>
    <w:p w14:paraId="2F268892">
      <w:pPr>
        <w:spacing w:line="360" w:lineRule="auto"/>
        <w:ind w:firstLine="420" w:firstLineChars="200"/>
        <w:rPr>
          <w:rFonts w:ascii="宋体" w:hAnsi="宋体" w:eastAsia="宋体"/>
          <w:color w:val="000000" w:themeColor="text1"/>
          <w:szCs w:val="21"/>
          <w14:textFill>
            <w14:solidFill>
              <w14:schemeClr w14:val="tx1"/>
            </w14:solidFill>
          </w14:textFill>
        </w:rPr>
      </w:pPr>
    </w:p>
    <w:p w14:paraId="745203DB">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（一）项目前期准备</w:t>
      </w:r>
    </w:p>
    <w:p w14:paraId="096AD8F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（由投标人根据采购需求及招标文件要求编制）</w:t>
      </w:r>
    </w:p>
    <w:p w14:paraId="6311CDCC">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（二）项目实施计划</w:t>
      </w:r>
    </w:p>
    <w:p w14:paraId="3D10FE0D">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附表：项目实施进度计划表（以生效日算起）</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460"/>
        <w:gridCol w:w="427"/>
        <w:gridCol w:w="566"/>
        <w:gridCol w:w="566"/>
        <w:gridCol w:w="566"/>
        <w:gridCol w:w="566"/>
        <w:gridCol w:w="566"/>
        <w:gridCol w:w="566"/>
        <w:gridCol w:w="566"/>
        <w:gridCol w:w="566"/>
        <w:gridCol w:w="566"/>
        <w:gridCol w:w="567"/>
        <w:gridCol w:w="567"/>
        <w:gridCol w:w="567"/>
        <w:gridCol w:w="567"/>
      </w:tblGrid>
      <w:tr w14:paraId="37F61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811" w:type="dxa"/>
            <w:tcBorders>
              <w:tl2br w:val="single" w:color="auto" w:sz="4" w:space="0"/>
            </w:tcBorders>
            <w:vAlign w:val="center"/>
          </w:tcPr>
          <w:p w14:paraId="4FEF04A0">
            <w:pPr>
              <w:spacing w:line="360" w:lineRule="auto"/>
              <w:jc w:val="righ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工作日</w:t>
            </w:r>
          </w:p>
          <w:p w14:paraId="1F91480B">
            <w:pPr>
              <w:spacing w:line="360" w:lineRule="auto"/>
              <w:jc w:val="left"/>
              <w:rPr>
                <w:rFonts w:ascii="宋体" w:hAnsi="宋体" w:eastAsia="宋体"/>
                <w:color w:val="000000" w:themeColor="text1"/>
                <w:szCs w:val="21"/>
                <w14:textFill>
                  <w14:solidFill>
                    <w14:schemeClr w14:val="tx1"/>
                  </w14:solidFill>
                </w14:textFill>
              </w:rPr>
            </w:pPr>
          </w:p>
          <w:p w14:paraId="23858046">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内容</w:t>
            </w:r>
          </w:p>
        </w:tc>
        <w:tc>
          <w:tcPr>
            <w:tcW w:w="460" w:type="dxa"/>
            <w:vAlign w:val="center"/>
          </w:tcPr>
          <w:p w14:paraId="5396D2B2">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tc>
        <w:tc>
          <w:tcPr>
            <w:tcW w:w="427" w:type="dxa"/>
            <w:vAlign w:val="center"/>
          </w:tcPr>
          <w:p w14:paraId="5C1DEBA0">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p>
        </w:tc>
        <w:tc>
          <w:tcPr>
            <w:tcW w:w="566" w:type="dxa"/>
            <w:vAlign w:val="center"/>
          </w:tcPr>
          <w:p w14:paraId="02E547B9">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w:t>
            </w:r>
          </w:p>
        </w:tc>
        <w:tc>
          <w:tcPr>
            <w:tcW w:w="566" w:type="dxa"/>
            <w:vAlign w:val="center"/>
          </w:tcPr>
          <w:p w14:paraId="30FD3B95">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w:t>
            </w:r>
          </w:p>
        </w:tc>
        <w:tc>
          <w:tcPr>
            <w:tcW w:w="566" w:type="dxa"/>
            <w:vAlign w:val="center"/>
          </w:tcPr>
          <w:p w14:paraId="7DE37F85">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w:t>
            </w:r>
          </w:p>
        </w:tc>
        <w:tc>
          <w:tcPr>
            <w:tcW w:w="566" w:type="dxa"/>
            <w:vAlign w:val="center"/>
          </w:tcPr>
          <w:p w14:paraId="1BA01199">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w:t>
            </w:r>
          </w:p>
        </w:tc>
        <w:tc>
          <w:tcPr>
            <w:tcW w:w="566" w:type="dxa"/>
            <w:vAlign w:val="center"/>
          </w:tcPr>
          <w:p w14:paraId="66CFCCDB">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w:t>
            </w:r>
          </w:p>
        </w:tc>
        <w:tc>
          <w:tcPr>
            <w:tcW w:w="566" w:type="dxa"/>
            <w:vAlign w:val="center"/>
          </w:tcPr>
          <w:p w14:paraId="4CF2E931">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w:t>
            </w:r>
          </w:p>
        </w:tc>
        <w:tc>
          <w:tcPr>
            <w:tcW w:w="566" w:type="dxa"/>
            <w:vAlign w:val="center"/>
          </w:tcPr>
          <w:p w14:paraId="1DE8CB67">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w:t>
            </w:r>
          </w:p>
        </w:tc>
        <w:tc>
          <w:tcPr>
            <w:tcW w:w="566" w:type="dxa"/>
            <w:vAlign w:val="center"/>
          </w:tcPr>
          <w:p w14:paraId="06CFF6A7">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0</w:t>
            </w:r>
          </w:p>
        </w:tc>
        <w:tc>
          <w:tcPr>
            <w:tcW w:w="566" w:type="dxa"/>
            <w:vAlign w:val="center"/>
          </w:tcPr>
          <w:p w14:paraId="73361C0A">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1</w:t>
            </w:r>
          </w:p>
        </w:tc>
        <w:tc>
          <w:tcPr>
            <w:tcW w:w="567" w:type="dxa"/>
            <w:vAlign w:val="center"/>
          </w:tcPr>
          <w:p w14:paraId="7DDE8E63">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2</w:t>
            </w:r>
          </w:p>
        </w:tc>
        <w:tc>
          <w:tcPr>
            <w:tcW w:w="567" w:type="dxa"/>
            <w:vAlign w:val="center"/>
          </w:tcPr>
          <w:p w14:paraId="5E095563">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3</w:t>
            </w:r>
          </w:p>
        </w:tc>
        <w:tc>
          <w:tcPr>
            <w:tcW w:w="567" w:type="dxa"/>
            <w:vAlign w:val="center"/>
          </w:tcPr>
          <w:p w14:paraId="271DA6AF">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4</w:t>
            </w:r>
          </w:p>
        </w:tc>
        <w:tc>
          <w:tcPr>
            <w:tcW w:w="567" w:type="dxa"/>
            <w:vAlign w:val="center"/>
          </w:tcPr>
          <w:p w14:paraId="37905ABF">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w:t>
            </w:r>
          </w:p>
        </w:tc>
      </w:tr>
      <w:tr w14:paraId="1F103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77B77AD4">
            <w:pPr>
              <w:spacing w:line="360" w:lineRule="auto"/>
              <w:jc w:val="center"/>
              <w:rPr>
                <w:rFonts w:ascii="宋体" w:hAnsi="宋体" w:eastAsia="宋体"/>
                <w:color w:val="000000" w:themeColor="text1"/>
                <w:szCs w:val="21"/>
                <w14:textFill>
                  <w14:solidFill>
                    <w14:schemeClr w14:val="tx1"/>
                  </w14:solidFill>
                </w14:textFill>
              </w:rPr>
            </w:pPr>
          </w:p>
        </w:tc>
        <w:tc>
          <w:tcPr>
            <w:tcW w:w="460" w:type="dxa"/>
            <w:vAlign w:val="center"/>
          </w:tcPr>
          <w:p w14:paraId="54F010A0">
            <w:pPr>
              <w:spacing w:line="360" w:lineRule="auto"/>
              <w:jc w:val="center"/>
              <w:rPr>
                <w:rFonts w:ascii="宋体" w:hAnsi="宋体" w:eastAsia="宋体"/>
                <w:color w:val="000000" w:themeColor="text1"/>
                <w:szCs w:val="21"/>
                <w14:textFill>
                  <w14:solidFill>
                    <w14:schemeClr w14:val="tx1"/>
                  </w14:solidFill>
                </w14:textFill>
              </w:rPr>
            </w:pPr>
          </w:p>
        </w:tc>
        <w:tc>
          <w:tcPr>
            <w:tcW w:w="427" w:type="dxa"/>
            <w:vAlign w:val="center"/>
          </w:tcPr>
          <w:p w14:paraId="18BA9C79">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4A119956">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203447BE">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10B11327">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74386B73">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337F0208">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2A7DAC13">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323F0D1A">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37E65AC3">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1B34CD26">
            <w:pPr>
              <w:spacing w:line="360" w:lineRule="auto"/>
              <w:jc w:val="center"/>
              <w:rPr>
                <w:rFonts w:ascii="宋体" w:hAnsi="宋体" w:eastAsia="宋体"/>
                <w:color w:val="000000" w:themeColor="text1"/>
                <w:szCs w:val="21"/>
                <w14:textFill>
                  <w14:solidFill>
                    <w14:schemeClr w14:val="tx1"/>
                  </w14:solidFill>
                </w14:textFill>
              </w:rPr>
            </w:pPr>
          </w:p>
        </w:tc>
        <w:tc>
          <w:tcPr>
            <w:tcW w:w="567" w:type="dxa"/>
            <w:vAlign w:val="center"/>
          </w:tcPr>
          <w:p w14:paraId="53AEEA45">
            <w:pPr>
              <w:spacing w:line="360" w:lineRule="auto"/>
              <w:jc w:val="center"/>
              <w:rPr>
                <w:rFonts w:ascii="宋体" w:hAnsi="宋体" w:eastAsia="宋体"/>
                <w:color w:val="000000" w:themeColor="text1"/>
                <w:szCs w:val="21"/>
                <w14:textFill>
                  <w14:solidFill>
                    <w14:schemeClr w14:val="tx1"/>
                  </w14:solidFill>
                </w14:textFill>
              </w:rPr>
            </w:pPr>
          </w:p>
        </w:tc>
        <w:tc>
          <w:tcPr>
            <w:tcW w:w="567" w:type="dxa"/>
            <w:vAlign w:val="center"/>
          </w:tcPr>
          <w:p w14:paraId="785E2D22">
            <w:pPr>
              <w:spacing w:line="360" w:lineRule="auto"/>
              <w:jc w:val="center"/>
              <w:rPr>
                <w:rFonts w:ascii="宋体" w:hAnsi="宋体" w:eastAsia="宋体"/>
                <w:color w:val="000000" w:themeColor="text1"/>
                <w:szCs w:val="21"/>
                <w14:textFill>
                  <w14:solidFill>
                    <w14:schemeClr w14:val="tx1"/>
                  </w14:solidFill>
                </w14:textFill>
              </w:rPr>
            </w:pPr>
          </w:p>
        </w:tc>
        <w:tc>
          <w:tcPr>
            <w:tcW w:w="567" w:type="dxa"/>
            <w:vAlign w:val="center"/>
          </w:tcPr>
          <w:p w14:paraId="4FF669E9">
            <w:pPr>
              <w:spacing w:line="360" w:lineRule="auto"/>
              <w:jc w:val="center"/>
              <w:rPr>
                <w:rFonts w:ascii="宋体" w:hAnsi="宋体" w:eastAsia="宋体"/>
                <w:color w:val="000000" w:themeColor="text1"/>
                <w:szCs w:val="21"/>
                <w14:textFill>
                  <w14:solidFill>
                    <w14:schemeClr w14:val="tx1"/>
                  </w14:solidFill>
                </w14:textFill>
              </w:rPr>
            </w:pPr>
          </w:p>
        </w:tc>
        <w:tc>
          <w:tcPr>
            <w:tcW w:w="567" w:type="dxa"/>
            <w:vAlign w:val="center"/>
          </w:tcPr>
          <w:p w14:paraId="3B49F386">
            <w:pPr>
              <w:spacing w:line="360" w:lineRule="auto"/>
              <w:jc w:val="center"/>
              <w:rPr>
                <w:rFonts w:ascii="宋体" w:hAnsi="宋体" w:eastAsia="宋体"/>
                <w:color w:val="000000" w:themeColor="text1"/>
                <w:szCs w:val="21"/>
                <w14:textFill>
                  <w14:solidFill>
                    <w14:schemeClr w14:val="tx1"/>
                  </w14:solidFill>
                </w14:textFill>
              </w:rPr>
            </w:pPr>
          </w:p>
        </w:tc>
      </w:tr>
      <w:tr w14:paraId="6042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4C9CD895">
            <w:pPr>
              <w:spacing w:line="360" w:lineRule="auto"/>
              <w:jc w:val="center"/>
              <w:rPr>
                <w:rFonts w:ascii="宋体" w:hAnsi="宋体" w:eastAsia="宋体"/>
                <w:color w:val="000000" w:themeColor="text1"/>
                <w:szCs w:val="21"/>
                <w14:textFill>
                  <w14:solidFill>
                    <w14:schemeClr w14:val="tx1"/>
                  </w14:solidFill>
                </w14:textFill>
              </w:rPr>
            </w:pPr>
          </w:p>
        </w:tc>
        <w:tc>
          <w:tcPr>
            <w:tcW w:w="460" w:type="dxa"/>
            <w:vAlign w:val="center"/>
          </w:tcPr>
          <w:p w14:paraId="382DA632">
            <w:pPr>
              <w:spacing w:line="360" w:lineRule="auto"/>
              <w:jc w:val="center"/>
              <w:rPr>
                <w:rFonts w:ascii="宋体" w:hAnsi="宋体" w:eastAsia="宋体"/>
                <w:color w:val="000000" w:themeColor="text1"/>
                <w:szCs w:val="21"/>
                <w14:textFill>
                  <w14:solidFill>
                    <w14:schemeClr w14:val="tx1"/>
                  </w14:solidFill>
                </w14:textFill>
              </w:rPr>
            </w:pPr>
          </w:p>
        </w:tc>
        <w:tc>
          <w:tcPr>
            <w:tcW w:w="427" w:type="dxa"/>
            <w:vAlign w:val="center"/>
          </w:tcPr>
          <w:p w14:paraId="4A4D8C61">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1C0F3244">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0E082A0E">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6A421C45">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05438452">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0A37FDEE">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21155985">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4B1816C9">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762F0431">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04C0D094">
            <w:pPr>
              <w:spacing w:line="360" w:lineRule="auto"/>
              <w:jc w:val="center"/>
              <w:rPr>
                <w:rFonts w:ascii="宋体" w:hAnsi="宋体" w:eastAsia="宋体"/>
                <w:color w:val="000000" w:themeColor="text1"/>
                <w:szCs w:val="21"/>
                <w14:textFill>
                  <w14:solidFill>
                    <w14:schemeClr w14:val="tx1"/>
                  </w14:solidFill>
                </w14:textFill>
              </w:rPr>
            </w:pPr>
          </w:p>
        </w:tc>
        <w:tc>
          <w:tcPr>
            <w:tcW w:w="567" w:type="dxa"/>
            <w:vAlign w:val="center"/>
          </w:tcPr>
          <w:p w14:paraId="740E6C25">
            <w:pPr>
              <w:spacing w:line="360" w:lineRule="auto"/>
              <w:jc w:val="center"/>
              <w:rPr>
                <w:rFonts w:ascii="宋体" w:hAnsi="宋体" w:eastAsia="宋体"/>
                <w:color w:val="000000" w:themeColor="text1"/>
                <w:szCs w:val="21"/>
                <w14:textFill>
                  <w14:solidFill>
                    <w14:schemeClr w14:val="tx1"/>
                  </w14:solidFill>
                </w14:textFill>
              </w:rPr>
            </w:pPr>
          </w:p>
        </w:tc>
        <w:tc>
          <w:tcPr>
            <w:tcW w:w="567" w:type="dxa"/>
            <w:vAlign w:val="center"/>
          </w:tcPr>
          <w:p w14:paraId="6857B1FD">
            <w:pPr>
              <w:spacing w:line="360" w:lineRule="auto"/>
              <w:jc w:val="center"/>
              <w:rPr>
                <w:rFonts w:ascii="宋体" w:hAnsi="宋体" w:eastAsia="宋体"/>
                <w:color w:val="000000" w:themeColor="text1"/>
                <w:szCs w:val="21"/>
                <w14:textFill>
                  <w14:solidFill>
                    <w14:schemeClr w14:val="tx1"/>
                  </w14:solidFill>
                </w14:textFill>
              </w:rPr>
            </w:pPr>
          </w:p>
        </w:tc>
        <w:tc>
          <w:tcPr>
            <w:tcW w:w="567" w:type="dxa"/>
            <w:vAlign w:val="center"/>
          </w:tcPr>
          <w:p w14:paraId="07541C24">
            <w:pPr>
              <w:spacing w:line="360" w:lineRule="auto"/>
              <w:jc w:val="center"/>
              <w:rPr>
                <w:rFonts w:ascii="宋体" w:hAnsi="宋体" w:eastAsia="宋体"/>
                <w:color w:val="000000" w:themeColor="text1"/>
                <w:szCs w:val="21"/>
                <w14:textFill>
                  <w14:solidFill>
                    <w14:schemeClr w14:val="tx1"/>
                  </w14:solidFill>
                </w14:textFill>
              </w:rPr>
            </w:pPr>
          </w:p>
        </w:tc>
        <w:tc>
          <w:tcPr>
            <w:tcW w:w="567" w:type="dxa"/>
            <w:vAlign w:val="center"/>
          </w:tcPr>
          <w:p w14:paraId="40C853C4">
            <w:pPr>
              <w:spacing w:line="360" w:lineRule="auto"/>
              <w:jc w:val="center"/>
              <w:rPr>
                <w:rFonts w:ascii="宋体" w:hAnsi="宋体" w:eastAsia="宋体"/>
                <w:color w:val="000000" w:themeColor="text1"/>
                <w:szCs w:val="21"/>
                <w14:textFill>
                  <w14:solidFill>
                    <w14:schemeClr w14:val="tx1"/>
                  </w14:solidFill>
                </w14:textFill>
              </w:rPr>
            </w:pPr>
          </w:p>
        </w:tc>
      </w:tr>
      <w:tr w14:paraId="08781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6B772E2B">
            <w:pPr>
              <w:spacing w:line="360" w:lineRule="auto"/>
              <w:jc w:val="center"/>
              <w:rPr>
                <w:rFonts w:ascii="宋体" w:hAnsi="宋体" w:eastAsia="宋体"/>
                <w:color w:val="000000" w:themeColor="text1"/>
                <w:szCs w:val="21"/>
                <w14:textFill>
                  <w14:solidFill>
                    <w14:schemeClr w14:val="tx1"/>
                  </w14:solidFill>
                </w14:textFill>
              </w:rPr>
            </w:pPr>
          </w:p>
        </w:tc>
        <w:tc>
          <w:tcPr>
            <w:tcW w:w="460" w:type="dxa"/>
            <w:vAlign w:val="center"/>
          </w:tcPr>
          <w:p w14:paraId="56331B89">
            <w:pPr>
              <w:spacing w:line="360" w:lineRule="auto"/>
              <w:jc w:val="center"/>
              <w:rPr>
                <w:rFonts w:ascii="宋体" w:hAnsi="宋体" w:eastAsia="宋体"/>
                <w:color w:val="000000" w:themeColor="text1"/>
                <w:szCs w:val="21"/>
                <w14:textFill>
                  <w14:solidFill>
                    <w14:schemeClr w14:val="tx1"/>
                  </w14:solidFill>
                </w14:textFill>
              </w:rPr>
            </w:pPr>
          </w:p>
        </w:tc>
        <w:tc>
          <w:tcPr>
            <w:tcW w:w="427" w:type="dxa"/>
            <w:vAlign w:val="center"/>
          </w:tcPr>
          <w:p w14:paraId="01B4309D">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78B9A257">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0495E35D">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054025A7">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08F13A5C">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295881DD">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437AB5BB">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559A947C">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263F32D0">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618D2044">
            <w:pPr>
              <w:spacing w:line="360" w:lineRule="auto"/>
              <w:jc w:val="center"/>
              <w:rPr>
                <w:rFonts w:ascii="宋体" w:hAnsi="宋体" w:eastAsia="宋体"/>
                <w:color w:val="000000" w:themeColor="text1"/>
                <w:szCs w:val="21"/>
                <w14:textFill>
                  <w14:solidFill>
                    <w14:schemeClr w14:val="tx1"/>
                  </w14:solidFill>
                </w14:textFill>
              </w:rPr>
            </w:pPr>
          </w:p>
        </w:tc>
        <w:tc>
          <w:tcPr>
            <w:tcW w:w="567" w:type="dxa"/>
            <w:vAlign w:val="center"/>
          </w:tcPr>
          <w:p w14:paraId="7E1BAE36">
            <w:pPr>
              <w:spacing w:line="360" w:lineRule="auto"/>
              <w:jc w:val="center"/>
              <w:rPr>
                <w:rFonts w:ascii="宋体" w:hAnsi="宋体" w:eastAsia="宋体"/>
                <w:color w:val="000000" w:themeColor="text1"/>
                <w:szCs w:val="21"/>
                <w14:textFill>
                  <w14:solidFill>
                    <w14:schemeClr w14:val="tx1"/>
                  </w14:solidFill>
                </w14:textFill>
              </w:rPr>
            </w:pPr>
          </w:p>
        </w:tc>
        <w:tc>
          <w:tcPr>
            <w:tcW w:w="567" w:type="dxa"/>
            <w:vAlign w:val="center"/>
          </w:tcPr>
          <w:p w14:paraId="06F741D6">
            <w:pPr>
              <w:spacing w:line="360" w:lineRule="auto"/>
              <w:jc w:val="center"/>
              <w:rPr>
                <w:rFonts w:ascii="宋体" w:hAnsi="宋体" w:eastAsia="宋体"/>
                <w:color w:val="000000" w:themeColor="text1"/>
                <w:szCs w:val="21"/>
                <w14:textFill>
                  <w14:solidFill>
                    <w14:schemeClr w14:val="tx1"/>
                  </w14:solidFill>
                </w14:textFill>
              </w:rPr>
            </w:pPr>
          </w:p>
        </w:tc>
        <w:tc>
          <w:tcPr>
            <w:tcW w:w="567" w:type="dxa"/>
            <w:vAlign w:val="center"/>
          </w:tcPr>
          <w:p w14:paraId="56A557BA">
            <w:pPr>
              <w:spacing w:line="360" w:lineRule="auto"/>
              <w:jc w:val="center"/>
              <w:rPr>
                <w:rFonts w:ascii="宋体" w:hAnsi="宋体" w:eastAsia="宋体"/>
                <w:color w:val="000000" w:themeColor="text1"/>
                <w:szCs w:val="21"/>
                <w14:textFill>
                  <w14:solidFill>
                    <w14:schemeClr w14:val="tx1"/>
                  </w14:solidFill>
                </w14:textFill>
              </w:rPr>
            </w:pPr>
          </w:p>
        </w:tc>
        <w:tc>
          <w:tcPr>
            <w:tcW w:w="567" w:type="dxa"/>
            <w:vAlign w:val="center"/>
          </w:tcPr>
          <w:p w14:paraId="20236220">
            <w:pPr>
              <w:spacing w:line="360" w:lineRule="auto"/>
              <w:jc w:val="center"/>
              <w:rPr>
                <w:rFonts w:ascii="宋体" w:hAnsi="宋体" w:eastAsia="宋体"/>
                <w:color w:val="000000" w:themeColor="text1"/>
                <w:szCs w:val="21"/>
                <w14:textFill>
                  <w14:solidFill>
                    <w14:schemeClr w14:val="tx1"/>
                  </w14:solidFill>
                </w14:textFill>
              </w:rPr>
            </w:pPr>
          </w:p>
        </w:tc>
      </w:tr>
      <w:tr w14:paraId="4405F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02900A50">
            <w:pPr>
              <w:spacing w:line="360" w:lineRule="auto"/>
              <w:jc w:val="center"/>
              <w:rPr>
                <w:rFonts w:ascii="宋体" w:hAnsi="宋体" w:eastAsia="宋体"/>
                <w:color w:val="000000" w:themeColor="text1"/>
                <w:szCs w:val="21"/>
                <w14:textFill>
                  <w14:solidFill>
                    <w14:schemeClr w14:val="tx1"/>
                  </w14:solidFill>
                </w14:textFill>
              </w:rPr>
            </w:pPr>
          </w:p>
        </w:tc>
        <w:tc>
          <w:tcPr>
            <w:tcW w:w="460" w:type="dxa"/>
            <w:vAlign w:val="center"/>
          </w:tcPr>
          <w:p w14:paraId="6AE83EC1">
            <w:pPr>
              <w:spacing w:line="360" w:lineRule="auto"/>
              <w:jc w:val="center"/>
              <w:rPr>
                <w:rFonts w:ascii="宋体" w:hAnsi="宋体" w:eastAsia="宋体"/>
                <w:color w:val="000000" w:themeColor="text1"/>
                <w:szCs w:val="21"/>
                <w14:textFill>
                  <w14:solidFill>
                    <w14:schemeClr w14:val="tx1"/>
                  </w14:solidFill>
                </w14:textFill>
              </w:rPr>
            </w:pPr>
          </w:p>
        </w:tc>
        <w:tc>
          <w:tcPr>
            <w:tcW w:w="427" w:type="dxa"/>
            <w:vAlign w:val="center"/>
          </w:tcPr>
          <w:p w14:paraId="6ABC6BF2">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5986212B">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09B34AF0">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3E4E8446">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653535EA">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45622C99">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6255B435">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0CEF522A">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542FC0DD">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4706D38C">
            <w:pPr>
              <w:spacing w:line="360" w:lineRule="auto"/>
              <w:jc w:val="center"/>
              <w:rPr>
                <w:rFonts w:ascii="宋体" w:hAnsi="宋体" w:eastAsia="宋体"/>
                <w:color w:val="000000" w:themeColor="text1"/>
                <w:szCs w:val="21"/>
                <w14:textFill>
                  <w14:solidFill>
                    <w14:schemeClr w14:val="tx1"/>
                  </w14:solidFill>
                </w14:textFill>
              </w:rPr>
            </w:pPr>
          </w:p>
        </w:tc>
        <w:tc>
          <w:tcPr>
            <w:tcW w:w="567" w:type="dxa"/>
            <w:vAlign w:val="center"/>
          </w:tcPr>
          <w:p w14:paraId="6BEE85F6">
            <w:pPr>
              <w:spacing w:line="360" w:lineRule="auto"/>
              <w:jc w:val="center"/>
              <w:rPr>
                <w:rFonts w:ascii="宋体" w:hAnsi="宋体" w:eastAsia="宋体"/>
                <w:color w:val="000000" w:themeColor="text1"/>
                <w:szCs w:val="21"/>
                <w14:textFill>
                  <w14:solidFill>
                    <w14:schemeClr w14:val="tx1"/>
                  </w14:solidFill>
                </w14:textFill>
              </w:rPr>
            </w:pPr>
          </w:p>
        </w:tc>
        <w:tc>
          <w:tcPr>
            <w:tcW w:w="567" w:type="dxa"/>
            <w:vAlign w:val="center"/>
          </w:tcPr>
          <w:p w14:paraId="389621FB">
            <w:pPr>
              <w:spacing w:line="360" w:lineRule="auto"/>
              <w:jc w:val="center"/>
              <w:rPr>
                <w:rFonts w:ascii="宋体" w:hAnsi="宋体" w:eastAsia="宋体"/>
                <w:color w:val="000000" w:themeColor="text1"/>
                <w:szCs w:val="21"/>
                <w14:textFill>
                  <w14:solidFill>
                    <w14:schemeClr w14:val="tx1"/>
                  </w14:solidFill>
                </w14:textFill>
              </w:rPr>
            </w:pPr>
          </w:p>
        </w:tc>
        <w:tc>
          <w:tcPr>
            <w:tcW w:w="567" w:type="dxa"/>
            <w:vAlign w:val="center"/>
          </w:tcPr>
          <w:p w14:paraId="72A27E83">
            <w:pPr>
              <w:spacing w:line="360" w:lineRule="auto"/>
              <w:jc w:val="center"/>
              <w:rPr>
                <w:rFonts w:ascii="宋体" w:hAnsi="宋体" w:eastAsia="宋体"/>
                <w:color w:val="000000" w:themeColor="text1"/>
                <w:szCs w:val="21"/>
                <w14:textFill>
                  <w14:solidFill>
                    <w14:schemeClr w14:val="tx1"/>
                  </w14:solidFill>
                </w14:textFill>
              </w:rPr>
            </w:pPr>
          </w:p>
        </w:tc>
        <w:tc>
          <w:tcPr>
            <w:tcW w:w="567" w:type="dxa"/>
            <w:vAlign w:val="center"/>
          </w:tcPr>
          <w:p w14:paraId="5EDC49BF">
            <w:pPr>
              <w:spacing w:line="360" w:lineRule="auto"/>
              <w:jc w:val="center"/>
              <w:rPr>
                <w:rFonts w:ascii="宋体" w:hAnsi="宋体" w:eastAsia="宋体"/>
                <w:color w:val="000000" w:themeColor="text1"/>
                <w:szCs w:val="21"/>
                <w14:textFill>
                  <w14:solidFill>
                    <w14:schemeClr w14:val="tx1"/>
                  </w14:solidFill>
                </w14:textFill>
              </w:rPr>
            </w:pPr>
          </w:p>
        </w:tc>
      </w:tr>
      <w:tr w14:paraId="749B7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34B1CBD9">
            <w:pPr>
              <w:spacing w:line="360" w:lineRule="auto"/>
              <w:jc w:val="center"/>
              <w:rPr>
                <w:rFonts w:ascii="宋体" w:hAnsi="宋体" w:eastAsia="宋体"/>
                <w:color w:val="000000" w:themeColor="text1"/>
                <w:szCs w:val="21"/>
                <w14:textFill>
                  <w14:solidFill>
                    <w14:schemeClr w14:val="tx1"/>
                  </w14:solidFill>
                </w14:textFill>
              </w:rPr>
            </w:pPr>
          </w:p>
        </w:tc>
        <w:tc>
          <w:tcPr>
            <w:tcW w:w="460" w:type="dxa"/>
            <w:vAlign w:val="center"/>
          </w:tcPr>
          <w:p w14:paraId="23E60D0A">
            <w:pPr>
              <w:spacing w:line="360" w:lineRule="auto"/>
              <w:jc w:val="center"/>
              <w:rPr>
                <w:rFonts w:ascii="宋体" w:hAnsi="宋体" w:eastAsia="宋体"/>
                <w:color w:val="000000" w:themeColor="text1"/>
                <w:szCs w:val="21"/>
                <w14:textFill>
                  <w14:solidFill>
                    <w14:schemeClr w14:val="tx1"/>
                  </w14:solidFill>
                </w14:textFill>
              </w:rPr>
            </w:pPr>
          </w:p>
        </w:tc>
        <w:tc>
          <w:tcPr>
            <w:tcW w:w="427" w:type="dxa"/>
            <w:vAlign w:val="center"/>
          </w:tcPr>
          <w:p w14:paraId="4B8EFDDE">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47AE0131">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7970A2F1">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7127F833">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2569B816">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63C7EBB2">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07AA055A">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209C0093">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1BCEC7B1">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66CFA54B">
            <w:pPr>
              <w:spacing w:line="360" w:lineRule="auto"/>
              <w:jc w:val="center"/>
              <w:rPr>
                <w:rFonts w:ascii="宋体" w:hAnsi="宋体" w:eastAsia="宋体"/>
                <w:color w:val="000000" w:themeColor="text1"/>
                <w:szCs w:val="21"/>
                <w14:textFill>
                  <w14:solidFill>
                    <w14:schemeClr w14:val="tx1"/>
                  </w14:solidFill>
                </w14:textFill>
              </w:rPr>
            </w:pPr>
          </w:p>
        </w:tc>
        <w:tc>
          <w:tcPr>
            <w:tcW w:w="567" w:type="dxa"/>
            <w:vAlign w:val="center"/>
          </w:tcPr>
          <w:p w14:paraId="47051FD6">
            <w:pPr>
              <w:spacing w:line="360" w:lineRule="auto"/>
              <w:jc w:val="center"/>
              <w:rPr>
                <w:rFonts w:ascii="宋体" w:hAnsi="宋体" w:eastAsia="宋体"/>
                <w:color w:val="000000" w:themeColor="text1"/>
                <w:szCs w:val="21"/>
                <w14:textFill>
                  <w14:solidFill>
                    <w14:schemeClr w14:val="tx1"/>
                  </w14:solidFill>
                </w14:textFill>
              </w:rPr>
            </w:pPr>
          </w:p>
        </w:tc>
        <w:tc>
          <w:tcPr>
            <w:tcW w:w="567" w:type="dxa"/>
            <w:vAlign w:val="center"/>
          </w:tcPr>
          <w:p w14:paraId="2AA33CAB">
            <w:pPr>
              <w:spacing w:line="360" w:lineRule="auto"/>
              <w:jc w:val="center"/>
              <w:rPr>
                <w:rFonts w:ascii="宋体" w:hAnsi="宋体" w:eastAsia="宋体"/>
                <w:color w:val="000000" w:themeColor="text1"/>
                <w:szCs w:val="21"/>
                <w14:textFill>
                  <w14:solidFill>
                    <w14:schemeClr w14:val="tx1"/>
                  </w14:solidFill>
                </w14:textFill>
              </w:rPr>
            </w:pPr>
          </w:p>
        </w:tc>
        <w:tc>
          <w:tcPr>
            <w:tcW w:w="567" w:type="dxa"/>
            <w:vAlign w:val="center"/>
          </w:tcPr>
          <w:p w14:paraId="535B437D">
            <w:pPr>
              <w:spacing w:line="360" w:lineRule="auto"/>
              <w:jc w:val="center"/>
              <w:rPr>
                <w:rFonts w:ascii="宋体" w:hAnsi="宋体" w:eastAsia="宋体"/>
                <w:color w:val="000000" w:themeColor="text1"/>
                <w:szCs w:val="21"/>
                <w14:textFill>
                  <w14:solidFill>
                    <w14:schemeClr w14:val="tx1"/>
                  </w14:solidFill>
                </w14:textFill>
              </w:rPr>
            </w:pPr>
          </w:p>
        </w:tc>
        <w:tc>
          <w:tcPr>
            <w:tcW w:w="567" w:type="dxa"/>
            <w:vAlign w:val="center"/>
          </w:tcPr>
          <w:p w14:paraId="6F38E44E">
            <w:pPr>
              <w:spacing w:line="360" w:lineRule="auto"/>
              <w:jc w:val="center"/>
              <w:rPr>
                <w:rFonts w:ascii="宋体" w:hAnsi="宋体" w:eastAsia="宋体"/>
                <w:color w:val="000000" w:themeColor="text1"/>
                <w:szCs w:val="21"/>
                <w14:textFill>
                  <w14:solidFill>
                    <w14:schemeClr w14:val="tx1"/>
                  </w14:solidFill>
                </w14:textFill>
              </w:rPr>
            </w:pPr>
          </w:p>
        </w:tc>
      </w:tr>
      <w:tr w14:paraId="4ECCA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0A8972B8">
            <w:pPr>
              <w:spacing w:line="360" w:lineRule="auto"/>
              <w:jc w:val="center"/>
              <w:rPr>
                <w:rFonts w:ascii="宋体" w:hAnsi="宋体" w:eastAsia="宋体"/>
                <w:color w:val="000000" w:themeColor="text1"/>
                <w:szCs w:val="21"/>
                <w14:textFill>
                  <w14:solidFill>
                    <w14:schemeClr w14:val="tx1"/>
                  </w14:solidFill>
                </w14:textFill>
              </w:rPr>
            </w:pPr>
          </w:p>
        </w:tc>
        <w:tc>
          <w:tcPr>
            <w:tcW w:w="460" w:type="dxa"/>
            <w:vAlign w:val="center"/>
          </w:tcPr>
          <w:p w14:paraId="5602A36E">
            <w:pPr>
              <w:spacing w:line="360" w:lineRule="auto"/>
              <w:jc w:val="center"/>
              <w:rPr>
                <w:rFonts w:ascii="宋体" w:hAnsi="宋体" w:eastAsia="宋体"/>
                <w:color w:val="000000" w:themeColor="text1"/>
                <w:szCs w:val="21"/>
                <w14:textFill>
                  <w14:solidFill>
                    <w14:schemeClr w14:val="tx1"/>
                  </w14:solidFill>
                </w14:textFill>
              </w:rPr>
            </w:pPr>
          </w:p>
        </w:tc>
        <w:tc>
          <w:tcPr>
            <w:tcW w:w="427" w:type="dxa"/>
            <w:vAlign w:val="center"/>
          </w:tcPr>
          <w:p w14:paraId="3E44A1B5">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69FC620F">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124ADA54">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5CA68C2D">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7C5C7502">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0201C5B1">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1909C370">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269B52A5">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2FBE3BD7">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300A6DEA">
            <w:pPr>
              <w:spacing w:line="360" w:lineRule="auto"/>
              <w:jc w:val="center"/>
              <w:rPr>
                <w:rFonts w:ascii="宋体" w:hAnsi="宋体" w:eastAsia="宋体"/>
                <w:color w:val="000000" w:themeColor="text1"/>
                <w:szCs w:val="21"/>
                <w14:textFill>
                  <w14:solidFill>
                    <w14:schemeClr w14:val="tx1"/>
                  </w14:solidFill>
                </w14:textFill>
              </w:rPr>
            </w:pPr>
          </w:p>
        </w:tc>
        <w:tc>
          <w:tcPr>
            <w:tcW w:w="567" w:type="dxa"/>
            <w:vAlign w:val="center"/>
          </w:tcPr>
          <w:p w14:paraId="1B277670">
            <w:pPr>
              <w:spacing w:line="360" w:lineRule="auto"/>
              <w:jc w:val="center"/>
              <w:rPr>
                <w:rFonts w:ascii="宋体" w:hAnsi="宋体" w:eastAsia="宋体"/>
                <w:color w:val="000000" w:themeColor="text1"/>
                <w:szCs w:val="21"/>
                <w14:textFill>
                  <w14:solidFill>
                    <w14:schemeClr w14:val="tx1"/>
                  </w14:solidFill>
                </w14:textFill>
              </w:rPr>
            </w:pPr>
          </w:p>
        </w:tc>
        <w:tc>
          <w:tcPr>
            <w:tcW w:w="567" w:type="dxa"/>
            <w:vAlign w:val="center"/>
          </w:tcPr>
          <w:p w14:paraId="53F764A7">
            <w:pPr>
              <w:spacing w:line="360" w:lineRule="auto"/>
              <w:jc w:val="center"/>
              <w:rPr>
                <w:rFonts w:ascii="宋体" w:hAnsi="宋体" w:eastAsia="宋体"/>
                <w:color w:val="000000" w:themeColor="text1"/>
                <w:szCs w:val="21"/>
                <w14:textFill>
                  <w14:solidFill>
                    <w14:schemeClr w14:val="tx1"/>
                  </w14:solidFill>
                </w14:textFill>
              </w:rPr>
            </w:pPr>
          </w:p>
        </w:tc>
        <w:tc>
          <w:tcPr>
            <w:tcW w:w="567" w:type="dxa"/>
            <w:vAlign w:val="center"/>
          </w:tcPr>
          <w:p w14:paraId="54DD3CD3">
            <w:pPr>
              <w:spacing w:line="360" w:lineRule="auto"/>
              <w:jc w:val="center"/>
              <w:rPr>
                <w:rFonts w:ascii="宋体" w:hAnsi="宋体" w:eastAsia="宋体"/>
                <w:color w:val="000000" w:themeColor="text1"/>
                <w:szCs w:val="21"/>
                <w14:textFill>
                  <w14:solidFill>
                    <w14:schemeClr w14:val="tx1"/>
                  </w14:solidFill>
                </w14:textFill>
              </w:rPr>
            </w:pPr>
          </w:p>
        </w:tc>
        <w:tc>
          <w:tcPr>
            <w:tcW w:w="567" w:type="dxa"/>
            <w:vAlign w:val="center"/>
          </w:tcPr>
          <w:p w14:paraId="4673428B">
            <w:pPr>
              <w:spacing w:line="360" w:lineRule="auto"/>
              <w:jc w:val="center"/>
              <w:rPr>
                <w:rFonts w:ascii="宋体" w:hAnsi="宋体" w:eastAsia="宋体"/>
                <w:color w:val="000000" w:themeColor="text1"/>
                <w:szCs w:val="21"/>
                <w14:textFill>
                  <w14:solidFill>
                    <w14:schemeClr w14:val="tx1"/>
                  </w14:solidFill>
                </w14:textFill>
              </w:rPr>
            </w:pPr>
          </w:p>
        </w:tc>
      </w:tr>
      <w:tr w14:paraId="1C02C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1CC198A6">
            <w:pPr>
              <w:spacing w:line="360" w:lineRule="auto"/>
              <w:jc w:val="center"/>
              <w:rPr>
                <w:rFonts w:ascii="宋体" w:hAnsi="宋体" w:eastAsia="宋体"/>
                <w:color w:val="000000" w:themeColor="text1"/>
                <w:szCs w:val="21"/>
                <w14:textFill>
                  <w14:solidFill>
                    <w14:schemeClr w14:val="tx1"/>
                  </w14:solidFill>
                </w14:textFill>
              </w:rPr>
            </w:pPr>
          </w:p>
        </w:tc>
        <w:tc>
          <w:tcPr>
            <w:tcW w:w="460" w:type="dxa"/>
            <w:vAlign w:val="center"/>
          </w:tcPr>
          <w:p w14:paraId="4A09DCCA">
            <w:pPr>
              <w:spacing w:line="360" w:lineRule="auto"/>
              <w:jc w:val="center"/>
              <w:rPr>
                <w:rFonts w:ascii="宋体" w:hAnsi="宋体" w:eastAsia="宋体"/>
                <w:color w:val="000000" w:themeColor="text1"/>
                <w:szCs w:val="21"/>
                <w14:textFill>
                  <w14:solidFill>
                    <w14:schemeClr w14:val="tx1"/>
                  </w14:solidFill>
                </w14:textFill>
              </w:rPr>
            </w:pPr>
          </w:p>
        </w:tc>
        <w:tc>
          <w:tcPr>
            <w:tcW w:w="427" w:type="dxa"/>
            <w:vAlign w:val="center"/>
          </w:tcPr>
          <w:p w14:paraId="77680BF8">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6DA01A15">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32159489">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00F01DD2">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16B4B0CC">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2CEF3BBB">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70D34E0F">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756684D4">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7902A67C">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75B9CB6B">
            <w:pPr>
              <w:spacing w:line="360" w:lineRule="auto"/>
              <w:jc w:val="center"/>
              <w:rPr>
                <w:rFonts w:ascii="宋体" w:hAnsi="宋体" w:eastAsia="宋体"/>
                <w:color w:val="000000" w:themeColor="text1"/>
                <w:szCs w:val="21"/>
                <w14:textFill>
                  <w14:solidFill>
                    <w14:schemeClr w14:val="tx1"/>
                  </w14:solidFill>
                </w14:textFill>
              </w:rPr>
            </w:pPr>
          </w:p>
        </w:tc>
        <w:tc>
          <w:tcPr>
            <w:tcW w:w="567" w:type="dxa"/>
            <w:vAlign w:val="center"/>
          </w:tcPr>
          <w:p w14:paraId="73BDC91F">
            <w:pPr>
              <w:spacing w:line="360" w:lineRule="auto"/>
              <w:jc w:val="center"/>
              <w:rPr>
                <w:rFonts w:ascii="宋体" w:hAnsi="宋体" w:eastAsia="宋体"/>
                <w:color w:val="000000" w:themeColor="text1"/>
                <w:szCs w:val="21"/>
                <w14:textFill>
                  <w14:solidFill>
                    <w14:schemeClr w14:val="tx1"/>
                  </w14:solidFill>
                </w14:textFill>
              </w:rPr>
            </w:pPr>
          </w:p>
        </w:tc>
        <w:tc>
          <w:tcPr>
            <w:tcW w:w="567" w:type="dxa"/>
            <w:vAlign w:val="center"/>
          </w:tcPr>
          <w:p w14:paraId="52D990D6">
            <w:pPr>
              <w:spacing w:line="360" w:lineRule="auto"/>
              <w:jc w:val="center"/>
              <w:rPr>
                <w:rFonts w:ascii="宋体" w:hAnsi="宋体" w:eastAsia="宋体"/>
                <w:color w:val="000000" w:themeColor="text1"/>
                <w:szCs w:val="21"/>
                <w14:textFill>
                  <w14:solidFill>
                    <w14:schemeClr w14:val="tx1"/>
                  </w14:solidFill>
                </w14:textFill>
              </w:rPr>
            </w:pPr>
          </w:p>
        </w:tc>
        <w:tc>
          <w:tcPr>
            <w:tcW w:w="567" w:type="dxa"/>
            <w:vAlign w:val="center"/>
          </w:tcPr>
          <w:p w14:paraId="7F965534">
            <w:pPr>
              <w:spacing w:line="360" w:lineRule="auto"/>
              <w:jc w:val="center"/>
              <w:rPr>
                <w:rFonts w:ascii="宋体" w:hAnsi="宋体" w:eastAsia="宋体"/>
                <w:color w:val="000000" w:themeColor="text1"/>
                <w:szCs w:val="21"/>
                <w14:textFill>
                  <w14:solidFill>
                    <w14:schemeClr w14:val="tx1"/>
                  </w14:solidFill>
                </w14:textFill>
              </w:rPr>
            </w:pPr>
          </w:p>
        </w:tc>
        <w:tc>
          <w:tcPr>
            <w:tcW w:w="567" w:type="dxa"/>
            <w:vAlign w:val="center"/>
          </w:tcPr>
          <w:p w14:paraId="454FA892">
            <w:pPr>
              <w:spacing w:line="360" w:lineRule="auto"/>
              <w:jc w:val="center"/>
              <w:rPr>
                <w:rFonts w:ascii="宋体" w:hAnsi="宋体" w:eastAsia="宋体"/>
                <w:color w:val="000000" w:themeColor="text1"/>
                <w:szCs w:val="21"/>
                <w14:textFill>
                  <w14:solidFill>
                    <w14:schemeClr w14:val="tx1"/>
                  </w14:solidFill>
                </w14:textFill>
              </w:rPr>
            </w:pPr>
          </w:p>
        </w:tc>
      </w:tr>
      <w:tr w14:paraId="14982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326AF2DC">
            <w:pPr>
              <w:spacing w:line="360" w:lineRule="auto"/>
              <w:jc w:val="center"/>
              <w:rPr>
                <w:rFonts w:ascii="宋体" w:hAnsi="宋体" w:eastAsia="宋体"/>
                <w:color w:val="000000" w:themeColor="text1"/>
                <w:szCs w:val="21"/>
                <w14:textFill>
                  <w14:solidFill>
                    <w14:schemeClr w14:val="tx1"/>
                  </w14:solidFill>
                </w14:textFill>
              </w:rPr>
            </w:pPr>
          </w:p>
        </w:tc>
        <w:tc>
          <w:tcPr>
            <w:tcW w:w="460" w:type="dxa"/>
            <w:vAlign w:val="center"/>
          </w:tcPr>
          <w:p w14:paraId="4BF39E8A">
            <w:pPr>
              <w:spacing w:line="360" w:lineRule="auto"/>
              <w:jc w:val="center"/>
              <w:rPr>
                <w:rFonts w:ascii="宋体" w:hAnsi="宋体" w:eastAsia="宋体"/>
                <w:color w:val="000000" w:themeColor="text1"/>
                <w:szCs w:val="21"/>
                <w14:textFill>
                  <w14:solidFill>
                    <w14:schemeClr w14:val="tx1"/>
                  </w14:solidFill>
                </w14:textFill>
              </w:rPr>
            </w:pPr>
          </w:p>
        </w:tc>
        <w:tc>
          <w:tcPr>
            <w:tcW w:w="427" w:type="dxa"/>
            <w:vAlign w:val="center"/>
          </w:tcPr>
          <w:p w14:paraId="5C15EBF3">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50099E9F">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1C170F55">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3BB3F3FD">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01A40F06">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0DE1120E">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0E7E5165">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1F055869">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2B1D85A1">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269C4CA4">
            <w:pPr>
              <w:spacing w:line="360" w:lineRule="auto"/>
              <w:jc w:val="center"/>
              <w:rPr>
                <w:rFonts w:ascii="宋体" w:hAnsi="宋体" w:eastAsia="宋体"/>
                <w:color w:val="000000" w:themeColor="text1"/>
                <w:szCs w:val="21"/>
                <w14:textFill>
                  <w14:solidFill>
                    <w14:schemeClr w14:val="tx1"/>
                  </w14:solidFill>
                </w14:textFill>
              </w:rPr>
            </w:pPr>
          </w:p>
        </w:tc>
        <w:tc>
          <w:tcPr>
            <w:tcW w:w="567" w:type="dxa"/>
            <w:vAlign w:val="center"/>
          </w:tcPr>
          <w:p w14:paraId="5534F4EC">
            <w:pPr>
              <w:spacing w:line="360" w:lineRule="auto"/>
              <w:jc w:val="center"/>
              <w:rPr>
                <w:rFonts w:ascii="宋体" w:hAnsi="宋体" w:eastAsia="宋体"/>
                <w:color w:val="000000" w:themeColor="text1"/>
                <w:szCs w:val="21"/>
                <w14:textFill>
                  <w14:solidFill>
                    <w14:schemeClr w14:val="tx1"/>
                  </w14:solidFill>
                </w14:textFill>
              </w:rPr>
            </w:pPr>
          </w:p>
        </w:tc>
        <w:tc>
          <w:tcPr>
            <w:tcW w:w="567" w:type="dxa"/>
            <w:vAlign w:val="center"/>
          </w:tcPr>
          <w:p w14:paraId="6BA4F2E9">
            <w:pPr>
              <w:spacing w:line="360" w:lineRule="auto"/>
              <w:jc w:val="center"/>
              <w:rPr>
                <w:rFonts w:ascii="宋体" w:hAnsi="宋体" w:eastAsia="宋体"/>
                <w:color w:val="000000" w:themeColor="text1"/>
                <w:szCs w:val="21"/>
                <w14:textFill>
                  <w14:solidFill>
                    <w14:schemeClr w14:val="tx1"/>
                  </w14:solidFill>
                </w14:textFill>
              </w:rPr>
            </w:pPr>
          </w:p>
        </w:tc>
        <w:tc>
          <w:tcPr>
            <w:tcW w:w="567" w:type="dxa"/>
            <w:vAlign w:val="center"/>
          </w:tcPr>
          <w:p w14:paraId="3207CFD4">
            <w:pPr>
              <w:spacing w:line="360" w:lineRule="auto"/>
              <w:jc w:val="center"/>
              <w:rPr>
                <w:rFonts w:ascii="宋体" w:hAnsi="宋体" w:eastAsia="宋体"/>
                <w:color w:val="000000" w:themeColor="text1"/>
                <w:szCs w:val="21"/>
                <w14:textFill>
                  <w14:solidFill>
                    <w14:schemeClr w14:val="tx1"/>
                  </w14:solidFill>
                </w14:textFill>
              </w:rPr>
            </w:pPr>
          </w:p>
        </w:tc>
        <w:tc>
          <w:tcPr>
            <w:tcW w:w="567" w:type="dxa"/>
            <w:vAlign w:val="center"/>
          </w:tcPr>
          <w:p w14:paraId="70BCC32B">
            <w:pPr>
              <w:spacing w:line="360" w:lineRule="auto"/>
              <w:jc w:val="center"/>
              <w:rPr>
                <w:rFonts w:ascii="宋体" w:hAnsi="宋体" w:eastAsia="宋体"/>
                <w:color w:val="000000" w:themeColor="text1"/>
                <w:szCs w:val="21"/>
                <w14:textFill>
                  <w14:solidFill>
                    <w14:schemeClr w14:val="tx1"/>
                  </w14:solidFill>
                </w14:textFill>
              </w:rPr>
            </w:pPr>
          </w:p>
        </w:tc>
      </w:tr>
      <w:tr w14:paraId="3859E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2C7FEE68">
            <w:pPr>
              <w:spacing w:line="360" w:lineRule="auto"/>
              <w:jc w:val="center"/>
              <w:rPr>
                <w:rFonts w:ascii="宋体" w:hAnsi="宋体" w:eastAsia="宋体"/>
                <w:color w:val="000000" w:themeColor="text1"/>
                <w:szCs w:val="21"/>
                <w14:textFill>
                  <w14:solidFill>
                    <w14:schemeClr w14:val="tx1"/>
                  </w14:solidFill>
                </w14:textFill>
              </w:rPr>
            </w:pPr>
          </w:p>
        </w:tc>
        <w:tc>
          <w:tcPr>
            <w:tcW w:w="460" w:type="dxa"/>
            <w:vAlign w:val="center"/>
          </w:tcPr>
          <w:p w14:paraId="42E9C4E0">
            <w:pPr>
              <w:spacing w:line="360" w:lineRule="auto"/>
              <w:jc w:val="center"/>
              <w:rPr>
                <w:rFonts w:ascii="宋体" w:hAnsi="宋体" w:eastAsia="宋体"/>
                <w:color w:val="000000" w:themeColor="text1"/>
                <w:szCs w:val="21"/>
                <w14:textFill>
                  <w14:solidFill>
                    <w14:schemeClr w14:val="tx1"/>
                  </w14:solidFill>
                </w14:textFill>
              </w:rPr>
            </w:pPr>
          </w:p>
        </w:tc>
        <w:tc>
          <w:tcPr>
            <w:tcW w:w="427" w:type="dxa"/>
            <w:vAlign w:val="center"/>
          </w:tcPr>
          <w:p w14:paraId="1D32AEF4">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3C6E777F">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74EB0718">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777C1A41">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6F08173D">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24706118">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064998C9">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5076F9EF">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7F5F3863">
            <w:pPr>
              <w:spacing w:line="360" w:lineRule="auto"/>
              <w:jc w:val="center"/>
              <w:rPr>
                <w:rFonts w:ascii="宋体" w:hAnsi="宋体" w:eastAsia="宋体"/>
                <w:color w:val="000000" w:themeColor="text1"/>
                <w:szCs w:val="21"/>
                <w14:textFill>
                  <w14:solidFill>
                    <w14:schemeClr w14:val="tx1"/>
                  </w14:solidFill>
                </w14:textFill>
              </w:rPr>
            </w:pPr>
          </w:p>
        </w:tc>
        <w:tc>
          <w:tcPr>
            <w:tcW w:w="566" w:type="dxa"/>
            <w:vAlign w:val="center"/>
          </w:tcPr>
          <w:p w14:paraId="030323C2">
            <w:pPr>
              <w:spacing w:line="360" w:lineRule="auto"/>
              <w:jc w:val="center"/>
              <w:rPr>
                <w:rFonts w:ascii="宋体" w:hAnsi="宋体" w:eastAsia="宋体"/>
                <w:color w:val="000000" w:themeColor="text1"/>
                <w:szCs w:val="21"/>
                <w14:textFill>
                  <w14:solidFill>
                    <w14:schemeClr w14:val="tx1"/>
                  </w14:solidFill>
                </w14:textFill>
              </w:rPr>
            </w:pPr>
          </w:p>
        </w:tc>
        <w:tc>
          <w:tcPr>
            <w:tcW w:w="567" w:type="dxa"/>
            <w:vAlign w:val="center"/>
          </w:tcPr>
          <w:p w14:paraId="2A7F6B45">
            <w:pPr>
              <w:spacing w:line="360" w:lineRule="auto"/>
              <w:jc w:val="center"/>
              <w:rPr>
                <w:rFonts w:ascii="宋体" w:hAnsi="宋体" w:eastAsia="宋体"/>
                <w:color w:val="000000" w:themeColor="text1"/>
                <w:szCs w:val="21"/>
                <w14:textFill>
                  <w14:solidFill>
                    <w14:schemeClr w14:val="tx1"/>
                  </w14:solidFill>
                </w14:textFill>
              </w:rPr>
            </w:pPr>
          </w:p>
        </w:tc>
        <w:tc>
          <w:tcPr>
            <w:tcW w:w="567" w:type="dxa"/>
            <w:vAlign w:val="center"/>
          </w:tcPr>
          <w:p w14:paraId="75430CD5">
            <w:pPr>
              <w:spacing w:line="360" w:lineRule="auto"/>
              <w:jc w:val="center"/>
              <w:rPr>
                <w:rFonts w:ascii="宋体" w:hAnsi="宋体" w:eastAsia="宋体"/>
                <w:color w:val="000000" w:themeColor="text1"/>
                <w:szCs w:val="21"/>
                <w14:textFill>
                  <w14:solidFill>
                    <w14:schemeClr w14:val="tx1"/>
                  </w14:solidFill>
                </w14:textFill>
              </w:rPr>
            </w:pPr>
          </w:p>
        </w:tc>
        <w:tc>
          <w:tcPr>
            <w:tcW w:w="567" w:type="dxa"/>
            <w:vAlign w:val="center"/>
          </w:tcPr>
          <w:p w14:paraId="28504543">
            <w:pPr>
              <w:spacing w:line="360" w:lineRule="auto"/>
              <w:jc w:val="center"/>
              <w:rPr>
                <w:rFonts w:ascii="宋体" w:hAnsi="宋体" w:eastAsia="宋体"/>
                <w:color w:val="000000" w:themeColor="text1"/>
                <w:szCs w:val="21"/>
                <w14:textFill>
                  <w14:solidFill>
                    <w14:schemeClr w14:val="tx1"/>
                  </w14:solidFill>
                </w14:textFill>
              </w:rPr>
            </w:pPr>
          </w:p>
        </w:tc>
        <w:tc>
          <w:tcPr>
            <w:tcW w:w="567" w:type="dxa"/>
            <w:vAlign w:val="center"/>
          </w:tcPr>
          <w:p w14:paraId="2A7DD4D0">
            <w:pPr>
              <w:spacing w:line="360" w:lineRule="auto"/>
              <w:jc w:val="center"/>
              <w:rPr>
                <w:rFonts w:ascii="宋体" w:hAnsi="宋体" w:eastAsia="宋体"/>
                <w:color w:val="000000" w:themeColor="text1"/>
                <w:szCs w:val="21"/>
                <w14:textFill>
                  <w14:solidFill>
                    <w14:schemeClr w14:val="tx1"/>
                  </w14:solidFill>
                </w14:textFill>
              </w:rPr>
            </w:pPr>
          </w:p>
        </w:tc>
      </w:tr>
    </w:tbl>
    <w:p w14:paraId="6D3C5339">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注：投标人可按上述时间表的格式自行编制切合实际的具体时间表。</w:t>
      </w:r>
    </w:p>
    <w:p w14:paraId="3E519DE7">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（三）项目实施人员一览表</w:t>
      </w:r>
    </w:p>
    <w:p w14:paraId="5C238BD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（由投标人根据采购需求及招标文件要求编制）</w:t>
      </w:r>
    </w:p>
    <w:p w14:paraId="5AB8D10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所投分标：</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分标</w:t>
      </w:r>
    </w:p>
    <w:p w14:paraId="7F371702">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附表A：本项目的项目经理情况表</w:t>
      </w:r>
    </w:p>
    <w:tbl>
      <w:tblPr>
        <w:tblStyle w:val="14"/>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6"/>
        <w:gridCol w:w="1095"/>
        <w:gridCol w:w="1777"/>
        <w:gridCol w:w="4769"/>
      </w:tblGrid>
      <w:tr w14:paraId="23EBF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pct"/>
            <w:vAlign w:val="center"/>
          </w:tcPr>
          <w:p w14:paraId="7F7AAD65">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姓名</w:t>
            </w:r>
          </w:p>
        </w:tc>
        <w:tc>
          <w:tcPr>
            <w:tcW w:w="590" w:type="pct"/>
            <w:shd w:val="clear" w:color="auto" w:fill="AEAAAA" w:themeFill="background2" w:themeFillShade="BF"/>
            <w:vAlign w:val="center"/>
          </w:tcPr>
          <w:p w14:paraId="205AFDB2">
            <w:pPr>
              <w:spacing w:line="360" w:lineRule="auto"/>
              <w:jc w:val="center"/>
              <w:rPr>
                <w:rFonts w:ascii="宋体" w:hAnsi="宋体" w:eastAsia="宋体"/>
                <w:color w:val="000000" w:themeColor="text1"/>
                <w:szCs w:val="21"/>
                <w14:textFill>
                  <w14:solidFill>
                    <w14:schemeClr w14:val="tx1"/>
                  </w14:solidFill>
                </w14:textFill>
              </w:rPr>
            </w:pPr>
          </w:p>
        </w:tc>
        <w:tc>
          <w:tcPr>
            <w:tcW w:w="958" w:type="pct"/>
            <w:tcBorders>
              <w:bottom w:val="single" w:color="auto" w:sz="4" w:space="0"/>
            </w:tcBorders>
            <w:vAlign w:val="center"/>
          </w:tcPr>
          <w:p w14:paraId="5DC34ED5">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页码</w:t>
            </w:r>
          </w:p>
        </w:tc>
        <w:tc>
          <w:tcPr>
            <w:tcW w:w="2571" w:type="pct"/>
            <w:vAlign w:val="center"/>
          </w:tcPr>
          <w:p w14:paraId="28B431EC">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投标截止时间前三年业绩及承担的主要工作情况，曾担任项目经理的项目应列明细</w:t>
            </w:r>
          </w:p>
        </w:tc>
      </w:tr>
      <w:tr w14:paraId="6D2E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pct"/>
            <w:vAlign w:val="center"/>
          </w:tcPr>
          <w:p w14:paraId="2F7598B7">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性别</w:t>
            </w:r>
          </w:p>
        </w:tc>
        <w:tc>
          <w:tcPr>
            <w:tcW w:w="590" w:type="pct"/>
            <w:vAlign w:val="center"/>
          </w:tcPr>
          <w:p w14:paraId="4D707122">
            <w:pPr>
              <w:spacing w:line="360" w:lineRule="auto"/>
              <w:jc w:val="center"/>
              <w:rPr>
                <w:rFonts w:ascii="宋体" w:hAnsi="宋体" w:eastAsia="宋体"/>
                <w:color w:val="000000" w:themeColor="text1"/>
                <w:szCs w:val="21"/>
                <w14:textFill>
                  <w14:solidFill>
                    <w14:schemeClr w14:val="tx1"/>
                  </w14:solidFill>
                </w14:textFill>
              </w:rPr>
            </w:pPr>
          </w:p>
        </w:tc>
        <w:tc>
          <w:tcPr>
            <w:tcW w:w="958" w:type="pct"/>
            <w:shd w:val="clear" w:color="auto" w:fill="AEAAAA" w:themeFill="background2" w:themeFillShade="BF"/>
            <w:vAlign w:val="center"/>
          </w:tcPr>
          <w:p w14:paraId="6DB0F838">
            <w:pPr>
              <w:spacing w:line="360" w:lineRule="auto"/>
              <w:jc w:val="center"/>
              <w:rPr>
                <w:rFonts w:ascii="宋体" w:hAnsi="宋体" w:eastAsia="宋体"/>
                <w:color w:val="000000" w:themeColor="text1"/>
                <w:szCs w:val="21"/>
                <w14:textFill>
                  <w14:solidFill>
                    <w14:schemeClr w14:val="tx1"/>
                  </w14:solidFill>
                </w14:textFill>
              </w:rPr>
            </w:pPr>
          </w:p>
        </w:tc>
        <w:tc>
          <w:tcPr>
            <w:tcW w:w="2571" w:type="pct"/>
            <w:vAlign w:val="center"/>
          </w:tcPr>
          <w:p w14:paraId="392F7880">
            <w:pPr>
              <w:spacing w:line="360" w:lineRule="auto"/>
              <w:jc w:val="center"/>
              <w:rPr>
                <w:rFonts w:ascii="宋体" w:hAnsi="宋体" w:eastAsia="宋体"/>
                <w:color w:val="000000" w:themeColor="text1"/>
                <w:szCs w:val="21"/>
                <w14:textFill>
                  <w14:solidFill>
                    <w14:schemeClr w14:val="tx1"/>
                  </w14:solidFill>
                </w14:textFill>
              </w:rPr>
            </w:pPr>
          </w:p>
        </w:tc>
      </w:tr>
      <w:tr w14:paraId="6D69B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pct"/>
            <w:vAlign w:val="center"/>
          </w:tcPr>
          <w:p w14:paraId="30AD3C92">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年龄</w:t>
            </w:r>
          </w:p>
        </w:tc>
        <w:tc>
          <w:tcPr>
            <w:tcW w:w="590" w:type="pct"/>
            <w:vAlign w:val="center"/>
          </w:tcPr>
          <w:p w14:paraId="00F98948">
            <w:pPr>
              <w:spacing w:line="360" w:lineRule="auto"/>
              <w:jc w:val="center"/>
              <w:rPr>
                <w:rFonts w:ascii="宋体" w:hAnsi="宋体" w:eastAsia="宋体"/>
                <w:color w:val="000000" w:themeColor="text1"/>
                <w:szCs w:val="21"/>
                <w14:textFill>
                  <w14:solidFill>
                    <w14:schemeClr w14:val="tx1"/>
                  </w14:solidFill>
                </w14:textFill>
              </w:rPr>
            </w:pPr>
          </w:p>
        </w:tc>
        <w:tc>
          <w:tcPr>
            <w:tcW w:w="958" w:type="pct"/>
            <w:shd w:val="clear" w:color="auto" w:fill="AEAAAA" w:themeFill="background2" w:themeFillShade="BF"/>
            <w:vAlign w:val="center"/>
          </w:tcPr>
          <w:p w14:paraId="00143347">
            <w:pPr>
              <w:spacing w:line="360" w:lineRule="auto"/>
              <w:jc w:val="center"/>
              <w:rPr>
                <w:rFonts w:ascii="宋体" w:hAnsi="宋体" w:eastAsia="宋体"/>
                <w:color w:val="000000" w:themeColor="text1"/>
                <w:szCs w:val="21"/>
                <w14:textFill>
                  <w14:solidFill>
                    <w14:schemeClr w14:val="tx1"/>
                  </w14:solidFill>
                </w14:textFill>
              </w:rPr>
            </w:pPr>
          </w:p>
        </w:tc>
        <w:tc>
          <w:tcPr>
            <w:tcW w:w="2571" w:type="pct"/>
            <w:vAlign w:val="center"/>
          </w:tcPr>
          <w:p w14:paraId="21FFCD0A">
            <w:pPr>
              <w:spacing w:line="360" w:lineRule="auto"/>
              <w:jc w:val="center"/>
              <w:rPr>
                <w:rFonts w:ascii="宋体" w:hAnsi="宋体" w:eastAsia="宋体"/>
                <w:color w:val="000000" w:themeColor="text1"/>
                <w:szCs w:val="21"/>
                <w14:textFill>
                  <w14:solidFill>
                    <w14:schemeClr w14:val="tx1"/>
                  </w14:solidFill>
                </w14:textFill>
              </w:rPr>
            </w:pPr>
          </w:p>
        </w:tc>
      </w:tr>
      <w:tr w14:paraId="3F3B9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pct"/>
            <w:vAlign w:val="center"/>
          </w:tcPr>
          <w:p w14:paraId="0BC40685">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职称</w:t>
            </w:r>
          </w:p>
        </w:tc>
        <w:tc>
          <w:tcPr>
            <w:tcW w:w="590" w:type="pct"/>
            <w:vAlign w:val="center"/>
          </w:tcPr>
          <w:p w14:paraId="7A3ACE97">
            <w:pPr>
              <w:spacing w:line="360" w:lineRule="auto"/>
              <w:jc w:val="center"/>
              <w:rPr>
                <w:rFonts w:ascii="宋体" w:hAnsi="宋体" w:eastAsia="宋体"/>
                <w:color w:val="000000" w:themeColor="text1"/>
                <w:szCs w:val="21"/>
                <w14:textFill>
                  <w14:solidFill>
                    <w14:schemeClr w14:val="tx1"/>
                  </w14:solidFill>
                </w14:textFill>
              </w:rPr>
            </w:pPr>
          </w:p>
        </w:tc>
        <w:tc>
          <w:tcPr>
            <w:tcW w:w="958" w:type="pct"/>
            <w:vAlign w:val="center"/>
          </w:tcPr>
          <w:p w14:paraId="3D14727D">
            <w:pPr>
              <w:spacing w:line="360" w:lineRule="auto"/>
              <w:jc w:val="center"/>
              <w:rPr>
                <w:rFonts w:ascii="宋体" w:hAnsi="宋体" w:eastAsia="宋体"/>
                <w:color w:val="000000" w:themeColor="text1"/>
                <w:szCs w:val="21"/>
                <w14:textFill>
                  <w14:solidFill>
                    <w14:schemeClr w14:val="tx1"/>
                  </w14:solidFill>
                </w14:textFill>
              </w:rPr>
            </w:pPr>
          </w:p>
        </w:tc>
        <w:tc>
          <w:tcPr>
            <w:tcW w:w="2571" w:type="pct"/>
            <w:vAlign w:val="center"/>
          </w:tcPr>
          <w:p w14:paraId="5478F429">
            <w:pPr>
              <w:spacing w:line="360" w:lineRule="auto"/>
              <w:jc w:val="center"/>
              <w:rPr>
                <w:rFonts w:ascii="宋体" w:hAnsi="宋体" w:eastAsia="宋体"/>
                <w:color w:val="000000" w:themeColor="text1"/>
                <w:szCs w:val="21"/>
                <w14:textFill>
                  <w14:solidFill>
                    <w14:schemeClr w14:val="tx1"/>
                  </w14:solidFill>
                </w14:textFill>
              </w:rPr>
            </w:pPr>
          </w:p>
        </w:tc>
      </w:tr>
      <w:tr w14:paraId="2F4B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pct"/>
            <w:vAlign w:val="center"/>
          </w:tcPr>
          <w:p w14:paraId="6D51FE4E">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毕业时间</w:t>
            </w:r>
          </w:p>
        </w:tc>
        <w:tc>
          <w:tcPr>
            <w:tcW w:w="590" w:type="pct"/>
            <w:vAlign w:val="center"/>
          </w:tcPr>
          <w:p w14:paraId="7D95D9D6">
            <w:pPr>
              <w:spacing w:line="360" w:lineRule="auto"/>
              <w:jc w:val="center"/>
              <w:rPr>
                <w:rFonts w:ascii="宋体" w:hAnsi="宋体" w:eastAsia="宋体"/>
                <w:color w:val="000000" w:themeColor="text1"/>
                <w:szCs w:val="21"/>
                <w14:textFill>
                  <w14:solidFill>
                    <w14:schemeClr w14:val="tx1"/>
                  </w14:solidFill>
                </w14:textFill>
              </w:rPr>
            </w:pPr>
          </w:p>
        </w:tc>
        <w:tc>
          <w:tcPr>
            <w:tcW w:w="958" w:type="pct"/>
            <w:vAlign w:val="center"/>
          </w:tcPr>
          <w:p w14:paraId="78D2EF55">
            <w:pPr>
              <w:spacing w:line="360" w:lineRule="auto"/>
              <w:jc w:val="center"/>
              <w:rPr>
                <w:rFonts w:ascii="宋体" w:hAnsi="宋体" w:eastAsia="宋体"/>
                <w:color w:val="000000" w:themeColor="text1"/>
                <w:szCs w:val="21"/>
                <w14:textFill>
                  <w14:solidFill>
                    <w14:schemeClr w14:val="tx1"/>
                  </w14:solidFill>
                </w14:textFill>
              </w:rPr>
            </w:pPr>
          </w:p>
        </w:tc>
        <w:tc>
          <w:tcPr>
            <w:tcW w:w="2571" w:type="pct"/>
            <w:vAlign w:val="center"/>
          </w:tcPr>
          <w:p w14:paraId="4F34952D">
            <w:pPr>
              <w:spacing w:line="360" w:lineRule="auto"/>
              <w:jc w:val="center"/>
              <w:rPr>
                <w:rFonts w:ascii="宋体" w:hAnsi="宋体" w:eastAsia="宋体"/>
                <w:color w:val="000000" w:themeColor="text1"/>
                <w:szCs w:val="21"/>
                <w14:textFill>
                  <w14:solidFill>
                    <w14:schemeClr w14:val="tx1"/>
                  </w14:solidFill>
                </w14:textFill>
              </w:rPr>
            </w:pPr>
          </w:p>
        </w:tc>
      </w:tr>
      <w:tr w14:paraId="2DD87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pct"/>
            <w:vAlign w:val="center"/>
          </w:tcPr>
          <w:p w14:paraId="07DB2ECD">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所学专业</w:t>
            </w:r>
          </w:p>
        </w:tc>
        <w:tc>
          <w:tcPr>
            <w:tcW w:w="590" w:type="pct"/>
            <w:vAlign w:val="center"/>
          </w:tcPr>
          <w:p w14:paraId="7E9F2BB0">
            <w:pPr>
              <w:spacing w:line="360" w:lineRule="auto"/>
              <w:jc w:val="center"/>
              <w:rPr>
                <w:rFonts w:ascii="宋体" w:hAnsi="宋体" w:eastAsia="宋体"/>
                <w:color w:val="000000" w:themeColor="text1"/>
                <w:szCs w:val="21"/>
                <w14:textFill>
                  <w14:solidFill>
                    <w14:schemeClr w14:val="tx1"/>
                  </w14:solidFill>
                </w14:textFill>
              </w:rPr>
            </w:pPr>
          </w:p>
        </w:tc>
        <w:tc>
          <w:tcPr>
            <w:tcW w:w="958" w:type="pct"/>
            <w:vAlign w:val="center"/>
          </w:tcPr>
          <w:p w14:paraId="3B5BE823">
            <w:pPr>
              <w:spacing w:line="360" w:lineRule="auto"/>
              <w:jc w:val="center"/>
              <w:rPr>
                <w:rFonts w:ascii="宋体" w:hAnsi="宋体" w:eastAsia="宋体"/>
                <w:color w:val="000000" w:themeColor="text1"/>
                <w:szCs w:val="21"/>
                <w14:textFill>
                  <w14:solidFill>
                    <w14:schemeClr w14:val="tx1"/>
                  </w14:solidFill>
                </w14:textFill>
              </w:rPr>
            </w:pPr>
          </w:p>
        </w:tc>
        <w:tc>
          <w:tcPr>
            <w:tcW w:w="2571" w:type="pct"/>
            <w:vAlign w:val="center"/>
          </w:tcPr>
          <w:p w14:paraId="4FE56174">
            <w:pPr>
              <w:spacing w:line="360" w:lineRule="auto"/>
              <w:jc w:val="center"/>
              <w:rPr>
                <w:rFonts w:ascii="宋体" w:hAnsi="宋体" w:eastAsia="宋体"/>
                <w:color w:val="000000" w:themeColor="text1"/>
                <w:szCs w:val="21"/>
                <w14:textFill>
                  <w14:solidFill>
                    <w14:schemeClr w14:val="tx1"/>
                  </w14:solidFill>
                </w14:textFill>
              </w:rPr>
            </w:pPr>
          </w:p>
        </w:tc>
      </w:tr>
      <w:tr w14:paraId="6E6EB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pct"/>
            <w:vAlign w:val="center"/>
          </w:tcPr>
          <w:p w14:paraId="6475290D">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学历</w:t>
            </w:r>
          </w:p>
        </w:tc>
        <w:tc>
          <w:tcPr>
            <w:tcW w:w="590" w:type="pct"/>
            <w:vAlign w:val="center"/>
          </w:tcPr>
          <w:p w14:paraId="7DB4D0CE">
            <w:pPr>
              <w:spacing w:line="360" w:lineRule="auto"/>
              <w:jc w:val="center"/>
              <w:rPr>
                <w:rFonts w:ascii="宋体" w:hAnsi="宋体" w:eastAsia="宋体"/>
                <w:color w:val="000000" w:themeColor="text1"/>
                <w:szCs w:val="21"/>
                <w14:textFill>
                  <w14:solidFill>
                    <w14:schemeClr w14:val="tx1"/>
                  </w14:solidFill>
                </w14:textFill>
              </w:rPr>
            </w:pPr>
          </w:p>
        </w:tc>
        <w:tc>
          <w:tcPr>
            <w:tcW w:w="958" w:type="pct"/>
            <w:vAlign w:val="center"/>
          </w:tcPr>
          <w:p w14:paraId="1CBB5D0F">
            <w:pPr>
              <w:spacing w:line="360" w:lineRule="auto"/>
              <w:jc w:val="center"/>
              <w:rPr>
                <w:rFonts w:ascii="宋体" w:hAnsi="宋体" w:eastAsia="宋体"/>
                <w:color w:val="000000" w:themeColor="text1"/>
                <w:szCs w:val="21"/>
                <w14:textFill>
                  <w14:solidFill>
                    <w14:schemeClr w14:val="tx1"/>
                  </w14:solidFill>
                </w14:textFill>
              </w:rPr>
            </w:pPr>
          </w:p>
        </w:tc>
        <w:tc>
          <w:tcPr>
            <w:tcW w:w="2571" w:type="pct"/>
            <w:vAlign w:val="center"/>
          </w:tcPr>
          <w:p w14:paraId="5AEDC36B">
            <w:pPr>
              <w:spacing w:line="360" w:lineRule="auto"/>
              <w:jc w:val="center"/>
              <w:rPr>
                <w:rFonts w:ascii="宋体" w:hAnsi="宋体" w:eastAsia="宋体"/>
                <w:color w:val="000000" w:themeColor="text1"/>
                <w:szCs w:val="21"/>
                <w14:textFill>
                  <w14:solidFill>
                    <w14:schemeClr w14:val="tx1"/>
                  </w14:solidFill>
                </w14:textFill>
              </w:rPr>
            </w:pPr>
          </w:p>
        </w:tc>
      </w:tr>
      <w:tr w14:paraId="4B435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2" w:type="pct"/>
            <w:vAlign w:val="center"/>
          </w:tcPr>
          <w:p w14:paraId="288F7006">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资质证书编号</w:t>
            </w:r>
          </w:p>
        </w:tc>
        <w:tc>
          <w:tcPr>
            <w:tcW w:w="590" w:type="pct"/>
            <w:vAlign w:val="center"/>
          </w:tcPr>
          <w:p w14:paraId="21C96395">
            <w:pPr>
              <w:spacing w:line="360" w:lineRule="auto"/>
              <w:jc w:val="center"/>
              <w:rPr>
                <w:rFonts w:ascii="宋体" w:hAnsi="宋体" w:eastAsia="宋体"/>
                <w:color w:val="000000" w:themeColor="text1"/>
                <w:szCs w:val="21"/>
                <w14:textFill>
                  <w14:solidFill>
                    <w14:schemeClr w14:val="tx1"/>
                  </w14:solidFill>
                </w14:textFill>
              </w:rPr>
            </w:pPr>
          </w:p>
        </w:tc>
        <w:tc>
          <w:tcPr>
            <w:tcW w:w="958" w:type="pct"/>
            <w:vAlign w:val="center"/>
          </w:tcPr>
          <w:p w14:paraId="45FE16F5">
            <w:pPr>
              <w:spacing w:line="360" w:lineRule="auto"/>
              <w:jc w:val="center"/>
              <w:rPr>
                <w:rFonts w:ascii="宋体" w:hAnsi="宋体" w:eastAsia="宋体"/>
                <w:color w:val="000000" w:themeColor="text1"/>
                <w:szCs w:val="21"/>
                <w14:textFill>
                  <w14:solidFill>
                    <w14:schemeClr w14:val="tx1"/>
                  </w14:solidFill>
                </w14:textFill>
              </w:rPr>
            </w:pPr>
          </w:p>
        </w:tc>
        <w:tc>
          <w:tcPr>
            <w:tcW w:w="2571" w:type="pct"/>
            <w:vAlign w:val="center"/>
          </w:tcPr>
          <w:p w14:paraId="3FC387F3">
            <w:pPr>
              <w:spacing w:line="360" w:lineRule="auto"/>
              <w:jc w:val="center"/>
              <w:rPr>
                <w:rFonts w:ascii="宋体" w:hAnsi="宋体" w:eastAsia="宋体"/>
                <w:color w:val="000000" w:themeColor="text1"/>
                <w:szCs w:val="21"/>
                <w14:textFill>
                  <w14:solidFill>
                    <w14:schemeClr w14:val="tx1"/>
                  </w14:solidFill>
                </w14:textFill>
              </w:rPr>
            </w:pPr>
          </w:p>
        </w:tc>
      </w:tr>
      <w:tr w14:paraId="64BE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2" w:type="pct"/>
            <w:vAlign w:val="center"/>
          </w:tcPr>
          <w:p w14:paraId="70AF1E86">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其他资质情况</w:t>
            </w:r>
          </w:p>
        </w:tc>
        <w:tc>
          <w:tcPr>
            <w:tcW w:w="590" w:type="pct"/>
            <w:vAlign w:val="center"/>
          </w:tcPr>
          <w:p w14:paraId="0932F32B">
            <w:pPr>
              <w:spacing w:line="360" w:lineRule="auto"/>
              <w:jc w:val="center"/>
              <w:rPr>
                <w:rFonts w:ascii="宋体" w:hAnsi="宋体" w:eastAsia="宋体"/>
                <w:color w:val="000000" w:themeColor="text1"/>
                <w:szCs w:val="21"/>
                <w14:textFill>
                  <w14:solidFill>
                    <w14:schemeClr w14:val="tx1"/>
                  </w14:solidFill>
                </w14:textFill>
              </w:rPr>
            </w:pPr>
          </w:p>
        </w:tc>
        <w:tc>
          <w:tcPr>
            <w:tcW w:w="958" w:type="pct"/>
            <w:tcBorders>
              <w:bottom w:val="single" w:color="auto" w:sz="4" w:space="0"/>
            </w:tcBorders>
            <w:vAlign w:val="center"/>
          </w:tcPr>
          <w:p w14:paraId="02A76F19">
            <w:pPr>
              <w:spacing w:line="360" w:lineRule="auto"/>
              <w:jc w:val="center"/>
              <w:rPr>
                <w:rFonts w:ascii="宋体" w:hAnsi="宋体" w:eastAsia="宋体"/>
                <w:color w:val="000000" w:themeColor="text1"/>
                <w:szCs w:val="21"/>
                <w14:textFill>
                  <w14:solidFill>
                    <w14:schemeClr w14:val="tx1"/>
                  </w14:solidFill>
                </w14:textFill>
              </w:rPr>
            </w:pPr>
          </w:p>
        </w:tc>
        <w:tc>
          <w:tcPr>
            <w:tcW w:w="2571" w:type="pct"/>
            <w:vAlign w:val="center"/>
          </w:tcPr>
          <w:p w14:paraId="6C5DC794">
            <w:pPr>
              <w:spacing w:line="360" w:lineRule="auto"/>
              <w:jc w:val="center"/>
              <w:rPr>
                <w:rFonts w:ascii="宋体" w:hAnsi="宋体" w:eastAsia="宋体"/>
                <w:color w:val="000000" w:themeColor="text1"/>
                <w:szCs w:val="21"/>
                <w14:textFill>
                  <w14:solidFill>
                    <w14:schemeClr w14:val="tx1"/>
                  </w14:solidFill>
                </w14:textFill>
              </w:rPr>
            </w:pPr>
          </w:p>
        </w:tc>
      </w:tr>
      <w:tr w14:paraId="5369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2" w:type="pct"/>
            <w:vAlign w:val="center"/>
          </w:tcPr>
          <w:p w14:paraId="786D7F33">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联系电话</w:t>
            </w:r>
          </w:p>
        </w:tc>
        <w:tc>
          <w:tcPr>
            <w:tcW w:w="590" w:type="pct"/>
            <w:vAlign w:val="center"/>
          </w:tcPr>
          <w:p w14:paraId="1BB5BD2B">
            <w:pPr>
              <w:spacing w:line="360" w:lineRule="auto"/>
              <w:jc w:val="center"/>
              <w:rPr>
                <w:rFonts w:ascii="宋体" w:hAnsi="宋体" w:eastAsia="宋体"/>
                <w:color w:val="000000" w:themeColor="text1"/>
                <w:szCs w:val="21"/>
                <w14:textFill>
                  <w14:solidFill>
                    <w14:schemeClr w14:val="tx1"/>
                  </w14:solidFill>
                </w14:textFill>
              </w:rPr>
            </w:pPr>
          </w:p>
        </w:tc>
        <w:tc>
          <w:tcPr>
            <w:tcW w:w="958" w:type="pct"/>
            <w:shd w:val="clear" w:color="auto" w:fill="AEAAAA" w:themeFill="background2" w:themeFillShade="BF"/>
            <w:vAlign w:val="center"/>
          </w:tcPr>
          <w:p w14:paraId="2626D4FE">
            <w:pPr>
              <w:spacing w:line="360" w:lineRule="auto"/>
              <w:jc w:val="center"/>
              <w:rPr>
                <w:rFonts w:ascii="宋体" w:hAnsi="宋体" w:eastAsia="宋体"/>
                <w:color w:val="000000" w:themeColor="text1"/>
                <w:szCs w:val="21"/>
                <w14:textFill>
                  <w14:solidFill>
                    <w14:schemeClr w14:val="tx1"/>
                  </w14:solidFill>
                </w14:textFill>
              </w:rPr>
            </w:pPr>
          </w:p>
        </w:tc>
        <w:tc>
          <w:tcPr>
            <w:tcW w:w="2571" w:type="pct"/>
            <w:vAlign w:val="center"/>
          </w:tcPr>
          <w:p w14:paraId="3AC5DADB">
            <w:pPr>
              <w:spacing w:line="360" w:lineRule="auto"/>
              <w:jc w:val="center"/>
              <w:rPr>
                <w:rFonts w:ascii="宋体" w:hAnsi="宋体" w:eastAsia="宋体"/>
                <w:color w:val="000000" w:themeColor="text1"/>
                <w:szCs w:val="21"/>
                <w14:textFill>
                  <w14:solidFill>
                    <w14:schemeClr w14:val="tx1"/>
                  </w14:solidFill>
                </w14:textFill>
              </w:rPr>
            </w:pPr>
          </w:p>
        </w:tc>
      </w:tr>
    </w:tbl>
    <w:p w14:paraId="1FFA9CBF">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注：须随表提交相应的证书复印件并注明所在投标技术文件页码。</w:t>
      </w:r>
    </w:p>
    <w:p w14:paraId="6C5C060E">
      <w:pPr>
        <w:spacing w:line="360" w:lineRule="auto"/>
        <w:ind w:firstLine="422" w:firstLineChars="200"/>
        <w:rPr>
          <w:rFonts w:ascii="宋体" w:hAnsi="宋体" w:eastAsia="宋体"/>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附表B：本项目的项目小组人员情况表</w:t>
      </w:r>
      <w:r>
        <w:rPr>
          <w:rFonts w:hint="eastAsia" w:ascii="宋体" w:hAnsi="宋体" w:eastAsia="宋体"/>
          <w:color w:val="000000" w:themeColor="text1"/>
          <w:szCs w:val="21"/>
          <w14:textFill>
            <w14:solidFill>
              <w14:schemeClr w14:val="tx1"/>
            </w14:solidFill>
          </w14:textFill>
        </w:rPr>
        <w:t>（按此格式自制）</w:t>
      </w:r>
    </w:p>
    <w:tbl>
      <w:tblPr>
        <w:tblStyle w:val="14"/>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545"/>
        <w:gridCol w:w="545"/>
        <w:gridCol w:w="547"/>
        <w:gridCol w:w="1095"/>
        <w:gridCol w:w="1095"/>
        <w:gridCol w:w="1095"/>
        <w:gridCol w:w="1091"/>
        <w:gridCol w:w="683"/>
        <w:gridCol w:w="2036"/>
      </w:tblGrid>
      <w:tr w14:paraId="5EB65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 w:type="pct"/>
            <w:vAlign w:val="center"/>
          </w:tcPr>
          <w:p w14:paraId="2161298B">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序号</w:t>
            </w:r>
          </w:p>
        </w:tc>
        <w:tc>
          <w:tcPr>
            <w:tcW w:w="294" w:type="pct"/>
            <w:vAlign w:val="center"/>
          </w:tcPr>
          <w:p w14:paraId="2783870C">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姓名</w:t>
            </w:r>
          </w:p>
        </w:tc>
        <w:tc>
          <w:tcPr>
            <w:tcW w:w="294" w:type="pct"/>
            <w:vAlign w:val="center"/>
          </w:tcPr>
          <w:p w14:paraId="7BE0B11F">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性别</w:t>
            </w:r>
          </w:p>
        </w:tc>
        <w:tc>
          <w:tcPr>
            <w:tcW w:w="295" w:type="pct"/>
            <w:vAlign w:val="center"/>
          </w:tcPr>
          <w:p w14:paraId="75F7E353">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年龄</w:t>
            </w:r>
          </w:p>
        </w:tc>
        <w:tc>
          <w:tcPr>
            <w:tcW w:w="590" w:type="pct"/>
            <w:vAlign w:val="center"/>
          </w:tcPr>
          <w:p w14:paraId="41D8EB1A">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学历（页码）</w:t>
            </w:r>
          </w:p>
        </w:tc>
        <w:tc>
          <w:tcPr>
            <w:tcW w:w="590" w:type="pct"/>
            <w:vAlign w:val="center"/>
          </w:tcPr>
          <w:p w14:paraId="39C01957">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专业（页码）</w:t>
            </w:r>
          </w:p>
        </w:tc>
        <w:tc>
          <w:tcPr>
            <w:tcW w:w="590" w:type="pct"/>
            <w:vAlign w:val="center"/>
          </w:tcPr>
          <w:p w14:paraId="1998F0BB">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职称（页码）</w:t>
            </w:r>
          </w:p>
        </w:tc>
        <w:tc>
          <w:tcPr>
            <w:tcW w:w="588" w:type="pct"/>
            <w:vAlign w:val="center"/>
          </w:tcPr>
          <w:p w14:paraId="1B57EC69">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本项目中的职责</w:t>
            </w:r>
          </w:p>
        </w:tc>
        <w:tc>
          <w:tcPr>
            <w:tcW w:w="368" w:type="pct"/>
            <w:vAlign w:val="center"/>
          </w:tcPr>
          <w:p w14:paraId="17152DA5">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项目经历</w:t>
            </w:r>
          </w:p>
        </w:tc>
        <w:tc>
          <w:tcPr>
            <w:tcW w:w="1097" w:type="pct"/>
            <w:vAlign w:val="center"/>
          </w:tcPr>
          <w:p w14:paraId="2284E0F2">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参与本项目的到位情况</w:t>
            </w:r>
          </w:p>
        </w:tc>
      </w:tr>
      <w:tr w14:paraId="105D4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 w:type="pct"/>
            <w:vAlign w:val="center"/>
          </w:tcPr>
          <w:p w14:paraId="14C4C32F">
            <w:pPr>
              <w:spacing w:line="360" w:lineRule="auto"/>
              <w:jc w:val="center"/>
              <w:rPr>
                <w:rFonts w:ascii="宋体" w:hAnsi="宋体" w:eastAsia="宋体"/>
                <w:color w:val="000000" w:themeColor="text1"/>
                <w:szCs w:val="21"/>
                <w14:textFill>
                  <w14:solidFill>
                    <w14:schemeClr w14:val="tx1"/>
                  </w14:solidFill>
                </w14:textFill>
              </w:rPr>
            </w:pPr>
          </w:p>
        </w:tc>
        <w:tc>
          <w:tcPr>
            <w:tcW w:w="294" w:type="pct"/>
            <w:vAlign w:val="center"/>
          </w:tcPr>
          <w:p w14:paraId="5B809B78">
            <w:pPr>
              <w:spacing w:line="360" w:lineRule="auto"/>
              <w:jc w:val="center"/>
              <w:rPr>
                <w:rFonts w:ascii="宋体" w:hAnsi="宋体" w:eastAsia="宋体"/>
                <w:color w:val="000000" w:themeColor="text1"/>
                <w:szCs w:val="21"/>
                <w14:textFill>
                  <w14:solidFill>
                    <w14:schemeClr w14:val="tx1"/>
                  </w14:solidFill>
                </w14:textFill>
              </w:rPr>
            </w:pPr>
          </w:p>
        </w:tc>
        <w:tc>
          <w:tcPr>
            <w:tcW w:w="294" w:type="pct"/>
            <w:vAlign w:val="center"/>
          </w:tcPr>
          <w:p w14:paraId="6FD929AD">
            <w:pPr>
              <w:spacing w:line="360" w:lineRule="auto"/>
              <w:jc w:val="center"/>
              <w:rPr>
                <w:rFonts w:ascii="宋体" w:hAnsi="宋体" w:eastAsia="宋体"/>
                <w:color w:val="000000" w:themeColor="text1"/>
                <w:szCs w:val="21"/>
                <w14:textFill>
                  <w14:solidFill>
                    <w14:schemeClr w14:val="tx1"/>
                  </w14:solidFill>
                </w14:textFill>
              </w:rPr>
            </w:pPr>
          </w:p>
        </w:tc>
        <w:tc>
          <w:tcPr>
            <w:tcW w:w="295" w:type="pct"/>
            <w:vAlign w:val="center"/>
          </w:tcPr>
          <w:p w14:paraId="7920BEF1">
            <w:pPr>
              <w:spacing w:line="360" w:lineRule="auto"/>
              <w:jc w:val="center"/>
              <w:rPr>
                <w:rFonts w:ascii="宋体" w:hAnsi="宋体" w:eastAsia="宋体"/>
                <w:color w:val="000000" w:themeColor="text1"/>
                <w:szCs w:val="21"/>
                <w14:textFill>
                  <w14:solidFill>
                    <w14:schemeClr w14:val="tx1"/>
                  </w14:solidFill>
                </w14:textFill>
              </w:rPr>
            </w:pPr>
          </w:p>
        </w:tc>
        <w:tc>
          <w:tcPr>
            <w:tcW w:w="590" w:type="pct"/>
            <w:vAlign w:val="center"/>
          </w:tcPr>
          <w:p w14:paraId="784A0F5F">
            <w:pPr>
              <w:spacing w:line="360" w:lineRule="auto"/>
              <w:jc w:val="center"/>
              <w:rPr>
                <w:rFonts w:ascii="宋体" w:hAnsi="宋体" w:eastAsia="宋体"/>
                <w:color w:val="000000" w:themeColor="text1"/>
                <w:szCs w:val="21"/>
                <w14:textFill>
                  <w14:solidFill>
                    <w14:schemeClr w14:val="tx1"/>
                  </w14:solidFill>
                </w14:textFill>
              </w:rPr>
            </w:pPr>
          </w:p>
        </w:tc>
        <w:tc>
          <w:tcPr>
            <w:tcW w:w="590" w:type="pct"/>
            <w:vAlign w:val="center"/>
          </w:tcPr>
          <w:p w14:paraId="4C3C9809">
            <w:pPr>
              <w:spacing w:line="360" w:lineRule="auto"/>
              <w:jc w:val="center"/>
              <w:rPr>
                <w:rFonts w:ascii="宋体" w:hAnsi="宋体" w:eastAsia="宋体"/>
                <w:color w:val="000000" w:themeColor="text1"/>
                <w:szCs w:val="21"/>
                <w14:textFill>
                  <w14:solidFill>
                    <w14:schemeClr w14:val="tx1"/>
                  </w14:solidFill>
                </w14:textFill>
              </w:rPr>
            </w:pPr>
          </w:p>
        </w:tc>
        <w:tc>
          <w:tcPr>
            <w:tcW w:w="590" w:type="pct"/>
            <w:vAlign w:val="center"/>
          </w:tcPr>
          <w:p w14:paraId="4BA17A18">
            <w:pPr>
              <w:spacing w:line="360" w:lineRule="auto"/>
              <w:jc w:val="center"/>
              <w:rPr>
                <w:rFonts w:ascii="宋体" w:hAnsi="宋体" w:eastAsia="宋体"/>
                <w:color w:val="000000" w:themeColor="text1"/>
                <w:szCs w:val="21"/>
                <w14:textFill>
                  <w14:solidFill>
                    <w14:schemeClr w14:val="tx1"/>
                  </w14:solidFill>
                </w14:textFill>
              </w:rPr>
            </w:pPr>
          </w:p>
        </w:tc>
        <w:tc>
          <w:tcPr>
            <w:tcW w:w="588" w:type="pct"/>
            <w:vAlign w:val="center"/>
          </w:tcPr>
          <w:p w14:paraId="0CD5C8FB">
            <w:pPr>
              <w:spacing w:line="360" w:lineRule="auto"/>
              <w:jc w:val="center"/>
              <w:rPr>
                <w:rFonts w:ascii="宋体" w:hAnsi="宋体" w:eastAsia="宋体"/>
                <w:color w:val="000000" w:themeColor="text1"/>
                <w:szCs w:val="21"/>
                <w14:textFill>
                  <w14:solidFill>
                    <w14:schemeClr w14:val="tx1"/>
                  </w14:solidFill>
                </w14:textFill>
              </w:rPr>
            </w:pPr>
          </w:p>
        </w:tc>
        <w:tc>
          <w:tcPr>
            <w:tcW w:w="368" w:type="pct"/>
            <w:vAlign w:val="center"/>
          </w:tcPr>
          <w:p w14:paraId="008C0BFF">
            <w:pPr>
              <w:spacing w:line="360" w:lineRule="auto"/>
              <w:jc w:val="center"/>
              <w:rPr>
                <w:rFonts w:ascii="宋体" w:hAnsi="宋体" w:eastAsia="宋体"/>
                <w:color w:val="000000" w:themeColor="text1"/>
                <w:szCs w:val="21"/>
                <w14:textFill>
                  <w14:solidFill>
                    <w14:schemeClr w14:val="tx1"/>
                  </w14:solidFill>
                </w14:textFill>
              </w:rPr>
            </w:pPr>
          </w:p>
        </w:tc>
        <w:tc>
          <w:tcPr>
            <w:tcW w:w="1097" w:type="pct"/>
            <w:vAlign w:val="center"/>
          </w:tcPr>
          <w:p w14:paraId="17B4DBB4">
            <w:pPr>
              <w:spacing w:line="360" w:lineRule="auto"/>
              <w:jc w:val="center"/>
              <w:rPr>
                <w:rFonts w:ascii="宋体" w:hAnsi="宋体" w:eastAsia="宋体"/>
                <w:color w:val="000000" w:themeColor="text1"/>
                <w:szCs w:val="21"/>
                <w14:textFill>
                  <w14:solidFill>
                    <w14:schemeClr w14:val="tx1"/>
                  </w14:solidFill>
                </w14:textFill>
              </w:rPr>
            </w:pPr>
          </w:p>
        </w:tc>
      </w:tr>
      <w:tr w14:paraId="1E18D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 w:type="pct"/>
            <w:vAlign w:val="center"/>
          </w:tcPr>
          <w:p w14:paraId="6560FEB7">
            <w:pPr>
              <w:spacing w:line="360" w:lineRule="auto"/>
              <w:jc w:val="center"/>
              <w:rPr>
                <w:rFonts w:ascii="宋体" w:hAnsi="宋体" w:eastAsia="宋体"/>
                <w:color w:val="000000" w:themeColor="text1"/>
                <w:szCs w:val="21"/>
                <w14:textFill>
                  <w14:solidFill>
                    <w14:schemeClr w14:val="tx1"/>
                  </w14:solidFill>
                </w14:textFill>
              </w:rPr>
            </w:pPr>
          </w:p>
        </w:tc>
        <w:tc>
          <w:tcPr>
            <w:tcW w:w="294" w:type="pct"/>
            <w:vAlign w:val="center"/>
          </w:tcPr>
          <w:p w14:paraId="55189905">
            <w:pPr>
              <w:spacing w:line="360" w:lineRule="auto"/>
              <w:jc w:val="center"/>
              <w:rPr>
                <w:rFonts w:ascii="宋体" w:hAnsi="宋体" w:eastAsia="宋体"/>
                <w:color w:val="000000" w:themeColor="text1"/>
                <w:szCs w:val="21"/>
                <w14:textFill>
                  <w14:solidFill>
                    <w14:schemeClr w14:val="tx1"/>
                  </w14:solidFill>
                </w14:textFill>
              </w:rPr>
            </w:pPr>
          </w:p>
        </w:tc>
        <w:tc>
          <w:tcPr>
            <w:tcW w:w="294" w:type="pct"/>
            <w:vAlign w:val="center"/>
          </w:tcPr>
          <w:p w14:paraId="2BB33194">
            <w:pPr>
              <w:spacing w:line="360" w:lineRule="auto"/>
              <w:jc w:val="center"/>
              <w:rPr>
                <w:rFonts w:ascii="宋体" w:hAnsi="宋体" w:eastAsia="宋体"/>
                <w:color w:val="000000" w:themeColor="text1"/>
                <w:szCs w:val="21"/>
                <w14:textFill>
                  <w14:solidFill>
                    <w14:schemeClr w14:val="tx1"/>
                  </w14:solidFill>
                </w14:textFill>
              </w:rPr>
            </w:pPr>
          </w:p>
        </w:tc>
        <w:tc>
          <w:tcPr>
            <w:tcW w:w="295" w:type="pct"/>
            <w:vAlign w:val="center"/>
          </w:tcPr>
          <w:p w14:paraId="1481CFAA">
            <w:pPr>
              <w:spacing w:line="360" w:lineRule="auto"/>
              <w:jc w:val="center"/>
              <w:rPr>
                <w:rFonts w:ascii="宋体" w:hAnsi="宋体" w:eastAsia="宋体"/>
                <w:color w:val="000000" w:themeColor="text1"/>
                <w:szCs w:val="21"/>
                <w14:textFill>
                  <w14:solidFill>
                    <w14:schemeClr w14:val="tx1"/>
                  </w14:solidFill>
                </w14:textFill>
              </w:rPr>
            </w:pPr>
          </w:p>
        </w:tc>
        <w:tc>
          <w:tcPr>
            <w:tcW w:w="590" w:type="pct"/>
            <w:vAlign w:val="center"/>
          </w:tcPr>
          <w:p w14:paraId="53085884">
            <w:pPr>
              <w:spacing w:line="360" w:lineRule="auto"/>
              <w:jc w:val="center"/>
              <w:rPr>
                <w:rFonts w:ascii="宋体" w:hAnsi="宋体" w:eastAsia="宋体"/>
                <w:color w:val="000000" w:themeColor="text1"/>
                <w:szCs w:val="21"/>
                <w14:textFill>
                  <w14:solidFill>
                    <w14:schemeClr w14:val="tx1"/>
                  </w14:solidFill>
                </w14:textFill>
              </w:rPr>
            </w:pPr>
          </w:p>
        </w:tc>
        <w:tc>
          <w:tcPr>
            <w:tcW w:w="590" w:type="pct"/>
            <w:vAlign w:val="center"/>
          </w:tcPr>
          <w:p w14:paraId="02389CCB">
            <w:pPr>
              <w:spacing w:line="360" w:lineRule="auto"/>
              <w:jc w:val="center"/>
              <w:rPr>
                <w:rFonts w:ascii="宋体" w:hAnsi="宋体" w:eastAsia="宋体"/>
                <w:color w:val="000000" w:themeColor="text1"/>
                <w:szCs w:val="21"/>
                <w14:textFill>
                  <w14:solidFill>
                    <w14:schemeClr w14:val="tx1"/>
                  </w14:solidFill>
                </w14:textFill>
              </w:rPr>
            </w:pPr>
          </w:p>
        </w:tc>
        <w:tc>
          <w:tcPr>
            <w:tcW w:w="590" w:type="pct"/>
            <w:vAlign w:val="center"/>
          </w:tcPr>
          <w:p w14:paraId="50E3CD3F">
            <w:pPr>
              <w:spacing w:line="360" w:lineRule="auto"/>
              <w:jc w:val="center"/>
              <w:rPr>
                <w:rFonts w:ascii="宋体" w:hAnsi="宋体" w:eastAsia="宋体"/>
                <w:color w:val="000000" w:themeColor="text1"/>
                <w:szCs w:val="21"/>
                <w14:textFill>
                  <w14:solidFill>
                    <w14:schemeClr w14:val="tx1"/>
                  </w14:solidFill>
                </w14:textFill>
              </w:rPr>
            </w:pPr>
          </w:p>
        </w:tc>
        <w:tc>
          <w:tcPr>
            <w:tcW w:w="588" w:type="pct"/>
            <w:vAlign w:val="center"/>
          </w:tcPr>
          <w:p w14:paraId="4E45B7E4">
            <w:pPr>
              <w:spacing w:line="360" w:lineRule="auto"/>
              <w:jc w:val="center"/>
              <w:rPr>
                <w:rFonts w:ascii="宋体" w:hAnsi="宋体" w:eastAsia="宋体"/>
                <w:color w:val="000000" w:themeColor="text1"/>
                <w:szCs w:val="21"/>
                <w14:textFill>
                  <w14:solidFill>
                    <w14:schemeClr w14:val="tx1"/>
                  </w14:solidFill>
                </w14:textFill>
              </w:rPr>
            </w:pPr>
          </w:p>
        </w:tc>
        <w:tc>
          <w:tcPr>
            <w:tcW w:w="368" w:type="pct"/>
            <w:vAlign w:val="center"/>
          </w:tcPr>
          <w:p w14:paraId="63AC73AD">
            <w:pPr>
              <w:spacing w:line="360" w:lineRule="auto"/>
              <w:jc w:val="center"/>
              <w:rPr>
                <w:rFonts w:ascii="宋体" w:hAnsi="宋体" w:eastAsia="宋体"/>
                <w:color w:val="000000" w:themeColor="text1"/>
                <w:szCs w:val="21"/>
                <w14:textFill>
                  <w14:solidFill>
                    <w14:schemeClr w14:val="tx1"/>
                  </w14:solidFill>
                </w14:textFill>
              </w:rPr>
            </w:pPr>
          </w:p>
        </w:tc>
        <w:tc>
          <w:tcPr>
            <w:tcW w:w="1097" w:type="pct"/>
            <w:vAlign w:val="center"/>
          </w:tcPr>
          <w:p w14:paraId="69DEA97C">
            <w:pPr>
              <w:spacing w:line="360" w:lineRule="auto"/>
              <w:jc w:val="center"/>
              <w:rPr>
                <w:rFonts w:ascii="宋体" w:hAnsi="宋体" w:eastAsia="宋体"/>
                <w:color w:val="000000" w:themeColor="text1"/>
                <w:szCs w:val="21"/>
                <w14:textFill>
                  <w14:solidFill>
                    <w14:schemeClr w14:val="tx1"/>
                  </w14:solidFill>
                </w14:textFill>
              </w:rPr>
            </w:pPr>
          </w:p>
        </w:tc>
      </w:tr>
    </w:tbl>
    <w:p w14:paraId="3A88317F">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注：投标人可按上述的格式自行编制，须随表提交相应的证书复印件并注明所在投标技术文件页码。</w:t>
      </w:r>
    </w:p>
    <w:p w14:paraId="15DFBB44">
      <w:pPr>
        <w:spacing w:line="360" w:lineRule="auto"/>
        <w:ind w:firstLine="422" w:firstLineChars="200"/>
        <w:rPr>
          <w:rFonts w:ascii="宋体" w:hAnsi="宋体" w:eastAsia="宋体"/>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附表C：本项目的项目经理或小组人员近3个月交纳社保记录情况表</w:t>
      </w:r>
      <w:r>
        <w:rPr>
          <w:rFonts w:hint="eastAsia" w:ascii="宋体" w:hAnsi="宋体" w:eastAsia="宋体"/>
          <w:color w:val="000000" w:themeColor="text1"/>
          <w:szCs w:val="21"/>
          <w14:textFill>
            <w14:solidFill>
              <w14:schemeClr w14:val="tx1"/>
            </w14:solidFill>
          </w14:textFill>
        </w:rPr>
        <w:t>（以社保局缴纳凭证作附件）</w:t>
      </w:r>
    </w:p>
    <w:p w14:paraId="431FE948">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（四）技术服务内容</w:t>
      </w:r>
    </w:p>
    <w:p w14:paraId="3A45573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（由投标人根据采购需求及招标文件要求编制）</w:t>
      </w:r>
    </w:p>
    <w:p w14:paraId="113057BD">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（五）技术培训内容</w:t>
      </w:r>
    </w:p>
    <w:p w14:paraId="06A2B75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（由投标人根据采购需求自行编制）</w:t>
      </w:r>
    </w:p>
    <w:p w14:paraId="2B5F671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附表：培训日程及费用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1294"/>
        <w:gridCol w:w="1294"/>
        <w:gridCol w:w="1294"/>
        <w:gridCol w:w="1294"/>
        <w:gridCol w:w="1295"/>
        <w:gridCol w:w="1295"/>
      </w:tblGrid>
      <w:tr w14:paraId="03193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shd w:val="clear" w:color="auto" w:fill="D8D8D8" w:themeFill="background1" w:themeFillShade="D9"/>
          </w:tcPr>
          <w:p w14:paraId="060357FF">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课程名称</w:t>
            </w:r>
          </w:p>
        </w:tc>
        <w:tc>
          <w:tcPr>
            <w:tcW w:w="1294" w:type="dxa"/>
            <w:shd w:val="clear" w:color="auto" w:fill="D8D8D8" w:themeFill="background1" w:themeFillShade="D9"/>
          </w:tcPr>
          <w:p w14:paraId="4953754D">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提供的资料</w:t>
            </w:r>
          </w:p>
        </w:tc>
        <w:tc>
          <w:tcPr>
            <w:tcW w:w="1294" w:type="dxa"/>
            <w:shd w:val="clear" w:color="auto" w:fill="D8D8D8" w:themeFill="background1" w:themeFillShade="D9"/>
          </w:tcPr>
          <w:p w14:paraId="21C7F67F">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持续时间</w:t>
            </w:r>
          </w:p>
        </w:tc>
        <w:tc>
          <w:tcPr>
            <w:tcW w:w="1294" w:type="dxa"/>
            <w:shd w:val="clear" w:color="auto" w:fill="D8D8D8" w:themeFill="background1" w:themeFillShade="D9"/>
          </w:tcPr>
          <w:p w14:paraId="0F4832B7">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授课教师</w:t>
            </w:r>
          </w:p>
        </w:tc>
        <w:tc>
          <w:tcPr>
            <w:tcW w:w="1294" w:type="dxa"/>
            <w:shd w:val="clear" w:color="auto" w:fill="D8D8D8" w:themeFill="background1" w:themeFillShade="D9"/>
          </w:tcPr>
          <w:p w14:paraId="5FCE6262">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培训对象</w:t>
            </w:r>
          </w:p>
        </w:tc>
        <w:tc>
          <w:tcPr>
            <w:tcW w:w="1295" w:type="dxa"/>
            <w:shd w:val="clear" w:color="auto" w:fill="D8D8D8" w:themeFill="background1" w:themeFillShade="D9"/>
          </w:tcPr>
          <w:p w14:paraId="0BA12385">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培训地点</w:t>
            </w:r>
          </w:p>
        </w:tc>
        <w:tc>
          <w:tcPr>
            <w:tcW w:w="1295" w:type="dxa"/>
            <w:shd w:val="clear" w:color="auto" w:fill="D8D8D8" w:themeFill="background1" w:themeFillShade="D9"/>
          </w:tcPr>
          <w:p w14:paraId="3FDC5798">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课程费用</w:t>
            </w:r>
          </w:p>
        </w:tc>
      </w:tr>
      <w:tr w14:paraId="2AB2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14:paraId="79728502">
            <w:pPr>
              <w:spacing w:line="360" w:lineRule="auto"/>
              <w:jc w:val="center"/>
              <w:rPr>
                <w:rFonts w:ascii="宋体" w:hAnsi="宋体" w:eastAsia="宋体"/>
                <w:color w:val="000000" w:themeColor="text1"/>
                <w:szCs w:val="21"/>
                <w14:textFill>
                  <w14:solidFill>
                    <w14:schemeClr w14:val="tx1"/>
                  </w14:solidFill>
                </w14:textFill>
              </w:rPr>
            </w:pPr>
          </w:p>
        </w:tc>
        <w:tc>
          <w:tcPr>
            <w:tcW w:w="1294" w:type="dxa"/>
          </w:tcPr>
          <w:p w14:paraId="39658C53">
            <w:pPr>
              <w:spacing w:line="360" w:lineRule="auto"/>
              <w:jc w:val="center"/>
              <w:rPr>
                <w:rFonts w:ascii="宋体" w:hAnsi="宋体" w:eastAsia="宋体"/>
                <w:color w:val="000000" w:themeColor="text1"/>
                <w:szCs w:val="21"/>
                <w14:textFill>
                  <w14:solidFill>
                    <w14:schemeClr w14:val="tx1"/>
                  </w14:solidFill>
                </w14:textFill>
              </w:rPr>
            </w:pPr>
          </w:p>
        </w:tc>
        <w:tc>
          <w:tcPr>
            <w:tcW w:w="1294" w:type="dxa"/>
          </w:tcPr>
          <w:p w14:paraId="07C51A9B">
            <w:pPr>
              <w:spacing w:line="360" w:lineRule="auto"/>
              <w:jc w:val="center"/>
              <w:rPr>
                <w:rFonts w:ascii="宋体" w:hAnsi="宋体" w:eastAsia="宋体"/>
                <w:color w:val="000000" w:themeColor="text1"/>
                <w:szCs w:val="21"/>
                <w14:textFill>
                  <w14:solidFill>
                    <w14:schemeClr w14:val="tx1"/>
                  </w14:solidFill>
                </w14:textFill>
              </w:rPr>
            </w:pPr>
          </w:p>
        </w:tc>
        <w:tc>
          <w:tcPr>
            <w:tcW w:w="1294" w:type="dxa"/>
          </w:tcPr>
          <w:p w14:paraId="2F9A669B">
            <w:pPr>
              <w:spacing w:line="360" w:lineRule="auto"/>
              <w:jc w:val="center"/>
              <w:rPr>
                <w:rFonts w:ascii="宋体" w:hAnsi="宋体" w:eastAsia="宋体"/>
                <w:color w:val="000000" w:themeColor="text1"/>
                <w:szCs w:val="21"/>
                <w14:textFill>
                  <w14:solidFill>
                    <w14:schemeClr w14:val="tx1"/>
                  </w14:solidFill>
                </w14:textFill>
              </w:rPr>
            </w:pPr>
          </w:p>
        </w:tc>
        <w:tc>
          <w:tcPr>
            <w:tcW w:w="1294" w:type="dxa"/>
          </w:tcPr>
          <w:p w14:paraId="515F07EC">
            <w:pPr>
              <w:spacing w:line="360" w:lineRule="auto"/>
              <w:jc w:val="center"/>
              <w:rPr>
                <w:rFonts w:ascii="宋体" w:hAnsi="宋体" w:eastAsia="宋体"/>
                <w:color w:val="000000" w:themeColor="text1"/>
                <w:szCs w:val="21"/>
                <w14:textFill>
                  <w14:solidFill>
                    <w14:schemeClr w14:val="tx1"/>
                  </w14:solidFill>
                </w14:textFill>
              </w:rPr>
            </w:pPr>
          </w:p>
        </w:tc>
        <w:tc>
          <w:tcPr>
            <w:tcW w:w="1295" w:type="dxa"/>
          </w:tcPr>
          <w:p w14:paraId="45BFCABE">
            <w:pPr>
              <w:spacing w:line="360" w:lineRule="auto"/>
              <w:jc w:val="center"/>
              <w:rPr>
                <w:rFonts w:ascii="宋体" w:hAnsi="宋体" w:eastAsia="宋体"/>
                <w:color w:val="000000" w:themeColor="text1"/>
                <w:szCs w:val="21"/>
                <w14:textFill>
                  <w14:solidFill>
                    <w14:schemeClr w14:val="tx1"/>
                  </w14:solidFill>
                </w14:textFill>
              </w:rPr>
            </w:pPr>
          </w:p>
        </w:tc>
        <w:tc>
          <w:tcPr>
            <w:tcW w:w="1295" w:type="dxa"/>
          </w:tcPr>
          <w:p w14:paraId="69D1A4FA">
            <w:pPr>
              <w:spacing w:line="360" w:lineRule="auto"/>
              <w:jc w:val="center"/>
              <w:rPr>
                <w:rFonts w:ascii="宋体" w:hAnsi="宋体" w:eastAsia="宋体"/>
                <w:color w:val="000000" w:themeColor="text1"/>
                <w:szCs w:val="21"/>
                <w14:textFill>
                  <w14:solidFill>
                    <w14:schemeClr w14:val="tx1"/>
                  </w14:solidFill>
                </w14:textFill>
              </w:rPr>
            </w:pPr>
          </w:p>
        </w:tc>
      </w:tr>
      <w:tr w14:paraId="2E4E3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14:paraId="2D960693">
            <w:pPr>
              <w:spacing w:line="360" w:lineRule="auto"/>
              <w:jc w:val="center"/>
              <w:rPr>
                <w:rFonts w:ascii="宋体" w:hAnsi="宋体" w:eastAsia="宋体"/>
                <w:color w:val="000000" w:themeColor="text1"/>
                <w:szCs w:val="21"/>
                <w14:textFill>
                  <w14:solidFill>
                    <w14:schemeClr w14:val="tx1"/>
                  </w14:solidFill>
                </w14:textFill>
              </w:rPr>
            </w:pPr>
          </w:p>
        </w:tc>
        <w:tc>
          <w:tcPr>
            <w:tcW w:w="1294" w:type="dxa"/>
          </w:tcPr>
          <w:p w14:paraId="6F8700ED">
            <w:pPr>
              <w:spacing w:line="360" w:lineRule="auto"/>
              <w:jc w:val="center"/>
              <w:rPr>
                <w:rFonts w:ascii="宋体" w:hAnsi="宋体" w:eastAsia="宋体"/>
                <w:color w:val="000000" w:themeColor="text1"/>
                <w:szCs w:val="21"/>
                <w14:textFill>
                  <w14:solidFill>
                    <w14:schemeClr w14:val="tx1"/>
                  </w14:solidFill>
                </w14:textFill>
              </w:rPr>
            </w:pPr>
          </w:p>
        </w:tc>
        <w:tc>
          <w:tcPr>
            <w:tcW w:w="1294" w:type="dxa"/>
          </w:tcPr>
          <w:p w14:paraId="293B87E6">
            <w:pPr>
              <w:spacing w:line="360" w:lineRule="auto"/>
              <w:jc w:val="center"/>
              <w:rPr>
                <w:rFonts w:ascii="宋体" w:hAnsi="宋体" w:eastAsia="宋体"/>
                <w:color w:val="000000" w:themeColor="text1"/>
                <w:szCs w:val="21"/>
                <w14:textFill>
                  <w14:solidFill>
                    <w14:schemeClr w14:val="tx1"/>
                  </w14:solidFill>
                </w14:textFill>
              </w:rPr>
            </w:pPr>
          </w:p>
        </w:tc>
        <w:tc>
          <w:tcPr>
            <w:tcW w:w="1294" w:type="dxa"/>
          </w:tcPr>
          <w:p w14:paraId="6BD94982">
            <w:pPr>
              <w:spacing w:line="360" w:lineRule="auto"/>
              <w:jc w:val="center"/>
              <w:rPr>
                <w:rFonts w:ascii="宋体" w:hAnsi="宋体" w:eastAsia="宋体"/>
                <w:color w:val="000000" w:themeColor="text1"/>
                <w:szCs w:val="21"/>
                <w14:textFill>
                  <w14:solidFill>
                    <w14:schemeClr w14:val="tx1"/>
                  </w14:solidFill>
                </w14:textFill>
              </w:rPr>
            </w:pPr>
          </w:p>
        </w:tc>
        <w:tc>
          <w:tcPr>
            <w:tcW w:w="1294" w:type="dxa"/>
          </w:tcPr>
          <w:p w14:paraId="09E600F5">
            <w:pPr>
              <w:spacing w:line="360" w:lineRule="auto"/>
              <w:jc w:val="center"/>
              <w:rPr>
                <w:rFonts w:ascii="宋体" w:hAnsi="宋体" w:eastAsia="宋体"/>
                <w:color w:val="000000" w:themeColor="text1"/>
                <w:szCs w:val="21"/>
                <w14:textFill>
                  <w14:solidFill>
                    <w14:schemeClr w14:val="tx1"/>
                  </w14:solidFill>
                </w14:textFill>
              </w:rPr>
            </w:pPr>
          </w:p>
        </w:tc>
        <w:tc>
          <w:tcPr>
            <w:tcW w:w="1295" w:type="dxa"/>
          </w:tcPr>
          <w:p w14:paraId="57BF6CE0">
            <w:pPr>
              <w:spacing w:line="360" w:lineRule="auto"/>
              <w:jc w:val="center"/>
              <w:rPr>
                <w:rFonts w:ascii="宋体" w:hAnsi="宋体" w:eastAsia="宋体"/>
                <w:color w:val="000000" w:themeColor="text1"/>
                <w:szCs w:val="21"/>
                <w14:textFill>
                  <w14:solidFill>
                    <w14:schemeClr w14:val="tx1"/>
                  </w14:solidFill>
                </w14:textFill>
              </w:rPr>
            </w:pPr>
          </w:p>
        </w:tc>
        <w:tc>
          <w:tcPr>
            <w:tcW w:w="1295" w:type="dxa"/>
          </w:tcPr>
          <w:p w14:paraId="65C0BE37">
            <w:pPr>
              <w:spacing w:line="360" w:lineRule="auto"/>
              <w:jc w:val="center"/>
              <w:rPr>
                <w:rFonts w:ascii="宋体" w:hAnsi="宋体" w:eastAsia="宋体"/>
                <w:color w:val="000000" w:themeColor="text1"/>
                <w:szCs w:val="21"/>
                <w14:textFill>
                  <w14:solidFill>
                    <w14:schemeClr w14:val="tx1"/>
                  </w14:solidFill>
                </w14:textFill>
              </w:rPr>
            </w:pPr>
          </w:p>
        </w:tc>
      </w:tr>
      <w:tr w14:paraId="18AEB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14:paraId="09056E7F">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费用总计</w:t>
            </w:r>
          </w:p>
        </w:tc>
        <w:tc>
          <w:tcPr>
            <w:tcW w:w="1294" w:type="dxa"/>
          </w:tcPr>
          <w:p w14:paraId="306CA5ED">
            <w:pPr>
              <w:spacing w:line="360" w:lineRule="auto"/>
              <w:jc w:val="center"/>
              <w:rPr>
                <w:rFonts w:ascii="宋体" w:hAnsi="宋体" w:eastAsia="宋体"/>
                <w:color w:val="000000" w:themeColor="text1"/>
                <w:szCs w:val="21"/>
                <w14:textFill>
                  <w14:solidFill>
                    <w14:schemeClr w14:val="tx1"/>
                  </w14:solidFill>
                </w14:textFill>
              </w:rPr>
            </w:pPr>
          </w:p>
        </w:tc>
        <w:tc>
          <w:tcPr>
            <w:tcW w:w="1294" w:type="dxa"/>
          </w:tcPr>
          <w:p w14:paraId="532639E2">
            <w:pPr>
              <w:spacing w:line="360" w:lineRule="auto"/>
              <w:jc w:val="center"/>
              <w:rPr>
                <w:rFonts w:ascii="宋体" w:hAnsi="宋体" w:eastAsia="宋体"/>
                <w:color w:val="000000" w:themeColor="text1"/>
                <w:szCs w:val="21"/>
                <w14:textFill>
                  <w14:solidFill>
                    <w14:schemeClr w14:val="tx1"/>
                  </w14:solidFill>
                </w14:textFill>
              </w:rPr>
            </w:pPr>
          </w:p>
        </w:tc>
        <w:tc>
          <w:tcPr>
            <w:tcW w:w="1294" w:type="dxa"/>
          </w:tcPr>
          <w:p w14:paraId="7C876332">
            <w:pPr>
              <w:spacing w:line="360" w:lineRule="auto"/>
              <w:jc w:val="center"/>
              <w:rPr>
                <w:rFonts w:ascii="宋体" w:hAnsi="宋体" w:eastAsia="宋体"/>
                <w:color w:val="000000" w:themeColor="text1"/>
                <w:szCs w:val="21"/>
                <w14:textFill>
                  <w14:solidFill>
                    <w14:schemeClr w14:val="tx1"/>
                  </w14:solidFill>
                </w14:textFill>
              </w:rPr>
            </w:pPr>
          </w:p>
        </w:tc>
        <w:tc>
          <w:tcPr>
            <w:tcW w:w="1294" w:type="dxa"/>
          </w:tcPr>
          <w:p w14:paraId="70F57C08">
            <w:pPr>
              <w:spacing w:line="360" w:lineRule="auto"/>
              <w:jc w:val="center"/>
              <w:rPr>
                <w:rFonts w:ascii="宋体" w:hAnsi="宋体" w:eastAsia="宋体"/>
                <w:color w:val="000000" w:themeColor="text1"/>
                <w:szCs w:val="21"/>
                <w14:textFill>
                  <w14:solidFill>
                    <w14:schemeClr w14:val="tx1"/>
                  </w14:solidFill>
                </w14:textFill>
              </w:rPr>
            </w:pPr>
          </w:p>
        </w:tc>
        <w:tc>
          <w:tcPr>
            <w:tcW w:w="1295" w:type="dxa"/>
          </w:tcPr>
          <w:p w14:paraId="14A43D50">
            <w:pPr>
              <w:spacing w:line="360" w:lineRule="auto"/>
              <w:jc w:val="center"/>
              <w:rPr>
                <w:rFonts w:ascii="宋体" w:hAnsi="宋体" w:eastAsia="宋体"/>
                <w:color w:val="000000" w:themeColor="text1"/>
                <w:szCs w:val="21"/>
                <w14:textFill>
                  <w14:solidFill>
                    <w14:schemeClr w14:val="tx1"/>
                  </w14:solidFill>
                </w14:textFill>
              </w:rPr>
            </w:pPr>
          </w:p>
        </w:tc>
        <w:tc>
          <w:tcPr>
            <w:tcW w:w="1295" w:type="dxa"/>
          </w:tcPr>
          <w:p w14:paraId="7BD0EA05">
            <w:pPr>
              <w:spacing w:line="360" w:lineRule="auto"/>
              <w:jc w:val="center"/>
              <w:rPr>
                <w:rFonts w:ascii="宋体" w:hAnsi="宋体" w:eastAsia="宋体"/>
                <w:color w:val="000000" w:themeColor="text1"/>
                <w:szCs w:val="21"/>
                <w14:textFill>
                  <w14:solidFill>
                    <w14:schemeClr w14:val="tx1"/>
                  </w14:solidFill>
                </w14:textFill>
              </w:rPr>
            </w:pPr>
          </w:p>
        </w:tc>
      </w:tr>
    </w:tbl>
    <w:p w14:paraId="01E33C5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注解：A课程清单按时间顺序排列，并提供以下详细资料：</w:t>
      </w:r>
    </w:p>
    <w:p w14:paraId="058DF7A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（1）课程概要</w:t>
      </w:r>
    </w:p>
    <w:p w14:paraId="3262575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（2）课程目的</w:t>
      </w:r>
    </w:p>
    <w:p w14:paraId="01BCE89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（3）教学方式</w:t>
      </w:r>
    </w:p>
    <w:p w14:paraId="473353C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（4）先决条件</w:t>
      </w:r>
    </w:p>
    <w:p w14:paraId="172147C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（5）教材目录</w:t>
      </w:r>
    </w:p>
    <w:p w14:paraId="72CC887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B按照附表A提供授课教师的简历</w:t>
      </w:r>
    </w:p>
    <w:p w14:paraId="2B9C4D3F">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注：须随表提交相应的证书复印件并注明所在投标技术文件页码。</w:t>
      </w:r>
    </w:p>
    <w:p w14:paraId="264C21DC">
      <w:pPr>
        <w:spacing w:line="360" w:lineRule="auto"/>
        <w:ind w:firstLine="420" w:firstLineChars="200"/>
        <w:rPr>
          <w:rFonts w:ascii="宋体" w:hAnsi="宋体" w:eastAsia="宋体"/>
          <w:color w:val="000000" w:themeColor="text1"/>
          <w:szCs w:val="21"/>
          <w14:textFill>
            <w14:solidFill>
              <w14:schemeClr w14:val="tx1"/>
            </w14:solidFill>
          </w14:textFill>
        </w:rPr>
      </w:pPr>
    </w:p>
    <w:p w14:paraId="51BBC2B2">
      <w:pPr>
        <w:spacing w:line="360" w:lineRule="auto"/>
        <w:ind w:firstLine="420" w:firstLineChars="200"/>
        <w:rPr>
          <w:rFonts w:ascii="宋体" w:hAnsi="宋体" w:eastAsia="宋体"/>
          <w:color w:val="000000" w:themeColor="text1"/>
          <w:szCs w:val="21"/>
          <w14:textFill>
            <w14:solidFill>
              <w14:schemeClr w14:val="tx1"/>
            </w14:solidFill>
          </w14:textFill>
        </w:rPr>
      </w:pPr>
    </w:p>
    <w:p w14:paraId="2B291556">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（六）售后服务方案</w:t>
      </w:r>
    </w:p>
    <w:p w14:paraId="6224429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（由投标人根据采购需求及招标文件要求编制）</w:t>
      </w:r>
    </w:p>
    <w:p w14:paraId="241B2CC4">
      <w:pPr>
        <w:spacing w:line="360" w:lineRule="auto"/>
        <w:jc w:val="center"/>
        <w:rPr>
          <w:rFonts w:ascii="宋体" w:hAnsi="宋体" w:eastAsia="宋体"/>
          <w:b/>
          <w:color w:val="000000" w:themeColor="text1"/>
          <w:sz w:val="30"/>
          <w:szCs w:val="30"/>
          <w14:textFill>
            <w14:solidFill>
              <w14:schemeClr w14:val="tx1"/>
            </w14:solidFill>
          </w14:textFill>
        </w:rPr>
      </w:pPr>
      <w:r>
        <w:rPr>
          <w:rFonts w:hint="eastAsia" w:ascii="宋体" w:hAnsi="宋体" w:eastAsia="宋体"/>
          <w:b/>
          <w:color w:val="000000" w:themeColor="text1"/>
          <w:sz w:val="30"/>
          <w:szCs w:val="30"/>
          <w14:textFill>
            <w14:solidFill>
              <w14:schemeClr w14:val="tx1"/>
            </w14:solidFill>
          </w14:textFill>
        </w:rPr>
        <w:t>1、售后服务承诺</w:t>
      </w:r>
    </w:p>
    <w:p w14:paraId="41911E7D">
      <w:pPr>
        <w:spacing w:line="360" w:lineRule="auto"/>
        <w:ind w:firstLine="422" w:firstLineChars="200"/>
        <w:rPr>
          <w:rFonts w:ascii="宋体" w:hAnsi="宋体" w:eastAsia="宋体"/>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附表A：售后服务机构情况表</w:t>
      </w:r>
      <w:r>
        <w:rPr>
          <w:rFonts w:hint="eastAsia" w:ascii="宋体" w:hAnsi="宋体" w:eastAsia="宋体"/>
          <w:color w:val="000000" w:themeColor="text1"/>
          <w:szCs w:val="21"/>
          <w14:textFill>
            <w14:solidFill>
              <w14:schemeClr w14:val="tx1"/>
            </w14:solidFill>
          </w14:textFill>
        </w:rPr>
        <w:t>（按此格式自制）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1510"/>
        <w:gridCol w:w="1510"/>
        <w:gridCol w:w="1510"/>
        <w:gridCol w:w="1510"/>
        <w:gridCol w:w="1510"/>
      </w:tblGrid>
      <w:tr w14:paraId="6DD94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Align w:val="center"/>
          </w:tcPr>
          <w:p w14:paraId="774B7F98">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序号</w:t>
            </w:r>
          </w:p>
        </w:tc>
        <w:tc>
          <w:tcPr>
            <w:tcW w:w="1510" w:type="dxa"/>
            <w:vAlign w:val="center"/>
          </w:tcPr>
          <w:p w14:paraId="266AD06C">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机构名称</w:t>
            </w:r>
          </w:p>
        </w:tc>
        <w:tc>
          <w:tcPr>
            <w:tcW w:w="1510" w:type="dxa"/>
            <w:vAlign w:val="center"/>
          </w:tcPr>
          <w:p w14:paraId="6ACA8FC8">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机构性质</w:t>
            </w:r>
          </w:p>
        </w:tc>
        <w:tc>
          <w:tcPr>
            <w:tcW w:w="1510" w:type="dxa"/>
            <w:vAlign w:val="center"/>
          </w:tcPr>
          <w:p w14:paraId="77FACF9C">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注册地址</w:t>
            </w:r>
          </w:p>
        </w:tc>
        <w:tc>
          <w:tcPr>
            <w:tcW w:w="1510" w:type="dxa"/>
            <w:vAlign w:val="center"/>
          </w:tcPr>
          <w:p w14:paraId="6BFB797F">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货物技术人员数量</w:t>
            </w:r>
          </w:p>
        </w:tc>
        <w:tc>
          <w:tcPr>
            <w:tcW w:w="1510" w:type="dxa"/>
            <w:vAlign w:val="center"/>
          </w:tcPr>
          <w:p w14:paraId="2970F7A5">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联系电话</w:t>
            </w:r>
          </w:p>
        </w:tc>
      </w:tr>
      <w:tr w14:paraId="7EA8E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Align w:val="center"/>
          </w:tcPr>
          <w:p w14:paraId="4499215D">
            <w:pPr>
              <w:spacing w:line="360" w:lineRule="auto"/>
              <w:jc w:val="center"/>
              <w:rPr>
                <w:rFonts w:ascii="宋体" w:hAnsi="宋体" w:eastAsia="宋体"/>
                <w:color w:val="000000" w:themeColor="text1"/>
                <w:szCs w:val="21"/>
                <w14:textFill>
                  <w14:solidFill>
                    <w14:schemeClr w14:val="tx1"/>
                  </w14:solidFill>
                </w14:textFill>
              </w:rPr>
            </w:pPr>
          </w:p>
        </w:tc>
        <w:tc>
          <w:tcPr>
            <w:tcW w:w="1510" w:type="dxa"/>
            <w:vAlign w:val="center"/>
          </w:tcPr>
          <w:p w14:paraId="41A1C0EE">
            <w:pPr>
              <w:spacing w:line="360" w:lineRule="auto"/>
              <w:jc w:val="center"/>
              <w:rPr>
                <w:rFonts w:ascii="宋体" w:hAnsi="宋体" w:eastAsia="宋体"/>
                <w:color w:val="000000" w:themeColor="text1"/>
                <w:szCs w:val="21"/>
                <w14:textFill>
                  <w14:solidFill>
                    <w14:schemeClr w14:val="tx1"/>
                  </w14:solidFill>
                </w14:textFill>
              </w:rPr>
            </w:pPr>
          </w:p>
        </w:tc>
        <w:tc>
          <w:tcPr>
            <w:tcW w:w="1510" w:type="dxa"/>
            <w:vAlign w:val="center"/>
          </w:tcPr>
          <w:p w14:paraId="7573439F">
            <w:pPr>
              <w:spacing w:line="360" w:lineRule="auto"/>
              <w:jc w:val="center"/>
              <w:rPr>
                <w:rFonts w:ascii="宋体" w:hAnsi="宋体" w:eastAsia="宋体"/>
                <w:color w:val="000000" w:themeColor="text1"/>
                <w:szCs w:val="21"/>
                <w14:textFill>
                  <w14:solidFill>
                    <w14:schemeClr w14:val="tx1"/>
                  </w14:solidFill>
                </w14:textFill>
              </w:rPr>
            </w:pPr>
          </w:p>
        </w:tc>
        <w:tc>
          <w:tcPr>
            <w:tcW w:w="1510" w:type="dxa"/>
            <w:vAlign w:val="center"/>
          </w:tcPr>
          <w:p w14:paraId="61F630CF">
            <w:pPr>
              <w:spacing w:line="360" w:lineRule="auto"/>
              <w:jc w:val="center"/>
              <w:rPr>
                <w:rFonts w:ascii="宋体" w:hAnsi="宋体" w:eastAsia="宋体"/>
                <w:color w:val="000000" w:themeColor="text1"/>
                <w:szCs w:val="21"/>
                <w14:textFill>
                  <w14:solidFill>
                    <w14:schemeClr w14:val="tx1"/>
                  </w14:solidFill>
                </w14:textFill>
              </w:rPr>
            </w:pPr>
          </w:p>
        </w:tc>
        <w:tc>
          <w:tcPr>
            <w:tcW w:w="1510" w:type="dxa"/>
            <w:vAlign w:val="center"/>
          </w:tcPr>
          <w:p w14:paraId="3CBB4D64">
            <w:pPr>
              <w:spacing w:line="360" w:lineRule="auto"/>
              <w:jc w:val="center"/>
              <w:rPr>
                <w:rFonts w:ascii="宋体" w:hAnsi="宋体" w:eastAsia="宋体"/>
                <w:color w:val="000000" w:themeColor="text1"/>
                <w:szCs w:val="21"/>
                <w14:textFill>
                  <w14:solidFill>
                    <w14:schemeClr w14:val="tx1"/>
                  </w14:solidFill>
                </w14:textFill>
              </w:rPr>
            </w:pPr>
          </w:p>
        </w:tc>
        <w:tc>
          <w:tcPr>
            <w:tcW w:w="1510" w:type="dxa"/>
            <w:vAlign w:val="center"/>
          </w:tcPr>
          <w:p w14:paraId="7894C726">
            <w:pPr>
              <w:spacing w:line="360" w:lineRule="auto"/>
              <w:jc w:val="center"/>
              <w:rPr>
                <w:rFonts w:ascii="宋体" w:hAnsi="宋体" w:eastAsia="宋体"/>
                <w:color w:val="000000" w:themeColor="text1"/>
                <w:szCs w:val="21"/>
                <w14:textFill>
                  <w14:solidFill>
                    <w14:schemeClr w14:val="tx1"/>
                  </w14:solidFill>
                </w14:textFill>
              </w:rPr>
            </w:pPr>
          </w:p>
        </w:tc>
      </w:tr>
      <w:tr w14:paraId="22074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Align w:val="center"/>
          </w:tcPr>
          <w:p w14:paraId="3044B269">
            <w:pPr>
              <w:spacing w:line="360" w:lineRule="auto"/>
              <w:jc w:val="center"/>
              <w:rPr>
                <w:rFonts w:ascii="宋体" w:hAnsi="宋体" w:eastAsia="宋体"/>
                <w:color w:val="000000" w:themeColor="text1"/>
                <w:szCs w:val="21"/>
                <w14:textFill>
                  <w14:solidFill>
                    <w14:schemeClr w14:val="tx1"/>
                  </w14:solidFill>
                </w14:textFill>
              </w:rPr>
            </w:pPr>
          </w:p>
        </w:tc>
        <w:tc>
          <w:tcPr>
            <w:tcW w:w="1510" w:type="dxa"/>
            <w:vAlign w:val="center"/>
          </w:tcPr>
          <w:p w14:paraId="567D39B0">
            <w:pPr>
              <w:spacing w:line="360" w:lineRule="auto"/>
              <w:jc w:val="center"/>
              <w:rPr>
                <w:rFonts w:ascii="宋体" w:hAnsi="宋体" w:eastAsia="宋体"/>
                <w:color w:val="000000" w:themeColor="text1"/>
                <w:szCs w:val="21"/>
                <w14:textFill>
                  <w14:solidFill>
                    <w14:schemeClr w14:val="tx1"/>
                  </w14:solidFill>
                </w14:textFill>
              </w:rPr>
            </w:pPr>
          </w:p>
        </w:tc>
        <w:tc>
          <w:tcPr>
            <w:tcW w:w="1510" w:type="dxa"/>
            <w:vAlign w:val="center"/>
          </w:tcPr>
          <w:p w14:paraId="1D1B0316">
            <w:pPr>
              <w:spacing w:line="360" w:lineRule="auto"/>
              <w:jc w:val="center"/>
              <w:rPr>
                <w:rFonts w:ascii="宋体" w:hAnsi="宋体" w:eastAsia="宋体"/>
                <w:color w:val="000000" w:themeColor="text1"/>
                <w:szCs w:val="21"/>
                <w14:textFill>
                  <w14:solidFill>
                    <w14:schemeClr w14:val="tx1"/>
                  </w14:solidFill>
                </w14:textFill>
              </w:rPr>
            </w:pPr>
          </w:p>
        </w:tc>
        <w:tc>
          <w:tcPr>
            <w:tcW w:w="1510" w:type="dxa"/>
            <w:vAlign w:val="center"/>
          </w:tcPr>
          <w:p w14:paraId="305216EB">
            <w:pPr>
              <w:spacing w:line="360" w:lineRule="auto"/>
              <w:jc w:val="center"/>
              <w:rPr>
                <w:rFonts w:ascii="宋体" w:hAnsi="宋体" w:eastAsia="宋体"/>
                <w:color w:val="000000" w:themeColor="text1"/>
                <w:szCs w:val="21"/>
                <w14:textFill>
                  <w14:solidFill>
                    <w14:schemeClr w14:val="tx1"/>
                  </w14:solidFill>
                </w14:textFill>
              </w:rPr>
            </w:pPr>
          </w:p>
        </w:tc>
        <w:tc>
          <w:tcPr>
            <w:tcW w:w="1510" w:type="dxa"/>
            <w:vAlign w:val="center"/>
          </w:tcPr>
          <w:p w14:paraId="58460A7D">
            <w:pPr>
              <w:spacing w:line="360" w:lineRule="auto"/>
              <w:jc w:val="center"/>
              <w:rPr>
                <w:rFonts w:ascii="宋体" w:hAnsi="宋体" w:eastAsia="宋体"/>
                <w:color w:val="000000" w:themeColor="text1"/>
                <w:szCs w:val="21"/>
                <w14:textFill>
                  <w14:solidFill>
                    <w14:schemeClr w14:val="tx1"/>
                  </w14:solidFill>
                </w14:textFill>
              </w:rPr>
            </w:pPr>
          </w:p>
        </w:tc>
        <w:tc>
          <w:tcPr>
            <w:tcW w:w="1510" w:type="dxa"/>
            <w:vAlign w:val="center"/>
          </w:tcPr>
          <w:p w14:paraId="120D4471">
            <w:pPr>
              <w:spacing w:line="360" w:lineRule="auto"/>
              <w:jc w:val="center"/>
              <w:rPr>
                <w:rFonts w:ascii="宋体" w:hAnsi="宋体" w:eastAsia="宋体"/>
                <w:color w:val="000000" w:themeColor="text1"/>
                <w:szCs w:val="21"/>
                <w14:textFill>
                  <w14:solidFill>
                    <w14:schemeClr w14:val="tx1"/>
                  </w14:solidFill>
                </w14:textFill>
              </w:rPr>
            </w:pPr>
          </w:p>
        </w:tc>
      </w:tr>
      <w:tr w14:paraId="24168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Align w:val="center"/>
          </w:tcPr>
          <w:p w14:paraId="0D27FAE2">
            <w:pPr>
              <w:spacing w:line="360" w:lineRule="auto"/>
              <w:jc w:val="center"/>
              <w:rPr>
                <w:rFonts w:ascii="宋体" w:hAnsi="宋体" w:eastAsia="宋体"/>
                <w:color w:val="000000" w:themeColor="text1"/>
                <w:szCs w:val="21"/>
                <w14:textFill>
                  <w14:solidFill>
                    <w14:schemeClr w14:val="tx1"/>
                  </w14:solidFill>
                </w14:textFill>
              </w:rPr>
            </w:pPr>
          </w:p>
        </w:tc>
        <w:tc>
          <w:tcPr>
            <w:tcW w:w="1510" w:type="dxa"/>
            <w:vAlign w:val="center"/>
          </w:tcPr>
          <w:p w14:paraId="51D07389">
            <w:pPr>
              <w:spacing w:line="360" w:lineRule="auto"/>
              <w:jc w:val="center"/>
              <w:rPr>
                <w:rFonts w:ascii="宋体" w:hAnsi="宋体" w:eastAsia="宋体"/>
                <w:color w:val="000000" w:themeColor="text1"/>
                <w:szCs w:val="21"/>
                <w14:textFill>
                  <w14:solidFill>
                    <w14:schemeClr w14:val="tx1"/>
                  </w14:solidFill>
                </w14:textFill>
              </w:rPr>
            </w:pPr>
          </w:p>
        </w:tc>
        <w:tc>
          <w:tcPr>
            <w:tcW w:w="1510" w:type="dxa"/>
            <w:vAlign w:val="center"/>
          </w:tcPr>
          <w:p w14:paraId="44ED3AE4">
            <w:pPr>
              <w:spacing w:line="360" w:lineRule="auto"/>
              <w:jc w:val="center"/>
              <w:rPr>
                <w:rFonts w:ascii="宋体" w:hAnsi="宋体" w:eastAsia="宋体"/>
                <w:color w:val="000000" w:themeColor="text1"/>
                <w:szCs w:val="21"/>
                <w14:textFill>
                  <w14:solidFill>
                    <w14:schemeClr w14:val="tx1"/>
                  </w14:solidFill>
                </w14:textFill>
              </w:rPr>
            </w:pPr>
          </w:p>
        </w:tc>
        <w:tc>
          <w:tcPr>
            <w:tcW w:w="1510" w:type="dxa"/>
            <w:vAlign w:val="center"/>
          </w:tcPr>
          <w:p w14:paraId="5BF91AC9">
            <w:pPr>
              <w:spacing w:line="360" w:lineRule="auto"/>
              <w:jc w:val="center"/>
              <w:rPr>
                <w:rFonts w:ascii="宋体" w:hAnsi="宋体" w:eastAsia="宋体"/>
                <w:color w:val="000000" w:themeColor="text1"/>
                <w:szCs w:val="21"/>
                <w14:textFill>
                  <w14:solidFill>
                    <w14:schemeClr w14:val="tx1"/>
                  </w14:solidFill>
                </w14:textFill>
              </w:rPr>
            </w:pPr>
          </w:p>
        </w:tc>
        <w:tc>
          <w:tcPr>
            <w:tcW w:w="1510" w:type="dxa"/>
            <w:vAlign w:val="center"/>
          </w:tcPr>
          <w:p w14:paraId="7E8588AD">
            <w:pPr>
              <w:spacing w:line="360" w:lineRule="auto"/>
              <w:jc w:val="center"/>
              <w:rPr>
                <w:rFonts w:ascii="宋体" w:hAnsi="宋体" w:eastAsia="宋体"/>
                <w:color w:val="000000" w:themeColor="text1"/>
                <w:szCs w:val="21"/>
                <w14:textFill>
                  <w14:solidFill>
                    <w14:schemeClr w14:val="tx1"/>
                  </w14:solidFill>
                </w14:textFill>
              </w:rPr>
            </w:pPr>
          </w:p>
        </w:tc>
        <w:tc>
          <w:tcPr>
            <w:tcW w:w="1510" w:type="dxa"/>
            <w:vAlign w:val="center"/>
          </w:tcPr>
          <w:p w14:paraId="63D9581F">
            <w:pPr>
              <w:spacing w:line="360" w:lineRule="auto"/>
              <w:jc w:val="center"/>
              <w:rPr>
                <w:rFonts w:ascii="宋体" w:hAnsi="宋体" w:eastAsia="宋体"/>
                <w:color w:val="000000" w:themeColor="text1"/>
                <w:szCs w:val="21"/>
                <w14:textFill>
                  <w14:solidFill>
                    <w14:schemeClr w14:val="tx1"/>
                  </w14:solidFill>
                </w14:textFill>
              </w:rPr>
            </w:pPr>
          </w:p>
        </w:tc>
      </w:tr>
    </w:tbl>
    <w:p w14:paraId="0E3CE29A">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注：关于项目涉及的所有售后服务机构均在本表注明，包括投标人本单位和符合条件的第三方货物机构；</w:t>
      </w:r>
    </w:p>
    <w:p w14:paraId="50CDE52B">
      <w:pPr>
        <w:spacing w:line="360" w:lineRule="auto"/>
        <w:ind w:firstLine="420" w:firstLineChars="200"/>
        <w:rPr>
          <w:rFonts w:ascii="宋体" w:hAnsi="宋体" w:eastAsia="宋体"/>
          <w:color w:val="000000" w:themeColor="text1"/>
          <w:szCs w:val="21"/>
          <w14:textFill>
            <w14:solidFill>
              <w14:schemeClr w14:val="tx1"/>
            </w14:solidFill>
          </w14:textFill>
        </w:rPr>
      </w:pPr>
    </w:p>
    <w:p w14:paraId="05DD7772">
      <w:pPr>
        <w:spacing w:line="360" w:lineRule="auto"/>
        <w:ind w:firstLine="422" w:firstLineChars="200"/>
        <w:rPr>
          <w:rFonts w:ascii="宋体" w:hAnsi="宋体" w:eastAsia="宋体"/>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附表B：售后服务人员情况表</w:t>
      </w:r>
      <w:r>
        <w:rPr>
          <w:rFonts w:hint="eastAsia" w:ascii="宋体" w:hAnsi="宋体" w:eastAsia="宋体"/>
          <w:color w:val="000000" w:themeColor="text1"/>
          <w:szCs w:val="21"/>
          <w14:textFill>
            <w14:solidFill>
              <w14:schemeClr w14:val="tx1"/>
            </w14:solidFill>
          </w14:textFill>
        </w:rPr>
        <w:t>（按此格式自制）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823"/>
        <w:gridCol w:w="823"/>
        <w:gridCol w:w="823"/>
        <w:gridCol w:w="824"/>
        <w:gridCol w:w="824"/>
        <w:gridCol w:w="824"/>
        <w:gridCol w:w="824"/>
        <w:gridCol w:w="824"/>
        <w:gridCol w:w="824"/>
        <w:gridCol w:w="824"/>
      </w:tblGrid>
      <w:tr w14:paraId="3B17C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14:paraId="1C3BF535">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序号</w:t>
            </w:r>
          </w:p>
        </w:tc>
        <w:tc>
          <w:tcPr>
            <w:tcW w:w="823" w:type="dxa"/>
            <w:vAlign w:val="center"/>
          </w:tcPr>
          <w:p w14:paraId="433AACD9">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类别</w:t>
            </w:r>
          </w:p>
        </w:tc>
        <w:tc>
          <w:tcPr>
            <w:tcW w:w="823" w:type="dxa"/>
            <w:vAlign w:val="center"/>
          </w:tcPr>
          <w:p w14:paraId="3D05DC52">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姓名</w:t>
            </w:r>
          </w:p>
        </w:tc>
        <w:tc>
          <w:tcPr>
            <w:tcW w:w="823" w:type="dxa"/>
            <w:vAlign w:val="center"/>
          </w:tcPr>
          <w:p w14:paraId="24E20750">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性别</w:t>
            </w:r>
          </w:p>
        </w:tc>
        <w:tc>
          <w:tcPr>
            <w:tcW w:w="824" w:type="dxa"/>
            <w:vAlign w:val="center"/>
          </w:tcPr>
          <w:p w14:paraId="0E3F5385">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年龄</w:t>
            </w:r>
          </w:p>
        </w:tc>
        <w:tc>
          <w:tcPr>
            <w:tcW w:w="824" w:type="dxa"/>
            <w:vAlign w:val="center"/>
          </w:tcPr>
          <w:p w14:paraId="2E73C56C">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学历</w:t>
            </w:r>
          </w:p>
        </w:tc>
        <w:tc>
          <w:tcPr>
            <w:tcW w:w="824" w:type="dxa"/>
            <w:vAlign w:val="center"/>
          </w:tcPr>
          <w:p w14:paraId="2A698B3D">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专业</w:t>
            </w:r>
          </w:p>
        </w:tc>
        <w:tc>
          <w:tcPr>
            <w:tcW w:w="824" w:type="dxa"/>
            <w:vAlign w:val="center"/>
          </w:tcPr>
          <w:p w14:paraId="2E0F762F">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职称</w:t>
            </w:r>
          </w:p>
        </w:tc>
        <w:tc>
          <w:tcPr>
            <w:tcW w:w="824" w:type="dxa"/>
            <w:vAlign w:val="center"/>
          </w:tcPr>
          <w:p w14:paraId="2235A671">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本项目中的职责</w:t>
            </w:r>
          </w:p>
        </w:tc>
        <w:tc>
          <w:tcPr>
            <w:tcW w:w="824" w:type="dxa"/>
            <w:vAlign w:val="center"/>
          </w:tcPr>
          <w:p w14:paraId="7F3F0DD2">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响应时间</w:t>
            </w:r>
          </w:p>
        </w:tc>
        <w:tc>
          <w:tcPr>
            <w:tcW w:w="824" w:type="dxa"/>
            <w:vAlign w:val="center"/>
          </w:tcPr>
          <w:p w14:paraId="31022A26">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到达现场时间</w:t>
            </w:r>
          </w:p>
        </w:tc>
      </w:tr>
      <w:tr w14:paraId="623A0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14:paraId="1B27C564">
            <w:pPr>
              <w:spacing w:line="360" w:lineRule="auto"/>
              <w:jc w:val="center"/>
              <w:rPr>
                <w:rFonts w:ascii="宋体" w:hAnsi="宋体" w:eastAsia="宋体"/>
                <w:color w:val="000000" w:themeColor="text1"/>
                <w:szCs w:val="21"/>
                <w14:textFill>
                  <w14:solidFill>
                    <w14:schemeClr w14:val="tx1"/>
                  </w14:solidFill>
                </w14:textFill>
              </w:rPr>
            </w:pPr>
          </w:p>
        </w:tc>
        <w:tc>
          <w:tcPr>
            <w:tcW w:w="823" w:type="dxa"/>
            <w:vAlign w:val="center"/>
          </w:tcPr>
          <w:p w14:paraId="5FCC5914">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总协调人</w:t>
            </w:r>
          </w:p>
        </w:tc>
        <w:tc>
          <w:tcPr>
            <w:tcW w:w="823" w:type="dxa"/>
            <w:vAlign w:val="center"/>
          </w:tcPr>
          <w:p w14:paraId="3D82469B">
            <w:pPr>
              <w:spacing w:line="360" w:lineRule="auto"/>
              <w:jc w:val="center"/>
              <w:rPr>
                <w:rFonts w:ascii="宋体" w:hAnsi="宋体" w:eastAsia="宋体"/>
                <w:color w:val="000000" w:themeColor="text1"/>
                <w:szCs w:val="21"/>
                <w14:textFill>
                  <w14:solidFill>
                    <w14:schemeClr w14:val="tx1"/>
                  </w14:solidFill>
                </w14:textFill>
              </w:rPr>
            </w:pPr>
          </w:p>
        </w:tc>
        <w:tc>
          <w:tcPr>
            <w:tcW w:w="823" w:type="dxa"/>
            <w:vAlign w:val="center"/>
          </w:tcPr>
          <w:p w14:paraId="49DB8931">
            <w:pPr>
              <w:spacing w:line="360" w:lineRule="auto"/>
              <w:jc w:val="center"/>
              <w:rPr>
                <w:rFonts w:ascii="宋体" w:hAnsi="宋体" w:eastAsia="宋体"/>
                <w:color w:val="000000" w:themeColor="text1"/>
                <w:szCs w:val="21"/>
                <w14:textFill>
                  <w14:solidFill>
                    <w14:schemeClr w14:val="tx1"/>
                  </w14:solidFill>
                </w14:textFill>
              </w:rPr>
            </w:pPr>
          </w:p>
        </w:tc>
        <w:tc>
          <w:tcPr>
            <w:tcW w:w="824" w:type="dxa"/>
            <w:vAlign w:val="center"/>
          </w:tcPr>
          <w:p w14:paraId="062AF153">
            <w:pPr>
              <w:spacing w:line="360" w:lineRule="auto"/>
              <w:jc w:val="center"/>
              <w:rPr>
                <w:rFonts w:ascii="宋体" w:hAnsi="宋体" w:eastAsia="宋体"/>
                <w:color w:val="000000" w:themeColor="text1"/>
                <w:szCs w:val="21"/>
                <w14:textFill>
                  <w14:solidFill>
                    <w14:schemeClr w14:val="tx1"/>
                  </w14:solidFill>
                </w14:textFill>
              </w:rPr>
            </w:pPr>
          </w:p>
        </w:tc>
        <w:tc>
          <w:tcPr>
            <w:tcW w:w="824" w:type="dxa"/>
            <w:vAlign w:val="center"/>
          </w:tcPr>
          <w:p w14:paraId="3878AC6F">
            <w:pPr>
              <w:spacing w:line="360" w:lineRule="auto"/>
              <w:jc w:val="center"/>
              <w:rPr>
                <w:rFonts w:ascii="宋体" w:hAnsi="宋体" w:eastAsia="宋体"/>
                <w:color w:val="000000" w:themeColor="text1"/>
                <w:szCs w:val="21"/>
                <w14:textFill>
                  <w14:solidFill>
                    <w14:schemeClr w14:val="tx1"/>
                  </w14:solidFill>
                </w14:textFill>
              </w:rPr>
            </w:pPr>
          </w:p>
        </w:tc>
        <w:tc>
          <w:tcPr>
            <w:tcW w:w="824" w:type="dxa"/>
            <w:vAlign w:val="center"/>
          </w:tcPr>
          <w:p w14:paraId="087BE968">
            <w:pPr>
              <w:spacing w:line="360" w:lineRule="auto"/>
              <w:jc w:val="center"/>
              <w:rPr>
                <w:rFonts w:ascii="宋体" w:hAnsi="宋体" w:eastAsia="宋体"/>
                <w:color w:val="000000" w:themeColor="text1"/>
                <w:szCs w:val="21"/>
                <w14:textFill>
                  <w14:solidFill>
                    <w14:schemeClr w14:val="tx1"/>
                  </w14:solidFill>
                </w14:textFill>
              </w:rPr>
            </w:pPr>
          </w:p>
        </w:tc>
        <w:tc>
          <w:tcPr>
            <w:tcW w:w="824" w:type="dxa"/>
            <w:vAlign w:val="center"/>
          </w:tcPr>
          <w:p w14:paraId="14B5EE69">
            <w:pPr>
              <w:spacing w:line="360" w:lineRule="auto"/>
              <w:jc w:val="center"/>
              <w:rPr>
                <w:rFonts w:ascii="宋体" w:hAnsi="宋体" w:eastAsia="宋体"/>
                <w:color w:val="000000" w:themeColor="text1"/>
                <w:szCs w:val="21"/>
                <w14:textFill>
                  <w14:solidFill>
                    <w14:schemeClr w14:val="tx1"/>
                  </w14:solidFill>
                </w14:textFill>
              </w:rPr>
            </w:pPr>
          </w:p>
        </w:tc>
        <w:tc>
          <w:tcPr>
            <w:tcW w:w="824" w:type="dxa"/>
            <w:vAlign w:val="center"/>
          </w:tcPr>
          <w:p w14:paraId="2287EB64">
            <w:pPr>
              <w:spacing w:line="360" w:lineRule="auto"/>
              <w:jc w:val="center"/>
              <w:rPr>
                <w:rFonts w:ascii="宋体" w:hAnsi="宋体" w:eastAsia="宋体"/>
                <w:color w:val="000000" w:themeColor="text1"/>
                <w:szCs w:val="21"/>
                <w14:textFill>
                  <w14:solidFill>
                    <w14:schemeClr w14:val="tx1"/>
                  </w14:solidFill>
                </w14:textFill>
              </w:rPr>
            </w:pPr>
          </w:p>
        </w:tc>
        <w:tc>
          <w:tcPr>
            <w:tcW w:w="824" w:type="dxa"/>
            <w:vAlign w:val="center"/>
          </w:tcPr>
          <w:p w14:paraId="535E2C7A">
            <w:pPr>
              <w:spacing w:line="360" w:lineRule="auto"/>
              <w:jc w:val="center"/>
              <w:rPr>
                <w:rFonts w:ascii="宋体" w:hAnsi="宋体" w:eastAsia="宋体"/>
                <w:color w:val="000000" w:themeColor="text1"/>
                <w:szCs w:val="21"/>
                <w14:textFill>
                  <w14:solidFill>
                    <w14:schemeClr w14:val="tx1"/>
                  </w14:solidFill>
                </w14:textFill>
              </w:rPr>
            </w:pPr>
          </w:p>
        </w:tc>
        <w:tc>
          <w:tcPr>
            <w:tcW w:w="824" w:type="dxa"/>
            <w:vAlign w:val="center"/>
          </w:tcPr>
          <w:p w14:paraId="5EDD134B">
            <w:pPr>
              <w:spacing w:line="360" w:lineRule="auto"/>
              <w:jc w:val="center"/>
              <w:rPr>
                <w:rFonts w:ascii="宋体" w:hAnsi="宋体" w:eastAsia="宋体"/>
                <w:color w:val="000000" w:themeColor="text1"/>
                <w:szCs w:val="21"/>
                <w14:textFill>
                  <w14:solidFill>
                    <w14:schemeClr w14:val="tx1"/>
                  </w14:solidFill>
                </w14:textFill>
              </w:rPr>
            </w:pPr>
          </w:p>
        </w:tc>
      </w:tr>
      <w:tr w14:paraId="6A27B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14:paraId="686A85EB">
            <w:pPr>
              <w:spacing w:line="360" w:lineRule="auto"/>
              <w:jc w:val="center"/>
              <w:rPr>
                <w:rFonts w:ascii="宋体" w:hAnsi="宋体" w:eastAsia="宋体"/>
                <w:color w:val="000000" w:themeColor="text1"/>
                <w:szCs w:val="21"/>
                <w14:textFill>
                  <w14:solidFill>
                    <w14:schemeClr w14:val="tx1"/>
                  </w14:solidFill>
                </w14:textFill>
              </w:rPr>
            </w:pPr>
          </w:p>
        </w:tc>
        <w:tc>
          <w:tcPr>
            <w:tcW w:w="823" w:type="dxa"/>
            <w:vAlign w:val="center"/>
          </w:tcPr>
          <w:p w14:paraId="59A06D00">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售后人员</w:t>
            </w:r>
          </w:p>
        </w:tc>
        <w:tc>
          <w:tcPr>
            <w:tcW w:w="823" w:type="dxa"/>
            <w:vAlign w:val="center"/>
          </w:tcPr>
          <w:p w14:paraId="7A8270AA">
            <w:pPr>
              <w:spacing w:line="360" w:lineRule="auto"/>
              <w:jc w:val="center"/>
              <w:rPr>
                <w:rFonts w:ascii="宋体" w:hAnsi="宋体" w:eastAsia="宋体"/>
                <w:color w:val="000000" w:themeColor="text1"/>
                <w:szCs w:val="21"/>
                <w14:textFill>
                  <w14:solidFill>
                    <w14:schemeClr w14:val="tx1"/>
                  </w14:solidFill>
                </w14:textFill>
              </w:rPr>
            </w:pPr>
          </w:p>
        </w:tc>
        <w:tc>
          <w:tcPr>
            <w:tcW w:w="823" w:type="dxa"/>
            <w:vAlign w:val="center"/>
          </w:tcPr>
          <w:p w14:paraId="79291786">
            <w:pPr>
              <w:spacing w:line="360" w:lineRule="auto"/>
              <w:jc w:val="center"/>
              <w:rPr>
                <w:rFonts w:ascii="宋体" w:hAnsi="宋体" w:eastAsia="宋体"/>
                <w:color w:val="000000" w:themeColor="text1"/>
                <w:szCs w:val="21"/>
                <w14:textFill>
                  <w14:solidFill>
                    <w14:schemeClr w14:val="tx1"/>
                  </w14:solidFill>
                </w14:textFill>
              </w:rPr>
            </w:pPr>
          </w:p>
        </w:tc>
        <w:tc>
          <w:tcPr>
            <w:tcW w:w="824" w:type="dxa"/>
            <w:vAlign w:val="center"/>
          </w:tcPr>
          <w:p w14:paraId="387873EE">
            <w:pPr>
              <w:spacing w:line="360" w:lineRule="auto"/>
              <w:jc w:val="center"/>
              <w:rPr>
                <w:rFonts w:ascii="宋体" w:hAnsi="宋体" w:eastAsia="宋体"/>
                <w:color w:val="000000" w:themeColor="text1"/>
                <w:szCs w:val="21"/>
                <w14:textFill>
                  <w14:solidFill>
                    <w14:schemeClr w14:val="tx1"/>
                  </w14:solidFill>
                </w14:textFill>
              </w:rPr>
            </w:pPr>
          </w:p>
        </w:tc>
        <w:tc>
          <w:tcPr>
            <w:tcW w:w="824" w:type="dxa"/>
            <w:vAlign w:val="center"/>
          </w:tcPr>
          <w:p w14:paraId="00043BDE">
            <w:pPr>
              <w:spacing w:line="360" w:lineRule="auto"/>
              <w:jc w:val="center"/>
              <w:rPr>
                <w:rFonts w:ascii="宋体" w:hAnsi="宋体" w:eastAsia="宋体"/>
                <w:color w:val="000000" w:themeColor="text1"/>
                <w:szCs w:val="21"/>
                <w14:textFill>
                  <w14:solidFill>
                    <w14:schemeClr w14:val="tx1"/>
                  </w14:solidFill>
                </w14:textFill>
              </w:rPr>
            </w:pPr>
          </w:p>
        </w:tc>
        <w:tc>
          <w:tcPr>
            <w:tcW w:w="824" w:type="dxa"/>
            <w:vAlign w:val="center"/>
          </w:tcPr>
          <w:p w14:paraId="3D797549">
            <w:pPr>
              <w:spacing w:line="360" w:lineRule="auto"/>
              <w:jc w:val="center"/>
              <w:rPr>
                <w:rFonts w:ascii="宋体" w:hAnsi="宋体" w:eastAsia="宋体"/>
                <w:color w:val="000000" w:themeColor="text1"/>
                <w:szCs w:val="21"/>
                <w14:textFill>
                  <w14:solidFill>
                    <w14:schemeClr w14:val="tx1"/>
                  </w14:solidFill>
                </w14:textFill>
              </w:rPr>
            </w:pPr>
          </w:p>
        </w:tc>
        <w:tc>
          <w:tcPr>
            <w:tcW w:w="824" w:type="dxa"/>
            <w:vAlign w:val="center"/>
          </w:tcPr>
          <w:p w14:paraId="77954FDA">
            <w:pPr>
              <w:spacing w:line="360" w:lineRule="auto"/>
              <w:jc w:val="center"/>
              <w:rPr>
                <w:rFonts w:ascii="宋体" w:hAnsi="宋体" w:eastAsia="宋体"/>
                <w:color w:val="000000" w:themeColor="text1"/>
                <w:szCs w:val="21"/>
                <w14:textFill>
                  <w14:solidFill>
                    <w14:schemeClr w14:val="tx1"/>
                  </w14:solidFill>
                </w14:textFill>
              </w:rPr>
            </w:pPr>
          </w:p>
        </w:tc>
        <w:tc>
          <w:tcPr>
            <w:tcW w:w="824" w:type="dxa"/>
            <w:vAlign w:val="center"/>
          </w:tcPr>
          <w:p w14:paraId="36256032">
            <w:pPr>
              <w:spacing w:line="360" w:lineRule="auto"/>
              <w:jc w:val="center"/>
              <w:rPr>
                <w:rFonts w:ascii="宋体" w:hAnsi="宋体" w:eastAsia="宋体"/>
                <w:color w:val="000000" w:themeColor="text1"/>
                <w:szCs w:val="21"/>
                <w14:textFill>
                  <w14:solidFill>
                    <w14:schemeClr w14:val="tx1"/>
                  </w14:solidFill>
                </w14:textFill>
              </w:rPr>
            </w:pPr>
          </w:p>
        </w:tc>
        <w:tc>
          <w:tcPr>
            <w:tcW w:w="824" w:type="dxa"/>
            <w:vAlign w:val="center"/>
          </w:tcPr>
          <w:p w14:paraId="52E83DB2">
            <w:pPr>
              <w:spacing w:line="360" w:lineRule="auto"/>
              <w:jc w:val="center"/>
              <w:rPr>
                <w:rFonts w:ascii="宋体" w:hAnsi="宋体" w:eastAsia="宋体"/>
                <w:color w:val="000000" w:themeColor="text1"/>
                <w:szCs w:val="21"/>
                <w14:textFill>
                  <w14:solidFill>
                    <w14:schemeClr w14:val="tx1"/>
                  </w14:solidFill>
                </w14:textFill>
              </w:rPr>
            </w:pPr>
          </w:p>
        </w:tc>
        <w:tc>
          <w:tcPr>
            <w:tcW w:w="824" w:type="dxa"/>
            <w:vAlign w:val="center"/>
          </w:tcPr>
          <w:p w14:paraId="3293C635">
            <w:pPr>
              <w:spacing w:line="360" w:lineRule="auto"/>
              <w:jc w:val="center"/>
              <w:rPr>
                <w:rFonts w:ascii="宋体" w:hAnsi="宋体" w:eastAsia="宋体"/>
                <w:color w:val="000000" w:themeColor="text1"/>
                <w:szCs w:val="21"/>
                <w14:textFill>
                  <w14:solidFill>
                    <w14:schemeClr w14:val="tx1"/>
                  </w14:solidFill>
                </w14:textFill>
              </w:rPr>
            </w:pPr>
          </w:p>
        </w:tc>
      </w:tr>
      <w:tr w14:paraId="47624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14:paraId="0FF1EB08">
            <w:pPr>
              <w:spacing w:line="360" w:lineRule="auto"/>
              <w:jc w:val="center"/>
              <w:rPr>
                <w:rFonts w:ascii="宋体" w:hAnsi="宋体" w:eastAsia="宋体"/>
                <w:color w:val="000000" w:themeColor="text1"/>
                <w:szCs w:val="21"/>
                <w14:textFill>
                  <w14:solidFill>
                    <w14:schemeClr w14:val="tx1"/>
                  </w14:solidFill>
                </w14:textFill>
              </w:rPr>
            </w:pPr>
          </w:p>
        </w:tc>
        <w:tc>
          <w:tcPr>
            <w:tcW w:w="823" w:type="dxa"/>
            <w:vAlign w:val="center"/>
          </w:tcPr>
          <w:p w14:paraId="4ED25E8F">
            <w:pPr>
              <w:spacing w:line="360" w:lineRule="auto"/>
              <w:jc w:val="center"/>
              <w:rPr>
                <w:rFonts w:ascii="宋体" w:hAnsi="宋体" w:eastAsia="宋体"/>
                <w:color w:val="000000" w:themeColor="text1"/>
                <w:szCs w:val="21"/>
                <w14:textFill>
                  <w14:solidFill>
                    <w14:schemeClr w14:val="tx1"/>
                  </w14:solidFill>
                </w14:textFill>
              </w:rPr>
            </w:pPr>
          </w:p>
        </w:tc>
        <w:tc>
          <w:tcPr>
            <w:tcW w:w="823" w:type="dxa"/>
            <w:vAlign w:val="center"/>
          </w:tcPr>
          <w:p w14:paraId="778266D1">
            <w:pPr>
              <w:spacing w:line="360" w:lineRule="auto"/>
              <w:jc w:val="center"/>
              <w:rPr>
                <w:rFonts w:ascii="宋体" w:hAnsi="宋体" w:eastAsia="宋体"/>
                <w:color w:val="000000" w:themeColor="text1"/>
                <w:szCs w:val="21"/>
                <w14:textFill>
                  <w14:solidFill>
                    <w14:schemeClr w14:val="tx1"/>
                  </w14:solidFill>
                </w14:textFill>
              </w:rPr>
            </w:pPr>
          </w:p>
        </w:tc>
        <w:tc>
          <w:tcPr>
            <w:tcW w:w="823" w:type="dxa"/>
            <w:vAlign w:val="center"/>
          </w:tcPr>
          <w:p w14:paraId="60AF5C15">
            <w:pPr>
              <w:spacing w:line="360" w:lineRule="auto"/>
              <w:jc w:val="center"/>
              <w:rPr>
                <w:rFonts w:ascii="宋体" w:hAnsi="宋体" w:eastAsia="宋体"/>
                <w:color w:val="000000" w:themeColor="text1"/>
                <w:szCs w:val="21"/>
                <w14:textFill>
                  <w14:solidFill>
                    <w14:schemeClr w14:val="tx1"/>
                  </w14:solidFill>
                </w14:textFill>
              </w:rPr>
            </w:pPr>
          </w:p>
        </w:tc>
        <w:tc>
          <w:tcPr>
            <w:tcW w:w="824" w:type="dxa"/>
            <w:vAlign w:val="center"/>
          </w:tcPr>
          <w:p w14:paraId="426C6AB8">
            <w:pPr>
              <w:spacing w:line="360" w:lineRule="auto"/>
              <w:jc w:val="center"/>
              <w:rPr>
                <w:rFonts w:ascii="宋体" w:hAnsi="宋体" w:eastAsia="宋体"/>
                <w:color w:val="000000" w:themeColor="text1"/>
                <w:szCs w:val="21"/>
                <w14:textFill>
                  <w14:solidFill>
                    <w14:schemeClr w14:val="tx1"/>
                  </w14:solidFill>
                </w14:textFill>
              </w:rPr>
            </w:pPr>
          </w:p>
        </w:tc>
        <w:tc>
          <w:tcPr>
            <w:tcW w:w="824" w:type="dxa"/>
            <w:vAlign w:val="center"/>
          </w:tcPr>
          <w:p w14:paraId="5446ED8F">
            <w:pPr>
              <w:spacing w:line="360" w:lineRule="auto"/>
              <w:jc w:val="center"/>
              <w:rPr>
                <w:rFonts w:ascii="宋体" w:hAnsi="宋体" w:eastAsia="宋体"/>
                <w:color w:val="000000" w:themeColor="text1"/>
                <w:szCs w:val="21"/>
                <w14:textFill>
                  <w14:solidFill>
                    <w14:schemeClr w14:val="tx1"/>
                  </w14:solidFill>
                </w14:textFill>
              </w:rPr>
            </w:pPr>
          </w:p>
        </w:tc>
        <w:tc>
          <w:tcPr>
            <w:tcW w:w="824" w:type="dxa"/>
            <w:vAlign w:val="center"/>
          </w:tcPr>
          <w:p w14:paraId="40146330">
            <w:pPr>
              <w:spacing w:line="360" w:lineRule="auto"/>
              <w:jc w:val="center"/>
              <w:rPr>
                <w:rFonts w:ascii="宋体" w:hAnsi="宋体" w:eastAsia="宋体"/>
                <w:color w:val="000000" w:themeColor="text1"/>
                <w:szCs w:val="21"/>
                <w14:textFill>
                  <w14:solidFill>
                    <w14:schemeClr w14:val="tx1"/>
                  </w14:solidFill>
                </w14:textFill>
              </w:rPr>
            </w:pPr>
          </w:p>
        </w:tc>
        <w:tc>
          <w:tcPr>
            <w:tcW w:w="824" w:type="dxa"/>
            <w:vAlign w:val="center"/>
          </w:tcPr>
          <w:p w14:paraId="692DF2EA">
            <w:pPr>
              <w:spacing w:line="360" w:lineRule="auto"/>
              <w:jc w:val="center"/>
              <w:rPr>
                <w:rFonts w:ascii="宋体" w:hAnsi="宋体" w:eastAsia="宋体"/>
                <w:color w:val="000000" w:themeColor="text1"/>
                <w:szCs w:val="21"/>
                <w14:textFill>
                  <w14:solidFill>
                    <w14:schemeClr w14:val="tx1"/>
                  </w14:solidFill>
                </w14:textFill>
              </w:rPr>
            </w:pPr>
          </w:p>
        </w:tc>
        <w:tc>
          <w:tcPr>
            <w:tcW w:w="824" w:type="dxa"/>
            <w:vAlign w:val="center"/>
          </w:tcPr>
          <w:p w14:paraId="22CCE9FB">
            <w:pPr>
              <w:spacing w:line="360" w:lineRule="auto"/>
              <w:jc w:val="center"/>
              <w:rPr>
                <w:rFonts w:ascii="宋体" w:hAnsi="宋体" w:eastAsia="宋体"/>
                <w:color w:val="000000" w:themeColor="text1"/>
                <w:szCs w:val="21"/>
                <w14:textFill>
                  <w14:solidFill>
                    <w14:schemeClr w14:val="tx1"/>
                  </w14:solidFill>
                </w14:textFill>
              </w:rPr>
            </w:pPr>
          </w:p>
        </w:tc>
        <w:tc>
          <w:tcPr>
            <w:tcW w:w="824" w:type="dxa"/>
            <w:vAlign w:val="center"/>
          </w:tcPr>
          <w:p w14:paraId="2A38F609">
            <w:pPr>
              <w:spacing w:line="360" w:lineRule="auto"/>
              <w:jc w:val="center"/>
              <w:rPr>
                <w:rFonts w:ascii="宋体" w:hAnsi="宋体" w:eastAsia="宋体"/>
                <w:color w:val="000000" w:themeColor="text1"/>
                <w:szCs w:val="21"/>
                <w14:textFill>
                  <w14:solidFill>
                    <w14:schemeClr w14:val="tx1"/>
                  </w14:solidFill>
                </w14:textFill>
              </w:rPr>
            </w:pPr>
          </w:p>
        </w:tc>
        <w:tc>
          <w:tcPr>
            <w:tcW w:w="824" w:type="dxa"/>
            <w:vAlign w:val="center"/>
          </w:tcPr>
          <w:p w14:paraId="6643856B">
            <w:pPr>
              <w:spacing w:line="360" w:lineRule="auto"/>
              <w:jc w:val="center"/>
              <w:rPr>
                <w:rFonts w:ascii="宋体" w:hAnsi="宋体" w:eastAsia="宋体"/>
                <w:color w:val="000000" w:themeColor="text1"/>
                <w:szCs w:val="21"/>
                <w14:textFill>
                  <w14:solidFill>
                    <w14:schemeClr w14:val="tx1"/>
                  </w14:solidFill>
                </w14:textFill>
              </w:rPr>
            </w:pPr>
          </w:p>
        </w:tc>
      </w:tr>
      <w:tr w14:paraId="0B95A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14:paraId="1FFEA0EB">
            <w:pPr>
              <w:spacing w:line="360" w:lineRule="auto"/>
              <w:jc w:val="center"/>
              <w:rPr>
                <w:rFonts w:ascii="宋体" w:hAnsi="宋体" w:eastAsia="宋体"/>
                <w:color w:val="000000" w:themeColor="text1"/>
                <w:szCs w:val="21"/>
                <w14:textFill>
                  <w14:solidFill>
                    <w14:schemeClr w14:val="tx1"/>
                  </w14:solidFill>
                </w14:textFill>
              </w:rPr>
            </w:pPr>
          </w:p>
        </w:tc>
        <w:tc>
          <w:tcPr>
            <w:tcW w:w="823" w:type="dxa"/>
            <w:vAlign w:val="center"/>
          </w:tcPr>
          <w:p w14:paraId="06701185">
            <w:pPr>
              <w:spacing w:line="360" w:lineRule="auto"/>
              <w:jc w:val="center"/>
              <w:rPr>
                <w:rFonts w:ascii="宋体" w:hAnsi="宋体" w:eastAsia="宋体"/>
                <w:color w:val="000000" w:themeColor="text1"/>
                <w:szCs w:val="21"/>
                <w14:textFill>
                  <w14:solidFill>
                    <w14:schemeClr w14:val="tx1"/>
                  </w14:solidFill>
                </w14:textFill>
              </w:rPr>
            </w:pPr>
          </w:p>
        </w:tc>
        <w:tc>
          <w:tcPr>
            <w:tcW w:w="823" w:type="dxa"/>
            <w:vAlign w:val="center"/>
          </w:tcPr>
          <w:p w14:paraId="145CCCFF">
            <w:pPr>
              <w:spacing w:line="360" w:lineRule="auto"/>
              <w:jc w:val="center"/>
              <w:rPr>
                <w:rFonts w:ascii="宋体" w:hAnsi="宋体" w:eastAsia="宋体"/>
                <w:color w:val="000000" w:themeColor="text1"/>
                <w:szCs w:val="21"/>
                <w14:textFill>
                  <w14:solidFill>
                    <w14:schemeClr w14:val="tx1"/>
                  </w14:solidFill>
                </w14:textFill>
              </w:rPr>
            </w:pPr>
          </w:p>
        </w:tc>
        <w:tc>
          <w:tcPr>
            <w:tcW w:w="823" w:type="dxa"/>
            <w:vAlign w:val="center"/>
          </w:tcPr>
          <w:p w14:paraId="47311686">
            <w:pPr>
              <w:spacing w:line="360" w:lineRule="auto"/>
              <w:jc w:val="center"/>
              <w:rPr>
                <w:rFonts w:ascii="宋体" w:hAnsi="宋体" w:eastAsia="宋体"/>
                <w:color w:val="000000" w:themeColor="text1"/>
                <w:szCs w:val="21"/>
                <w14:textFill>
                  <w14:solidFill>
                    <w14:schemeClr w14:val="tx1"/>
                  </w14:solidFill>
                </w14:textFill>
              </w:rPr>
            </w:pPr>
          </w:p>
        </w:tc>
        <w:tc>
          <w:tcPr>
            <w:tcW w:w="824" w:type="dxa"/>
            <w:vAlign w:val="center"/>
          </w:tcPr>
          <w:p w14:paraId="4139DBE3">
            <w:pPr>
              <w:spacing w:line="360" w:lineRule="auto"/>
              <w:jc w:val="center"/>
              <w:rPr>
                <w:rFonts w:ascii="宋体" w:hAnsi="宋体" w:eastAsia="宋体"/>
                <w:color w:val="000000" w:themeColor="text1"/>
                <w:szCs w:val="21"/>
                <w14:textFill>
                  <w14:solidFill>
                    <w14:schemeClr w14:val="tx1"/>
                  </w14:solidFill>
                </w14:textFill>
              </w:rPr>
            </w:pPr>
          </w:p>
        </w:tc>
        <w:tc>
          <w:tcPr>
            <w:tcW w:w="824" w:type="dxa"/>
            <w:vAlign w:val="center"/>
          </w:tcPr>
          <w:p w14:paraId="63B558B2">
            <w:pPr>
              <w:spacing w:line="360" w:lineRule="auto"/>
              <w:jc w:val="center"/>
              <w:rPr>
                <w:rFonts w:ascii="宋体" w:hAnsi="宋体" w:eastAsia="宋体"/>
                <w:color w:val="000000" w:themeColor="text1"/>
                <w:szCs w:val="21"/>
                <w14:textFill>
                  <w14:solidFill>
                    <w14:schemeClr w14:val="tx1"/>
                  </w14:solidFill>
                </w14:textFill>
              </w:rPr>
            </w:pPr>
          </w:p>
        </w:tc>
        <w:tc>
          <w:tcPr>
            <w:tcW w:w="824" w:type="dxa"/>
            <w:vAlign w:val="center"/>
          </w:tcPr>
          <w:p w14:paraId="3F189E93">
            <w:pPr>
              <w:spacing w:line="360" w:lineRule="auto"/>
              <w:jc w:val="center"/>
              <w:rPr>
                <w:rFonts w:ascii="宋体" w:hAnsi="宋体" w:eastAsia="宋体"/>
                <w:color w:val="000000" w:themeColor="text1"/>
                <w:szCs w:val="21"/>
                <w14:textFill>
                  <w14:solidFill>
                    <w14:schemeClr w14:val="tx1"/>
                  </w14:solidFill>
                </w14:textFill>
              </w:rPr>
            </w:pPr>
          </w:p>
        </w:tc>
        <w:tc>
          <w:tcPr>
            <w:tcW w:w="824" w:type="dxa"/>
            <w:vAlign w:val="center"/>
          </w:tcPr>
          <w:p w14:paraId="2E88352F">
            <w:pPr>
              <w:spacing w:line="360" w:lineRule="auto"/>
              <w:jc w:val="center"/>
              <w:rPr>
                <w:rFonts w:ascii="宋体" w:hAnsi="宋体" w:eastAsia="宋体"/>
                <w:color w:val="000000" w:themeColor="text1"/>
                <w:szCs w:val="21"/>
                <w14:textFill>
                  <w14:solidFill>
                    <w14:schemeClr w14:val="tx1"/>
                  </w14:solidFill>
                </w14:textFill>
              </w:rPr>
            </w:pPr>
          </w:p>
        </w:tc>
        <w:tc>
          <w:tcPr>
            <w:tcW w:w="824" w:type="dxa"/>
            <w:vAlign w:val="center"/>
          </w:tcPr>
          <w:p w14:paraId="3A6D265D">
            <w:pPr>
              <w:spacing w:line="360" w:lineRule="auto"/>
              <w:jc w:val="center"/>
              <w:rPr>
                <w:rFonts w:ascii="宋体" w:hAnsi="宋体" w:eastAsia="宋体"/>
                <w:color w:val="000000" w:themeColor="text1"/>
                <w:szCs w:val="21"/>
                <w14:textFill>
                  <w14:solidFill>
                    <w14:schemeClr w14:val="tx1"/>
                  </w14:solidFill>
                </w14:textFill>
              </w:rPr>
            </w:pPr>
          </w:p>
        </w:tc>
        <w:tc>
          <w:tcPr>
            <w:tcW w:w="824" w:type="dxa"/>
            <w:vAlign w:val="center"/>
          </w:tcPr>
          <w:p w14:paraId="086592E8">
            <w:pPr>
              <w:spacing w:line="360" w:lineRule="auto"/>
              <w:jc w:val="center"/>
              <w:rPr>
                <w:rFonts w:ascii="宋体" w:hAnsi="宋体" w:eastAsia="宋体"/>
                <w:color w:val="000000" w:themeColor="text1"/>
                <w:szCs w:val="21"/>
                <w14:textFill>
                  <w14:solidFill>
                    <w14:schemeClr w14:val="tx1"/>
                  </w14:solidFill>
                </w14:textFill>
              </w:rPr>
            </w:pPr>
          </w:p>
        </w:tc>
        <w:tc>
          <w:tcPr>
            <w:tcW w:w="824" w:type="dxa"/>
            <w:vAlign w:val="center"/>
          </w:tcPr>
          <w:p w14:paraId="3BC18EF2">
            <w:pPr>
              <w:spacing w:line="360" w:lineRule="auto"/>
              <w:jc w:val="center"/>
              <w:rPr>
                <w:rFonts w:ascii="宋体" w:hAnsi="宋体" w:eastAsia="宋体"/>
                <w:color w:val="000000" w:themeColor="text1"/>
                <w:szCs w:val="21"/>
                <w14:textFill>
                  <w14:solidFill>
                    <w14:schemeClr w14:val="tx1"/>
                  </w14:solidFill>
                </w14:textFill>
              </w:rPr>
            </w:pPr>
          </w:p>
        </w:tc>
      </w:tr>
    </w:tbl>
    <w:p w14:paraId="07B674F4">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（七）其他（根据采购需求内容由投标人自行决定是否还有其他内容）</w:t>
      </w:r>
    </w:p>
    <w:p w14:paraId="7DB17813">
      <w:pPr>
        <w:spacing w:line="360" w:lineRule="auto"/>
        <w:ind w:firstLine="420" w:firstLineChars="200"/>
        <w:rPr>
          <w:rFonts w:ascii="宋体" w:hAnsi="宋体" w:eastAsia="宋体"/>
          <w:color w:val="000000" w:themeColor="text1"/>
          <w:szCs w:val="21"/>
          <w14:textFill>
            <w14:solidFill>
              <w14:schemeClr w14:val="tx1"/>
            </w14:solidFill>
          </w14:textFill>
        </w:rPr>
      </w:pPr>
    </w:p>
    <w:p w14:paraId="1C585D07">
      <w:pPr>
        <w:spacing w:line="360" w:lineRule="auto"/>
        <w:ind w:firstLine="5040" w:firstLineChars="24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投标人名称（电子签章）：</w:t>
      </w:r>
    </w:p>
    <w:p w14:paraId="04F58D38">
      <w:pPr>
        <w:spacing w:line="360" w:lineRule="auto"/>
        <w:ind w:firstLine="5040" w:firstLineChars="24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年</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月</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日</w:t>
      </w:r>
    </w:p>
    <w:p w14:paraId="5B374F3F">
      <w:pPr>
        <w:spacing w:line="360" w:lineRule="auto"/>
        <w:ind w:firstLine="420" w:firstLineChars="200"/>
        <w:rPr>
          <w:rFonts w:ascii="宋体" w:hAnsi="宋体" w:eastAsia="宋体"/>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73E7FCAD">
      <w:pPr>
        <w:pStyle w:val="3"/>
        <w:jc w:val="center"/>
        <w:rPr>
          <w:rFonts w:ascii="宋体" w:hAnsi="宋体" w:eastAsia="宋体"/>
          <w:color w:val="000000" w:themeColor="text1"/>
          <w:sz w:val="30"/>
          <w:szCs w:val="30"/>
          <w14:textFill>
            <w14:solidFill>
              <w14:schemeClr w14:val="tx1"/>
            </w14:solidFill>
          </w14:textFill>
        </w:rPr>
      </w:pPr>
      <w:bookmarkStart w:id="29" w:name="_Toc198316084"/>
      <w:r>
        <w:rPr>
          <w:rFonts w:hint="eastAsia" w:ascii="宋体" w:hAnsi="宋体" w:eastAsia="宋体"/>
          <w:color w:val="000000" w:themeColor="text1"/>
          <w:sz w:val="30"/>
          <w:szCs w:val="30"/>
          <w14:textFill>
            <w14:solidFill>
              <w14:schemeClr w14:val="tx1"/>
            </w14:solidFill>
          </w14:textFill>
        </w:rPr>
        <w:t>第五</w:t>
      </w:r>
      <w:r>
        <w:rPr>
          <w:rFonts w:hint="eastAsia" w:ascii="宋体" w:hAnsi="宋体" w:eastAsia="宋体"/>
          <w:color w:val="000000" w:themeColor="text1"/>
          <w:spacing w:val="120"/>
          <w:sz w:val="30"/>
          <w:szCs w:val="30"/>
          <w14:textFill>
            <w14:solidFill>
              <w14:schemeClr w14:val="tx1"/>
            </w14:solidFill>
          </w14:textFill>
        </w:rPr>
        <w:t>节</w:t>
      </w:r>
      <w:r>
        <w:rPr>
          <w:rFonts w:hint="eastAsia" w:ascii="宋体" w:hAnsi="宋体" w:eastAsia="宋体"/>
          <w:color w:val="000000" w:themeColor="text1"/>
          <w:sz w:val="30"/>
          <w:szCs w:val="30"/>
          <w14:textFill>
            <w14:solidFill>
              <w14:schemeClr w14:val="tx1"/>
            </w14:solidFill>
          </w14:textFill>
        </w:rPr>
        <w:t>报价文件格式</w:t>
      </w:r>
      <w:bookmarkEnd w:id="29"/>
    </w:p>
    <w:p w14:paraId="25D55C0E">
      <w:pPr>
        <w:spacing w:line="360" w:lineRule="auto"/>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电子投标文件</w:t>
      </w:r>
    </w:p>
    <w:p w14:paraId="05394B73">
      <w:pPr>
        <w:spacing w:line="360" w:lineRule="auto"/>
        <w:ind w:firstLine="420" w:firstLineChars="200"/>
        <w:rPr>
          <w:rFonts w:ascii="宋体" w:hAnsi="宋体" w:eastAsia="宋体"/>
          <w:color w:val="000000" w:themeColor="text1"/>
          <w:szCs w:val="21"/>
          <w14:textFill>
            <w14:solidFill>
              <w14:schemeClr w14:val="tx1"/>
            </w14:solidFill>
          </w14:textFill>
        </w:rPr>
      </w:pPr>
    </w:p>
    <w:p w14:paraId="02101D66">
      <w:pPr>
        <w:spacing w:line="360" w:lineRule="auto"/>
        <w:jc w:val="center"/>
        <w:rPr>
          <w:rFonts w:ascii="宋体" w:hAnsi="宋体" w:eastAsia="宋体"/>
          <w:b/>
          <w:color w:val="000000" w:themeColor="text1"/>
          <w:sz w:val="32"/>
          <w:szCs w:val="32"/>
          <w14:textFill>
            <w14:solidFill>
              <w14:schemeClr w14:val="tx1"/>
            </w14:solidFill>
          </w14:textFill>
        </w:rPr>
      </w:pPr>
      <w:r>
        <w:rPr>
          <w:rFonts w:hint="eastAsia" w:ascii="宋体" w:hAnsi="宋体" w:eastAsia="宋体"/>
          <w:b/>
          <w:color w:val="000000" w:themeColor="text1"/>
          <w:sz w:val="32"/>
          <w:szCs w:val="32"/>
          <w14:textFill>
            <w14:solidFill>
              <w14:schemeClr w14:val="tx1"/>
            </w14:solidFill>
          </w14:textFill>
        </w:rPr>
        <w:t>报价文件（封面）</w:t>
      </w:r>
    </w:p>
    <w:p w14:paraId="3F448262">
      <w:pPr>
        <w:spacing w:line="360" w:lineRule="auto"/>
        <w:ind w:firstLine="420" w:firstLineChars="200"/>
        <w:rPr>
          <w:rFonts w:ascii="宋体" w:hAnsi="宋体" w:eastAsia="宋体"/>
          <w:color w:val="000000" w:themeColor="text1"/>
          <w:szCs w:val="21"/>
          <w14:textFill>
            <w14:solidFill>
              <w14:schemeClr w14:val="tx1"/>
            </w14:solidFill>
          </w14:textFill>
        </w:rPr>
      </w:pPr>
    </w:p>
    <w:p w14:paraId="424AC983">
      <w:pPr>
        <w:spacing w:line="360" w:lineRule="auto"/>
        <w:ind w:firstLine="420" w:firstLineChars="200"/>
        <w:rPr>
          <w:rFonts w:ascii="宋体" w:hAnsi="宋体" w:eastAsia="宋体"/>
          <w:color w:val="000000" w:themeColor="text1"/>
          <w:szCs w:val="21"/>
          <w14:textFill>
            <w14:solidFill>
              <w14:schemeClr w14:val="tx1"/>
            </w14:solidFill>
          </w14:textFill>
        </w:rPr>
      </w:pPr>
    </w:p>
    <w:p w14:paraId="4A218440">
      <w:pPr>
        <w:spacing w:line="360" w:lineRule="auto"/>
        <w:ind w:firstLine="420" w:firstLineChars="200"/>
        <w:rPr>
          <w:rFonts w:ascii="宋体" w:hAnsi="宋体" w:eastAsia="宋体"/>
          <w:color w:val="000000" w:themeColor="text1"/>
          <w:szCs w:val="21"/>
          <w14:textFill>
            <w14:solidFill>
              <w14:schemeClr w14:val="tx1"/>
            </w14:solidFill>
          </w14:textFill>
        </w:rPr>
      </w:pPr>
    </w:p>
    <w:p w14:paraId="02DB670B">
      <w:pPr>
        <w:spacing w:line="360" w:lineRule="auto"/>
        <w:ind w:firstLine="420" w:firstLineChars="200"/>
        <w:rPr>
          <w:rFonts w:ascii="宋体" w:hAnsi="宋体" w:eastAsia="宋体"/>
          <w:color w:val="000000" w:themeColor="text1"/>
          <w:szCs w:val="21"/>
          <w14:textFill>
            <w14:solidFill>
              <w14:schemeClr w14:val="tx1"/>
            </w14:solidFill>
          </w14:textFill>
        </w:rPr>
      </w:pPr>
    </w:p>
    <w:p w14:paraId="360CB1A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项目名称：</w:t>
      </w:r>
    </w:p>
    <w:p w14:paraId="2008A818">
      <w:pPr>
        <w:spacing w:line="360" w:lineRule="auto"/>
        <w:ind w:firstLine="420" w:firstLineChars="200"/>
        <w:rPr>
          <w:rFonts w:ascii="宋体" w:hAnsi="宋体" w:eastAsia="宋体"/>
          <w:color w:val="000000" w:themeColor="text1"/>
          <w:szCs w:val="21"/>
          <w14:textFill>
            <w14:solidFill>
              <w14:schemeClr w14:val="tx1"/>
            </w14:solidFill>
          </w14:textFill>
        </w:rPr>
      </w:pPr>
    </w:p>
    <w:p w14:paraId="0725695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项目编号：</w:t>
      </w:r>
    </w:p>
    <w:p w14:paraId="41466F5E">
      <w:pPr>
        <w:spacing w:line="360" w:lineRule="auto"/>
        <w:ind w:firstLine="420" w:firstLineChars="200"/>
        <w:rPr>
          <w:rFonts w:ascii="宋体" w:hAnsi="宋体" w:eastAsia="宋体"/>
          <w:color w:val="000000" w:themeColor="text1"/>
          <w:szCs w:val="21"/>
          <w14:textFill>
            <w14:solidFill>
              <w14:schemeClr w14:val="tx1"/>
            </w14:solidFill>
          </w14:textFill>
        </w:rPr>
      </w:pPr>
    </w:p>
    <w:p w14:paraId="462B374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所投分标：</w:t>
      </w:r>
    </w:p>
    <w:p w14:paraId="02F549C3">
      <w:pPr>
        <w:spacing w:line="360" w:lineRule="auto"/>
        <w:ind w:firstLine="420" w:firstLineChars="200"/>
        <w:rPr>
          <w:rFonts w:ascii="宋体" w:hAnsi="宋体" w:eastAsia="宋体"/>
          <w:color w:val="000000" w:themeColor="text1"/>
          <w:szCs w:val="21"/>
          <w14:textFill>
            <w14:solidFill>
              <w14:schemeClr w14:val="tx1"/>
            </w14:solidFill>
          </w14:textFill>
        </w:rPr>
      </w:pPr>
    </w:p>
    <w:p w14:paraId="171B679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投标人名称：</w:t>
      </w:r>
    </w:p>
    <w:p w14:paraId="116152EA">
      <w:pPr>
        <w:spacing w:line="360" w:lineRule="auto"/>
        <w:ind w:firstLine="420" w:firstLineChars="200"/>
        <w:rPr>
          <w:rFonts w:ascii="宋体" w:hAnsi="宋体" w:eastAsia="宋体"/>
          <w:color w:val="000000" w:themeColor="text1"/>
          <w:szCs w:val="21"/>
          <w14:textFill>
            <w14:solidFill>
              <w14:schemeClr w14:val="tx1"/>
            </w14:solidFill>
          </w14:textFill>
        </w:rPr>
      </w:pPr>
    </w:p>
    <w:p w14:paraId="5DB6A3B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投标人地址：</w:t>
      </w:r>
    </w:p>
    <w:p w14:paraId="42B2781F">
      <w:pPr>
        <w:spacing w:line="360" w:lineRule="auto"/>
        <w:ind w:firstLine="420" w:firstLineChars="200"/>
        <w:rPr>
          <w:rFonts w:ascii="宋体" w:hAnsi="宋体" w:eastAsia="宋体"/>
          <w:color w:val="000000" w:themeColor="text1"/>
          <w:szCs w:val="21"/>
          <w14:textFill>
            <w14:solidFill>
              <w14:schemeClr w14:val="tx1"/>
            </w14:solidFill>
          </w14:textFill>
        </w:rPr>
      </w:pPr>
    </w:p>
    <w:p w14:paraId="53B7074A">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年</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月</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日</w:t>
      </w:r>
    </w:p>
    <w:p w14:paraId="2F9F8D68">
      <w:pPr>
        <w:spacing w:line="360" w:lineRule="auto"/>
        <w:jc w:val="center"/>
        <w:rPr>
          <w:rFonts w:ascii="宋体" w:hAnsi="宋体" w:eastAsia="宋体"/>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17009B5C">
      <w:pPr>
        <w:spacing w:line="360" w:lineRule="auto"/>
        <w:jc w:val="center"/>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报价文件目录</w:t>
      </w:r>
    </w:p>
    <w:p w14:paraId="0D54E454">
      <w:pPr>
        <w:spacing w:line="360" w:lineRule="auto"/>
        <w:rPr>
          <w:rFonts w:ascii="宋体" w:hAnsi="宋体" w:eastAsia="宋体"/>
          <w:color w:val="000000" w:themeColor="text1"/>
          <w:szCs w:val="21"/>
          <w14:textFill>
            <w14:solidFill>
              <w14:schemeClr w14:val="tx1"/>
            </w14:solidFill>
          </w14:textFill>
        </w:rPr>
      </w:pPr>
    </w:p>
    <w:p w14:paraId="0CC81E12">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一、投标函…………………………………………………………………………………………（页码）</w:t>
      </w:r>
    </w:p>
    <w:p w14:paraId="74364AD0">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二、开标一览表……………………………………………………………………………………（页码）</w:t>
      </w:r>
    </w:p>
    <w:p w14:paraId="459E381C">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三、中小企业声明函………………………………………………………………………………（页码）</w:t>
      </w:r>
    </w:p>
    <w:p w14:paraId="112A91EB">
      <w:pPr>
        <w:spacing w:line="360" w:lineRule="auto"/>
        <w:ind w:firstLine="420" w:firstLineChars="200"/>
        <w:rPr>
          <w:rFonts w:ascii="宋体" w:hAnsi="宋体" w:eastAsia="宋体"/>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292C942D">
      <w:pPr>
        <w:spacing w:line="360" w:lineRule="auto"/>
        <w:jc w:val="center"/>
        <w:rPr>
          <w:rFonts w:ascii="宋体" w:hAnsi="宋体" w:eastAsia="宋体"/>
          <w:b/>
          <w:color w:val="000000" w:themeColor="text1"/>
          <w:sz w:val="30"/>
          <w:szCs w:val="30"/>
          <w14:textFill>
            <w14:solidFill>
              <w14:schemeClr w14:val="tx1"/>
            </w14:solidFill>
          </w14:textFill>
        </w:rPr>
      </w:pPr>
      <w:r>
        <w:rPr>
          <w:rFonts w:hint="eastAsia" w:ascii="宋体" w:hAnsi="宋体" w:eastAsia="宋体"/>
          <w:b/>
          <w:color w:val="000000" w:themeColor="text1"/>
          <w:sz w:val="30"/>
          <w:szCs w:val="30"/>
          <w14:textFill>
            <w14:solidFill>
              <w14:schemeClr w14:val="tx1"/>
            </w14:solidFill>
          </w14:textFill>
        </w:rPr>
        <w:t>一、投标函</w:t>
      </w:r>
    </w:p>
    <w:p w14:paraId="2E3D57D8">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致：</w:t>
      </w:r>
      <w:r>
        <w:rPr>
          <w:rFonts w:hint="eastAsia" w:ascii="宋体" w:hAnsi="宋体" w:eastAsia="宋体"/>
          <w:color w:val="000000" w:themeColor="text1"/>
          <w:szCs w:val="21"/>
          <w:u w:val="single"/>
          <w14:textFill>
            <w14:solidFill>
              <w14:schemeClr w14:val="tx1"/>
            </w14:solidFill>
          </w14:textFill>
        </w:rPr>
        <w:t>[项目采购-采购组织机构]</w:t>
      </w:r>
    </w:p>
    <w:p w14:paraId="025FB69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我方已仔细阅读了贵方组织的</w:t>
      </w:r>
      <w:r>
        <w:rPr>
          <w:rFonts w:hint="eastAsia" w:ascii="宋体" w:hAnsi="宋体" w:eastAsia="宋体"/>
          <w:color w:val="000000" w:themeColor="text1"/>
          <w:szCs w:val="21"/>
          <w:u w:val="single"/>
          <w14:textFill>
            <w14:solidFill>
              <w14:schemeClr w14:val="tx1"/>
            </w14:solidFill>
          </w14:textFill>
        </w:rPr>
        <w:t>[项目采购-项目名称]</w:t>
      </w:r>
      <w:r>
        <w:rPr>
          <w:rFonts w:hint="eastAsia" w:ascii="宋体" w:hAnsi="宋体" w:eastAsia="宋体"/>
          <w:color w:val="000000" w:themeColor="text1"/>
          <w:szCs w:val="21"/>
          <w14:textFill>
            <w14:solidFill>
              <w14:schemeClr w14:val="tx1"/>
            </w14:solidFill>
          </w14:textFill>
        </w:rPr>
        <w:t>项目（项目编号：</w:t>
      </w:r>
      <w:r>
        <w:rPr>
          <w:rFonts w:hint="eastAsia" w:ascii="宋体" w:hAnsi="宋体" w:eastAsia="宋体"/>
          <w:color w:val="000000" w:themeColor="text1"/>
          <w:szCs w:val="21"/>
          <w:u w:val="single"/>
          <w14:textFill>
            <w14:solidFill>
              <w14:schemeClr w14:val="tx1"/>
            </w14:solidFill>
          </w14:textFill>
        </w:rPr>
        <w:t>[项目采购-项目编号]</w:t>
      </w:r>
      <w:r>
        <w:rPr>
          <w:rFonts w:hint="eastAsia" w:ascii="宋体" w:hAnsi="宋体" w:eastAsia="宋体"/>
          <w:color w:val="000000" w:themeColor="text1"/>
          <w:szCs w:val="21"/>
          <w14:textFill>
            <w14:solidFill>
              <w14:schemeClr w14:val="tx1"/>
            </w14:solidFill>
          </w14:textFill>
        </w:rPr>
        <w:t>）的招标文件的全部内容，授权</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（全权代表姓名）</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（职务、职称）为全权代表，现正式递交下述文件参加贵方组织的本次政府采购活动：</w:t>
      </w:r>
    </w:p>
    <w:p w14:paraId="2CED60E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一、报价文件电子版一份（包含按投标人须知前附表要求提交的全部文件）；</w:t>
      </w:r>
    </w:p>
    <w:p w14:paraId="29AB5CC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二、资格文件电子版一份（包含按投标人须知前附表要求提交的全部文件）；</w:t>
      </w:r>
    </w:p>
    <w:p w14:paraId="2E132D7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三、技术文件电子版一份（包含按投标人须知前附表要求提交的全部文件）；</w:t>
      </w:r>
    </w:p>
    <w:p w14:paraId="30C4DD2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四、商务文件电子版一份（包含按投标人须知前附表要求提交的全部文件）；</w:t>
      </w:r>
    </w:p>
    <w:p w14:paraId="0B657C6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据此函，签字人兹宣布：</w:t>
      </w:r>
    </w:p>
    <w:p w14:paraId="4F628E0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1、我方愿意以（大写）人民币</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元（¥</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元）的投标总报价，交货时间：</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（无分标时填写），提供本项目招标文件第二章“货物需求”中的相应的采购内容。</w:t>
      </w:r>
    </w:p>
    <w:p w14:paraId="12F0749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其中（有分标时填写）：</w:t>
      </w:r>
    </w:p>
    <w:p w14:paraId="2DB6C0D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分标报价为（大写）人民币</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元（¥</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元），交货时间：</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14:paraId="570FEF9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分标报价为（大写）人民币</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元（¥</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元），交货时间：</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14:paraId="1967294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w:t>
      </w:r>
    </w:p>
    <w:p w14:paraId="25A7763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我方同意自本项目招标文件“第三章投标人须知”第一节投标人须知前附表第21.2项规定的投标截止时间（开标时间）起遵循本投标函，并承诺在“投标人须知前附表”第17.2项规定的投标有效期内不修改、撤销投标文件。</w:t>
      </w:r>
    </w:p>
    <w:p w14:paraId="246DF0C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3、我方所递交的投标文件及有关资料都是内容完整、真实和准确的。</w:t>
      </w:r>
    </w:p>
    <w:p w14:paraId="28BA8D8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4、如本项目采购内容涉及须符合国家强制规定的，我方承诺我方本次投标（包括资格条件和所投产品）均符合国家有关强制规定。</w:t>
      </w:r>
    </w:p>
    <w:p w14:paraId="17D47DB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4DE6964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6、我方已详细审核招标文件，我方知道必须放弃提出含糊不清或误解问题的权利。</w:t>
      </w:r>
    </w:p>
    <w:p w14:paraId="221F739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7、我方同意应贵方要求提供与本投标有关的任何数据或资料。若贵方需要，我方愿意提供我方作出的一切承诺的证明材料。</w:t>
      </w:r>
    </w:p>
    <w:p w14:paraId="2BA1326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8、我方完全理解贵方不一定接受投标报价最低的投标人为中标人的行为。</w:t>
      </w:r>
    </w:p>
    <w:p w14:paraId="62168FA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690C58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（1）提供虚假材料谋取中标、成交的；</w:t>
      </w:r>
    </w:p>
    <w:p w14:paraId="4AF725D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（2）采取不正当手段诋毁、排挤其他供应商的；</w:t>
      </w:r>
    </w:p>
    <w:p w14:paraId="067443E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（3）与采购人、其他供应商或者采购代理机构恶意串通的；</w:t>
      </w:r>
    </w:p>
    <w:p w14:paraId="355D229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（4）向采购人、采购代理机构行贿或者提供其他不正当利益的；</w:t>
      </w:r>
    </w:p>
    <w:p w14:paraId="5104235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（5）在招标采购过程中与采购人进行协商谈判的；</w:t>
      </w:r>
    </w:p>
    <w:p w14:paraId="26CC947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（6）拒绝有关部门监督检查或提供虚假情况的。</w:t>
      </w:r>
    </w:p>
    <w:p w14:paraId="1167E36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10、我方及由本人担任法定代表人的其他机构最近三年内被处罚的违法行为有：</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p>
    <w:p w14:paraId="598CE32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11、以上事项如有虚假或隐瞒，我方愿意承担一切后果，并不再寻求任何旨在减轻或免除法律责任的辩解。</w:t>
      </w:r>
    </w:p>
    <w:p w14:paraId="0CF23F9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12、与本投标有关的一切正式往来信函请寄：</w:t>
      </w:r>
    </w:p>
    <w:p w14:paraId="447EF64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地址：</w:t>
      </w:r>
      <w:r>
        <w:rPr>
          <w:rFonts w:ascii="宋体" w:hAnsi="宋体" w:eastAsia="宋体"/>
          <w:color w:val="000000" w:themeColor="text1"/>
          <w:szCs w:val="21"/>
          <w:u w:val="single"/>
          <w14:textFill>
            <w14:solidFill>
              <w14:schemeClr w14:val="tx1"/>
            </w14:solidFill>
          </w14:textFill>
        </w:rPr>
        <w:t xml:space="preserve">                                                                             </w:t>
      </w:r>
    </w:p>
    <w:p w14:paraId="55B9C00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电话：</w:t>
      </w:r>
      <w:r>
        <w:rPr>
          <w:rFonts w:ascii="宋体" w:hAnsi="宋体" w:eastAsia="宋体"/>
          <w:color w:val="000000" w:themeColor="text1"/>
          <w:szCs w:val="21"/>
          <w:u w:val="single"/>
          <w14:textFill>
            <w14:solidFill>
              <w14:schemeClr w14:val="tx1"/>
            </w14:solidFill>
          </w14:textFill>
        </w:rPr>
        <w:t xml:space="preserve">                                                                             </w:t>
      </w:r>
    </w:p>
    <w:p w14:paraId="5208B10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传真：</w:t>
      </w:r>
      <w:r>
        <w:rPr>
          <w:rFonts w:ascii="宋体" w:hAnsi="宋体" w:eastAsia="宋体"/>
          <w:color w:val="000000" w:themeColor="text1"/>
          <w:szCs w:val="21"/>
          <w:u w:val="single"/>
          <w14:textFill>
            <w14:solidFill>
              <w14:schemeClr w14:val="tx1"/>
            </w14:solidFill>
          </w14:textFill>
        </w:rPr>
        <w:t xml:space="preserve">                                                                             </w:t>
      </w:r>
    </w:p>
    <w:p w14:paraId="327BFCE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邮政编码：</w:t>
      </w:r>
      <w:r>
        <w:rPr>
          <w:rFonts w:ascii="宋体" w:hAnsi="宋体" w:eastAsia="宋体"/>
          <w:color w:val="000000" w:themeColor="text1"/>
          <w:szCs w:val="21"/>
          <w:u w:val="single"/>
          <w14:textFill>
            <w14:solidFill>
              <w14:schemeClr w14:val="tx1"/>
            </w14:solidFill>
          </w14:textFill>
        </w:rPr>
        <w:t xml:space="preserve">                                                                         </w:t>
      </w:r>
    </w:p>
    <w:p w14:paraId="59A2464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开户名称：</w:t>
      </w:r>
      <w:r>
        <w:rPr>
          <w:rFonts w:ascii="宋体" w:hAnsi="宋体" w:eastAsia="宋体"/>
          <w:color w:val="000000" w:themeColor="text1"/>
          <w:szCs w:val="21"/>
          <w:u w:val="single"/>
          <w14:textFill>
            <w14:solidFill>
              <w14:schemeClr w14:val="tx1"/>
            </w14:solidFill>
          </w14:textFill>
        </w:rPr>
        <w:t xml:space="preserve">                                                                         </w:t>
      </w:r>
    </w:p>
    <w:p w14:paraId="416F884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开户银行：</w:t>
      </w:r>
      <w:r>
        <w:rPr>
          <w:rFonts w:ascii="宋体" w:hAnsi="宋体" w:eastAsia="宋体"/>
          <w:color w:val="000000" w:themeColor="text1"/>
          <w:szCs w:val="21"/>
          <w:u w:val="single"/>
          <w14:textFill>
            <w14:solidFill>
              <w14:schemeClr w14:val="tx1"/>
            </w14:solidFill>
          </w14:textFill>
        </w:rPr>
        <w:t xml:space="preserve">                                                                         </w:t>
      </w:r>
    </w:p>
    <w:p w14:paraId="6ECD091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银行账号：</w:t>
      </w:r>
      <w:r>
        <w:rPr>
          <w:rFonts w:ascii="宋体" w:hAnsi="宋体" w:eastAsia="宋体"/>
          <w:color w:val="000000" w:themeColor="text1"/>
          <w:szCs w:val="21"/>
          <w:u w:val="single"/>
          <w14:textFill>
            <w14:solidFill>
              <w14:schemeClr w14:val="tx1"/>
            </w14:solidFill>
          </w14:textFill>
        </w:rPr>
        <w:t xml:space="preserve">                                                                         </w:t>
      </w:r>
    </w:p>
    <w:p w14:paraId="4AE31272">
      <w:pPr>
        <w:spacing w:line="360" w:lineRule="auto"/>
        <w:ind w:firstLine="5040" w:firstLineChars="24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投标人名称（电子签章）：</w:t>
      </w:r>
    </w:p>
    <w:p w14:paraId="04477DC1">
      <w:pPr>
        <w:spacing w:line="360" w:lineRule="auto"/>
        <w:ind w:firstLine="5040" w:firstLineChars="24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年</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月</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日</w:t>
      </w:r>
    </w:p>
    <w:p w14:paraId="45AFFC87">
      <w:pPr>
        <w:spacing w:line="360" w:lineRule="auto"/>
        <w:ind w:firstLine="420" w:firstLineChars="200"/>
        <w:rPr>
          <w:rFonts w:ascii="宋体" w:hAnsi="宋体" w:eastAsia="宋体"/>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0B778F5A">
      <w:pPr>
        <w:spacing w:line="360" w:lineRule="auto"/>
        <w:jc w:val="center"/>
        <w:rPr>
          <w:rFonts w:ascii="宋体" w:hAnsi="宋体" w:eastAsia="宋体"/>
          <w:b/>
          <w:color w:val="000000" w:themeColor="text1"/>
          <w:sz w:val="30"/>
          <w:szCs w:val="30"/>
          <w14:textFill>
            <w14:solidFill>
              <w14:schemeClr w14:val="tx1"/>
            </w14:solidFill>
          </w14:textFill>
        </w:rPr>
      </w:pPr>
      <w:r>
        <w:rPr>
          <w:rFonts w:hint="eastAsia" w:ascii="宋体" w:hAnsi="宋体" w:eastAsia="宋体"/>
          <w:b/>
          <w:color w:val="000000" w:themeColor="text1"/>
          <w:sz w:val="30"/>
          <w:szCs w:val="30"/>
          <w14:textFill>
            <w14:solidFill>
              <w14:schemeClr w14:val="tx1"/>
            </w14:solidFill>
          </w14:textFill>
        </w:rPr>
        <w:t>二、开标一览表（单位均为人民币元）</w:t>
      </w:r>
    </w:p>
    <w:p w14:paraId="04C32E0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项目名称：</w:t>
      </w:r>
      <w:r>
        <w:rPr>
          <w:rFonts w:hint="eastAsia" w:ascii="宋体" w:hAnsi="宋体" w:eastAsia="宋体"/>
          <w:color w:val="000000" w:themeColor="text1"/>
          <w:szCs w:val="21"/>
          <w:u w:val="single"/>
          <w14:textFill>
            <w14:solidFill>
              <w14:schemeClr w14:val="tx1"/>
            </w14:solidFill>
          </w14:textFill>
        </w:rPr>
        <w:t>[项目采购-项目名称]</w:t>
      </w:r>
      <w:r>
        <w:rPr>
          <w:rFonts w:hint="eastAsia" w:ascii="宋体" w:hAnsi="宋体" w:eastAsia="宋体"/>
          <w:color w:val="000000" w:themeColor="text1"/>
          <w:szCs w:val="21"/>
          <w14:textFill>
            <w14:solidFill>
              <w14:schemeClr w14:val="tx1"/>
            </w14:solidFill>
          </w14:textFill>
        </w:rPr>
        <w:t>项目编号：</w:t>
      </w:r>
      <w:r>
        <w:rPr>
          <w:rFonts w:hint="eastAsia" w:ascii="宋体" w:hAnsi="宋体" w:eastAsia="宋体"/>
          <w:color w:val="000000" w:themeColor="text1"/>
          <w:szCs w:val="21"/>
          <w:u w:val="single"/>
          <w14:textFill>
            <w14:solidFill>
              <w14:schemeClr w14:val="tx1"/>
            </w14:solidFill>
          </w14:textFill>
        </w:rPr>
        <w:t>[项目采购-项目编号]</w:t>
      </w:r>
      <w:r>
        <w:rPr>
          <w:rFonts w:hint="eastAsia" w:ascii="宋体" w:hAnsi="宋体" w:eastAsia="宋体"/>
          <w:color w:val="000000" w:themeColor="text1"/>
          <w:szCs w:val="21"/>
          <w14:textFill>
            <w14:solidFill>
              <w14:schemeClr w14:val="tx1"/>
            </w14:solidFill>
          </w14:textFill>
        </w:rPr>
        <w:t>分标：</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p>
    <w:p w14:paraId="4EC9EDE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投标人名称：</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1132"/>
        <w:gridCol w:w="1132"/>
        <w:gridCol w:w="1132"/>
        <w:gridCol w:w="1133"/>
        <w:gridCol w:w="1133"/>
        <w:gridCol w:w="1133"/>
        <w:gridCol w:w="1133"/>
      </w:tblGrid>
      <w:tr w14:paraId="1544E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Align w:val="center"/>
          </w:tcPr>
          <w:p w14:paraId="33B8A091">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序号</w:t>
            </w:r>
          </w:p>
        </w:tc>
        <w:tc>
          <w:tcPr>
            <w:tcW w:w="1132" w:type="dxa"/>
            <w:vAlign w:val="center"/>
          </w:tcPr>
          <w:p w14:paraId="4CF4B8DC">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货物名称</w:t>
            </w:r>
          </w:p>
        </w:tc>
        <w:tc>
          <w:tcPr>
            <w:tcW w:w="1132" w:type="dxa"/>
            <w:vAlign w:val="center"/>
          </w:tcPr>
          <w:p w14:paraId="6364B61F">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货物规格型号</w:t>
            </w:r>
          </w:p>
        </w:tc>
        <w:tc>
          <w:tcPr>
            <w:tcW w:w="1132" w:type="dxa"/>
            <w:vAlign w:val="center"/>
          </w:tcPr>
          <w:p w14:paraId="29ABBA2D">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品牌</w:t>
            </w:r>
          </w:p>
        </w:tc>
        <w:tc>
          <w:tcPr>
            <w:tcW w:w="1133" w:type="dxa"/>
            <w:vAlign w:val="center"/>
          </w:tcPr>
          <w:p w14:paraId="3C120DF0">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数量①</w:t>
            </w:r>
          </w:p>
        </w:tc>
        <w:tc>
          <w:tcPr>
            <w:tcW w:w="1133" w:type="dxa"/>
            <w:vAlign w:val="center"/>
          </w:tcPr>
          <w:p w14:paraId="1BAD95DE">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单价（元）②</w:t>
            </w:r>
          </w:p>
        </w:tc>
        <w:tc>
          <w:tcPr>
            <w:tcW w:w="1133" w:type="dxa"/>
            <w:vAlign w:val="center"/>
          </w:tcPr>
          <w:p w14:paraId="6D5B2BC7">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单项合价（元）③＝①×②</w:t>
            </w:r>
          </w:p>
        </w:tc>
        <w:tc>
          <w:tcPr>
            <w:tcW w:w="1133" w:type="dxa"/>
            <w:vAlign w:val="center"/>
          </w:tcPr>
          <w:p w14:paraId="5DAB7218">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备注</w:t>
            </w:r>
          </w:p>
        </w:tc>
      </w:tr>
      <w:tr w14:paraId="0E8EF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Align w:val="center"/>
          </w:tcPr>
          <w:p w14:paraId="0F329B97">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tc>
        <w:tc>
          <w:tcPr>
            <w:tcW w:w="1132" w:type="dxa"/>
            <w:vAlign w:val="center"/>
          </w:tcPr>
          <w:p w14:paraId="23879698">
            <w:pPr>
              <w:spacing w:line="360" w:lineRule="auto"/>
              <w:jc w:val="center"/>
              <w:rPr>
                <w:rFonts w:ascii="宋体" w:hAnsi="宋体" w:eastAsia="宋体"/>
                <w:color w:val="000000" w:themeColor="text1"/>
                <w:szCs w:val="21"/>
                <w14:textFill>
                  <w14:solidFill>
                    <w14:schemeClr w14:val="tx1"/>
                  </w14:solidFill>
                </w14:textFill>
              </w:rPr>
            </w:pPr>
          </w:p>
        </w:tc>
        <w:tc>
          <w:tcPr>
            <w:tcW w:w="1132" w:type="dxa"/>
            <w:vAlign w:val="center"/>
          </w:tcPr>
          <w:p w14:paraId="23A91B8A">
            <w:pPr>
              <w:spacing w:line="360" w:lineRule="auto"/>
              <w:jc w:val="center"/>
              <w:rPr>
                <w:rFonts w:ascii="宋体" w:hAnsi="宋体" w:eastAsia="宋体"/>
                <w:color w:val="000000" w:themeColor="text1"/>
                <w:szCs w:val="21"/>
                <w14:textFill>
                  <w14:solidFill>
                    <w14:schemeClr w14:val="tx1"/>
                  </w14:solidFill>
                </w14:textFill>
              </w:rPr>
            </w:pPr>
          </w:p>
        </w:tc>
        <w:tc>
          <w:tcPr>
            <w:tcW w:w="1132" w:type="dxa"/>
            <w:vAlign w:val="center"/>
          </w:tcPr>
          <w:p w14:paraId="29923A33">
            <w:pPr>
              <w:spacing w:line="360" w:lineRule="auto"/>
              <w:jc w:val="center"/>
              <w:rPr>
                <w:rFonts w:ascii="宋体" w:hAnsi="宋体" w:eastAsia="宋体"/>
                <w:color w:val="000000" w:themeColor="text1"/>
                <w:szCs w:val="21"/>
                <w14:textFill>
                  <w14:solidFill>
                    <w14:schemeClr w14:val="tx1"/>
                  </w14:solidFill>
                </w14:textFill>
              </w:rPr>
            </w:pPr>
          </w:p>
        </w:tc>
        <w:tc>
          <w:tcPr>
            <w:tcW w:w="1133" w:type="dxa"/>
            <w:vAlign w:val="center"/>
          </w:tcPr>
          <w:p w14:paraId="69CF91CA">
            <w:pPr>
              <w:spacing w:line="360" w:lineRule="auto"/>
              <w:jc w:val="center"/>
              <w:rPr>
                <w:rFonts w:ascii="宋体" w:hAnsi="宋体" w:eastAsia="宋体"/>
                <w:color w:val="000000" w:themeColor="text1"/>
                <w:szCs w:val="21"/>
                <w14:textFill>
                  <w14:solidFill>
                    <w14:schemeClr w14:val="tx1"/>
                  </w14:solidFill>
                </w14:textFill>
              </w:rPr>
            </w:pPr>
          </w:p>
        </w:tc>
        <w:tc>
          <w:tcPr>
            <w:tcW w:w="1133" w:type="dxa"/>
            <w:vAlign w:val="center"/>
          </w:tcPr>
          <w:p w14:paraId="5B18D55D">
            <w:pPr>
              <w:spacing w:line="360" w:lineRule="auto"/>
              <w:jc w:val="center"/>
              <w:rPr>
                <w:rFonts w:ascii="宋体" w:hAnsi="宋体" w:eastAsia="宋体"/>
                <w:color w:val="000000" w:themeColor="text1"/>
                <w:szCs w:val="21"/>
                <w14:textFill>
                  <w14:solidFill>
                    <w14:schemeClr w14:val="tx1"/>
                  </w14:solidFill>
                </w14:textFill>
              </w:rPr>
            </w:pPr>
          </w:p>
        </w:tc>
        <w:tc>
          <w:tcPr>
            <w:tcW w:w="1133" w:type="dxa"/>
            <w:vAlign w:val="center"/>
          </w:tcPr>
          <w:p w14:paraId="62BE2899">
            <w:pPr>
              <w:spacing w:line="360" w:lineRule="auto"/>
              <w:jc w:val="center"/>
              <w:rPr>
                <w:rFonts w:ascii="宋体" w:hAnsi="宋体" w:eastAsia="宋体"/>
                <w:color w:val="000000" w:themeColor="text1"/>
                <w:szCs w:val="21"/>
                <w14:textFill>
                  <w14:solidFill>
                    <w14:schemeClr w14:val="tx1"/>
                  </w14:solidFill>
                </w14:textFill>
              </w:rPr>
            </w:pPr>
          </w:p>
        </w:tc>
        <w:tc>
          <w:tcPr>
            <w:tcW w:w="1133" w:type="dxa"/>
            <w:vAlign w:val="center"/>
          </w:tcPr>
          <w:p w14:paraId="3428714A">
            <w:pPr>
              <w:spacing w:line="360" w:lineRule="auto"/>
              <w:jc w:val="center"/>
              <w:rPr>
                <w:rFonts w:ascii="宋体" w:hAnsi="宋体" w:eastAsia="宋体"/>
                <w:color w:val="000000" w:themeColor="text1"/>
                <w:szCs w:val="21"/>
                <w14:textFill>
                  <w14:solidFill>
                    <w14:schemeClr w14:val="tx1"/>
                  </w14:solidFill>
                </w14:textFill>
              </w:rPr>
            </w:pPr>
          </w:p>
        </w:tc>
      </w:tr>
      <w:tr w14:paraId="1AA4D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Align w:val="center"/>
          </w:tcPr>
          <w:p w14:paraId="1E049B41">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p>
        </w:tc>
        <w:tc>
          <w:tcPr>
            <w:tcW w:w="1132" w:type="dxa"/>
            <w:vAlign w:val="center"/>
          </w:tcPr>
          <w:p w14:paraId="31C4C45C">
            <w:pPr>
              <w:spacing w:line="360" w:lineRule="auto"/>
              <w:jc w:val="center"/>
              <w:rPr>
                <w:rFonts w:ascii="宋体" w:hAnsi="宋体" w:eastAsia="宋体"/>
                <w:color w:val="000000" w:themeColor="text1"/>
                <w:szCs w:val="21"/>
                <w14:textFill>
                  <w14:solidFill>
                    <w14:schemeClr w14:val="tx1"/>
                  </w14:solidFill>
                </w14:textFill>
              </w:rPr>
            </w:pPr>
          </w:p>
        </w:tc>
        <w:tc>
          <w:tcPr>
            <w:tcW w:w="1132" w:type="dxa"/>
            <w:vAlign w:val="center"/>
          </w:tcPr>
          <w:p w14:paraId="64ADDCA7">
            <w:pPr>
              <w:spacing w:line="360" w:lineRule="auto"/>
              <w:jc w:val="center"/>
              <w:rPr>
                <w:rFonts w:ascii="宋体" w:hAnsi="宋体" w:eastAsia="宋体"/>
                <w:color w:val="000000" w:themeColor="text1"/>
                <w:szCs w:val="21"/>
                <w14:textFill>
                  <w14:solidFill>
                    <w14:schemeClr w14:val="tx1"/>
                  </w14:solidFill>
                </w14:textFill>
              </w:rPr>
            </w:pPr>
          </w:p>
        </w:tc>
        <w:tc>
          <w:tcPr>
            <w:tcW w:w="1132" w:type="dxa"/>
            <w:vAlign w:val="center"/>
          </w:tcPr>
          <w:p w14:paraId="7CF6EDB2">
            <w:pPr>
              <w:spacing w:line="360" w:lineRule="auto"/>
              <w:jc w:val="center"/>
              <w:rPr>
                <w:rFonts w:ascii="宋体" w:hAnsi="宋体" w:eastAsia="宋体"/>
                <w:color w:val="000000" w:themeColor="text1"/>
                <w:szCs w:val="21"/>
                <w14:textFill>
                  <w14:solidFill>
                    <w14:schemeClr w14:val="tx1"/>
                  </w14:solidFill>
                </w14:textFill>
              </w:rPr>
            </w:pPr>
          </w:p>
        </w:tc>
        <w:tc>
          <w:tcPr>
            <w:tcW w:w="1133" w:type="dxa"/>
            <w:vAlign w:val="center"/>
          </w:tcPr>
          <w:p w14:paraId="2809CF9C">
            <w:pPr>
              <w:spacing w:line="360" w:lineRule="auto"/>
              <w:jc w:val="center"/>
              <w:rPr>
                <w:rFonts w:ascii="宋体" w:hAnsi="宋体" w:eastAsia="宋体"/>
                <w:color w:val="000000" w:themeColor="text1"/>
                <w:szCs w:val="21"/>
                <w14:textFill>
                  <w14:solidFill>
                    <w14:schemeClr w14:val="tx1"/>
                  </w14:solidFill>
                </w14:textFill>
              </w:rPr>
            </w:pPr>
          </w:p>
        </w:tc>
        <w:tc>
          <w:tcPr>
            <w:tcW w:w="1133" w:type="dxa"/>
            <w:vAlign w:val="center"/>
          </w:tcPr>
          <w:p w14:paraId="1B6E5696">
            <w:pPr>
              <w:spacing w:line="360" w:lineRule="auto"/>
              <w:jc w:val="center"/>
              <w:rPr>
                <w:rFonts w:ascii="宋体" w:hAnsi="宋体" w:eastAsia="宋体"/>
                <w:color w:val="000000" w:themeColor="text1"/>
                <w:szCs w:val="21"/>
                <w14:textFill>
                  <w14:solidFill>
                    <w14:schemeClr w14:val="tx1"/>
                  </w14:solidFill>
                </w14:textFill>
              </w:rPr>
            </w:pPr>
          </w:p>
        </w:tc>
        <w:tc>
          <w:tcPr>
            <w:tcW w:w="1133" w:type="dxa"/>
            <w:vAlign w:val="center"/>
          </w:tcPr>
          <w:p w14:paraId="72FC73D5">
            <w:pPr>
              <w:spacing w:line="360" w:lineRule="auto"/>
              <w:jc w:val="center"/>
              <w:rPr>
                <w:rFonts w:ascii="宋体" w:hAnsi="宋体" w:eastAsia="宋体"/>
                <w:color w:val="000000" w:themeColor="text1"/>
                <w:szCs w:val="21"/>
                <w14:textFill>
                  <w14:solidFill>
                    <w14:schemeClr w14:val="tx1"/>
                  </w14:solidFill>
                </w14:textFill>
              </w:rPr>
            </w:pPr>
          </w:p>
        </w:tc>
        <w:tc>
          <w:tcPr>
            <w:tcW w:w="1133" w:type="dxa"/>
            <w:vAlign w:val="center"/>
          </w:tcPr>
          <w:p w14:paraId="59F4AD2F">
            <w:pPr>
              <w:spacing w:line="360" w:lineRule="auto"/>
              <w:jc w:val="center"/>
              <w:rPr>
                <w:rFonts w:ascii="宋体" w:hAnsi="宋体" w:eastAsia="宋体"/>
                <w:color w:val="000000" w:themeColor="text1"/>
                <w:szCs w:val="21"/>
                <w14:textFill>
                  <w14:solidFill>
                    <w14:schemeClr w14:val="tx1"/>
                  </w14:solidFill>
                </w14:textFill>
              </w:rPr>
            </w:pPr>
          </w:p>
        </w:tc>
      </w:tr>
      <w:tr w14:paraId="1EAD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Align w:val="center"/>
          </w:tcPr>
          <w:p w14:paraId="412CDC9B">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w:t>
            </w:r>
          </w:p>
        </w:tc>
        <w:tc>
          <w:tcPr>
            <w:tcW w:w="1132" w:type="dxa"/>
            <w:vAlign w:val="center"/>
          </w:tcPr>
          <w:p w14:paraId="7117FBCD">
            <w:pPr>
              <w:spacing w:line="360" w:lineRule="auto"/>
              <w:jc w:val="center"/>
              <w:rPr>
                <w:rFonts w:ascii="宋体" w:hAnsi="宋体" w:eastAsia="宋体"/>
                <w:color w:val="000000" w:themeColor="text1"/>
                <w:szCs w:val="21"/>
                <w14:textFill>
                  <w14:solidFill>
                    <w14:schemeClr w14:val="tx1"/>
                  </w14:solidFill>
                </w14:textFill>
              </w:rPr>
            </w:pPr>
          </w:p>
        </w:tc>
        <w:tc>
          <w:tcPr>
            <w:tcW w:w="1132" w:type="dxa"/>
            <w:vAlign w:val="center"/>
          </w:tcPr>
          <w:p w14:paraId="4023CAFA">
            <w:pPr>
              <w:spacing w:line="360" w:lineRule="auto"/>
              <w:jc w:val="center"/>
              <w:rPr>
                <w:rFonts w:ascii="宋体" w:hAnsi="宋体" w:eastAsia="宋体"/>
                <w:color w:val="000000" w:themeColor="text1"/>
                <w:szCs w:val="21"/>
                <w14:textFill>
                  <w14:solidFill>
                    <w14:schemeClr w14:val="tx1"/>
                  </w14:solidFill>
                </w14:textFill>
              </w:rPr>
            </w:pPr>
          </w:p>
        </w:tc>
        <w:tc>
          <w:tcPr>
            <w:tcW w:w="1132" w:type="dxa"/>
            <w:vAlign w:val="center"/>
          </w:tcPr>
          <w:p w14:paraId="382EBB0D">
            <w:pPr>
              <w:spacing w:line="360" w:lineRule="auto"/>
              <w:jc w:val="center"/>
              <w:rPr>
                <w:rFonts w:ascii="宋体" w:hAnsi="宋体" w:eastAsia="宋体"/>
                <w:color w:val="000000" w:themeColor="text1"/>
                <w:szCs w:val="21"/>
                <w14:textFill>
                  <w14:solidFill>
                    <w14:schemeClr w14:val="tx1"/>
                  </w14:solidFill>
                </w14:textFill>
              </w:rPr>
            </w:pPr>
          </w:p>
        </w:tc>
        <w:tc>
          <w:tcPr>
            <w:tcW w:w="1133" w:type="dxa"/>
            <w:vAlign w:val="center"/>
          </w:tcPr>
          <w:p w14:paraId="73CAC094">
            <w:pPr>
              <w:spacing w:line="360" w:lineRule="auto"/>
              <w:jc w:val="center"/>
              <w:rPr>
                <w:rFonts w:ascii="宋体" w:hAnsi="宋体" w:eastAsia="宋体"/>
                <w:color w:val="000000" w:themeColor="text1"/>
                <w:szCs w:val="21"/>
                <w14:textFill>
                  <w14:solidFill>
                    <w14:schemeClr w14:val="tx1"/>
                  </w14:solidFill>
                </w14:textFill>
              </w:rPr>
            </w:pPr>
          </w:p>
        </w:tc>
        <w:tc>
          <w:tcPr>
            <w:tcW w:w="1133" w:type="dxa"/>
            <w:vAlign w:val="center"/>
          </w:tcPr>
          <w:p w14:paraId="444AEC52">
            <w:pPr>
              <w:spacing w:line="360" w:lineRule="auto"/>
              <w:jc w:val="center"/>
              <w:rPr>
                <w:rFonts w:ascii="宋体" w:hAnsi="宋体" w:eastAsia="宋体"/>
                <w:color w:val="000000" w:themeColor="text1"/>
                <w:szCs w:val="21"/>
                <w14:textFill>
                  <w14:solidFill>
                    <w14:schemeClr w14:val="tx1"/>
                  </w14:solidFill>
                </w14:textFill>
              </w:rPr>
            </w:pPr>
          </w:p>
        </w:tc>
        <w:tc>
          <w:tcPr>
            <w:tcW w:w="1133" w:type="dxa"/>
            <w:vAlign w:val="center"/>
          </w:tcPr>
          <w:p w14:paraId="0958D7B0">
            <w:pPr>
              <w:spacing w:line="360" w:lineRule="auto"/>
              <w:jc w:val="center"/>
              <w:rPr>
                <w:rFonts w:ascii="宋体" w:hAnsi="宋体" w:eastAsia="宋体"/>
                <w:color w:val="000000" w:themeColor="text1"/>
                <w:szCs w:val="21"/>
                <w14:textFill>
                  <w14:solidFill>
                    <w14:schemeClr w14:val="tx1"/>
                  </w14:solidFill>
                </w14:textFill>
              </w:rPr>
            </w:pPr>
          </w:p>
        </w:tc>
        <w:tc>
          <w:tcPr>
            <w:tcW w:w="1133" w:type="dxa"/>
            <w:vAlign w:val="center"/>
          </w:tcPr>
          <w:p w14:paraId="305742DF">
            <w:pPr>
              <w:spacing w:line="360" w:lineRule="auto"/>
              <w:jc w:val="center"/>
              <w:rPr>
                <w:rFonts w:ascii="宋体" w:hAnsi="宋体" w:eastAsia="宋体"/>
                <w:color w:val="000000" w:themeColor="text1"/>
                <w:szCs w:val="21"/>
                <w14:textFill>
                  <w14:solidFill>
                    <w14:schemeClr w14:val="tx1"/>
                  </w14:solidFill>
                </w14:textFill>
              </w:rPr>
            </w:pPr>
          </w:p>
        </w:tc>
      </w:tr>
      <w:tr w14:paraId="21E37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8"/>
            <w:vAlign w:val="center"/>
          </w:tcPr>
          <w:p w14:paraId="73B92C40">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报价合计（包含税费等所有费用）：（大写）人民币</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元）</w:t>
            </w:r>
          </w:p>
        </w:tc>
      </w:tr>
      <w:tr w14:paraId="4F43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8"/>
            <w:vAlign w:val="center"/>
          </w:tcPr>
          <w:p w14:paraId="2EF3850D">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分标（此处有分标时填写具体分标号，无分标时填写“无”）</w:t>
            </w:r>
          </w:p>
        </w:tc>
      </w:tr>
      <w:tr w14:paraId="766D6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8"/>
            <w:vAlign w:val="center"/>
          </w:tcPr>
          <w:p w14:paraId="7E8604A7">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验收标准：按照国家、地方相关标准及采购文件约定的标准。</w:t>
            </w:r>
          </w:p>
        </w:tc>
      </w:tr>
      <w:tr w14:paraId="7A1DF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8"/>
            <w:vAlign w:val="center"/>
          </w:tcPr>
          <w:p w14:paraId="5E944B6A">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优惠及其它：</w:t>
            </w:r>
          </w:p>
        </w:tc>
      </w:tr>
    </w:tbl>
    <w:p w14:paraId="6BCA50C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w:t>
      </w:r>
    </w:p>
    <w:p w14:paraId="4B8A75A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1、投标人需按本表格式填写，不得自行更改，也不得留空，如有多分标，按分标分别提供开标一览表，必须加盖投标人有效电子公章，</w:t>
      </w:r>
      <w:r>
        <w:rPr>
          <w:rFonts w:hint="eastAsia" w:ascii="宋体" w:hAnsi="宋体" w:eastAsia="宋体"/>
          <w:b/>
          <w:color w:val="000000" w:themeColor="text1"/>
          <w:szCs w:val="21"/>
          <w14:textFill>
            <w14:solidFill>
              <w14:schemeClr w14:val="tx1"/>
            </w14:solidFill>
          </w14:textFill>
        </w:rPr>
        <w:t>否则其投标作无效标处理</w:t>
      </w:r>
      <w:r>
        <w:rPr>
          <w:rFonts w:hint="eastAsia" w:ascii="宋体" w:hAnsi="宋体" w:eastAsia="宋体"/>
          <w:color w:val="000000" w:themeColor="text1"/>
          <w:szCs w:val="21"/>
          <w14:textFill>
            <w14:solidFill>
              <w14:schemeClr w14:val="tx1"/>
            </w14:solidFill>
          </w14:textFill>
        </w:rPr>
        <w:t>。</w:t>
      </w:r>
    </w:p>
    <w:p w14:paraId="19D075E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2、本表内容均不能涂改，</w:t>
      </w:r>
      <w:r>
        <w:rPr>
          <w:rFonts w:hint="eastAsia" w:ascii="宋体" w:hAnsi="宋体" w:eastAsia="宋体"/>
          <w:b/>
          <w:color w:val="000000" w:themeColor="text1"/>
          <w:szCs w:val="21"/>
          <w14:textFill>
            <w14:solidFill>
              <w14:schemeClr w14:val="tx1"/>
            </w14:solidFill>
          </w14:textFill>
        </w:rPr>
        <w:t>否则其投标作无效标处理</w:t>
      </w:r>
      <w:r>
        <w:rPr>
          <w:rFonts w:hint="eastAsia" w:ascii="宋体" w:hAnsi="宋体" w:eastAsia="宋体"/>
          <w:color w:val="000000" w:themeColor="text1"/>
          <w:szCs w:val="21"/>
          <w14:textFill>
            <w14:solidFill>
              <w14:schemeClr w14:val="tx1"/>
            </w14:solidFill>
          </w14:textFill>
        </w:rPr>
        <w:t>。</w:t>
      </w:r>
    </w:p>
    <w:p w14:paraId="6D4766B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3、如为联合体投标，“投标人名称”处必须列明联合体各方名称，并标注联合体牵头人名称，且盖章处须加盖联合体各方公章，</w:t>
      </w:r>
      <w:r>
        <w:rPr>
          <w:rFonts w:hint="eastAsia" w:ascii="宋体" w:hAnsi="宋体" w:eastAsia="宋体"/>
          <w:b/>
          <w:color w:val="000000" w:themeColor="text1"/>
          <w:szCs w:val="21"/>
          <w14:textFill>
            <w14:solidFill>
              <w14:schemeClr w14:val="tx1"/>
            </w14:solidFill>
          </w14:textFill>
        </w:rPr>
        <w:t>否则其投标作无效标处理</w:t>
      </w:r>
      <w:r>
        <w:rPr>
          <w:rFonts w:hint="eastAsia" w:ascii="宋体" w:hAnsi="宋体" w:eastAsia="宋体"/>
          <w:color w:val="000000" w:themeColor="text1"/>
          <w:szCs w:val="21"/>
          <w14:textFill>
            <w14:solidFill>
              <w14:schemeClr w14:val="tx1"/>
            </w14:solidFill>
          </w14:textFill>
        </w:rPr>
        <w:t>。</w:t>
      </w:r>
    </w:p>
    <w:p w14:paraId="673C983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4、特别提示：采购机构将对项目名称和项目编号，中标人名称、地址和中标金额，主要中标标的的名称、规格型号、数量、单价、货物要求等予以公示。</w:t>
      </w:r>
    </w:p>
    <w:p w14:paraId="1AA7EA5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6D6EC12">
      <w:pPr>
        <w:spacing w:line="360" w:lineRule="auto"/>
        <w:ind w:firstLine="5040" w:firstLineChars="24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投标人名称（电子签章）：</w:t>
      </w:r>
    </w:p>
    <w:p w14:paraId="6E2B32CC">
      <w:pPr>
        <w:spacing w:line="360" w:lineRule="auto"/>
        <w:ind w:firstLine="5040" w:firstLineChars="24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年</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月</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日</w:t>
      </w:r>
    </w:p>
    <w:p w14:paraId="0A48A829">
      <w:pPr>
        <w:spacing w:line="360" w:lineRule="auto"/>
        <w:ind w:firstLine="420" w:firstLineChars="200"/>
        <w:rPr>
          <w:rFonts w:ascii="宋体" w:hAnsi="宋体" w:eastAsia="宋体"/>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2067DDAD">
      <w:pPr>
        <w:spacing w:line="360" w:lineRule="auto"/>
        <w:jc w:val="center"/>
        <w:rPr>
          <w:rFonts w:ascii="宋体" w:hAnsi="宋体" w:eastAsia="宋体"/>
          <w:b/>
          <w:color w:val="000000" w:themeColor="text1"/>
          <w:sz w:val="30"/>
          <w:szCs w:val="30"/>
          <w14:textFill>
            <w14:solidFill>
              <w14:schemeClr w14:val="tx1"/>
            </w14:solidFill>
          </w14:textFill>
        </w:rPr>
      </w:pPr>
      <w:r>
        <w:rPr>
          <w:rFonts w:hint="eastAsia" w:ascii="宋体" w:hAnsi="宋体" w:eastAsia="宋体"/>
          <w:b/>
          <w:color w:val="000000" w:themeColor="text1"/>
          <w:sz w:val="30"/>
          <w:szCs w:val="30"/>
          <w14:textFill>
            <w14:solidFill>
              <w14:schemeClr w14:val="tx1"/>
            </w14:solidFill>
          </w14:textFill>
        </w:rPr>
        <w:t>三、中小企业声明函</w:t>
      </w:r>
    </w:p>
    <w:p w14:paraId="4BAFF2D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说明：</w:t>
      </w:r>
    </w:p>
    <w:p w14:paraId="3803F66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1、本声明函主要供参加政府采购活动的中小企业填写，非中小企业无需填写。</w:t>
      </w:r>
    </w:p>
    <w:p w14:paraId="0B108E2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2、小型、微型企业提供中型企业提供的货物的，视同为中型企业。</w:t>
      </w:r>
    </w:p>
    <w:p w14:paraId="152A6BFA">
      <w:pPr>
        <w:spacing w:line="360" w:lineRule="auto"/>
        <w:ind w:firstLine="420" w:firstLineChars="200"/>
        <w:rPr>
          <w:rFonts w:ascii="宋体" w:hAnsi="宋体" w:eastAsia="宋体"/>
          <w:color w:val="000000" w:themeColor="text1"/>
          <w:szCs w:val="21"/>
          <w14:textFill>
            <w14:solidFill>
              <w14:schemeClr w14:val="tx1"/>
            </w14:solidFill>
          </w14:textFill>
        </w:rPr>
      </w:pPr>
    </w:p>
    <w:p w14:paraId="177D085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本公司（联合体）郑重声明，根据《政府采购促进中小企业发展管理办法》（财库﹝2020﹞46号）的规定，本公司（联合体）参加</w:t>
      </w:r>
      <w:r>
        <w:rPr>
          <w:rFonts w:hint="eastAsia" w:ascii="宋体" w:hAnsi="宋体" w:eastAsia="宋体"/>
          <w:color w:val="000000" w:themeColor="text1"/>
          <w:szCs w:val="21"/>
          <w:u w:val="single"/>
          <w14:textFill>
            <w14:solidFill>
              <w14:schemeClr w14:val="tx1"/>
            </w14:solidFill>
          </w14:textFill>
        </w:rPr>
        <w:t>[项目采购-采购人]</w:t>
      </w:r>
      <w:r>
        <w:rPr>
          <w:rFonts w:hint="eastAsia" w:ascii="宋体" w:hAnsi="宋体" w:eastAsia="宋体"/>
          <w:color w:val="000000" w:themeColor="text1"/>
          <w:szCs w:val="21"/>
          <w14:textFill>
            <w14:solidFill>
              <w14:schemeClr w14:val="tx1"/>
            </w14:solidFill>
          </w14:textFill>
        </w:rPr>
        <w:t>的</w:t>
      </w:r>
      <w:r>
        <w:rPr>
          <w:rFonts w:hint="eastAsia" w:ascii="宋体" w:hAnsi="宋体" w:eastAsia="宋体"/>
          <w:color w:val="000000" w:themeColor="text1"/>
          <w:szCs w:val="21"/>
          <w:u w:val="single"/>
          <w14:textFill>
            <w14:solidFill>
              <w14:schemeClr w14:val="tx1"/>
            </w14:solidFill>
          </w14:textFill>
        </w:rPr>
        <w:t>[项目采购-项目名称]</w:t>
      </w:r>
      <w:r>
        <w:rPr>
          <w:rFonts w:hint="eastAsia" w:ascii="宋体" w:hAnsi="宋体" w:eastAsia="宋体"/>
          <w:color w:val="000000" w:themeColor="text1"/>
          <w:szCs w:val="21"/>
          <w14:textFill>
            <w14:solidFill>
              <w14:schemeClr w14:val="tx1"/>
            </w14:solidFill>
          </w14:textFill>
        </w:rPr>
        <w:t>采购活动，提供的货物全部由符合政策要求的中小企业制造。相关企业（含联合体中的中小企业、签订分包意向协议的中小企业）的具体情况如下：</w:t>
      </w:r>
    </w:p>
    <w:p w14:paraId="32B51BF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u w:val="single"/>
          <w14:textFill>
            <w14:solidFill>
              <w14:schemeClr w14:val="tx1"/>
            </w14:solidFill>
          </w14:textFill>
        </w:rPr>
        <w:t>（标的名称）</w:t>
      </w:r>
      <w:r>
        <w:rPr>
          <w:rFonts w:hint="eastAsia" w:ascii="宋体" w:hAnsi="宋体" w:eastAsia="宋体"/>
          <w:color w:val="000000" w:themeColor="text1"/>
          <w:szCs w:val="21"/>
          <w14:textFill>
            <w14:solidFill>
              <w14:schemeClr w14:val="tx1"/>
            </w14:solidFill>
          </w14:textFill>
        </w:rPr>
        <w:t>，属于</w:t>
      </w:r>
      <w:r>
        <w:rPr>
          <w:rFonts w:hint="eastAsia" w:ascii="宋体" w:hAnsi="宋体" w:eastAsia="宋体"/>
          <w:color w:val="000000" w:themeColor="text1"/>
          <w:szCs w:val="21"/>
          <w:u w:val="single"/>
          <w14:textFill>
            <w14:solidFill>
              <w14:schemeClr w14:val="tx1"/>
            </w14:solidFill>
          </w14:textFill>
        </w:rPr>
        <w:t>（采购文件中明确的所属行业）</w:t>
      </w:r>
      <w:r>
        <w:rPr>
          <w:rFonts w:hint="eastAsia" w:ascii="宋体" w:hAnsi="宋体" w:eastAsia="宋体"/>
          <w:color w:val="000000" w:themeColor="text1"/>
          <w:szCs w:val="21"/>
          <w14:textFill>
            <w14:solidFill>
              <w14:schemeClr w14:val="tx1"/>
            </w14:solidFill>
          </w14:textFill>
        </w:rPr>
        <w:t>行业；制造商为</w:t>
      </w:r>
      <w:r>
        <w:rPr>
          <w:rFonts w:hint="eastAsia" w:ascii="宋体" w:hAnsi="宋体" w:eastAsia="宋体"/>
          <w:color w:val="000000" w:themeColor="text1"/>
          <w:szCs w:val="21"/>
          <w:u w:val="single"/>
          <w14:textFill>
            <w14:solidFill>
              <w14:schemeClr w14:val="tx1"/>
            </w14:solidFill>
          </w14:textFill>
        </w:rPr>
        <w:t>（企业名称）</w:t>
      </w:r>
      <w:r>
        <w:rPr>
          <w:rFonts w:hint="eastAsia" w:ascii="宋体" w:hAnsi="宋体" w:eastAsia="宋体"/>
          <w:color w:val="000000" w:themeColor="text1"/>
          <w:szCs w:val="21"/>
          <w14:textFill>
            <w14:solidFill>
              <w14:schemeClr w14:val="tx1"/>
            </w14:solidFill>
          </w14:textFill>
        </w:rPr>
        <w:t>，从业人员</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人，营业收入为</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万元，资产总额为</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万元，属于</w:t>
      </w:r>
      <w:r>
        <w:rPr>
          <w:rFonts w:hint="eastAsia" w:ascii="宋体" w:hAnsi="宋体" w:eastAsia="宋体"/>
          <w:color w:val="000000" w:themeColor="text1"/>
          <w:szCs w:val="21"/>
          <w:u w:val="single"/>
          <w14:textFill>
            <w14:solidFill>
              <w14:schemeClr w14:val="tx1"/>
            </w14:solidFill>
          </w14:textFill>
        </w:rPr>
        <w:t>（中型企业、小型企业、微型企业）</w:t>
      </w:r>
      <w:r>
        <w:rPr>
          <w:rFonts w:hint="eastAsia" w:ascii="宋体" w:hAnsi="宋体" w:eastAsia="宋体"/>
          <w:color w:val="000000" w:themeColor="text1"/>
          <w:szCs w:val="21"/>
          <w14:textFill>
            <w14:solidFill>
              <w14:schemeClr w14:val="tx1"/>
            </w14:solidFill>
          </w14:textFill>
        </w:rPr>
        <w:t>；</w:t>
      </w:r>
    </w:p>
    <w:p w14:paraId="68FE94F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u w:val="single"/>
          <w14:textFill>
            <w14:solidFill>
              <w14:schemeClr w14:val="tx1"/>
            </w14:solidFill>
          </w14:textFill>
        </w:rPr>
        <w:t>（标的名称）</w:t>
      </w:r>
      <w:r>
        <w:rPr>
          <w:rFonts w:hint="eastAsia" w:ascii="宋体" w:hAnsi="宋体" w:eastAsia="宋体"/>
          <w:color w:val="000000" w:themeColor="text1"/>
          <w:szCs w:val="21"/>
          <w14:textFill>
            <w14:solidFill>
              <w14:schemeClr w14:val="tx1"/>
            </w14:solidFill>
          </w14:textFill>
        </w:rPr>
        <w:t>，属于</w:t>
      </w:r>
      <w:r>
        <w:rPr>
          <w:rFonts w:hint="eastAsia" w:ascii="宋体" w:hAnsi="宋体" w:eastAsia="宋体"/>
          <w:color w:val="000000" w:themeColor="text1"/>
          <w:szCs w:val="21"/>
          <w:u w:val="single"/>
          <w14:textFill>
            <w14:solidFill>
              <w14:schemeClr w14:val="tx1"/>
            </w14:solidFill>
          </w14:textFill>
        </w:rPr>
        <w:t>（采购文件中明确的所属行业）</w:t>
      </w:r>
      <w:r>
        <w:rPr>
          <w:rFonts w:hint="eastAsia" w:ascii="宋体" w:hAnsi="宋体" w:eastAsia="宋体"/>
          <w:color w:val="000000" w:themeColor="text1"/>
          <w:szCs w:val="21"/>
          <w14:textFill>
            <w14:solidFill>
              <w14:schemeClr w14:val="tx1"/>
            </w14:solidFill>
          </w14:textFill>
        </w:rPr>
        <w:t>行业；制造商为</w:t>
      </w:r>
      <w:r>
        <w:rPr>
          <w:rFonts w:hint="eastAsia" w:ascii="宋体" w:hAnsi="宋体" w:eastAsia="宋体"/>
          <w:color w:val="000000" w:themeColor="text1"/>
          <w:szCs w:val="21"/>
          <w:u w:val="single"/>
          <w14:textFill>
            <w14:solidFill>
              <w14:schemeClr w14:val="tx1"/>
            </w14:solidFill>
          </w14:textFill>
        </w:rPr>
        <w:t>（企业名称）</w:t>
      </w:r>
      <w:r>
        <w:rPr>
          <w:rFonts w:hint="eastAsia" w:ascii="宋体" w:hAnsi="宋体" w:eastAsia="宋体"/>
          <w:color w:val="000000" w:themeColor="text1"/>
          <w:szCs w:val="21"/>
          <w14:textFill>
            <w14:solidFill>
              <w14:schemeClr w14:val="tx1"/>
            </w14:solidFill>
          </w14:textFill>
        </w:rPr>
        <w:t>，从业人员</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人，营业收入为</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万元，资产总额为</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万元，属于</w:t>
      </w:r>
      <w:r>
        <w:rPr>
          <w:rFonts w:hint="eastAsia" w:ascii="宋体" w:hAnsi="宋体" w:eastAsia="宋体"/>
          <w:color w:val="000000" w:themeColor="text1"/>
          <w:szCs w:val="21"/>
          <w:u w:val="single"/>
          <w14:textFill>
            <w14:solidFill>
              <w14:schemeClr w14:val="tx1"/>
            </w14:solidFill>
          </w14:textFill>
        </w:rPr>
        <w:t>（中型企业、小型企业、微型企业）</w:t>
      </w:r>
      <w:r>
        <w:rPr>
          <w:rFonts w:hint="eastAsia" w:ascii="宋体" w:hAnsi="宋体" w:eastAsia="宋体"/>
          <w:color w:val="000000" w:themeColor="text1"/>
          <w:szCs w:val="21"/>
          <w14:textFill>
            <w14:solidFill>
              <w14:schemeClr w14:val="tx1"/>
            </w14:solidFill>
          </w14:textFill>
        </w:rPr>
        <w:t>；</w:t>
      </w:r>
    </w:p>
    <w:p w14:paraId="09A5B77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p w14:paraId="357B89F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以上企业，不属于大企业的分支机构，不存在控股股东为大企业的情形，也不存在与大企业的负责人为同一人的情形。</w:t>
      </w:r>
    </w:p>
    <w:p w14:paraId="5F67FA9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本企业对上述声明内容的真实性负责。如有虚假，将依法承担相应责任。</w:t>
      </w:r>
    </w:p>
    <w:p w14:paraId="3304EEA9">
      <w:pPr>
        <w:spacing w:line="360" w:lineRule="auto"/>
        <w:ind w:firstLine="420" w:firstLineChars="200"/>
        <w:rPr>
          <w:rFonts w:ascii="宋体" w:hAnsi="宋体" w:eastAsia="宋体"/>
          <w:color w:val="000000" w:themeColor="text1"/>
          <w:szCs w:val="21"/>
          <w14:textFill>
            <w14:solidFill>
              <w14:schemeClr w14:val="tx1"/>
            </w14:solidFill>
          </w14:textFill>
        </w:rPr>
      </w:pPr>
    </w:p>
    <w:p w14:paraId="5F449CA3">
      <w:pPr>
        <w:spacing w:line="360" w:lineRule="auto"/>
        <w:ind w:firstLine="5040" w:firstLineChars="24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投标人名称（电子签章）：</w:t>
      </w:r>
    </w:p>
    <w:p w14:paraId="663A11D9">
      <w:pPr>
        <w:spacing w:line="360" w:lineRule="auto"/>
        <w:ind w:firstLine="5040" w:firstLineChars="24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年</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月</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日</w:t>
      </w:r>
    </w:p>
    <w:p w14:paraId="5CCB9C9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w:t>
      </w:r>
    </w:p>
    <w:p w14:paraId="0A43B9E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1、从业人员、营业收入、资产总额填报上一年度数据，无上一年度数据的新成立企业可不填报。</w:t>
      </w:r>
    </w:p>
    <w:p w14:paraId="6340AE3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2、请根据自己的真实情况出具《中小企业声明函》。依法享受中小企业优惠政策的，采购人或者采购代理机构在公告中标结果时，同时公告其《中小企业声明函》，接受社会监督。</w:t>
      </w:r>
    </w:p>
    <w:p w14:paraId="436823C9">
      <w:pPr>
        <w:spacing w:line="360" w:lineRule="auto"/>
        <w:ind w:firstLine="420" w:firstLineChars="200"/>
        <w:rPr>
          <w:rFonts w:ascii="宋体" w:hAnsi="宋体" w:eastAsia="宋体"/>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0D31AB84">
      <w:pPr>
        <w:pStyle w:val="3"/>
        <w:jc w:val="center"/>
        <w:rPr>
          <w:rFonts w:ascii="宋体" w:hAnsi="宋体" w:eastAsia="宋体"/>
          <w:color w:val="000000" w:themeColor="text1"/>
          <w:sz w:val="30"/>
          <w:szCs w:val="30"/>
          <w14:textFill>
            <w14:solidFill>
              <w14:schemeClr w14:val="tx1"/>
            </w14:solidFill>
          </w14:textFill>
        </w:rPr>
      </w:pPr>
      <w:bookmarkStart w:id="30" w:name="_Toc198316085"/>
      <w:r>
        <w:rPr>
          <w:rFonts w:hint="eastAsia" w:ascii="宋体" w:hAnsi="宋体" w:eastAsia="宋体"/>
          <w:color w:val="000000" w:themeColor="text1"/>
          <w:sz w:val="30"/>
          <w:szCs w:val="30"/>
          <w14:textFill>
            <w14:solidFill>
              <w14:schemeClr w14:val="tx1"/>
            </w14:solidFill>
          </w14:textFill>
        </w:rPr>
        <w:t>第六</w:t>
      </w:r>
      <w:r>
        <w:rPr>
          <w:rFonts w:hint="eastAsia" w:ascii="宋体" w:hAnsi="宋体" w:eastAsia="宋体"/>
          <w:color w:val="000000" w:themeColor="text1"/>
          <w:spacing w:val="120"/>
          <w:sz w:val="30"/>
          <w:szCs w:val="30"/>
          <w14:textFill>
            <w14:solidFill>
              <w14:schemeClr w14:val="tx1"/>
            </w14:solidFill>
          </w14:textFill>
        </w:rPr>
        <w:t>节</w:t>
      </w:r>
      <w:r>
        <w:rPr>
          <w:rFonts w:hint="eastAsia" w:ascii="宋体" w:hAnsi="宋体" w:eastAsia="宋体"/>
          <w:color w:val="000000" w:themeColor="text1"/>
          <w:sz w:val="30"/>
          <w:szCs w:val="30"/>
          <w14:textFill>
            <w14:solidFill>
              <w14:schemeClr w14:val="tx1"/>
            </w14:solidFill>
          </w14:textFill>
        </w:rPr>
        <w:t>其他文书、文件格式</w:t>
      </w:r>
      <w:bookmarkEnd w:id="30"/>
    </w:p>
    <w:p w14:paraId="458DA418">
      <w:pPr>
        <w:spacing w:line="360" w:lineRule="auto"/>
        <w:jc w:val="center"/>
        <w:rPr>
          <w:rFonts w:ascii="宋体" w:hAnsi="宋体" w:eastAsia="宋体"/>
          <w:b/>
          <w:color w:val="000000" w:themeColor="text1"/>
          <w:sz w:val="30"/>
          <w:szCs w:val="30"/>
          <w14:textFill>
            <w14:solidFill>
              <w14:schemeClr w14:val="tx1"/>
            </w14:solidFill>
          </w14:textFill>
        </w:rPr>
      </w:pPr>
      <w:r>
        <w:rPr>
          <w:rFonts w:hint="eastAsia" w:ascii="宋体" w:hAnsi="宋体" w:eastAsia="宋体"/>
          <w:b/>
          <w:color w:val="000000" w:themeColor="text1"/>
          <w:sz w:val="30"/>
          <w:szCs w:val="30"/>
          <w14:textFill>
            <w14:solidFill>
              <w14:schemeClr w14:val="tx1"/>
            </w14:solidFill>
          </w14:textFill>
        </w:rPr>
        <w:t>知识产权合规性声明</w:t>
      </w:r>
    </w:p>
    <w:p w14:paraId="65DD0EF3">
      <w:pPr>
        <w:spacing w:line="360" w:lineRule="auto"/>
        <w:ind w:firstLine="420" w:firstLineChars="200"/>
        <w:rPr>
          <w:rFonts w:ascii="宋体" w:hAnsi="宋体" w:eastAsia="宋体"/>
          <w:color w:val="000000" w:themeColor="text1"/>
          <w:szCs w:val="21"/>
          <w14:textFill>
            <w14:solidFill>
              <w14:schemeClr w14:val="tx1"/>
            </w14:solidFill>
          </w14:textFill>
        </w:rPr>
      </w:pPr>
    </w:p>
    <w:p w14:paraId="6C935F2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本企业（单位）自愿参与政府投资政府采购的</w:t>
      </w:r>
      <w:r>
        <w:rPr>
          <w:rFonts w:hint="eastAsia" w:ascii="宋体" w:hAnsi="宋体" w:eastAsia="宋体"/>
          <w:color w:val="000000" w:themeColor="text1"/>
          <w:szCs w:val="21"/>
          <w:u w:val="single"/>
          <w14:textFill>
            <w14:solidFill>
              <w14:schemeClr w14:val="tx1"/>
            </w14:solidFill>
          </w14:textFill>
        </w:rPr>
        <w:t>[项目采购-项目名称]</w:t>
      </w:r>
      <w:r>
        <w:rPr>
          <w:rFonts w:hint="eastAsia" w:ascii="宋体" w:hAnsi="宋体" w:eastAsia="宋体"/>
          <w:color w:val="000000" w:themeColor="text1"/>
          <w:szCs w:val="21"/>
          <w14:textFill>
            <w14:solidFill>
              <w14:schemeClr w14:val="tx1"/>
            </w14:solidFill>
          </w14:textFill>
        </w:rPr>
        <w:t>项目，</w:t>
      </w:r>
      <w:r>
        <w:rPr>
          <w:rFonts w:hint="eastAsia" w:ascii="宋体" w:hAnsi="宋体" w:eastAsia="宋体"/>
          <w:b/>
          <w:color w:val="000000" w:themeColor="text1"/>
          <w:szCs w:val="21"/>
          <w14:textFill>
            <w14:solidFill>
              <w14:schemeClr w14:val="tx1"/>
            </w14:solidFill>
          </w14:textFill>
        </w:rPr>
        <w:t>在此郑重承诺</w:t>
      </w:r>
      <w:r>
        <w:rPr>
          <w:rFonts w:hint="eastAsia" w:ascii="宋体" w:hAnsi="宋体" w:eastAsia="宋体"/>
          <w:color w:val="000000" w:themeColor="text1"/>
          <w:szCs w:val="21"/>
          <w14:textFill>
            <w14:solidFill>
              <w14:schemeClr w14:val="tx1"/>
            </w14:solidFill>
          </w14:textFill>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6CB599E7">
      <w:pPr>
        <w:spacing w:line="360" w:lineRule="auto"/>
        <w:ind w:firstLine="420" w:firstLineChars="200"/>
        <w:rPr>
          <w:rFonts w:ascii="宋体" w:hAnsi="宋体" w:eastAsia="宋体"/>
          <w:color w:val="000000" w:themeColor="text1"/>
          <w:szCs w:val="21"/>
          <w14:textFill>
            <w14:solidFill>
              <w14:schemeClr w14:val="tx1"/>
            </w14:solidFill>
          </w14:textFill>
        </w:rPr>
      </w:pPr>
    </w:p>
    <w:p w14:paraId="0DDE2B2E">
      <w:pPr>
        <w:spacing w:line="360" w:lineRule="auto"/>
        <w:ind w:firstLine="5040" w:firstLineChars="24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投标人名称（电子签章）：</w:t>
      </w:r>
    </w:p>
    <w:p w14:paraId="1F2B4BB8">
      <w:pPr>
        <w:spacing w:line="360" w:lineRule="auto"/>
        <w:ind w:firstLine="5040" w:firstLineChars="24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年</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月</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日</w:t>
      </w:r>
    </w:p>
    <w:p w14:paraId="5B049AAC">
      <w:pPr>
        <w:spacing w:line="360" w:lineRule="auto"/>
        <w:ind w:firstLine="420" w:firstLineChars="200"/>
        <w:rPr>
          <w:rFonts w:ascii="宋体" w:hAnsi="宋体" w:eastAsia="宋体"/>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5AAEA79A">
      <w:pPr>
        <w:spacing w:line="360" w:lineRule="auto"/>
        <w:jc w:val="center"/>
        <w:rPr>
          <w:rFonts w:ascii="宋体" w:hAnsi="宋体" w:eastAsia="宋体"/>
          <w:b/>
          <w:color w:val="000000" w:themeColor="text1"/>
          <w:sz w:val="30"/>
          <w:szCs w:val="30"/>
          <w14:textFill>
            <w14:solidFill>
              <w14:schemeClr w14:val="tx1"/>
            </w14:solidFill>
          </w14:textFill>
        </w:rPr>
      </w:pPr>
      <w:r>
        <w:rPr>
          <w:rFonts w:hint="eastAsia" w:ascii="宋体" w:hAnsi="宋体" w:eastAsia="宋体"/>
          <w:b/>
          <w:color w:val="000000" w:themeColor="text1"/>
          <w:sz w:val="30"/>
          <w:szCs w:val="30"/>
          <w14:textFill>
            <w14:solidFill>
              <w14:schemeClr w14:val="tx1"/>
            </w14:solidFill>
          </w14:textFill>
        </w:rPr>
        <w:t>残疾人福利性单位声明函（格式）</w:t>
      </w:r>
    </w:p>
    <w:p w14:paraId="7960A718">
      <w:pPr>
        <w:spacing w:line="360" w:lineRule="auto"/>
        <w:ind w:firstLine="420" w:firstLineChars="200"/>
        <w:rPr>
          <w:rFonts w:ascii="宋体" w:hAnsi="宋体" w:eastAsia="宋体"/>
          <w:color w:val="000000" w:themeColor="text1"/>
          <w:szCs w:val="21"/>
          <w14:textFill>
            <w14:solidFill>
              <w14:schemeClr w14:val="tx1"/>
            </w14:solidFill>
          </w14:textFill>
        </w:rPr>
      </w:pPr>
    </w:p>
    <w:p w14:paraId="0BF72FF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eastAsia="宋体"/>
          <w:color w:val="000000" w:themeColor="text1"/>
          <w:szCs w:val="21"/>
          <w:u w:val="single"/>
          <w14:textFill>
            <w14:solidFill>
              <w14:schemeClr w14:val="tx1"/>
            </w14:solidFill>
          </w14:textFill>
        </w:rPr>
        <w:t>[项目采购-采购人]</w:t>
      </w:r>
      <w:r>
        <w:rPr>
          <w:rFonts w:hint="eastAsia" w:ascii="宋体" w:hAnsi="宋体" w:eastAsia="宋体"/>
          <w:color w:val="000000" w:themeColor="text1"/>
          <w:szCs w:val="21"/>
          <w14:textFill>
            <w14:solidFill>
              <w14:schemeClr w14:val="tx1"/>
            </w14:solidFill>
          </w14:textFill>
        </w:rPr>
        <w:t>单位的</w:t>
      </w:r>
      <w:r>
        <w:rPr>
          <w:rFonts w:hint="eastAsia" w:ascii="宋体" w:hAnsi="宋体" w:eastAsia="宋体"/>
          <w:color w:val="000000" w:themeColor="text1"/>
          <w:szCs w:val="21"/>
          <w:u w:val="single"/>
          <w14:textFill>
            <w14:solidFill>
              <w14:schemeClr w14:val="tx1"/>
            </w14:solidFill>
          </w14:textFill>
        </w:rPr>
        <w:t>[项目采购-项目名称]</w:t>
      </w:r>
      <w:r>
        <w:rPr>
          <w:rFonts w:hint="eastAsia" w:ascii="宋体" w:hAnsi="宋体" w:eastAsia="宋体"/>
          <w:color w:val="000000" w:themeColor="text1"/>
          <w:szCs w:val="21"/>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24F8E8E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本单位对上述声明的真实性负责。如有虚假，将依法承担相应责任。</w:t>
      </w:r>
    </w:p>
    <w:p w14:paraId="7C0AF61F">
      <w:pPr>
        <w:spacing w:line="360" w:lineRule="auto"/>
        <w:ind w:firstLine="420" w:firstLineChars="200"/>
        <w:rPr>
          <w:rFonts w:ascii="宋体" w:hAnsi="宋体" w:eastAsia="宋体"/>
          <w:color w:val="000000" w:themeColor="text1"/>
          <w:szCs w:val="21"/>
          <w14:textFill>
            <w14:solidFill>
              <w14:schemeClr w14:val="tx1"/>
            </w14:solidFill>
          </w14:textFill>
        </w:rPr>
      </w:pPr>
    </w:p>
    <w:p w14:paraId="4B91032A">
      <w:pPr>
        <w:spacing w:line="360" w:lineRule="auto"/>
        <w:ind w:firstLine="5040" w:firstLineChars="24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投标人名称（电子签章）：</w:t>
      </w:r>
    </w:p>
    <w:p w14:paraId="15333E7F">
      <w:pPr>
        <w:spacing w:line="360" w:lineRule="auto"/>
        <w:ind w:firstLine="5040" w:firstLineChars="24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年</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月</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日</w:t>
      </w:r>
    </w:p>
    <w:p w14:paraId="69F1589D">
      <w:pPr>
        <w:spacing w:line="360" w:lineRule="auto"/>
        <w:ind w:firstLine="420" w:firstLineChars="200"/>
        <w:rPr>
          <w:rFonts w:ascii="宋体" w:hAnsi="宋体" w:eastAsia="宋体"/>
          <w:color w:val="000000" w:themeColor="text1"/>
          <w:szCs w:val="21"/>
          <w14:textFill>
            <w14:solidFill>
              <w14:schemeClr w14:val="tx1"/>
            </w14:solidFill>
          </w14:textFill>
        </w:rPr>
      </w:pPr>
    </w:p>
    <w:p w14:paraId="6AE16E0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6545F693">
      <w:pPr>
        <w:spacing w:line="360" w:lineRule="auto"/>
        <w:ind w:firstLine="420" w:firstLineChars="200"/>
        <w:rPr>
          <w:rFonts w:ascii="宋体" w:hAnsi="宋体" w:eastAsia="宋体"/>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481159EA">
      <w:pPr>
        <w:spacing w:line="360" w:lineRule="auto"/>
        <w:ind w:firstLine="420" w:firstLineChars="200"/>
        <w:rPr>
          <w:rFonts w:ascii="宋体" w:hAnsi="宋体" w:eastAsia="宋体"/>
          <w:color w:val="000000" w:themeColor="text1"/>
          <w:szCs w:val="21"/>
          <w14:textFill>
            <w14:solidFill>
              <w14:schemeClr w14:val="tx1"/>
            </w14:solidFill>
          </w14:textFill>
        </w:rPr>
      </w:pPr>
    </w:p>
    <w:p w14:paraId="5CB35127">
      <w:pPr>
        <w:spacing w:line="360" w:lineRule="auto"/>
        <w:ind w:firstLine="420" w:firstLineChars="200"/>
        <w:rPr>
          <w:rFonts w:ascii="宋体" w:hAnsi="宋体" w:eastAsia="宋体"/>
          <w:color w:val="000000" w:themeColor="text1"/>
          <w:szCs w:val="21"/>
          <w14:textFill>
            <w14:solidFill>
              <w14:schemeClr w14:val="tx1"/>
            </w14:solidFill>
          </w14:textFill>
        </w:rPr>
      </w:pPr>
    </w:p>
    <w:p w14:paraId="663D3BA1">
      <w:pPr>
        <w:spacing w:line="360" w:lineRule="auto"/>
        <w:ind w:firstLine="420" w:firstLineChars="200"/>
        <w:rPr>
          <w:rFonts w:ascii="宋体" w:hAnsi="宋体" w:eastAsia="宋体"/>
          <w:color w:val="000000" w:themeColor="text1"/>
          <w:szCs w:val="21"/>
          <w14:textFill>
            <w14:solidFill>
              <w14:schemeClr w14:val="tx1"/>
            </w14:solidFill>
          </w14:textFill>
        </w:rPr>
      </w:pPr>
    </w:p>
    <w:p w14:paraId="56256FFF">
      <w:pPr>
        <w:spacing w:line="360" w:lineRule="auto"/>
        <w:ind w:firstLine="420" w:firstLineChars="200"/>
        <w:rPr>
          <w:rFonts w:ascii="宋体" w:hAnsi="宋体" w:eastAsia="宋体"/>
          <w:color w:val="000000" w:themeColor="text1"/>
          <w:szCs w:val="21"/>
          <w14:textFill>
            <w14:solidFill>
              <w14:schemeClr w14:val="tx1"/>
            </w14:solidFill>
          </w14:textFill>
        </w:rPr>
      </w:pPr>
    </w:p>
    <w:p w14:paraId="754661AD">
      <w:pPr>
        <w:spacing w:line="360" w:lineRule="auto"/>
        <w:ind w:firstLine="420" w:firstLineChars="200"/>
        <w:rPr>
          <w:rFonts w:ascii="宋体" w:hAnsi="宋体" w:eastAsia="宋体"/>
          <w:color w:val="000000" w:themeColor="text1"/>
          <w:szCs w:val="21"/>
          <w14:textFill>
            <w14:solidFill>
              <w14:schemeClr w14:val="tx1"/>
            </w14:solidFill>
          </w14:textFill>
        </w:rPr>
      </w:pPr>
    </w:p>
    <w:p w14:paraId="281E1419">
      <w:pPr>
        <w:spacing w:line="360" w:lineRule="auto"/>
        <w:ind w:firstLine="420" w:firstLineChars="200"/>
        <w:rPr>
          <w:rFonts w:ascii="宋体" w:hAnsi="宋体" w:eastAsia="宋体"/>
          <w:color w:val="000000" w:themeColor="text1"/>
          <w:szCs w:val="21"/>
          <w14:textFill>
            <w14:solidFill>
              <w14:schemeClr w14:val="tx1"/>
            </w14:solidFill>
          </w14:textFill>
        </w:rPr>
      </w:pPr>
    </w:p>
    <w:p w14:paraId="24F5CC70">
      <w:pPr>
        <w:spacing w:line="360" w:lineRule="auto"/>
        <w:ind w:firstLine="420" w:firstLineChars="200"/>
        <w:rPr>
          <w:rFonts w:ascii="宋体" w:hAnsi="宋体" w:eastAsia="宋体"/>
          <w:color w:val="000000" w:themeColor="text1"/>
          <w:szCs w:val="21"/>
          <w14:textFill>
            <w14:solidFill>
              <w14:schemeClr w14:val="tx1"/>
            </w14:solidFill>
          </w14:textFill>
        </w:rPr>
      </w:pPr>
    </w:p>
    <w:p w14:paraId="04B0B7DD">
      <w:pPr>
        <w:spacing w:line="360" w:lineRule="auto"/>
        <w:ind w:firstLine="420" w:firstLineChars="200"/>
        <w:rPr>
          <w:rFonts w:ascii="宋体" w:hAnsi="宋体" w:eastAsia="宋体"/>
          <w:color w:val="000000" w:themeColor="text1"/>
          <w:szCs w:val="21"/>
          <w14:textFill>
            <w14:solidFill>
              <w14:schemeClr w14:val="tx1"/>
            </w14:solidFill>
          </w14:textFill>
        </w:rPr>
      </w:pPr>
    </w:p>
    <w:p w14:paraId="0A8A3E3A">
      <w:pPr>
        <w:spacing w:line="360" w:lineRule="auto"/>
        <w:ind w:firstLine="420" w:firstLineChars="200"/>
        <w:rPr>
          <w:rFonts w:ascii="宋体" w:hAnsi="宋体" w:eastAsia="宋体"/>
          <w:color w:val="000000" w:themeColor="text1"/>
          <w:szCs w:val="21"/>
          <w14:textFill>
            <w14:solidFill>
              <w14:schemeClr w14:val="tx1"/>
            </w14:solidFill>
          </w14:textFill>
        </w:rPr>
      </w:pPr>
    </w:p>
    <w:p w14:paraId="7481FF99">
      <w:pPr>
        <w:spacing w:line="360" w:lineRule="auto"/>
        <w:ind w:firstLine="420" w:firstLineChars="200"/>
        <w:rPr>
          <w:rFonts w:ascii="宋体" w:hAnsi="宋体" w:eastAsia="宋体"/>
          <w:color w:val="000000" w:themeColor="text1"/>
          <w:szCs w:val="21"/>
          <w14:textFill>
            <w14:solidFill>
              <w14:schemeClr w14:val="tx1"/>
            </w14:solidFill>
          </w14:textFill>
        </w:rPr>
      </w:pPr>
    </w:p>
    <w:p w14:paraId="3A378A31">
      <w:pPr>
        <w:spacing w:line="360" w:lineRule="auto"/>
        <w:ind w:firstLine="420" w:firstLineChars="200"/>
        <w:rPr>
          <w:rFonts w:ascii="宋体" w:hAnsi="宋体" w:eastAsia="宋体"/>
          <w:color w:val="000000" w:themeColor="text1"/>
          <w:szCs w:val="21"/>
          <w14:textFill>
            <w14:solidFill>
              <w14:schemeClr w14:val="tx1"/>
            </w14:solidFill>
          </w14:textFill>
        </w:rPr>
      </w:pPr>
    </w:p>
    <w:p w14:paraId="7FBD4C25">
      <w:pPr>
        <w:pStyle w:val="2"/>
        <w:spacing w:before="0" w:after="0" w:line="240" w:lineRule="auto"/>
        <w:jc w:val="center"/>
        <w:rPr>
          <w:rFonts w:ascii="宋体" w:hAnsi="宋体" w:eastAsia="宋体"/>
          <w:color w:val="000000" w:themeColor="text1"/>
          <w:sz w:val="36"/>
          <w:szCs w:val="36"/>
          <w14:textFill>
            <w14:solidFill>
              <w14:schemeClr w14:val="tx1"/>
            </w14:solidFill>
          </w14:textFill>
        </w:rPr>
      </w:pPr>
      <w:bookmarkStart w:id="31" w:name="_Toc198316086"/>
      <w:r>
        <w:rPr>
          <w:rFonts w:hint="eastAsia" w:ascii="宋体" w:hAnsi="宋体" w:eastAsia="宋体"/>
          <w:color w:val="000000" w:themeColor="text1"/>
          <w:sz w:val="36"/>
          <w:szCs w:val="36"/>
          <w14:textFill>
            <w14:solidFill>
              <w14:schemeClr w14:val="tx1"/>
            </w14:solidFill>
          </w14:textFill>
        </w:rPr>
        <w:t>第七</w:t>
      </w:r>
      <w:r>
        <w:rPr>
          <w:rFonts w:hint="eastAsia" w:ascii="宋体" w:hAnsi="宋体" w:eastAsia="宋体"/>
          <w:color w:val="000000" w:themeColor="text1"/>
          <w:spacing w:val="120"/>
          <w:sz w:val="36"/>
          <w:szCs w:val="36"/>
          <w14:textFill>
            <w14:solidFill>
              <w14:schemeClr w14:val="tx1"/>
            </w14:solidFill>
          </w14:textFill>
        </w:rPr>
        <w:t>章</w:t>
      </w:r>
      <w:r>
        <w:rPr>
          <w:rFonts w:hint="eastAsia" w:ascii="宋体" w:hAnsi="宋体" w:eastAsia="宋体"/>
          <w:color w:val="000000" w:themeColor="text1"/>
          <w:sz w:val="36"/>
          <w:szCs w:val="36"/>
          <w14:textFill>
            <w14:solidFill>
              <w14:schemeClr w14:val="tx1"/>
            </w14:solidFill>
          </w14:textFill>
        </w:rPr>
        <w:t>质疑、投诉证明材料格式</w:t>
      </w:r>
      <w:bookmarkEnd w:id="31"/>
    </w:p>
    <w:p w14:paraId="1C1F192F">
      <w:pPr>
        <w:spacing w:line="360" w:lineRule="auto"/>
        <w:ind w:firstLine="420" w:firstLineChars="200"/>
        <w:rPr>
          <w:rFonts w:ascii="宋体" w:hAnsi="宋体" w:eastAsia="宋体"/>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7015EFB8">
      <w:pPr>
        <w:pStyle w:val="3"/>
        <w:jc w:val="center"/>
        <w:rPr>
          <w:rFonts w:ascii="宋体" w:hAnsi="宋体" w:eastAsia="宋体"/>
          <w:color w:val="000000" w:themeColor="text1"/>
          <w:sz w:val="30"/>
          <w:szCs w:val="30"/>
          <w14:textFill>
            <w14:solidFill>
              <w14:schemeClr w14:val="tx1"/>
            </w14:solidFill>
          </w14:textFill>
        </w:rPr>
      </w:pPr>
      <w:bookmarkStart w:id="32" w:name="_Toc198316087"/>
      <w:bookmarkStart w:id="33" w:name="_Toc142414060"/>
      <w:r>
        <w:rPr>
          <w:rFonts w:hint="eastAsia" w:ascii="宋体" w:hAnsi="宋体" w:eastAsia="宋体"/>
          <w:color w:val="000000" w:themeColor="text1"/>
          <w:sz w:val="30"/>
          <w:szCs w:val="30"/>
          <w14:textFill>
            <w14:solidFill>
              <w14:schemeClr w14:val="tx1"/>
            </w14:solidFill>
          </w14:textFill>
        </w:rPr>
        <w:t>第一</w:t>
      </w:r>
      <w:r>
        <w:rPr>
          <w:rFonts w:hint="eastAsia" w:ascii="宋体" w:hAnsi="宋体" w:eastAsia="宋体"/>
          <w:color w:val="000000" w:themeColor="text1"/>
          <w:spacing w:val="120"/>
          <w:sz w:val="30"/>
          <w:szCs w:val="30"/>
          <w14:textFill>
            <w14:solidFill>
              <w14:schemeClr w14:val="tx1"/>
            </w14:solidFill>
          </w14:textFill>
        </w:rPr>
        <w:t>节</w:t>
      </w:r>
      <w:r>
        <w:rPr>
          <w:rFonts w:hint="eastAsia" w:ascii="宋体" w:hAnsi="宋体" w:eastAsia="宋体"/>
          <w:color w:val="000000" w:themeColor="text1"/>
          <w:sz w:val="30"/>
          <w:szCs w:val="30"/>
          <w14:textFill>
            <w14:solidFill>
              <w14:schemeClr w14:val="tx1"/>
            </w14:solidFill>
          </w14:textFill>
        </w:rPr>
        <w:t>质疑函（格式）</w:t>
      </w:r>
      <w:bookmarkEnd w:id="32"/>
      <w:bookmarkEnd w:id="33"/>
    </w:p>
    <w:p w14:paraId="149A6945">
      <w:pPr>
        <w:spacing w:line="360" w:lineRule="auto"/>
        <w:jc w:val="center"/>
        <w:rPr>
          <w:rFonts w:ascii="宋体" w:hAnsi="宋体" w:eastAsia="宋体"/>
          <w:b/>
          <w:color w:val="000000" w:themeColor="text1"/>
          <w:sz w:val="44"/>
          <w:szCs w:val="44"/>
          <w14:textFill>
            <w14:solidFill>
              <w14:schemeClr w14:val="tx1"/>
            </w14:solidFill>
          </w14:textFill>
        </w:rPr>
      </w:pPr>
      <w:r>
        <w:rPr>
          <w:rFonts w:hint="eastAsia" w:ascii="宋体" w:hAnsi="宋体" w:eastAsia="宋体"/>
          <w:b/>
          <w:color w:val="000000" w:themeColor="text1"/>
          <w:sz w:val="44"/>
          <w:szCs w:val="44"/>
          <w14:textFill>
            <w14:solidFill>
              <w14:schemeClr w14:val="tx1"/>
            </w14:solidFill>
          </w14:textFill>
        </w:rPr>
        <w:t>质疑函范本</w:t>
      </w:r>
    </w:p>
    <w:p w14:paraId="02C546A0">
      <w:pPr>
        <w:spacing w:line="360" w:lineRule="auto"/>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一、质疑供应商基本信息</w:t>
      </w:r>
    </w:p>
    <w:p w14:paraId="65331155">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质疑供应商：</w:t>
      </w:r>
      <w:r>
        <w:rPr>
          <w:rFonts w:ascii="宋体" w:hAnsi="宋体" w:eastAsia="宋体"/>
          <w:color w:val="000000" w:themeColor="text1"/>
          <w:szCs w:val="21"/>
          <w:u w:val="single"/>
          <w14:textFill>
            <w14:solidFill>
              <w14:schemeClr w14:val="tx1"/>
            </w14:solidFill>
          </w14:textFill>
        </w:rPr>
        <w:t xml:space="preserve">                                                                                 </w:t>
      </w:r>
    </w:p>
    <w:p w14:paraId="732CE656">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地址：</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邮编：</w:t>
      </w:r>
      <w:r>
        <w:rPr>
          <w:rFonts w:ascii="宋体" w:hAnsi="宋体" w:eastAsia="宋体"/>
          <w:color w:val="000000" w:themeColor="text1"/>
          <w:szCs w:val="21"/>
          <w:u w:val="single"/>
          <w14:textFill>
            <w14:solidFill>
              <w14:schemeClr w14:val="tx1"/>
            </w14:solidFill>
          </w14:textFill>
        </w:rPr>
        <w:t xml:space="preserve">                                        </w:t>
      </w:r>
    </w:p>
    <w:p w14:paraId="1C8D56C6">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联系人：</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联系电话：</w:t>
      </w:r>
      <w:r>
        <w:rPr>
          <w:rFonts w:ascii="宋体" w:hAnsi="宋体" w:eastAsia="宋体"/>
          <w:color w:val="000000" w:themeColor="text1"/>
          <w:szCs w:val="21"/>
          <w:u w:val="single"/>
          <w14:textFill>
            <w14:solidFill>
              <w14:schemeClr w14:val="tx1"/>
            </w14:solidFill>
          </w14:textFill>
        </w:rPr>
        <w:t xml:space="preserve">                                      </w:t>
      </w:r>
    </w:p>
    <w:p w14:paraId="7546A233">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授权代表：</w:t>
      </w:r>
      <w:r>
        <w:rPr>
          <w:rFonts w:ascii="宋体" w:hAnsi="宋体" w:eastAsia="宋体"/>
          <w:color w:val="000000" w:themeColor="text1"/>
          <w:szCs w:val="21"/>
          <w:u w:val="single"/>
          <w14:textFill>
            <w14:solidFill>
              <w14:schemeClr w14:val="tx1"/>
            </w14:solidFill>
          </w14:textFill>
        </w:rPr>
        <w:t xml:space="preserve">                                                                                   </w:t>
      </w:r>
    </w:p>
    <w:p w14:paraId="31C9682D">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联系电话：</w:t>
      </w:r>
      <w:r>
        <w:rPr>
          <w:rFonts w:ascii="宋体" w:hAnsi="宋体" w:eastAsia="宋体"/>
          <w:color w:val="000000" w:themeColor="text1"/>
          <w:szCs w:val="21"/>
          <w:u w:val="single"/>
          <w14:textFill>
            <w14:solidFill>
              <w14:schemeClr w14:val="tx1"/>
            </w14:solidFill>
          </w14:textFill>
        </w:rPr>
        <w:t xml:space="preserve">                                                                                   </w:t>
      </w:r>
    </w:p>
    <w:p w14:paraId="16AE64AF">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地址：</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邮编：</w:t>
      </w:r>
      <w:r>
        <w:rPr>
          <w:rFonts w:ascii="宋体" w:hAnsi="宋体" w:eastAsia="宋体"/>
          <w:color w:val="000000" w:themeColor="text1"/>
          <w:szCs w:val="21"/>
          <w:u w:val="single"/>
          <w14:textFill>
            <w14:solidFill>
              <w14:schemeClr w14:val="tx1"/>
            </w14:solidFill>
          </w14:textFill>
        </w:rPr>
        <w:t xml:space="preserve">                                         </w:t>
      </w:r>
    </w:p>
    <w:p w14:paraId="3B595B5A">
      <w:pPr>
        <w:spacing w:line="360" w:lineRule="auto"/>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二、质疑项目基本情况</w:t>
      </w:r>
    </w:p>
    <w:p w14:paraId="6E125400">
      <w:pPr>
        <w:spacing w:line="360"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质疑项目的名称：</w:t>
      </w:r>
      <w:r>
        <w:rPr>
          <w:rFonts w:hint="eastAsia" w:ascii="宋体" w:hAnsi="宋体" w:eastAsia="宋体"/>
          <w:color w:val="000000" w:themeColor="text1"/>
          <w:szCs w:val="21"/>
          <w:u w:val="single"/>
          <w14:textFill>
            <w14:solidFill>
              <w14:schemeClr w14:val="tx1"/>
            </w14:solidFill>
          </w14:textFill>
        </w:rPr>
        <w:t>[项目采购-项目名称17]</w:t>
      </w:r>
    </w:p>
    <w:p w14:paraId="502D68B4">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质疑项目的编号：</w:t>
      </w:r>
      <w:r>
        <w:rPr>
          <w:rFonts w:hint="eastAsia" w:ascii="宋体" w:hAnsi="宋体" w:eastAsia="宋体"/>
          <w:color w:val="000000" w:themeColor="text1"/>
          <w:szCs w:val="21"/>
          <w:u w:val="single"/>
          <w14:textFill>
            <w14:solidFill>
              <w14:schemeClr w14:val="tx1"/>
            </w14:solidFill>
          </w14:textFill>
        </w:rPr>
        <w:t>[项目采购-项目编号13]</w:t>
      </w:r>
      <w:r>
        <w:rPr>
          <w:rFonts w:hint="eastAsia" w:ascii="宋体" w:hAnsi="宋体" w:eastAsia="宋体"/>
          <w:color w:val="000000" w:themeColor="text1"/>
          <w:szCs w:val="21"/>
          <w14:textFill>
            <w14:solidFill>
              <w14:schemeClr w14:val="tx1"/>
            </w14:solidFill>
          </w14:textFill>
        </w:rPr>
        <w:t>包号：</w:t>
      </w:r>
      <w:r>
        <w:rPr>
          <w:rFonts w:ascii="宋体" w:hAnsi="宋体" w:eastAsia="宋体"/>
          <w:color w:val="000000" w:themeColor="text1"/>
          <w:szCs w:val="21"/>
          <w:u w:val="single"/>
          <w14:textFill>
            <w14:solidFill>
              <w14:schemeClr w14:val="tx1"/>
            </w14:solidFill>
          </w14:textFill>
        </w:rPr>
        <w:t xml:space="preserve">                                                 </w:t>
      </w:r>
    </w:p>
    <w:p w14:paraId="7916A006">
      <w:pPr>
        <w:spacing w:line="360"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采购人名称：</w:t>
      </w:r>
      <w:r>
        <w:rPr>
          <w:rFonts w:hint="eastAsia" w:ascii="宋体" w:hAnsi="宋体" w:eastAsia="宋体"/>
          <w:color w:val="000000" w:themeColor="text1"/>
          <w:szCs w:val="21"/>
          <w:u w:val="single"/>
          <w14:textFill>
            <w14:solidFill>
              <w14:schemeClr w14:val="tx1"/>
            </w14:solidFill>
          </w14:textFill>
        </w:rPr>
        <w:t>[项目采购-采购人_3]</w:t>
      </w:r>
    </w:p>
    <w:p w14:paraId="7405EFD3">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采购文件获取日期：</w:t>
      </w:r>
      <w:r>
        <w:rPr>
          <w:rFonts w:ascii="宋体" w:hAnsi="宋体" w:eastAsia="宋体"/>
          <w:color w:val="000000" w:themeColor="text1"/>
          <w:szCs w:val="21"/>
          <w:u w:val="single"/>
          <w14:textFill>
            <w14:solidFill>
              <w14:schemeClr w14:val="tx1"/>
            </w14:solidFill>
          </w14:textFill>
        </w:rPr>
        <w:t xml:space="preserve">                                                                           </w:t>
      </w:r>
    </w:p>
    <w:p w14:paraId="22CE765A">
      <w:pPr>
        <w:spacing w:line="360" w:lineRule="auto"/>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三、质疑事项具体内容</w:t>
      </w:r>
    </w:p>
    <w:p w14:paraId="659F288B">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质疑事项1：</w:t>
      </w:r>
      <w:r>
        <w:rPr>
          <w:rFonts w:ascii="宋体" w:hAnsi="宋体" w:eastAsia="宋体"/>
          <w:color w:val="000000" w:themeColor="text1"/>
          <w:szCs w:val="21"/>
          <w:u w:val="single"/>
          <w14:textFill>
            <w14:solidFill>
              <w14:schemeClr w14:val="tx1"/>
            </w14:solidFill>
          </w14:textFill>
        </w:rPr>
        <w:t xml:space="preserve">                                                                                  </w:t>
      </w:r>
    </w:p>
    <w:p w14:paraId="25E35223">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事实依据：</w:t>
      </w:r>
      <w:r>
        <w:rPr>
          <w:rFonts w:ascii="宋体" w:hAnsi="宋体" w:eastAsia="宋体"/>
          <w:color w:val="000000" w:themeColor="text1"/>
          <w:szCs w:val="21"/>
          <w:u w:val="single"/>
          <w14:textFill>
            <w14:solidFill>
              <w14:schemeClr w14:val="tx1"/>
            </w14:solidFill>
          </w14:textFill>
        </w:rPr>
        <w:t xml:space="preserve">                                                                                   </w:t>
      </w:r>
    </w:p>
    <w:p w14:paraId="1CD2C2F0">
      <w:pPr>
        <w:spacing w:line="360" w:lineRule="auto"/>
        <w:rPr>
          <w:rFonts w:ascii="宋体" w:hAnsi="宋体" w:eastAsia="宋体"/>
          <w:color w:val="000000" w:themeColor="text1"/>
          <w:szCs w:val="21"/>
          <w14:textFill>
            <w14:solidFill>
              <w14:schemeClr w14:val="tx1"/>
            </w14:solidFill>
          </w14:textFill>
        </w:rPr>
      </w:pPr>
    </w:p>
    <w:p w14:paraId="5C8D29D5">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法律依据：</w:t>
      </w:r>
      <w:r>
        <w:rPr>
          <w:rFonts w:ascii="宋体" w:hAnsi="宋体" w:eastAsia="宋体"/>
          <w:color w:val="000000" w:themeColor="text1"/>
          <w:szCs w:val="21"/>
          <w:u w:val="single"/>
          <w14:textFill>
            <w14:solidFill>
              <w14:schemeClr w14:val="tx1"/>
            </w14:solidFill>
          </w14:textFill>
        </w:rPr>
        <w:t xml:space="preserve">                                                                                   </w:t>
      </w:r>
    </w:p>
    <w:p w14:paraId="2E8AB682">
      <w:pPr>
        <w:spacing w:line="360" w:lineRule="auto"/>
        <w:rPr>
          <w:rFonts w:ascii="宋体" w:hAnsi="宋体" w:eastAsia="宋体"/>
          <w:color w:val="000000" w:themeColor="text1"/>
          <w:szCs w:val="21"/>
          <w14:textFill>
            <w14:solidFill>
              <w14:schemeClr w14:val="tx1"/>
            </w14:solidFill>
          </w14:textFill>
        </w:rPr>
      </w:pPr>
    </w:p>
    <w:p w14:paraId="1A8862CF">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质疑事项2</w:t>
      </w:r>
      <w:r>
        <w:rPr>
          <w:rFonts w:ascii="宋体" w:hAnsi="宋体" w:eastAsia="宋体"/>
          <w:color w:val="000000" w:themeColor="text1"/>
          <w:szCs w:val="21"/>
          <w:u w:val="single"/>
          <w14:textFill>
            <w14:solidFill>
              <w14:schemeClr w14:val="tx1"/>
            </w14:solidFill>
          </w14:textFill>
        </w:rPr>
        <w:t xml:space="preserve">                                                                                   </w:t>
      </w:r>
    </w:p>
    <w:p w14:paraId="7D4360E8">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p w14:paraId="1CE9AFF3">
      <w:pPr>
        <w:spacing w:line="360" w:lineRule="auto"/>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四、与质疑事项相关的质疑请求</w:t>
      </w:r>
    </w:p>
    <w:p w14:paraId="4C0FC6EE">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请求：</w:t>
      </w:r>
      <w:r>
        <w:rPr>
          <w:rFonts w:ascii="宋体" w:hAnsi="宋体" w:eastAsia="宋体"/>
          <w:color w:val="000000" w:themeColor="text1"/>
          <w:szCs w:val="21"/>
          <w:u w:val="single"/>
          <w14:textFill>
            <w14:solidFill>
              <w14:schemeClr w14:val="tx1"/>
            </w14:solidFill>
          </w14:textFill>
        </w:rPr>
        <w:t xml:space="preserve">                                                                                       </w:t>
      </w:r>
    </w:p>
    <w:p w14:paraId="144F8782">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签字（签章）：</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公章：</w:t>
      </w:r>
      <w:r>
        <w:rPr>
          <w:rFonts w:ascii="宋体" w:hAnsi="宋体" w:eastAsia="宋体"/>
          <w:color w:val="000000" w:themeColor="text1"/>
          <w:szCs w:val="21"/>
          <w:u w:val="single"/>
          <w14:textFill>
            <w14:solidFill>
              <w14:schemeClr w14:val="tx1"/>
            </w14:solidFill>
          </w14:textFill>
        </w:rPr>
        <w:t xml:space="preserve">                                     </w:t>
      </w:r>
    </w:p>
    <w:p w14:paraId="4A0E410C">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p>
    <w:p w14:paraId="1FE23364">
      <w:pPr>
        <w:spacing w:line="360" w:lineRule="auto"/>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质疑函制作说明：</w:t>
      </w:r>
    </w:p>
    <w:p w14:paraId="43DA487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1.供应商提出质疑时，应提交质疑函和必要的证明材料。</w:t>
      </w:r>
    </w:p>
    <w:p w14:paraId="281BAFF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93B48D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3.质疑供应商若对项目的某一分包进行质疑，质疑函中应列明具体分包号。</w:t>
      </w:r>
    </w:p>
    <w:p w14:paraId="02652D7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4.质疑函的质疑事项应具体、明确，并有必要的事实依据和法律依据。</w:t>
      </w:r>
    </w:p>
    <w:p w14:paraId="7E8E79F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5.质疑函的质疑请求应与质疑事项相关。</w:t>
      </w:r>
    </w:p>
    <w:p w14:paraId="3AE9A7A3">
      <w:pPr>
        <w:spacing w:line="360" w:lineRule="auto"/>
        <w:ind w:firstLine="420" w:firstLineChars="200"/>
        <w:rPr>
          <w:rFonts w:ascii="宋体" w:hAnsi="宋体" w:eastAsia="宋体"/>
          <w:color w:val="000000" w:themeColor="text1"/>
          <w:szCs w:val="21"/>
          <w14:textFill>
            <w14:solidFill>
              <w14:schemeClr w14:val="tx1"/>
            </w14:solidFill>
          </w14:textFill>
        </w:rPr>
        <w:sectPr>
          <w:pgSz w:w="11906" w:h="16838"/>
          <w:pgMar w:top="1134" w:right="1134" w:bottom="1134" w:left="1134" w:header="851" w:footer="992" w:gutter="0"/>
          <w:cols w:space="425" w:num="1"/>
          <w:docGrid w:type="lines" w:linePitch="312" w:charSpace="0"/>
        </w:sectPr>
      </w:pPr>
      <w:r>
        <w:rPr>
          <w:rFonts w:hint="eastAsia" w:ascii="宋体" w:hAnsi="宋体" w:eastAsia="宋体"/>
          <w:color w:val="000000" w:themeColor="text1"/>
          <w:szCs w:val="21"/>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30D0FDE5">
      <w:pPr>
        <w:pStyle w:val="3"/>
        <w:jc w:val="center"/>
        <w:rPr>
          <w:rFonts w:ascii="宋体" w:hAnsi="宋体" w:eastAsia="宋体"/>
          <w:color w:val="000000" w:themeColor="text1"/>
          <w:sz w:val="30"/>
          <w:szCs w:val="30"/>
          <w14:textFill>
            <w14:solidFill>
              <w14:schemeClr w14:val="tx1"/>
            </w14:solidFill>
          </w14:textFill>
        </w:rPr>
      </w:pPr>
      <w:bookmarkStart w:id="34" w:name="_Toc198316088"/>
      <w:bookmarkStart w:id="35" w:name="_Toc142414061"/>
      <w:r>
        <w:rPr>
          <w:rFonts w:hint="eastAsia" w:ascii="宋体" w:hAnsi="宋体" w:eastAsia="宋体"/>
          <w:color w:val="000000" w:themeColor="text1"/>
          <w:sz w:val="30"/>
          <w:szCs w:val="30"/>
          <w14:textFill>
            <w14:solidFill>
              <w14:schemeClr w14:val="tx1"/>
            </w14:solidFill>
          </w14:textFill>
        </w:rPr>
        <w:t>第二</w:t>
      </w:r>
      <w:r>
        <w:rPr>
          <w:rFonts w:hint="eastAsia" w:ascii="宋体" w:hAnsi="宋体" w:eastAsia="宋体"/>
          <w:color w:val="000000" w:themeColor="text1"/>
          <w:spacing w:val="120"/>
          <w:sz w:val="30"/>
          <w:szCs w:val="30"/>
          <w14:textFill>
            <w14:solidFill>
              <w14:schemeClr w14:val="tx1"/>
            </w14:solidFill>
          </w14:textFill>
        </w:rPr>
        <w:t>节</w:t>
      </w:r>
      <w:r>
        <w:rPr>
          <w:rFonts w:hint="eastAsia" w:ascii="宋体" w:hAnsi="宋体" w:eastAsia="宋体"/>
          <w:color w:val="000000" w:themeColor="text1"/>
          <w:sz w:val="30"/>
          <w:szCs w:val="30"/>
          <w14:textFill>
            <w14:solidFill>
              <w14:schemeClr w14:val="tx1"/>
            </w14:solidFill>
          </w14:textFill>
        </w:rPr>
        <w:t>投诉书（格式）</w:t>
      </w:r>
      <w:bookmarkEnd w:id="34"/>
      <w:bookmarkEnd w:id="35"/>
    </w:p>
    <w:p w14:paraId="5CA90053">
      <w:pPr>
        <w:spacing w:line="360" w:lineRule="auto"/>
        <w:jc w:val="center"/>
        <w:rPr>
          <w:rFonts w:ascii="宋体" w:hAnsi="宋体" w:eastAsia="宋体"/>
          <w:b/>
          <w:color w:val="000000" w:themeColor="text1"/>
          <w:sz w:val="44"/>
          <w:szCs w:val="44"/>
          <w14:textFill>
            <w14:solidFill>
              <w14:schemeClr w14:val="tx1"/>
            </w14:solidFill>
          </w14:textFill>
        </w:rPr>
      </w:pPr>
      <w:r>
        <w:rPr>
          <w:rFonts w:hint="eastAsia" w:ascii="宋体" w:hAnsi="宋体" w:eastAsia="宋体"/>
          <w:b/>
          <w:color w:val="000000" w:themeColor="text1"/>
          <w:sz w:val="44"/>
          <w:szCs w:val="44"/>
          <w14:textFill>
            <w14:solidFill>
              <w14:schemeClr w14:val="tx1"/>
            </w14:solidFill>
          </w14:textFill>
        </w:rPr>
        <w:t>投诉书范本</w:t>
      </w:r>
    </w:p>
    <w:p w14:paraId="5A7E4A97">
      <w:pPr>
        <w:spacing w:line="360" w:lineRule="auto"/>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一、投诉相关主体基本情况</w:t>
      </w:r>
    </w:p>
    <w:p w14:paraId="3A0065E9">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投诉人：</w:t>
      </w:r>
      <w:r>
        <w:rPr>
          <w:rFonts w:ascii="宋体" w:hAnsi="宋体" w:eastAsia="宋体"/>
          <w:color w:val="000000" w:themeColor="text1"/>
          <w:szCs w:val="21"/>
          <w:u w:val="single"/>
          <w14:textFill>
            <w14:solidFill>
              <w14:schemeClr w14:val="tx1"/>
            </w14:solidFill>
          </w14:textFill>
        </w:rPr>
        <w:t xml:space="preserve">                                                                                     </w:t>
      </w:r>
    </w:p>
    <w:p w14:paraId="3C527A6E">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地址：</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邮编：</w:t>
      </w:r>
      <w:r>
        <w:rPr>
          <w:rFonts w:ascii="宋体" w:hAnsi="宋体" w:eastAsia="宋体"/>
          <w:color w:val="000000" w:themeColor="text1"/>
          <w:szCs w:val="21"/>
          <w:u w:val="single"/>
          <w14:textFill>
            <w14:solidFill>
              <w14:schemeClr w14:val="tx1"/>
            </w14:solidFill>
          </w14:textFill>
        </w:rPr>
        <w:t xml:space="preserve">                                         </w:t>
      </w:r>
    </w:p>
    <w:p w14:paraId="432F9F2F">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法定代表人/主要负责人：</w:t>
      </w:r>
      <w:r>
        <w:rPr>
          <w:rFonts w:ascii="宋体" w:hAnsi="宋体" w:eastAsia="宋体"/>
          <w:color w:val="000000" w:themeColor="text1"/>
          <w:szCs w:val="21"/>
          <w:u w:val="single"/>
          <w14:textFill>
            <w14:solidFill>
              <w14:schemeClr w14:val="tx1"/>
            </w14:solidFill>
          </w14:textFill>
        </w:rPr>
        <w:t xml:space="preserve">                                                                      </w:t>
      </w:r>
    </w:p>
    <w:p w14:paraId="14FAA405">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联系电话：</w:t>
      </w:r>
      <w:r>
        <w:rPr>
          <w:rFonts w:ascii="宋体" w:hAnsi="宋体" w:eastAsia="宋体"/>
          <w:color w:val="000000" w:themeColor="text1"/>
          <w:szCs w:val="21"/>
          <w:u w:val="single"/>
          <w14:textFill>
            <w14:solidFill>
              <w14:schemeClr w14:val="tx1"/>
            </w14:solidFill>
          </w14:textFill>
        </w:rPr>
        <w:t xml:space="preserve">                                                                                   </w:t>
      </w:r>
    </w:p>
    <w:p w14:paraId="6E731467">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授权代表：</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联系电话：</w:t>
      </w:r>
      <w:r>
        <w:rPr>
          <w:rFonts w:ascii="宋体" w:hAnsi="宋体" w:eastAsia="宋体"/>
          <w:color w:val="000000" w:themeColor="text1"/>
          <w:szCs w:val="21"/>
          <w:u w:val="single"/>
          <w14:textFill>
            <w14:solidFill>
              <w14:schemeClr w14:val="tx1"/>
            </w14:solidFill>
          </w14:textFill>
        </w:rPr>
        <w:t xml:space="preserve">                                    </w:t>
      </w:r>
    </w:p>
    <w:p w14:paraId="4FE2A349">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地址：</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邮编：</w:t>
      </w:r>
      <w:r>
        <w:rPr>
          <w:rFonts w:ascii="宋体" w:hAnsi="宋体" w:eastAsia="宋体"/>
          <w:color w:val="000000" w:themeColor="text1"/>
          <w:szCs w:val="21"/>
          <w:u w:val="single"/>
          <w14:textFill>
            <w14:solidFill>
              <w14:schemeClr w14:val="tx1"/>
            </w14:solidFill>
          </w14:textFill>
        </w:rPr>
        <w:t xml:space="preserve">                                        </w:t>
      </w:r>
    </w:p>
    <w:p w14:paraId="449F08B4">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被投诉人1：</w:t>
      </w:r>
      <w:r>
        <w:rPr>
          <w:rFonts w:ascii="宋体" w:hAnsi="宋体" w:eastAsia="宋体"/>
          <w:color w:val="000000" w:themeColor="text1"/>
          <w:szCs w:val="21"/>
          <w:u w:val="single"/>
          <w14:textFill>
            <w14:solidFill>
              <w14:schemeClr w14:val="tx1"/>
            </w14:solidFill>
          </w14:textFill>
        </w:rPr>
        <w:t xml:space="preserve">                                                                                 </w:t>
      </w:r>
    </w:p>
    <w:p w14:paraId="241DAB6C">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地址：</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邮编：</w:t>
      </w:r>
      <w:r>
        <w:rPr>
          <w:rFonts w:ascii="宋体" w:hAnsi="宋体" w:eastAsia="宋体"/>
          <w:color w:val="000000" w:themeColor="text1"/>
          <w:szCs w:val="21"/>
          <w:u w:val="single"/>
          <w14:textFill>
            <w14:solidFill>
              <w14:schemeClr w14:val="tx1"/>
            </w14:solidFill>
          </w14:textFill>
        </w:rPr>
        <w:t xml:space="preserve">                                        </w:t>
      </w:r>
    </w:p>
    <w:p w14:paraId="21461365">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联系人：</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联系电话：</w:t>
      </w:r>
      <w:r>
        <w:rPr>
          <w:rFonts w:ascii="宋体" w:hAnsi="宋体" w:eastAsia="宋体"/>
          <w:color w:val="000000" w:themeColor="text1"/>
          <w:szCs w:val="21"/>
          <w:u w:val="single"/>
          <w14:textFill>
            <w14:solidFill>
              <w14:schemeClr w14:val="tx1"/>
            </w14:solidFill>
          </w14:textFill>
        </w:rPr>
        <w:t xml:space="preserve">                                     </w:t>
      </w:r>
    </w:p>
    <w:p w14:paraId="1862D645">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被投诉人2</w:t>
      </w:r>
    </w:p>
    <w:p w14:paraId="22C2E0F9">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p w14:paraId="293D6402">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相关供应商：</w:t>
      </w:r>
      <w:r>
        <w:rPr>
          <w:rFonts w:ascii="宋体" w:hAnsi="宋体" w:eastAsia="宋体"/>
          <w:color w:val="000000" w:themeColor="text1"/>
          <w:szCs w:val="21"/>
          <w:u w:val="single"/>
          <w14:textFill>
            <w14:solidFill>
              <w14:schemeClr w14:val="tx1"/>
            </w14:solidFill>
          </w14:textFill>
        </w:rPr>
        <w:t xml:space="preserve">                                                                                </w:t>
      </w:r>
    </w:p>
    <w:p w14:paraId="3332795E">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地址：</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邮编：</w:t>
      </w:r>
      <w:r>
        <w:rPr>
          <w:rFonts w:ascii="宋体" w:hAnsi="宋体" w:eastAsia="宋体"/>
          <w:color w:val="000000" w:themeColor="text1"/>
          <w:szCs w:val="21"/>
          <w:u w:val="single"/>
          <w14:textFill>
            <w14:solidFill>
              <w14:schemeClr w14:val="tx1"/>
            </w14:solidFill>
          </w14:textFill>
        </w:rPr>
        <w:t xml:space="preserve">                                        </w:t>
      </w:r>
    </w:p>
    <w:p w14:paraId="3266E06B">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联系人：</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联系电话：</w:t>
      </w:r>
      <w:r>
        <w:rPr>
          <w:rFonts w:ascii="宋体" w:hAnsi="宋体" w:eastAsia="宋体"/>
          <w:color w:val="000000" w:themeColor="text1"/>
          <w:szCs w:val="21"/>
          <w:u w:val="single"/>
          <w14:textFill>
            <w14:solidFill>
              <w14:schemeClr w14:val="tx1"/>
            </w14:solidFill>
          </w14:textFill>
        </w:rPr>
        <w:t xml:space="preserve">                                     </w:t>
      </w:r>
    </w:p>
    <w:p w14:paraId="2FBC3779">
      <w:pPr>
        <w:spacing w:line="360" w:lineRule="auto"/>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二、投诉项目基本情况</w:t>
      </w:r>
    </w:p>
    <w:p w14:paraId="62A8E530">
      <w:pPr>
        <w:spacing w:line="360"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采购项目名称：</w:t>
      </w:r>
      <w:r>
        <w:rPr>
          <w:rFonts w:hint="eastAsia" w:ascii="宋体" w:hAnsi="宋体" w:eastAsia="宋体"/>
          <w:color w:val="000000" w:themeColor="text1"/>
          <w:szCs w:val="21"/>
          <w:u w:val="single"/>
          <w14:textFill>
            <w14:solidFill>
              <w14:schemeClr w14:val="tx1"/>
            </w14:solidFill>
          </w14:textFill>
        </w:rPr>
        <w:t>[项目采购-项目名称_18]</w:t>
      </w:r>
    </w:p>
    <w:p w14:paraId="046D402D">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采购项目编号：</w:t>
      </w:r>
      <w:r>
        <w:rPr>
          <w:rFonts w:hint="eastAsia" w:ascii="宋体" w:hAnsi="宋体" w:eastAsia="宋体"/>
          <w:color w:val="000000" w:themeColor="text1"/>
          <w:szCs w:val="21"/>
          <w:u w:val="single"/>
          <w14:textFill>
            <w14:solidFill>
              <w14:schemeClr w14:val="tx1"/>
            </w14:solidFill>
          </w14:textFill>
        </w:rPr>
        <w:t>[项目采购-项目编号_14]</w:t>
      </w:r>
      <w:r>
        <w:rPr>
          <w:rFonts w:hint="eastAsia" w:ascii="宋体" w:hAnsi="宋体" w:eastAsia="宋体"/>
          <w:color w:val="000000" w:themeColor="text1"/>
          <w:szCs w:val="21"/>
          <w14:textFill>
            <w14:solidFill>
              <w14:schemeClr w14:val="tx1"/>
            </w14:solidFill>
          </w14:textFill>
        </w:rPr>
        <w:t>包号：</w:t>
      </w:r>
      <w:r>
        <w:rPr>
          <w:rFonts w:ascii="宋体" w:hAnsi="宋体" w:eastAsia="宋体"/>
          <w:color w:val="000000" w:themeColor="text1"/>
          <w:szCs w:val="21"/>
          <w:u w:val="single"/>
          <w14:textFill>
            <w14:solidFill>
              <w14:schemeClr w14:val="tx1"/>
            </w14:solidFill>
          </w14:textFill>
        </w:rPr>
        <w:t xml:space="preserve">                                                   </w:t>
      </w:r>
    </w:p>
    <w:p w14:paraId="6E43BABD">
      <w:pPr>
        <w:spacing w:line="360"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采购人名称：</w:t>
      </w:r>
      <w:r>
        <w:rPr>
          <w:rFonts w:hint="eastAsia" w:ascii="宋体" w:hAnsi="宋体" w:eastAsia="宋体"/>
          <w:color w:val="000000" w:themeColor="text1"/>
          <w:szCs w:val="21"/>
          <w:u w:val="single"/>
          <w14:textFill>
            <w14:solidFill>
              <w14:schemeClr w14:val="tx1"/>
            </w14:solidFill>
          </w14:textFill>
        </w:rPr>
        <w:t>[项目采购-采购人_4]</w:t>
      </w:r>
    </w:p>
    <w:p w14:paraId="375FCDEF">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代理机构名称：</w:t>
      </w:r>
      <w:r>
        <w:rPr>
          <w:rFonts w:ascii="宋体" w:hAnsi="宋体" w:eastAsia="宋体"/>
          <w:color w:val="000000" w:themeColor="text1"/>
          <w:szCs w:val="21"/>
          <w:u w:val="single"/>
          <w14:textFill>
            <w14:solidFill>
              <w14:schemeClr w14:val="tx1"/>
            </w14:solidFill>
          </w14:textFill>
        </w:rPr>
        <w:t xml:space="preserve">                                                                              </w:t>
      </w:r>
    </w:p>
    <w:p w14:paraId="716C2B9A">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采购文件公告：是/否公告期限：</w:t>
      </w:r>
      <w:r>
        <w:rPr>
          <w:rFonts w:ascii="宋体" w:hAnsi="宋体" w:eastAsia="宋体"/>
          <w:color w:val="000000" w:themeColor="text1"/>
          <w:szCs w:val="21"/>
          <w:u w:val="single"/>
          <w14:textFill>
            <w14:solidFill>
              <w14:schemeClr w14:val="tx1"/>
            </w14:solidFill>
          </w14:textFill>
        </w:rPr>
        <w:t xml:space="preserve">                                                                </w:t>
      </w:r>
    </w:p>
    <w:p w14:paraId="5DD1B4B8">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采购结果公告：是/否公告期限：</w:t>
      </w:r>
      <w:r>
        <w:rPr>
          <w:rFonts w:ascii="宋体" w:hAnsi="宋体" w:eastAsia="宋体"/>
          <w:color w:val="000000" w:themeColor="text1"/>
          <w:szCs w:val="21"/>
          <w:u w:val="single"/>
          <w14:textFill>
            <w14:solidFill>
              <w14:schemeClr w14:val="tx1"/>
            </w14:solidFill>
          </w14:textFill>
        </w:rPr>
        <w:t xml:space="preserve">                                                                </w:t>
      </w:r>
    </w:p>
    <w:p w14:paraId="510EE7C3">
      <w:pPr>
        <w:spacing w:line="360" w:lineRule="auto"/>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三、质疑基本情况</w:t>
      </w:r>
    </w:p>
    <w:p w14:paraId="43DDF36A">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投诉人于</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年</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月</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日，向</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提出质疑，质疑事项为：</w:t>
      </w:r>
      <w:r>
        <w:rPr>
          <w:rFonts w:ascii="宋体" w:hAnsi="宋体" w:eastAsia="宋体"/>
          <w:color w:val="000000" w:themeColor="text1"/>
          <w:szCs w:val="21"/>
          <w:u w:val="single"/>
          <w14:textFill>
            <w14:solidFill>
              <w14:schemeClr w14:val="tx1"/>
            </w14:solidFill>
          </w14:textFill>
        </w:rPr>
        <w:t xml:space="preserve">   </w:t>
      </w:r>
    </w:p>
    <w:p w14:paraId="34CFFF9A">
      <w:pPr>
        <w:spacing w:line="360" w:lineRule="auto"/>
        <w:rPr>
          <w:rFonts w:ascii="宋体" w:hAnsi="宋体" w:eastAsia="宋体"/>
          <w:color w:val="000000" w:themeColor="text1"/>
          <w:szCs w:val="21"/>
          <w14:textFill>
            <w14:solidFill>
              <w14:schemeClr w14:val="tx1"/>
            </w14:solidFill>
          </w14:textFill>
        </w:rPr>
      </w:pPr>
    </w:p>
    <w:p w14:paraId="2A8D8579">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采购人/代理机构</w:t>
      </w:r>
      <w:r>
        <w:rPr>
          <w:rFonts w:hint="eastAsia" w:ascii="宋体" w:hAnsi="宋体" w:eastAsia="宋体"/>
          <w:color w:val="000000" w:themeColor="text1"/>
          <w:szCs w:val="21"/>
          <w14:textFill>
            <w14:solidFill>
              <w14:schemeClr w14:val="tx1"/>
            </w14:solidFill>
          </w14:textFill>
        </w:rPr>
        <w:t>于</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年</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月</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日，就质疑事项作出了答复/没有在法定期限内作出答复。</w:t>
      </w:r>
    </w:p>
    <w:p w14:paraId="12463439">
      <w:pPr>
        <w:spacing w:line="360" w:lineRule="auto"/>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四、投诉事项具体内容</w:t>
      </w:r>
    </w:p>
    <w:p w14:paraId="2A4E2A34">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投诉事项1：</w:t>
      </w:r>
      <w:r>
        <w:rPr>
          <w:rFonts w:ascii="宋体" w:hAnsi="宋体" w:eastAsia="宋体"/>
          <w:color w:val="000000" w:themeColor="text1"/>
          <w:szCs w:val="21"/>
          <w:u w:val="single"/>
          <w14:textFill>
            <w14:solidFill>
              <w14:schemeClr w14:val="tx1"/>
            </w14:solidFill>
          </w14:textFill>
        </w:rPr>
        <w:t xml:space="preserve">                                                                                 </w:t>
      </w:r>
    </w:p>
    <w:p w14:paraId="13B5C8E9">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事实依据：</w:t>
      </w:r>
      <w:r>
        <w:rPr>
          <w:rFonts w:ascii="宋体" w:hAnsi="宋体" w:eastAsia="宋体"/>
          <w:color w:val="000000" w:themeColor="text1"/>
          <w:szCs w:val="21"/>
          <w:u w:val="single"/>
          <w14:textFill>
            <w14:solidFill>
              <w14:schemeClr w14:val="tx1"/>
            </w14:solidFill>
          </w14:textFill>
        </w:rPr>
        <w:t xml:space="preserve">                                                                                   </w:t>
      </w:r>
    </w:p>
    <w:p w14:paraId="3FE95914">
      <w:pPr>
        <w:spacing w:line="360" w:lineRule="auto"/>
        <w:rPr>
          <w:rFonts w:ascii="宋体" w:hAnsi="宋体" w:eastAsia="宋体"/>
          <w:color w:val="000000" w:themeColor="text1"/>
          <w:szCs w:val="21"/>
          <w14:textFill>
            <w14:solidFill>
              <w14:schemeClr w14:val="tx1"/>
            </w14:solidFill>
          </w14:textFill>
        </w:rPr>
      </w:pPr>
    </w:p>
    <w:p w14:paraId="760B2436">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法律依据：</w:t>
      </w:r>
      <w:r>
        <w:rPr>
          <w:rFonts w:ascii="宋体" w:hAnsi="宋体" w:eastAsia="宋体"/>
          <w:color w:val="000000" w:themeColor="text1"/>
          <w:szCs w:val="21"/>
          <w:u w:val="single"/>
          <w14:textFill>
            <w14:solidFill>
              <w14:schemeClr w14:val="tx1"/>
            </w14:solidFill>
          </w14:textFill>
        </w:rPr>
        <w:t xml:space="preserve">                                                                                   </w:t>
      </w:r>
    </w:p>
    <w:p w14:paraId="2479248E">
      <w:pPr>
        <w:spacing w:line="360" w:lineRule="auto"/>
        <w:rPr>
          <w:rFonts w:ascii="宋体" w:hAnsi="宋体" w:eastAsia="宋体"/>
          <w:color w:val="000000" w:themeColor="text1"/>
          <w:szCs w:val="21"/>
          <w14:textFill>
            <w14:solidFill>
              <w14:schemeClr w14:val="tx1"/>
            </w14:solidFill>
          </w14:textFill>
        </w:rPr>
      </w:pPr>
    </w:p>
    <w:p w14:paraId="567C15A8">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投诉事项2</w:t>
      </w:r>
      <w:r>
        <w:rPr>
          <w:rFonts w:ascii="宋体" w:hAnsi="宋体" w:eastAsia="宋体"/>
          <w:color w:val="000000" w:themeColor="text1"/>
          <w:szCs w:val="21"/>
          <w:u w:val="single"/>
          <w14:textFill>
            <w14:solidFill>
              <w14:schemeClr w14:val="tx1"/>
            </w14:solidFill>
          </w14:textFill>
        </w:rPr>
        <w:t xml:space="preserve">                                                                                   </w:t>
      </w:r>
    </w:p>
    <w:p w14:paraId="71579F1A">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p w14:paraId="497F96D0">
      <w:pPr>
        <w:spacing w:line="360" w:lineRule="auto"/>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五、与投诉事项相关的投诉请求</w:t>
      </w:r>
    </w:p>
    <w:p w14:paraId="3EC998D5">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请求：</w:t>
      </w:r>
      <w:r>
        <w:rPr>
          <w:rFonts w:ascii="宋体" w:hAnsi="宋体" w:eastAsia="宋体"/>
          <w:color w:val="000000" w:themeColor="text1"/>
          <w:szCs w:val="21"/>
          <w:u w:val="single"/>
          <w14:textFill>
            <w14:solidFill>
              <w14:schemeClr w14:val="tx1"/>
            </w14:solidFill>
          </w14:textFill>
        </w:rPr>
        <w:t xml:space="preserve">                                                                                       </w:t>
      </w:r>
    </w:p>
    <w:p w14:paraId="56F8F31A">
      <w:pPr>
        <w:spacing w:line="360" w:lineRule="auto"/>
        <w:rPr>
          <w:rFonts w:ascii="宋体" w:hAnsi="宋体" w:eastAsia="宋体"/>
          <w:color w:val="000000" w:themeColor="text1"/>
          <w:szCs w:val="21"/>
          <w14:textFill>
            <w14:solidFill>
              <w14:schemeClr w14:val="tx1"/>
            </w14:solidFill>
          </w14:textFill>
        </w:rPr>
      </w:pPr>
    </w:p>
    <w:p w14:paraId="2793107A">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签字（签章）：</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公章：</w:t>
      </w:r>
      <w:r>
        <w:rPr>
          <w:rFonts w:ascii="宋体" w:hAnsi="宋体" w:eastAsia="宋体"/>
          <w:color w:val="000000" w:themeColor="text1"/>
          <w:szCs w:val="21"/>
          <w:u w:val="single"/>
          <w14:textFill>
            <w14:solidFill>
              <w14:schemeClr w14:val="tx1"/>
            </w14:solidFill>
          </w14:textFill>
        </w:rPr>
        <w:t xml:space="preserve">                                     </w:t>
      </w:r>
    </w:p>
    <w:p w14:paraId="4FEBDE9A">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p>
    <w:p w14:paraId="26C7A253">
      <w:pPr>
        <w:spacing w:line="360" w:lineRule="auto"/>
        <w:rPr>
          <w:rFonts w:ascii="宋体" w:hAnsi="宋体" w:eastAsia="宋体"/>
          <w:color w:val="000000" w:themeColor="text1"/>
          <w:szCs w:val="21"/>
          <w14:textFill>
            <w14:solidFill>
              <w14:schemeClr w14:val="tx1"/>
            </w14:solidFill>
          </w14:textFill>
        </w:rPr>
      </w:pPr>
    </w:p>
    <w:p w14:paraId="53AAFE9A">
      <w:pPr>
        <w:spacing w:line="360" w:lineRule="auto"/>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投诉书制作说明：</w:t>
      </w:r>
    </w:p>
    <w:p w14:paraId="61F6397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1.投诉人提起投诉时，应当提交投诉书和必要的证明材料，并按照被投诉人和与投诉事项有关的供应商数量提供投诉书副本。</w:t>
      </w:r>
    </w:p>
    <w:p w14:paraId="3E07EDD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513D0A6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3.投诉人若对项目的某一分包进行投诉，投诉书应列明具体分包号。</w:t>
      </w:r>
    </w:p>
    <w:p w14:paraId="2DC415F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4.投诉书应简要列明质疑事项，质疑函、质疑答复等作为附件材料提供。</w:t>
      </w:r>
    </w:p>
    <w:p w14:paraId="568A64D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5.投诉书的投诉事项应具体、明确，并有必要的事实依据和法律依据。</w:t>
      </w:r>
    </w:p>
    <w:p w14:paraId="164B5EF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6.投诉书的投诉请求应与投诉事项相关。</w:t>
      </w:r>
    </w:p>
    <w:p w14:paraId="6487729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3B44CA0D">
      <w:pPr>
        <w:spacing w:line="360" w:lineRule="auto"/>
        <w:ind w:firstLine="420" w:firstLineChars="200"/>
        <w:rPr>
          <w:rFonts w:ascii="宋体" w:hAnsi="宋体" w:eastAsia="宋体"/>
          <w:color w:val="000000" w:themeColor="text1"/>
          <w:szCs w:val="21"/>
          <w14:textFill>
            <w14:solidFill>
              <w14:schemeClr w14:val="tx1"/>
            </w14:solidFill>
          </w14:textFill>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新魏">
    <w:altName w:val="宋体"/>
    <w:panose1 w:val="0201080004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2248695"/>
      <w:docPartObj>
        <w:docPartGallery w:val="autotext"/>
      </w:docPartObj>
    </w:sdtPr>
    <w:sdtContent>
      <w:p w14:paraId="533EC29E">
        <w:pPr>
          <w:pStyle w:val="8"/>
          <w:jc w:val="center"/>
        </w:pPr>
        <w:r>
          <w:fldChar w:fldCharType="begin"/>
        </w:r>
        <w:r>
          <w:instrText xml:space="preserve">PAGE   \* MERGEFORMAT</w:instrText>
        </w:r>
        <w:r>
          <w:fldChar w:fldCharType="separate"/>
        </w:r>
        <w:r>
          <w:rPr>
            <w:lang w:val="zh-CN"/>
          </w:rPr>
          <w:t>1</w:t>
        </w:r>
        <w:r>
          <w:fldChar w:fldCharType="end"/>
        </w:r>
      </w:p>
    </w:sdtContent>
  </w:sdt>
  <w:p w14:paraId="29BD0596">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6418131"/>
      <w:docPartObj>
        <w:docPartGallery w:val="autotext"/>
      </w:docPartObj>
    </w:sdtPr>
    <w:sdtContent>
      <w:p w14:paraId="3E9B8C6D">
        <w:pPr>
          <w:pStyle w:val="8"/>
          <w:jc w:val="center"/>
        </w:pPr>
        <w:r>
          <w:fldChar w:fldCharType="begin"/>
        </w:r>
        <w:r>
          <w:instrText xml:space="preserve">PAGE   \* MERGEFORMAT</w:instrText>
        </w:r>
        <w:r>
          <w:fldChar w:fldCharType="separate"/>
        </w:r>
        <w:r>
          <w:rPr>
            <w:lang w:val="zh-CN"/>
          </w:rPr>
          <w:t>85</w:t>
        </w:r>
        <w:r>
          <w:fldChar w:fldCharType="end"/>
        </w:r>
      </w:p>
    </w:sdtContent>
  </w:sdt>
  <w:p w14:paraId="7067158D">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F422F">
    <w:pPr>
      <w:pStyle w:val="9"/>
    </w:pPr>
    <w:r>
      <w:rPr>
        <w:rFonts w:hint="eastAsia"/>
      </w:rPr>
      <w:t>南宁市政府采购公开招标采购文件（项目编号</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NNZC2025-G1-990314-KWZB</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23F"/>
    <w:rsid w:val="00003613"/>
    <w:rsid w:val="00032BDB"/>
    <w:rsid w:val="000556E6"/>
    <w:rsid w:val="0006134A"/>
    <w:rsid w:val="00062174"/>
    <w:rsid w:val="000800BB"/>
    <w:rsid w:val="000803C6"/>
    <w:rsid w:val="00082CC0"/>
    <w:rsid w:val="000B7D46"/>
    <w:rsid w:val="000C39EB"/>
    <w:rsid w:val="000F246C"/>
    <w:rsid w:val="00102479"/>
    <w:rsid w:val="00110CC1"/>
    <w:rsid w:val="00120478"/>
    <w:rsid w:val="001244E2"/>
    <w:rsid w:val="00124D16"/>
    <w:rsid w:val="001416B8"/>
    <w:rsid w:val="00141DD5"/>
    <w:rsid w:val="00156B60"/>
    <w:rsid w:val="00182A18"/>
    <w:rsid w:val="00183115"/>
    <w:rsid w:val="0019772F"/>
    <w:rsid w:val="00197C0B"/>
    <w:rsid w:val="001A54C6"/>
    <w:rsid w:val="001C0DD9"/>
    <w:rsid w:val="001C55AE"/>
    <w:rsid w:val="001D3E86"/>
    <w:rsid w:val="001E147C"/>
    <w:rsid w:val="001E5232"/>
    <w:rsid w:val="001F6FCD"/>
    <w:rsid w:val="001F762A"/>
    <w:rsid w:val="002149D2"/>
    <w:rsid w:val="002156F7"/>
    <w:rsid w:val="00222731"/>
    <w:rsid w:val="00226F68"/>
    <w:rsid w:val="00251A82"/>
    <w:rsid w:val="00255032"/>
    <w:rsid w:val="00260EBE"/>
    <w:rsid w:val="002812A7"/>
    <w:rsid w:val="002D4966"/>
    <w:rsid w:val="002E6205"/>
    <w:rsid w:val="002E6FB7"/>
    <w:rsid w:val="002F6459"/>
    <w:rsid w:val="0031162E"/>
    <w:rsid w:val="00313623"/>
    <w:rsid w:val="00357A78"/>
    <w:rsid w:val="00390638"/>
    <w:rsid w:val="003C5D78"/>
    <w:rsid w:val="003F3530"/>
    <w:rsid w:val="00423880"/>
    <w:rsid w:val="004430FB"/>
    <w:rsid w:val="0045062D"/>
    <w:rsid w:val="00456BCE"/>
    <w:rsid w:val="00461B0A"/>
    <w:rsid w:val="00465E25"/>
    <w:rsid w:val="004734B7"/>
    <w:rsid w:val="0047482E"/>
    <w:rsid w:val="00474F73"/>
    <w:rsid w:val="0048022F"/>
    <w:rsid w:val="004A2B4D"/>
    <w:rsid w:val="004A43C3"/>
    <w:rsid w:val="004B6463"/>
    <w:rsid w:val="004C0B10"/>
    <w:rsid w:val="004D71BB"/>
    <w:rsid w:val="004D726F"/>
    <w:rsid w:val="005012B9"/>
    <w:rsid w:val="00513D12"/>
    <w:rsid w:val="00522363"/>
    <w:rsid w:val="005418A3"/>
    <w:rsid w:val="00543E0E"/>
    <w:rsid w:val="00564224"/>
    <w:rsid w:val="00567670"/>
    <w:rsid w:val="0057043A"/>
    <w:rsid w:val="00577BE7"/>
    <w:rsid w:val="00584691"/>
    <w:rsid w:val="005A3E0B"/>
    <w:rsid w:val="005A5643"/>
    <w:rsid w:val="005B098C"/>
    <w:rsid w:val="005B3C61"/>
    <w:rsid w:val="005D2B82"/>
    <w:rsid w:val="005E3814"/>
    <w:rsid w:val="00622E4C"/>
    <w:rsid w:val="006436AB"/>
    <w:rsid w:val="00676213"/>
    <w:rsid w:val="006A36D4"/>
    <w:rsid w:val="006B351A"/>
    <w:rsid w:val="006D7EFB"/>
    <w:rsid w:val="006E34A1"/>
    <w:rsid w:val="006E36FA"/>
    <w:rsid w:val="006E3902"/>
    <w:rsid w:val="007065E0"/>
    <w:rsid w:val="00717320"/>
    <w:rsid w:val="00732778"/>
    <w:rsid w:val="00736619"/>
    <w:rsid w:val="00736A8C"/>
    <w:rsid w:val="00737BE3"/>
    <w:rsid w:val="007B4742"/>
    <w:rsid w:val="007C71C6"/>
    <w:rsid w:val="007F31F1"/>
    <w:rsid w:val="00801AC1"/>
    <w:rsid w:val="00815A1B"/>
    <w:rsid w:val="00824D36"/>
    <w:rsid w:val="00825180"/>
    <w:rsid w:val="008679B8"/>
    <w:rsid w:val="008704E4"/>
    <w:rsid w:val="008730DD"/>
    <w:rsid w:val="00873AAF"/>
    <w:rsid w:val="00880540"/>
    <w:rsid w:val="00891EE3"/>
    <w:rsid w:val="008B3AA9"/>
    <w:rsid w:val="008B5B61"/>
    <w:rsid w:val="008C7011"/>
    <w:rsid w:val="00901F67"/>
    <w:rsid w:val="0091424E"/>
    <w:rsid w:val="00946018"/>
    <w:rsid w:val="009517AE"/>
    <w:rsid w:val="009601A5"/>
    <w:rsid w:val="00960717"/>
    <w:rsid w:val="00962114"/>
    <w:rsid w:val="00987194"/>
    <w:rsid w:val="009A2E3A"/>
    <w:rsid w:val="009D123F"/>
    <w:rsid w:val="009E067A"/>
    <w:rsid w:val="009E132A"/>
    <w:rsid w:val="009E566E"/>
    <w:rsid w:val="009E6C52"/>
    <w:rsid w:val="009E7B27"/>
    <w:rsid w:val="009F2E39"/>
    <w:rsid w:val="00A01FF0"/>
    <w:rsid w:val="00A03C85"/>
    <w:rsid w:val="00A07345"/>
    <w:rsid w:val="00A15748"/>
    <w:rsid w:val="00A15DB5"/>
    <w:rsid w:val="00A215EF"/>
    <w:rsid w:val="00A24115"/>
    <w:rsid w:val="00A24F01"/>
    <w:rsid w:val="00A56A2D"/>
    <w:rsid w:val="00AA1E9E"/>
    <w:rsid w:val="00AA7FB2"/>
    <w:rsid w:val="00AD1A5F"/>
    <w:rsid w:val="00AD40BF"/>
    <w:rsid w:val="00AE3910"/>
    <w:rsid w:val="00B00A59"/>
    <w:rsid w:val="00B40387"/>
    <w:rsid w:val="00B52433"/>
    <w:rsid w:val="00B6309A"/>
    <w:rsid w:val="00B6767C"/>
    <w:rsid w:val="00B7441F"/>
    <w:rsid w:val="00B75337"/>
    <w:rsid w:val="00B96B1D"/>
    <w:rsid w:val="00BA3608"/>
    <w:rsid w:val="00BB40D3"/>
    <w:rsid w:val="00BE1E0E"/>
    <w:rsid w:val="00BE485C"/>
    <w:rsid w:val="00BE6C55"/>
    <w:rsid w:val="00C109B0"/>
    <w:rsid w:val="00C3031D"/>
    <w:rsid w:val="00C43CD0"/>
    <w:rsid w:val="00C57DF2"/>
    <w:rsid w:val="00C845E7"/>
    <w:rsid w:val="00CC1EBA"/>
    <w:rsid w:val="00CD625A"/>
    <w:rsid w:val="00CD7390"/>
    <w:rsid w:val="00CE7283"/>
    <w:rsid w:val="00CF2C3C"/>
    <w:rsid w:val="00D14DB7"/>
    <w:rsid w:val="00D239F1"/>
    <w:rsid w:val="00D324AA"/>
    <w:rsid w:val="00D579FE"/>
    <w:rsid w:val="00D642F1"/>
    <w:rsid w:val="00D65298"/>
    <w:rsid w:val="00D66C1A"/>
    <w:rsid w:val="00D90676"/>
    <w:rsid w:val="00D951F9"/>
    <w:rsid w:val="00DA7418"/>
    <w:rsid w:val="00DB2A3F"/>
    <w:rsid w:val="00DB43CD"/>
    <w:rsid w:val="00DD09C8"/>
    <w:rsid w:val="00DE2BC7"/>
    <w:rsid w:val="00DE78BC"/>
    <w:rsid w:val="00DF67CB"/>
    <w:rsid w:val="00E051A3"/>
    <w:rsid w:val="00E0637F"/>
    <w:rsid w:val="00E0706C"/>
    <w:rsid w:val="00E119CC"/>
    <w:rsid w:val="00E16502"/>
    <w:rsid w:val="00E24BF9"/>
    <w:rsid w:val="00E60FDC"/>
    <w:rsid w:val="00E72C7A"/>
    <w:rsid w:val="00E76053"/>
    <w:rsid w:val="00EC27FA"/>
    <w:rsid w:val="00EC6118"/>
    <w:rsid w:val="00ED0C2E"/>
    <w:rsid w:val="00EE0B40"/>
    <w:rsid w:val="00EE3208"/>
    <w:rsid w:val="00EF51F2"/>
    <w:rsid w:val="00F01E1E"/>
    <w:rsid w:val="00F02959"/>
    <w:rsid w:val="00F10468"/>
    <w:rsid w:val="00F27C51"/>
    <w:rsid w:val="00F3064E"/>
    <w:rsid w:val="00F4164C"/>
    <w:rsid w:val="00F45E55"/>
    <w:rsid w:val="00F53209"/>
    <w:rsid w:val="00F54684"/>
    <w:rsid w:val="00F62CE0"/>
    <w:rsid w:val="00F64B40"/>
    <w:rsid w:val="00F66123"/>
    <w:rsid w:val="00F67CC9"/>
    <w:rsid w:val="00FA14C3"/>
    <w:rsid w:val="00FA6CE1"/>
    <w:rsid w:val="00FB7D53"/>
    <w:rsid w:val="00FC58EB"/>
    <w:rsid w:val="00FE5FBD"/>
    <w:rsid w:val="00FF183C"/>
    <w:rsid w:val="00FF2F05"/>
    <w:rsid w:val="0A8270D7"/>
    <w:rsid w:val="35342C20"/>
    <w:rsid w:val="4DD7463B"/>
    <w:rsid w:val="62AC08DC"/>
    <w:rsid w:val="683A0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5"/>
    <w:semiHidden/>
    <w:unhideWhenUsed/>
    <w:qFormat/>
    <w:uiPriority w:val="99"/>
    <w:pPr>
      <w:jc w:val="left"/>
    </w:pPr>
  </w:style>
  <w:style w:type="paragraph" w:styleId="6">
    <w:name w:val="toc 3"/>
    <w:basedOn w:val="1"/>
    <w:next w:val="1"/>
    <w:autoRedefine/>
    <w:unhideWhenUsed/>
    <w:qFormat/>
    <w:uiPriority w:val="39"/>
    <w:pPr>
      <w:ind w:left="840" w:leftChars="400"/>
    </w:pPr>
  </w:style>
  <w:style w:type="paragraph" w:styleId="7">
    <w:name w:val="Balloon Text"/>
    <w:basedOn w:val="1"/>
    <w:link w:val="24"/>
    <w:semiHidden/>
    <w:unhideWhenUsed/>
    <w:qFormat/>
    <w:uiPriority w:val="99"/>
    <w:rPr>
      <w:sz w:val="18"/>
      <w:szCs w:val="18"/>
    </w:rPr>
  </w:style>
  <w:style w:type="paragraph" w:styleId="8">
    <w:name w:val="footer"/>
    <w:basedOn w:val="1"/>
    <w:link w:val="23"/>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style>
  <w:style w:type="paragraph" w:styleId="11">
    <w:name w:val="toc 2"/>
    <w:basedOn w:val="1"/>
    <w:next w:val="1"/>
    <w:autoRedefine/>
    <w:unhideWhenUsed/>
    <w:qFormat/>
    <w:uiPriority w:val="39"/>
    <w:pPr>
      <w:ind w:left="420" w:leftChars="200"/>
    </w:pPr>
  </w:style>
  <w:style w:type="paragraph" w:styleId="12">
    <w:name w:val="annotation subject"/>
    <w:basedOn w:val="5"/>
    <w:next w:val="5"/>
    <w:link w:val="26"/>
    <w:semiHidden/>
    <w:unhideWhenUsed/>
    <w:qFormat/>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rPr>
  </w:style>
  <w:style w:type="character" w:styleId="17">
    <w:name w:val="Hyperlink"/>
    <w:basedOn w:val="15"/>
    <w:unhideWhenUsed/>
    <w:qFormat/>
    <w:uiPriority w:val="99"/>
    <w:rPr>
      <w:color w:val="0563C1" w:themeColor="hyperlink"/>
      <w:u w:val="single"/>
      <w14:textFill>
        <w14:solidFill>
          <w14:schemeClr w14:val="hlink"/>
        </w14:solidFill>
      </w14:textFill>
    </w:rPr>
  </w:style>
  <w:style w:type="character" w:styleId="18">
    <w:name w:val="annotation reference"/>
    <w:basedOn w:val="15"/>
    <w:semiHidden/>
    <w:unhideWhenUsed/>
    <w:qFormat/>
    <w:uiPriority w:val="99"/>
    <w:rPr>
      <w:sz w:val="21"/>
      <w:szCs w:val="21"/>
    </w:rPr>
  </w:style>
  <w:style w:type="character" w:customStyle="1" w:styleId="19">
    <w:name w:val="标题 1 Char"/>
    <w:basedOn w:val="15"/>
    <w:link w:val="2"/>
    <w:qFormat/>
    <w:uiPriority w:val="9"/>
    <w:rPr>
      <w:b/>
      <w:bCs/>
      <w:kern w:val="44"/>
      <w:sz w:val="44"/>
      <w:szCs w:val="44"/>
    </w:rPr>
  </w:style>
  <w:style w:type="character" w:customStyle="1" w:styleId="20">
    <w:name w:val="标题 2 Char"/>
    <w:basedOn w:val="15"/>
    <w:link w:val="3"/>
    <w:qFormat/>
    <w:uiPriority w:val="9"/>
    <w:rPr>
      <w:rFonts w:asciiTheme="majorHAnsi" w:hAnsiTheme="majorHAnsi" w:eastAsiaTheme="majorEastAsia" w:cstheme="majorBidi"/>
      <w:b/>
      <w:bCs/>
      <w:sz w:val="32"/>
      <w:szCs w:val="32"/>
    </w:rPr>
  </w:style>
  <w:style w:type="character" w:customStyle="1" w:styleId="21">
    <w:name w:val="标题 3 Char"/>
    <w:basedOn w:val="15"/>
    <w:link w:val="4"/>
    <w:qFormat/>
    <w:uiPriority w:val="9"/>
    <w:rPr>
      <w:b/>
      <w:bCs/>
      <w:sz w:val="32"/>
      <w:szCs w:val="32"/>
    </w:rPr>
  </w:style>
  <w:style w:type="character" w:customStyle="1" w:styleId="22">
    <w:name w:val="页眉 Char"/>
    <w:basedOn w:val="15"/>
    <w:link w:val="9"/>
    <w:qFormat/>
    <w:uiPriority w:val="99"/>
    <w:rPr>
      <w:sz w:val="18"/>
      <w:szCs w:val="18"/>
    </w:rPr>
  </w:style>
  <w:style w:type="character" w:customStyle="1" w:styleId="23">
    <w:name w:val="页脚 Char"/>
    <w:basedOn w:val="15"/>
    <w:link w:val="8"/>
    <w:qFormat/>
    <w:uiPriority w:val="99"/>
    <w:rPr>
      <w:sz w:val="18"/>
      <w:szCs w:val="18"/>
    </w:rPr>
  </w:style>
  <w:style w:type="character" w:customStyle="1" w:styleId="24">
    <w:name w:val="批注框文本 Char"/>
    <w:basedOn w:val="15"/>
    <w:link w:val="7"/>
    <w:semiHidden/>
    <w:qFormat/>
    <w:uiPriority w:val="99"/>
    <w:rPr>
      <w:sz w:val="18"/>
      <w:szCs w:val="18"/>
    </w:rPr>
  </w:style>
  <w:style w:type="character" w:customStyle="1" w:styleId="25">
    <w:name w:val="批注文字 Char"/>
    <w:basedOn w:val="15"/>
    <w:link w:val="5"/>
    <w:semiHidden/>
    <w:qFormat/>
    <w:uiPriority w:val="99"/>
  </w:style>
  <w:style w:type="character" w:customStyle="1" w:styleId="26">
    <w:name w:val="批注主题 Char"/>
    <w:basedOn w:val="25"/>
    <w:link w:val="12"/>
    <w:semiHidden/>
    <w:qFormat/>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499AF-5598-4441-BF5F-A31251927E33}">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128</Pages>
  <Words>1432</Words>
  <Characters>1714</Characters>
  <Lines>545</Lines>
  <Paragraphs>153</Paragraphs>
  <TotalTime>8</TotalTime>
  <ScaleCrop>false</ScaleCrop>
  <LinksUpToDate>false</LinksUpToDate>
  <CharactersWithSpaces>1751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2025-06-05T11:58:00Z</dcterms:created>
  <dc:creator>Windows 用户</dc:creator>
  <cp:lastModifiedBy>YJ</cp:lastModifiedBy>
  <dcterms:modified xsi:type="dcterms:W3CDTF">2025-06-06T04:22:09Z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eyJoZGlkIjoiNDNkZWVlN2U0MTQ5ZmU4ZDdlZDkzY2Y5MGEwYWVhNGEiLCJ1c2VySWQiOiIyOTg5OTM0ODYifQ==</vt:lpwstr>
  </property>
  <property fmtid="{D5CDD505-2E9C-101B-9397-08002B2CF9AE}" pid="3" name="KSOProductBuildVer">
    <vt:lpwstr>2052-12.1.0.21171</vt:lpwstr>
  </property>
  <property fmtid="{D5CDD505-2E9C-101B-9397-08002B2CF9AE}" pid="4" name="ICV">
    <vt:lpwstr>7D2DB461E0BE44CCB6CA0421FF18F0AD_13</vt:lpwstr>
  </property>
</Properties>
</file>