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C3D30">
      <w:pPr>
        <w:jc w:val="center"/>
        <w:rPr>
          <w:rFonts w:ascii="宋体" w:hAnsi="宋体" w:cs="宋体"/>
          <w:color w:val="auto"/>
          <w:highlight w:val="none"/>
        </w:rPr>
      </w:pPr>
      <w:r>
        <w:rPr>
          <w:rFonts w:hint="eastAsia" w:ascii="宋体" w:hAnsi="宋体" w:cs="宋体"/>
          <w:color w:val="auto"/>
          <w:highlight w:val="none"/>
        </w:rPr>
        <w:drawing>
          <wp:inline distT="0" distB="0" distL="114300" distR="114300">
            <wp:extent cx="893445" cy="932815"/>
            <wp:effectExtent l="0" t="0" r="1905" b="635"/>
            <wp:docPr id="2"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科文名片"/>
                    <pic:cNvPicPr>
                      <a:picLocks noChangeAspect="1"/>
                    </pic:cNvPicPr>
                  </pic:nvPicPr>
                  <pic:blipFill>
                    <a:blip r:embed="rId11"/>
                    <a:stretch>
                      <a:fillRect/>
                    </a:stretch>
                  </pic:blipFill>
                  <pic:spPr>
                    <a:xfrm>
                      <a:off x="0" y="0"/>
                      <a:ext cx="893445" cy="932815"/>
                    </a:xfrm>
                    <a:prstGeom prst="rect">
                      <a:avLst/>
                    </a:prstGeom>
                    <a:noFill/>
                    <a:ln>
                      <a:noFill/>
                    </a:ln>
                  </pic:spPr>
                </pic:pic>
              </a:graphicData>
            </a:graphic>
          </wp:inline>
        </w:drawing>
      </w:r>
    </w:p>
    <w:p w14:paraId="48A0C0EF">
      <w:pPr>
        <w:pStyle w:val="15"/>
        <w:jc w:val="center"/>
        <w:rPr>
          <w:rFonts w:hAnsi="宋体" w:cs="宋体"/>
          <w:color w:val="auto"/>
          <w:sz w:val="52"/>
          <w:highlight w:val="none"/>
        </w:rPr>
      </w:pPr>
      <w:r>
        <w:rPr>
          <w:rFonts w:hint="eastAsia" w:hAnsi="宋体" w:cs="宋体"/>
          <w:color w:val="auto"/>
          <w:sz w:val="52"/>
          <w:highlight w:val="none"/>
        </w:rPr>
        <w:t>广 西 科 文 招 标 有 限 公 司</w:t>
      </w:r>
    </w:p>
    <w:p w14:paraId="4BE35732">
      <w:pPr>
        <w:pStyle w:val="15"/>
        <w:jc w:val="center"/>
        <w:rPr>
          <w:rFonts w:hAnsi="宋体" w:cs="宋体"/>
          <w:b/>
          <w:color w:val="auto"/>
          <w:sz w:val="44"/>
          <w:szCs w:val="44"/>
          <w:highlight w:val="none"/>
        </w:rPr>
      </w:pPr>
      <w:r>
        <w:rPr>
          <w:rFonts w:hint="eastAsia" w:hAnsi="宋体" w:cs="宋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1" name="直线 107"/>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rgbClr val="000000"/>
                          </a:solidFill>
                        </a:ln>
                      </wps:spPr>
                      <wps:bodyPr/>
                    </wps:wsp>
                  </a:graphicData>
                </a:graphic>
              </wp:anchor>
            </w:drawing>
          </mc:Choice>
          <mc:Fallback>
            <w:pict>
              <v:line id="直线 107"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K9rBQzUAAAACAEAAA8AAAAA&#10;AAAAAQAgAAAAIgAAAGRycy9kb3ducmV2LnhtbFBLAQIUABQAAAAIAIdO4kAJ7NE7pgEAAE8DAAAO&#10;AAAAAAAAAAEAIAAAACMBAABkcnMvZTJvRG9jLnhtbFBLBQYAAAAABgAGAFkBAAA7BQAAAAA=&#10;">
                <v:fill on="f" focussize="0,0"/>
                <v:stroke weight="1pt" color="#000000" joinstyle="round"/>
                <v:imagedata o:title=""/>
                <o:lock v:ext="edit" aspectratio="f"/>
              </v:line>
            </w:pict>
          </mc:Fallback>
        </mc:AlternateContent>
      </w:r>
    </w:p>
    <w:p w14:paraId="54BCD804">
      <w:pPr>
        <w:snapToGrid w:val="0"/>
        <w:spacing w:before="156" w:beforeLines="50" w:line="360" w:lineRule="auto"/>
        <w:jc w:val="center"/>
        <w:rPr>
          <w:rFonts w:ascii="宋体" w:hAnsi="宋体" w:cs="宋体"/>
          <w:color w:val="auto"/>
          <w:sz w:val="120"/>
          <w:szCs w:val="120"/>
          <w:highlight w:val="none"/>
        </w:rPr>
      </w:pPr>
      <w:r>
        <w:rPr>
          <w:rFonts w:hint="eastAsia" w:ascii="宋体" w:hAnsi="宋体" w:cs="宋体"/>
          <w:color w:val="auto"/>
          <w:sz w:val="96"/>
          <w:szCs w:val="96"/>
          <w:highlight w:val="none"/>
        </w:rPr>
        <w:t>竞争性磋商文件</w:t>
      </w:r>
    </w:p>
    <w:p w14:paraId="0BA7E55C">
      <w:pPr>
        <w:snapToGrid w:val="0"/>
        <w:spacing w:line="360" w:lineRule="auto"/>
        <w:rPr>
          <w:rFonts w:ascii="宋体" w:hAnsi="宋体" w:cs="宋体"/>
          <w:b/>
          <w:color w:val="auto"/>
          <w:sz w:val="48"/>
          <w:szCs w:val="48"/>
          <w:highlight w:val="none"/>
        </w:rPr>
      </w:pPr>
    </w:p>
    <w:p w14:paraId="69B2AA3C">
      <w:pPr>
        <w:pStyle w:val="15"/>
        <w:snapToGrid w:val="0"/>
        <w:spacing w:line="360" w:lineRule="auto"/>
        <w:ind w:firstLine="602" w:firstLineChars="200"/>
        <w:jc w:val="center"/>
        <w:rPr>
          <w:rFonts w:hAnsi="宋体" w:cs="宋体"/>
          <w:b/>
          <w:bCs/>
          <w:color w:val="auto"/>
          <w:sz w:val="30"/>
          <w:szCs w:val="30"/>
          <w:highlight w:val="none"/>
        </w:rPr>
      </w:pPr>
    </w:p>
    <w:p w14:paraId="5E3F03DD">
      <w:pPr>
        <w:pStyle w:val="15"/>
        <w:snapToGrid w:val="0"/>
        <w:spacing w:line="360" w:lineRule="auto"/>
        <w:ind w:firstLine="723" w:firstLineChars="200"/>
        <w:jc w:val="both"/>
        <w:rPr>
          <w:rFonts w:hint="default" w:hAnsi="宋体" w:eastAsia="宋体" w:cs="宋体"/>
          <w:b/>
          <w:bCs/>
          <w:color w:val="auto"/>
          <w:kern w:val="44"/>
          <w:sz w:val="32"/>
          <w:szCs w:val="32"/>
          <w:highlight w:val="none"/>
          <w:lang w:val="en-US" w:eastAsia="zh-CN"/>
        </w:rPr>
      </w:pPr>
      <w:r>
        <w:rPr>
          <w:rFonts w:hint="eastAsia" w:hAnsi="宋体" w:cs="宋体"/>
          <w:b/>
          <w:bCs/>
          <w:color w:val="auto"/>
          <w:kern w:val="44"/>
          <w:sz w:val="36"/>
          <w:szCs w:val="36"/>
          <w:highlight w:val="none"/>
        </w:rPr>
        <w:t>项目名称：202</w:t>
      </w:r>
      <w:r>
        <w:rPr>
          <w:rFonts w:hint="eastAsia" w:hAnsi="宋体" w:cs="宋体"/>
          <w:b/>
          <w:bCs/>
          <w:color w:val="auto"/>
          <w:kern w:val="44"/>
          <w:sz w:val="36"/>
          <w:szCs w:val="36"/>
          <w:highlight w:val="none"/>
          <w:lang w:val="en-US" w:eastAsia="zh-CN"/>
        </w:rPr>
        <w:t>5</w:t>
      </w:r>
      <w:r>
        <w:rPr>
          <w:rFonts w:hint="eastAsia" w:hAnsi="宋体" w:cs="宋体"/>
          <w:b/>
          <w:bCs/>
          <w:color w:val="auto"/>
          <w:kern w:val="44"/>
          <w:sz w:val="36"/>
          <w:szCs w:val="36"/>
          <w:highlight w:val="none"/>
        </w:rPr>
        <w:t>年教职工健康体检服务采购</w:t>
      </w:r>
    </w:p>
    <w:p w14:paraId="4F54421E">
      <w:pPr>
        <w:pStyle w:val="15"/>
        <w:snapToGrid w:val="0"/>
        <w:spacing w:line="360" w:lineRule="auto"/>
        <w:ind w:firstLine="723" w:firstLineChars="200"/>
        <w:jc w:val="both"/>
        <w:rPr>
          <w:rFonts w:hAnsi="宋体" w:cs="宋体"/>
          <w:b/>
          <w:bCs/>
          <w:color w:val="auto"/>
          <w:kern w:val="44"/>
          <w:sz w:val="36"/>
          <w:szCs w:val="36"/>
          <w:highlight w:val="none"/>
        </w:rPr>
      </w:pPr>
      <w:r>
        <w:rPr>
          <w:rFonts w:hint="eastAsia" w:hAnsi="宋体" w:cs="宋体"/>
          <w:b/>
          <w:bCs/>
          <w:color w:val="auto"/>
          <w:kern w:val="44"/>
          <w:sz w:val="36"/>
          <w:szCs w:val="36"/>
          <w:highlight w:val="none"/>
        </w:rPr>
        <w:t>项目编号：</w:t>
      </w:r>
      <w:r>
        <w:rPr>
          <w:rFonts w:hint="eastAsia" w:ascii="宋体" w:hAnsi="宋体" w:eastAsia="宋体" w:cs="宋体"/>
          <w:b/>
          <w:bCs/>
          <w:i w:val="0"/>
          <w:iCs w:val="0"/>
          <w:caps w:val="0"/>
          <w:color w:val="auto"/>
          <w:spacing w:val="0"/>
          <w:kern w:val="44"/>
          <w:sz w:val="36"/>
          <w:szCs w:val="36"/>
          <w:highlight w:val="none"/>
          <w:shd w:val="clear"/>
        </w:rPr>
        <w:t>GXZC202</w:t>
      </w:r>
      <w:r>
        <w:rPr>
          <w:rFonts w:hint="eastAsia" w:hAnsi="宋体" w:cs="宋体"/>
          <w:b/>
          <w:bCs/>
          <w:i w:val="0"/>
          <w:iCs w:val="0"/>
          <w:caps w:val="0"/>
          <w:color w:val="auto"/>
          <w:spacing w:val="0"/>
          <w:kern w:val="44"/>
          <w:sz w:val="36"/>
          <w:szCs w:val="36"/>
          <w:highlight w:val="none"/>
          <w:shd w:val="clear"/>
          <w:lang w:val="en-US" w:eastAsia="zh-CN"/>
        </w:rPr>
        <w:t>5</w:t>
      </w:r>
      <w:r>
        <w:rPr>
          <w:rFonts w:hint="eastAsia" w:ascii="宋体" w:hAnsi="宋体" w:eastAsia="宋体" w:cs="宋体"/>
          <w:b/>
          <w:bCs/>
          <w:i w:val="0"/>
          <w:iCs w:val="0"/>
          <w:caps w:val="0"/>
          <w:color w:val="auto"/>
          <w:spacing w:val="0"/>
          <w:kern w:val="44"/>
          <w:sz w:val="36"/>
          <w:szCs w:val="36"/>
          <w:highlight w:val="none"/>
          <w:shd w:val="clear"/>
        </w:rPr>
        <w:t>-C3-</w:t>
      </w:r>
      <w:r>
        <w:rPr>
          <w:rFonts w:hint="eastAsia" w:hAnsi="宋体" w:cs="宋体"/>
          <w:b/>
          <w:bCs/>
          <w:i w:val="0"/>
          <w:iCs w:val="0"/>
          <w:caps w:val="0"/>
          <w:color w:val="auto"/>
          <w:spacing w:val="0"/>
          <w:kern w:val="44"/>
          <w:sz w:val="36"/>
          <w:szCs w:val="36"/>
          <w:highlight w:val="none"/>
          <w:shd w:val="clear"/>
          <w:lang w:val="en-US" w:eastAsia="zh-CN"/>
        </w:rPr>
        <w:t>003256</w:t>
      </w:r>
      <w:r>
        <w:rPr>
          <w:rFonts w:hint="eastAsia" w:ascii="宋体" w:hAnsi="宋体" w:eastAsia="宋体" w:cs="宋体"/>
          <w:b/>
          <w:bCs/>
          <w:i w:val="0"/>
          <w:iCs w:val="0"/>
          <w:caps w:val="0"/>
          <w:color w:val="auto"/>
          <w:spacing w:val="0"/>
          <w:kern w:val="44"/>
          <w:sz w:val="36"/>
          <w:szCs w:val="36"/>
          <w:highlight w:val="none"/>
          <w:shd w:val="clear"/>
        </w:rPr>
        <w:t>-KWZB</w:t>
      </w:r>
    </w:p>
    <w:p w14:paraId="7FAD0F55">
      <w:pPr>
        <w:pStyle w:val="15"/>
        <w:snapToGrid w:val="0"/>
        <w:spacing w:line="360" w:lineRule="auto"/>
        <w:ind w:firstLine="1205" w:firstLineChars="400"/>
        <w:rPr>
          <w:rFonts w:hAnsi="宋体" w:cs="宋体"/>
          <w:b/>
          <w:bCs/>
          <w:color w:val="auto"/>
          <w:sz w:val="30"/>
          <w:szCs w:val="30"/>
          <w:highlight w:val="none"/>
        </w:rPr>
      </w:pPr>
    </w:p>
    <w:p w14:paraId="43E6F9F2">
      <w:pPr>
        <w:snapToGrid w:val="0"/>
        <w:spacing w:line="360" w:lineRule="auto"/>
        <w:ind w:firstLine="1145" w:firstLineChars="400"/>
        <w:rPr>
          <w:rFonts w:ascii="宋体" w:hAnsi="宋体" w:cs="宋体"/>
          <w:b/>
          <w:bCs/>
          <w:color w:val="auto"/>
          <w:w w:val="95"/>
          <w:sz w:val="30"/>
          <w:szCs w:val="30"/>
          <w:highlight w:val="none"/>
        </w:rPr>
      </w:pPr>
    </w:p>
    <w:p w14:paraId="6DDF1CF6">
      <w:pPr>
        <w:snapToGrid w:val="0"/>
        <w:spacing w:line="360" w:lineRule="auto"/>
        <w:ind w:firstLine="1145" w:firstLineChars="400"/>
        <w:rPr>
          <w:rFonts w:ascii="宋体" w:hAnsi="宋体" w:cs="宋体"/>
          <w:b/>
          <w:bCs/>
          <w:color w:val="auto"/>
          <w:w w:val="95"/>
          <w:sz w:val="30"/>
          <w:szCs w:val="30"/>
          <w:highlight w:val="none"/>
        </w:rPr>
      </w:pPr>
    </w:p>
    <w:p w14:paraId="4B1E6CDA">
      <w:pPr>
        <w:snapToGrid w:val="0"/>
        <w:spacing w:line="360" w:lineRule="auto"/>
        <w:ind w:firstLine="1205" w:firstLineChars="400"/>
        <w:rPr>
          <w:rFonts w:ascii="宋体" w:hAnsi="宋体" w:cs="宋体"/>
          <w:color w:val="auto"/>
          <w:sz w:val="30"/>
          <w:szCs w:val="72"/>
          <w:highlight w:val="none"/>
        </w:rPr>
      </w:pPr>
      <w:r>
        <w:rPr>
          <w:rFonts w:hint="eastAsia" w:ascii="宋体" w:hAnsi="宋体" w:cs="宋体"/>
          <w:b/>
          <w:color w:val="auto"/>
          <w:sz w:val="30"/>
          <w:szCs w:val="48"/>
          <w:highlight w:val="none"/>
        </w:rPr>
        <w:t xml:space="preserve"> </w:t>
      </w:r>
    </w:p>
    <w:p w14:paraId="7D1AD1CB">
      <w:pPr>
        <w:pStyle w:val="15"/>
        <w:snapToGrid w:val="0"/>
        <w:spacing w:line="360" w:lineRule="auto"/>
        <w:ind w:firstLine="2003" w:firstLineChars="700"/>
        <w:jc w:val="both"/>
        <w:rPr>
          <w:rFonts w:hint="eastAsia" w:hAnsi="宋体" w:eastAsia="宋体" w:cs="宋体"/>
          <w:b/>
          <w:bCs/>
          <w:color w:val="auto"/>
          <w:w w:val="95"/>
          <w:sz w:val="30"/>
          <w:szCs w:val="30"/>
          <w:highlight w:val="none"/>
          <w:lang w:val="en-US" w:eastAsia="zh-CN"/>
        </w:rPr>
      </w:pPr>
      <w:r>
        <w:rPr>
          <w:rFonts w:hint="eastAsia" w:hAnsi="宋体" w:cs="宋体"/>
          <w:b/>
          <w:bCs/>
          <w:color w:val="auto"/>
          <w:w w:val="95"/>
          <w:sz w:val="30"/>
          <w:szCs w:val="30"/>
          <w:highlight w:val="none"/>
        </w:rPr>
        <w:t>采 购 人：</w:t>
      </w:r>
      <w:r>
        <w:rPr>
          <w:rFonts w:hint="eastAsia" w:hAnsi="宋体" w:cs="宋体"/>
          <w:b/>
          <w:color w:val="auto"/>
          <w:sz w:val="32"/>
          <w:szCs w:val="32"/>
          <w:highlight w:val="none"/>
        </w:rPr>
        <w:t>广西</w:t>
      </w:r>
      <w:r>
        <w:rPr>
          <w:rFonts w:hint="eastAsia" w:hAnsi="宋体" w:cs="宋体"/>
          <w:b/>
          <w:color w:val="auto"/>
          <w:sz w:val="32"/>
          <w:szCs w:val="32"/>
          <w:highlight w:val="none"/>
          <w:lang w:eastAsia="zh-CN"/>
        </w:rPr>
        <w:t>民族大学</w:t>
      </w:r>
    </w:p>
    <w:p w14:paraId="216E38C2">
      <w:pPr>
        <w:pStyle w:val="15"/>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w:t>
      </w:r>
      <w:r>
        <w:rPr>
          <w:rFonts w:hint="eastAsia" w:hAnsi="宋体" w:cs="宋体"/>
          <w:b/>
          <w:color w:val="auto"/>
          <w:sz w:val="32"/>
          <w:szCs w:val="32"/>
          <w:highlight w:val="none"/>
        </w:rPr>
        <w:t>广西科文招标有限公司</w:t>
      </w:r>
    </w:p>
    <w:p w14:paraId="32FB0E25">
      <w:pPr>
        <w:pStyle w:val="15"/>
        <w:snapToGrid w:val="0"/>
        <w:spacing w:line="360" w:lineRule="auto"/>
        <w:ind w:left="420" w:firstLine="841" w:firstLineChars="294"/>
        <w:jc w:val="center"/>
        <w:rPr>
          <w:rFonts w:hAnsi="宋体" w:cs="宋体"/>
          <w:b/>
          <w:bCs/>
          <w:color w:val="auto"/>
          <w:w w:val="95"/>
          <w:sz w:val="30"/>
          <w:szCs w:val="30"/>
          <w:highlight w:val="none"/>
        </w:rPr>
      </w:pPr>
    </w:p>
    <w:p w14:paraId="02B81875">
      <w:pPr>
        <w:pStyle w:val="15"/>
        <w:snapToGrid w:val="0"/>
        <w:spacing w:line="360" w:lineRule="auto"/>
        <w:ind w:left="420"/>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11</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13</w:t>
      </w:r>
      <w:r>
        <w:rPr>
          <w:rFonts w:hint="eastAsia" w:hAnsi="宋体" w:cs="宋体"/>
          <w:b/>
          <w:bCs/>
          <w:color w:val="auto"/>
          <w:w w:val="95"/>
          <w:sz w:val="30"/>
          <w:szCs w:val="30"/>
          <w:highlight w:val="none"/>
        </w:rPr>
        <w:t>日</w:t>
      </w:r>
    </w:p>
    <w:p w14:paraId="3EAD9BAA">
      <w:pPr>
        <w:spacing w:line="360" w:lineRule="auto"/>
        <w:jc w:val="center"/>
        <w:rPr>
          <w:rFonts w:ascii="宋体" w:hAnsi="宋体" w:cs="宋体"/>
          <w:b/>
          <w:bCs/>
          <w:color w:val="auto"/>
          <w:kern w:val="0"/>
          <w:sz w:val="32"/>
          <w:szCs w:val="32"/>
          <w:highlight w:val="none"/>
        </w:rPr>
      </w:pPr>
    </w:p>
    <w:p w14:paraId="0BB2DE73">
      <w:pPr>
        <w:spacing w:line="360" w:lineRule="auto"/>
        <w:jc w:val="center"/>
        <w:rPr>
          <w:rFonts w:ascii="宋体" w:hAnsi="宋体" w:cs="宋体"/>
          <w:b/>
          <w:color w:val="auto"/>
          <w:sz w:val="44"/>
          <w:szCs w:val="44"/>
          <w:highlight w:val="none"/>
        </w:rPr>
      </w:pPr>
    </w:p>
    <w:p w14:paraId="577D083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D1D1DF0">
      <w:pPr>
        <w:spacing w:line="400" w:lineRule="exact"/>
        <w:jc w:val="center"/>
        <w:rPr>
          <w:rFonts w:ascii="宋体" w:hAnsi="宋体" w:cs="宋体"/>
          <w:b/>
          <w:color w:val="auto"/>
          <w:sz w:val="44"/>
          <w:szCs w:val="44"/>
          <w:highlight w:val="none"/>
        </w:rPr>
      </w:pPr>
    </w:p>
    <w:p w14:paraId="75E5405C">
      <w:pPr>
        <w:pStyle w:val="20"/>
        <w:tabs>
          <w:tab w:val="right" w:leader="dot" w:pos="8869"/>
        </w:tabs>
        <w:snapToGrid w:val="0"/>
        <w:spacing w:line="500" w:lineRule="atLeast"/>
        <w:rPr>
          <w:rFonts w:ascii="宋体" w:hAnsi="宋体" w:cs="宋体"/>
          <w:b/>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33"/>
          <w:rFonts w:hint="eastAsia" w:ascii="宋体" w:hAnsi="宋体" w:cs="宋体"/>
          <w:b/>
          <w:color w:val="auto"/>
          <w:sz w:val="24"/>
          <w:highlight w:val="none"/>
        </w:rPr>
        <w:t>第一章 竞争性磋商公告</w:t>
      </w:r>
      <w:r>
        <w:rPr>
          <w:rFonts w:hint="eastAsia" w:ascii="宋体" w:hAnsi="宋体" w:cs="宋体"/>
          <w:b/>
          <w:color w:val="auto"/>
          <w:sz w:val="24"/>
          <w:highlight w:val="none"/>
        </w:rPr>
        <w:tab/>
      </w:r>
      <w:r>
        <w:rPr>
          <w:rFonts w:hint="eastAsia" w:ascii="宋体" w:hAnsi="宋体" w:cs="宋体"/>
          <w:b/>
          <w:color w:val="auto"/>
          <w:sz w:val="24"/>
          <w:highlight w:val="none"/>
        </w:rPr>
        <w:t>2</w:t>
      </w:r>
      <w:r>
        <w:rPr>
          <w:color w:val="auto"/>
          <w:highlight w:val="none"/>
        </w:rPr>
        <w:fldChar w:fldCharType="end"/>
      </w:r>
    </w:p>
    <w:p w14:paraId="683ABB06">
      <w:pPr>
        <w:pStyle w:val="20"/>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33"/>
          <w:rFonts w:hint="eastAsia" w:ascii="宋体" w:hAnsi="宋体" w:cs="宋体"/>
          <w:b/>
          <w:color w:val="auto"/>
          <w:sz w:val="24"/>
          <w:highlight w:val="none"/>
        </w:rPr>
        <w:t>第二章 供应</w:t>
      </w:r>
      <w:bookmarkStart w:id="0" w:name="_Hlt82161237"/>
      <w:r>
        <w:rPr>
          <w:rStyle w:val="33"/>
          <w:rFonts w:hint="eastAsia" w:ascii="宋体" w:hAnsi="宋体" w:cs="宋体"/>
          <w:b/>
          <w:color w:val="auto"/>
          <w:sz w:val="24"/>
          <w:highlight w:val="none"/>
        </w:rPr>
        <w:t>商</w:t>
      </w:r>
      <w:bookmarkEnd w:id="0"/>
      <w:r>
        <w:rPr>
          <w:rStyle w:val="33"/>
          <w:rFonts w:hint="eastAsia" w:ascii="宋体" w:hAnsi="宋体" w:cs="宋体"/>
          <w:b/>
          <w:color w:val="auto"/>
          <w:sz w:val="24"/>
          <w:highlight w:val="none"/>
        </w:rPr>
        <w:t>须知</w:t>
      </w:r>
      <w:r>
        <w:rPr>
          <w:rFonts w:hint="eastAsia" w:ascii="宋体" w:hAnsi="宋体" w:cs="宋体"/>
          <w:b/>
          <w:color w:val="auto"/>
          <w:sz w:val="24"/>
          <w:highlight w:val="none"/>
        </w:rPr>
        <w:tab/>
      </w:r>
      <w:r>
        <w:rPr>
          <w:rFonts w:hint="eastAsia" w:ascii="宋体" w:hAnsi="宋体" w:cs="宋体"/>
          <w:b/>
          <w:color w:val="auto"/>
          <w:sz w:val="24"/>
          <w:highlight w:val="none"/>
        </w:rPr>
        <w:t>6</w:t>
      </w:r>
      <w:r>
        <w:rPr>
          <w:color w:val="auto"/>
          <w:highlight w:val="none"/>
        </w:rPr>
        <w:fldChar w:fldCharType="end"/>
      </w:r>
    </w:p>
    <w:p w14:paraId="487E7FFC">
      <w:pPr>
        <w:pStyle w:val="20"/>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33"/>
          <w:rFonts w:hint="eastAsia" w:ascii="宋体" w:hAnsi="宋体" w:cs="宋体"/>
          <w:b/>
          <w:color w:val="auto"/>
          <w:sz w:val="24"/>
          <w:highlight w:val="none"/>
        </w:rPr>
        <w:t>第三章 采购需</w:t>
      </w:r>
      <w:bookmarkStart w:id="1" w:name="_Hlt82166940"/>
      <w:r>
        <w:rPr>
          <w:rStyle w:val="33"/>
          <w:rFonts w:hint="eastAsia" w:ascii="宋体" w:hAnsi="宋体" w:cs="宋体"/>
          <w:b/>
          <w:color w:val="auto"/>
          <w:sz w:val="24"/>
          <w:highlight w:val="none"/>
        </w:rPr>
        <w:t>求</w:t>
      </w:r>
      <w:bookmarkEnd w:id="1"/>
      <w:r>
        <w:rPr>
          <w:rFonts w:hint="eastAsia" w:ascii="宋体" w:hAnsi="宋体" w:cs="宋体"/>
          <w:b/>
          <w:color w:val="auto"/>
          <w:sz w:val="24"/>
          <w:highlight w:val="none"/>
        </w:rPr>
        <w:tab/>
      </w:r>
      <w:r>
        <w:rPr>
          <w:rFonts w:hint="eastAsia" w:ascii="宋体" w:hAnsi="宋体" w:cs="宋体"/>
          <w:b/>
          <w:color w:val="auto"/>
          <w:sz w:val="24"/>
          <w:highlight w:val="none"/>
        </w:rPr>
        <w:t>2</w:t>
      </w:r>
      <w:r>
        <w:rPr>
          <w:color w:val="auto"/>
          <w:highlight w:val="none"/>
        </w:rPr>
        <w:fldChar w:fldCharType="end"/>
      </w:r>
      <w:r>
        <w:rPr>
          <w:rStyle w:val="33"/>
          <w:rFonts w:hint="eastAsia" w:ascii="宋体" w:hAnsi="宋体" w:cs="宋体"/>
          <w:b/>
          <w:color w:val="auto"/>
          <w:sz w:val="24"/>
          <w:highlight w:val="none"/>
          <w:u w:val="none"/>
        </w:rPr>
        <w:t>6</w:t>
      </w:r>
    </w:p>
    <w:p w14:paraId="15BB675A">
      <w:pPr>
        <w:pStyle w:val="20"/>
        <w:tabs>
          <w:tab w:val="right" w:leader="dot" w:pos="8869"/>
        </w:tabs>
        <w:snapToGrid w:val="0"/>
        <w:spacing w:line="500" w:lineRule="atLeast"/>
        <w:rPr>
          <w:rFonts w:hint="eastAsia" w:ascii="宋体" w:hAnsi="宋体" w:eastAsia="宋体" w:cs="宋体"/>
          <w:b/>
          <w:color w:val="auto"/>
          <w:sz w:val="24"/>
          <w:highlight w:val="none"/>
          <w:lang w:val="en-US" w:eastAsia="zh-CN"/>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33"/>
          <w:rFonts w:hint="eastAsia" w:ascii="宋体" w:hAnsi="宋体" w:cs="宋体"/>
          <w:b/>
          <w:color w:val="auto"/>
          <w:sz w:val="24"/>
          <w:highlight w:val="none"/>
        </w:rPr>
        <w:t>第四章  评审程序、评审方法和评审标准</w:t>
      </w:r>
      <w:r>
        <w:rPr>
          <w:rFonts w:hint="eastAsia" w:ascii="宋体" w:hAnsi="宋体" w:cs="宋体"/>
          <w:b/>
          <w:color w:val="auto"/>
          <w:sz w:val="24"/>
          <w:highlight w:val="none"/>
        </w:rPr>
        <w:tab/>
      </w:r>
      <w:r>
        <w:rPr>
          <w:rFonts w:hint="eastAsia" w:ascii="宋体" w:hAnsi="宋体" w:cs="宋体"/>
          <w:b/>
          <w:color w:val="auto"/>
          <w:sz w:val="24"/>
          <w:highlight w:val="none"/>
        </w:rPr>
        <w:t>3</w:t>
      </w:r>
      <w:r>
        <w:rPr>
          <w:rFonts w:hint="eastAsia" w:ascii="宋体" w:hAnsi="宋体" w:cs="宋体"/>
          <w:b/>
          <w:color w:val="auto"/>
          <w:sz w:val="24"/>
          <w:highlight w:val="none"/>
        </w:rPr>
        <w:fldChar w:fldCharType="end"/>
      </w:r>
      <w:r>
        <w:rPr>
          <w:rFonts w:hint="eastAsia" w:ascii="宋体" w:hAnsi="宋体" w:cs="宋体"/>
          <w:b/>
          <w:color w:val="auto"/>
          <w:sz w:val="24"/>
          <w:highlight w:val="none"/>
          <w:lang w:val="en-US" w:eastAsia="zh-CN"/>
        </w:rPr>
        <w:t>3</w:t>
      </w:r>
    </w:p>
    <w:p w14:paraId="64ED61E0">
      <w:pPr>
        <w:pStyle w:val="20"/>
        <w:tabs>
          <w:tab w:val="right" w:leader="dot" w:pos="8869"/>
        </w:tabs>
        <w:snapToGrid w:val="0"/>
        <w:spacing w:line="500" w:lineRule="atLeast"/>
        <w:rPr>
          <w:rFonts w:hint="eastAsia" w:ascii="宋体" w:hAnsi="宋体" w:eastAsia="宋体" w:cs="宋体"/>
          <w:b/>
          <w:color w:val="auto"/>
          <w:sz w:val="24"/>
          <w:highlight w:val="none"/>
          <w:lang w:val="en-US" w:eastAsia="zh-CN"/>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33"/>
          <w:rFonts w:hint="eastAsia" w:ascii="宋体" w:hAnsi="宋体" w:cs="宋体"/>
          <w:b/>
          <w:color w:val="auto"/>
          <w:sz w:val="24"/>
          <w:highlight w:val="none"/>
        </w:rPr>
        <w:t>第五章 响应文件格式</w:t>
      </w:r>
      <w:r>
        <w:rPr>
          <w:rFonts w:hint="eastAsia" w:ascii="宋体" w:hAnsi="宋体" w:cs="宋体"/>
          <w:b/>
          <w:color w:val="auto"/>
          <w:sz w:val="24"/>
          <w:highlight w:val="none"/>
        </w:rPr>
        <w:tab/>
      </w:r>
      <w:r>
        <w:rPr>
          <w:rFonts w:hint="eastAsia" w:ascii="宋体" w:hAnsi="宋体" w:cs="宋体"/>
          <w:b/>
          <w:color w:val="auto"/>
          <w:sz w:val="24"/>
          <w:highlight w:val="none"/>
        </w:rPr>
        <w:t>4</w:t>
      </w:r>
      <w:r>
        <w:rPr>
          <w:color w:val="auto"/>
          <w:highlight w:val="none"/>
        </w:rPr>
        <w:fldChar w:fldCharType="end"/>
      </w:r>
      <w:r>
        <w:rPr>
          <w:rFonts w:hint="eastAsia" w:ascii="宋体" w:hAnsi="宋体" w:cs="宋体"/>
          <w:b/>
          <w:color w:val="auto"/>
          <w:sz w:val="24"/>
          <w:highlight w:val="none"/>
          <w:lang w:val="en-US" w:eastAsia="zh-CN"/>
        </w:rPr>
        <w:t>4</w:t>
      </w:r>
    </w:p>
    <w:p w14:paraId="00D2FF1B">
      <w:pPr>
        <w:pStyle w:val="20"/>
        <w:tabs>
          <w:tab w:val="right" w:leader="dot" w:pos="8869"/>
        </w:tabs>
        <w:snapToGrid w:val="0"/>
        <w:spacing w:line="500" w:lineRule="atLeast"/>
        <w:rPr>
          <w:rFonts w:hint="eastAsia" w:ascii="宋体" w:hAnsi="宋体" w:eastAsia="宋体" w:cs="宋体"/>
          <w:color w:val="auto"/>
          <w:sz w:val="24"/>
          <w:highlight w:val="none"/>
          <w:lang w:val="en-US" w:eastAsia="zh-CN"/>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33"/>
          <w:rFonts w:hint="eastAsia" w:ascii="宋体" w:hAnsi="宋体" w:cs="宋体"/>
          <w:b/>
          <w:color w:val="auto"/>
          <w:sz w:val="24"/>
          <w:highlight w:val="none"/>
        </w:rPr>
        <w:t>第六章 合同文本</w:t>
      </w:r>
      <w:r>
        <w:rPr>
          <w:rFonts w:hint="eastAsia" w:ascii="宋体" w:hAnsi="宋体" w:cs="宋体"/>
          <w:b/>
          <w:color w:val="auto"/>
          <w:sz w:val="24"/>
          <w:highlight w:val="none"/>
        </w:rPr>
        <w:tab/>
      </w:r>
      <w:r>
        <w:rPr>
          <w:rFonts w:hint="eastAsia" w:ascii="宋体" w:hAnsi="宋体" w:cs="宋体"/>
          <w:b/>
          <w:color w:val="auto"/>
          <w:sz w:val="24"/>
          <w:highlight w:val="none"/>
        </w:rPr>
        <w:t>6</w:t>
      </w:r>
      <w:r>
        <w:rPr>
          <w:color w:val="auto"/>
          <w:highlight w:val="none"/>
        </w:rPr>
        <w:fldChar w:fldCharType="end"/>
      </w:r>
      <w:r>
        <w:rPr>
          <w:rFonts w:hint="eastAsia" w:ascii="宋体" w:hAnsi="宋体" w:cs="宋体"/>
          <w:b/>
          <w:color w:val="auto"/>
          <w:sz w:val="24"/>
          <w:highlight w:val="none"/>
          <w:lang w:val="en-US" w:eastAsia="zh-CN"/>
        </w:rPr>
        <w:t>7</w:t>
      </w:r>
    </w:p>
    <w:p w14:paraId="1CFB59B6">
      <w:pPr>
        <w:pStyle w:val="23"/>
        <w:tabs>
          <w:tab w:val="right" w:leader="dot" w:pos="8931"/>
          <w:tab w:val="clear" w:pos="8296"/>
        </w:tabs>
        <w:snapToGrid w:val="0"/>
        <w:spacing w:line="500" w:lineRule="atLeast"/>
        <w:ind w:left="0" w:leftChars="0"/>
        <w:rPr>
          <w:rFonts w:ascii="宋体" w:hAnsi="宋体" w:cs="宋体"/>
          <w:b/>
          <w:color w:val="auto"/>
          <w:sz w:val="24"/>
          <w:highlight w:val="none"/>
        </w:rPr>
      </w:pPr>
      <w:r>
        <w:rPr>
          <w:rFonts w:hint="eastAsia" w:ascii="宋体" w:hAnsi="宋体" w:cs="宋体"/>
          <w:b/>
          <w:color w:val="auto"/>
          <w:sz w:val="24"/>
          <w:highlight w:val="none"/>
        </w:rPr>
        <w:fldChar w:fldCharType="end"/>
      </w:r>
    </w:p>
    <w:p w14:paraId="735F17A2">
      <w:pPr>
        <w:spacing w:line="400" w:lineRule="exact"/>
        <w:jc w:val="left"/>
        <w:rPr>
          <w:rFonts w:ascii="宋体" w:hAnsi="宋体" w:cs="宋体"/>
          <w:b/>
          <w:color w:val="auto"/>
          <w:sz w:val="32"/>
          <w:szCs w:val="32"/>
          <w:highlight w:val="none"/>
        </w:rPr>
      </w:pPr>
    </w:p>
    <w:p w14:paraId="5167513C">
      <w:pPr>
        <w:spacing w:line="400" w:lineRule="exact"/>
        <w:jc w:val="center"/>
        <w:rPr>
          <w:rFonts w:ascii="宋体" w:hAnsi="宋体" w:cs="宋体"/>
          <w:b/>
          <w:color w:val="auto"/>
          <w:sz w:val="32"/>
          <w:szCs w:val="32"/>
          <w:highlight w:val="none"/>
        </w:rPr>
      </w:pPr>
    </w:p>
    <w:p w14:paraId="6F25AC85">
      <w:pPr>
        <w:spacing w:line="400" w:lineRule="exact"/>
        <w:jc w:val="center"/>
        <w:rPr>
          <w:rFonts w:ascii="宋体" w:hAnsi="宋体" w:cs="宋体"/>
          <w:b/>
          <w:color w:val="auto"/>
          <w:sz w:val="32"/>
          <w:szCs w:val="32"/>
          <w:highlight w:val="none"/>
        </w:rPr>
      </w:pPr>
    </w:p>
    <w:p w14:paraId="1DAE2262">
      <w:pPr>
        <w:spacing w:line="400" w:lineRule="exact"/>
        <w:jc w:val="center"/>
        <w:rPr>
          <w:rFonts w:ascii="宋体" w:hAnsi="宋体" w:cs="宋体"/>
          <w:b/>
          <w:color w:val="auto"/>
          <w:sz w:val="32"/>
          <w:szCs w:val="32"/>
          <w:highlight w:val="none"/>
        </w:rPr>
      </w:pPr>
    </w:p>
    <w:p w14:paraId="1ABBFD9D">
      <w:pPr>
        <w:pStyle w:val="23"/>
        <w:tabs>
          <w:tab w:val="right" w:leader="dot" w:pos="8931"/>
          <w:tab w:val="clear" w:pos="8296"/>
        </w:tabs>
        <w:snapToGrid w:val="0"/>
        <w:spacing w:line="500" w:lineRule="atLeast"/>
        <w:ind w:left="0" w:leftChars="0"/>
        <w:rPr>
          <w:rFonts w:ascii="宋体" w:hAnsi="宋体" w:cs="宋体"/>
          <w:b/>
          <w:color w:val="auto"/>
          <w:sz w:val="24"/>
          <w:highlight w:val="none"/>
        </w:rPr>
      </w:pPr>
    </w:p>
    <w:p w14:paraId="4A856A84">
      <w:pPr>
        <w:spacing w:line="400" w:lineRule="exact"/>
        <w:jc w:val="left"/>
        <w:rPr>
          <w:rFonts w:ascii="宋体" w:hAnsi="宋体" w:cs="宋体"/>
          <w:b/>
          <w:color w:val="auto"/>
          <w:sz w:val="32"/>
          <w:szCs w:val="32"/>
          <w:highlight w:val="none"/>
        </w:rPr>
      </w:pPr>
    </w:p>
    <w:p w14:paraId="4FCFE4C4">
      <w:pPr>
        <w:spacing w:line="400" w:lineRule="exact"/>
        <w:jc w:val="center"/>
        <w:rPr>
          <w:rFonts w:ascii="宋体" w:hAnsi="宋体" w:cs="宋体"/>
          <w:b/>
          <w:color w:val="auto"/>
          <w:sz w:val="32"/>
          <w:szCs w:val="32"/>
          <w:highlight w:val="none"/>
        </w:rPr>
      </w:pPr>
    </w:p>
    <w:p w14:paraId="66F66B09">
      <w:pPr>
        <w:spacing w:line="400" w:lineRule="exact"/>
        <w:jc w:val="center"/>
        <w:rPr>
          <w:rFonts w:ascii="宋体" w:hAnsi="宋体" w:cs="宋体"/>
          <w:b/>
          <w:color w:val="auto"/>
          <w:sz w:val="32"/>
          <w:szCs w:val="32"/>
          <w:highlight w:val="none"/>
        </w:rPr>
      </w:pPr>
    </w:p>
    <w:p w14:paraId="61894E05">
      <w:pPr>
        <w:spacing w:line="400" w:lineRule="exact"/>
        <w:jc w:val="center"/>
        <w:rPr>
          <w:rFonts w:ascii="宋体" w:hAnsi="宋体" w:cs="宋体"/>
          <w:b/>
          <w:color w:val="auto"/>
          <w:sz w:val="32"/>
          <w:szCs w:val="32"/>
          <w:highlight w:val="none"/>
        </w:rPr>
      </w:pPr>
    </w:p>
    <w:p w14:paraId="1DB32E37">
      <w:pPr>
        <w:spacing w:line="400" w:lineRule="exact"/>
        <w:jc w:val="center"/>
        <w:rPr>
          <w:rFonts w:ascii="宋体" w:hAnsi="宋体" w:cs="宋体"/>
          <w:b/>
          <w:color w:val="auto"/>
          <w:sz w:val="32"/>
          <w:szCs w:val="32"/>
          <w:highlight w:val="none"/>
        </w:rPr>
      </w:pPr>
    </w:p>
    <w:p w14:paraId="2BD807BB">
      <w:pPr>
        <w:spacing w:line="400" w:lineRule="exact"/>
        <w:rPr>
          <w:rFonts w:ascii="宋体" w:hAnsi="宋体" w:cs="宋体"/>
          <w:b/>
          <w:color w:val="auto"/>
          <w:sz w:val="32"/>
          <w:szCs w:val="32"/>
          <w:highlight w:val="none"/>
        </w:rPr>
        <w:sectPr>
          <w:footerReference r:id="rId5" w:type="first"/>
          <w:footerReference r:id="rId4" w:type="default"/>
          <w:headerReference r:id="rId3" w:type="even"/>
          <w:pgSz w:w="11906" w:h="16838"/>
          <w:pgMar w:top="1417" w:right="1417" w:bottom="1417" w:left="1417" w:header="851" w:footer="567" w:gutter="0"/>
          <w:pgNumType w:fmt="decimal" w:start="0"/>
          <w:cols w:space="720" w:num="1"/>
          <w:titlePg/>
          <w:docGrid w:type="lines" w:linePitch="312" w:charSpace="0"/>
        </w:sectPr>
      </w:pPr>
    </w:p>
    <w:p w14:paraId="6875487E">
      <w:pPr>
        <w:pStyle w:val="2"/>
        <w:spacing w:line="360" w:lineRule="auto"/>
        <w:jc w:val="center"/>
        <w:rPr>
          <w:rFonts w:ascii="宋体" w:hAnsi="宋体" w:cs="宋体"/>
          <w:color w:val="auto"/>
          <w:highlight w:val="none"/>
        </w:rPr>
      </w:pPr>
      <w:bookmarkStart w:id="2" w:name="_Toc74323456"/>
      <w:r>
        <w:rPr>
          <w:rFonts w:hint="eastAsia" w:ascii="宋体" w:hAnsi="宋体" w:cs="宋体"/>
          <w:color w:val="auto"/>
          <w:highlight w:val="none"/>
        </w:rPr>
        <w:t>第一章 竞争性磋商公告</w:t>
      </w:r>
      <w:bookmarkEnd w:id="2"/>
    </w:p>
    <w:p w14:paraId="6A8B36B1">
      <w:pPr>
        <w:pStyle w:val="15"/>
        <w:spacing w:line="360" w:lineRule="auto"/>
        <w:jc w:val="center"/>
        <w:rPr>
          <w:rFonts w:ascii="宋体" w:hAnsi="宋体" w:cs="宋体"/>
          <w:b/>
          <w:bCs/>
          <w:color w:val="auto"/>
          <w:kern w:val="44"/>
          <w:sz w:val="36"/>
          <w:szCs w:val="36"/>
          <w:highlight w:val="none"/>
        </w:rPr>
      </w:pPr>
      <w:r>
        <w:rPr>
          <w:rFonts w:hint="eastAsia" w:hAnsi="宋体" w:cs="宋体"/>
          <w:b/>
          <w:bCs/>
          <w:color w:val="auto"/>
          <w:kern w:val="44"/>
          <w:sz w:val="36"/>
          <w:szCs w:val="36"/>
          <w:highlight w:val="none"/>
        </w:rPr>
        <w:t>广西科文招标有限公司202</w:t>
      </w:r>
      <w:r>
        <w:rPr>
          <w:rFonts w:hint="eastAsia" w:hAnsi="宋体" w:cs="宋体"/>
          <w:b/>
          <w:bCs/>
          <w:color w:val="auto"/>
          <w:kern w:val="44"/>
          <w:sz w:val="36"/>
          <w:szCs w:val="36"/>
          <w:highlight w:val="none"/>
          <w:lang w:val="en-US" w:eastAsia="zh-CN"/>
        </w:rPr>
        <w:t>5</w:t>
      </w:r>
      <w:r>
        <w:rPr>
          <w:rFonts w:hint="eastAsia" w:hAnsi="宋体" w:cs="宋体"/>
          <w:b/>
          <w:bCs/>
          <w:color w:val="auto"/>
          <w:kern w:val="44"/>
          <w:sz w:val="36"/>
          <w:szCs w:val="36"/>
          <w:highlight w:val="none"/>
        </w:rPr>
        <w:t>年教职工健康体检服务采购</w:t>
      </w:r>
      <w:r>
        <w:rPr>
          <w:rFonts w:hint="eastAsia" w:ascii="宋体" w:hAnsi="宋体" w:cs="宋体"/>
          <w:b/>
          <w:bCs/>
          <w:color w:val="auto"/>
          <w:kern w:val="44"/>
          <w:sz w:val="36"/>
          <w:szCs w:val="36"/>
          <w:highlight w:val="none"/>
        </w:rPr>
        <w:t>（GXZC202</w:t>
      </w:r>
      <w:r>
        <w:rPr>
          <w:rFonts w:hint="eastAsia" w:ascii="宋体" w:hAnsi="宋体" w:cs="宋体"/>
          <w:b/>
          <w:bCs/>
          <w:color w:val="auto"/>
          <w:kern w:val="44"/>
          <w:sz w:val="36"/>
          <w:szCs w:val="36"/>
          <w:highlight w:val="none"/>
          <w:lang w:val="en-US" w:eastAsia="zh-CN"/>
        </w:rPr>
        <w:t>5</w:t>
      </w:r>
      <w:r>
        <w:rPr>
          <w:rFonts w:hint="eastAsia" w:ascii="宋体" w:hAnsi="宋体" w:cs="宋体"/>
          <w:b/>
          <w:bCs/>
          <w:color w:val="auto"/>
          <w:kern w:val="44"/>
          <w:sz w:val="36"/>
          <w:szCs w:val="36"/>
          <w:highlight w:val="none"/>
        </w:rPr>
        <w:t>-C3-</w:t>
      </w:r>
      <w:r>
        <w:rPr>
          <w:rFonts w:hint="eastAsia" w:hAnsi="宋体" w:cs="宋体"/>
          <w:b/>
          <w:bCs/>
          <w:color w:val="auto"/>
          <w:kern w:val="44"/>
          <w:sz w:val="36"/>
          <w:szCs w:val="36"/>
          <w:highlight w:val="none"/>
          <w:lang w:val="en-US" w:eastAsia="zh-CN"/>
        </w:rPr>
        <w:t>003256</w:t>
      </w:r>
      <w:r>
        <w:rPr>
          <w:rFonts w:hint="eastAsia" w:ascii="宋体" w:hAnsi="宋体" w:cs="宋体"/>
          <w:b/>
          <w:bCs/>
          <w:color w:val="auto"/>
          <w:kern w:val="44"/>
          <w:sz w:val="36"/>
          <w:szCs w:val="36"/>
          <w:highlight w:val="none"/>
        </w:rPr>
        <w:t>-KWZB）竞争性磋商公告</w:t>
      </w:r>
    </w:p>
    <w:p w14:paraId="50CEE97A">
      <w:pPr>
        <w:spacing w:line="360" w:lineRule="auto"/>
        <w:jc w:val="center"/>
        <w:rPr>
          <w:rFonts w:ascii="宋体" w:hAnsi="宋体" w:cs="宋体"/>
          <w:color w:val="auto"/>
          <w:sz w:val="24"/>
          <w:highlight w:val="none"/>
        </w:rPr>
      </w:pPr>
    </w:p>
    <w:p w14:paraId="534668E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szCs w:val="24"/>
          <w:highlight w:val="none"/>
        </w:rPr>
      </w:pPr>
      <w:bookmarkStart w:id="3" w:name="_Hlk37430271"/>
      <w:r>
        <w:rPr>
          <w:rFonts w:hint="eastAsia" w:ascii="宋体" w:hAnsi="宋体" w:cs="宋体"/>
          <w:color w:val="auto"/>
          <w:sz w:val="24"/>
          <w:szCs w:val="24"/>
          <w:highlight w:val="none"/>
        </w:rPr>
        <w:t>项目概况</w:t>
      </w:r>
    </w:p>
    <w:p w14:paraId="4420270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年教职工健康体检服务采购的潜在供应商应在广西政府采购云平台（https：//www.gcy.zfcg.gxzf.gov.cn/）获取（下载）竞争性磋商文件，并于</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0分</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367EE87A">
      <w:pPr>
        <w:widowControl/>
        <w:spacing w:line="360" w:lineRule="auto"/>
        <w:ind w:firstLine="482" w:firstLineChars="200"/>
        <w:rPr>
          <w:rFonts w:ascii="宋体" w:hAnsi="宋体" w:cs="宋体"/>
          <w:b/>
          <w:color w:val="auto"/>
          <w:sz w:val="24"/>
          <w:szCs w:val="24"/>
          <w:highlight w:val="none"/>
        </w:rPr>
      </w:pPr>
      <w:bookmarkStart w:id="4" w:name="_Hlk37429674"/>
      <w:bookmarkStart w:id="5" w:name="_Toc28359018"/>
      <w:bookmarkStart w:id="6" w:name="_Toc44229885"/>
      <w:bookmarkStart w:id="7" w:name="_Toc35393636"/>
      <w:bookmarkStart w:id="8" w:name="_Toc35393805"/>
      <w:bookmarkStart w:id="9" w:name="_Toc28359095"/>
    </w:p>
    <w:p w14:paraId="54CA1AE5">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503A85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项目编号：GXZC202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-C3-</w:t>
      </w:r>
      <w:r>
        <w:rPr>
          <w:rFonts w:hint="eastAsia" w:ascii="宋体" w:hAnsi="宋体" w:cs="宋体"/>
          <w:color w:val="auto"/>
          <w:sz w:val="24"/>
          <w:szCs w:val="24"/>
          <w:highlight w:val="none"/>
          <w:lang w:val="en-US" w:eastAsia="zh-CN"/>
        </w:rPr>
        <w:t>003256</w:t>
      </w:r>
      <w:r>
        <w:rPr>
          <w:rFonts w:hint="eastAsia" w:ascii="宋体" w:hAnsi="宋体" w:cs="宋体"/>
          <w:color w:val="auto"/>
          <w:sz w:val="24"/>
          <w:szCs w:val="24"/>
          <w:highlight w:val="none"/>
        </w:rPr>
        <w:t>-KWZB</w:t>
      </w:r>
      <w:bookmarkStart w:id="142" w:name="_GoBack"/>
      <w:bookmarkEnd w:id="142"/>
    </w:p>
    <w:p w14:paraId="2F26CC42">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项目名称：202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年教职工健康体检服务采购</w:t>
      </w:r>
    </w:p>
    <w:p w14:paraId="3334848E">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采购计划：广西政采[2025]19561号</w:t>
      </w:r>
    </w:p>
    <w:p w14:paraId="2A4AC02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采购方式：竞争性磋商</w:t>
      </w:r>
    </w:p>
    <w:p w14:paraId="6775422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val="en-US" w:eastAsia="zh-CN"/>
        </w:rPr>
        <w:t>220.09</w:t>
      </w:r>
      <w:r>
        <w:rPr>
          <w:rFonts w:hint="eastAsia" w:ascii="宋体" w:hAnsi="宋体"/>
          <w:color w:val="auto"/>
          <w:sz w:val="24"/>
          <w:szCs w:val="24"/>
          <w:highlight w:val="none"/>
        </w:rPr>
        <w:t>万</w:t>
      </w:r>
      <w:r>
        <w:rPr>
          <w:rFonts w:hint="eastAsia" w:ascii="宋体" w:hAnsi="宋体" w:cs="宋体"/>
          <w:color w:val="auto"/>
          <w:kern w:val="0"/>
          <w:sz w:val="24"/>
          <w:szCs w:val="24"/>
          <w:highlight w:val="none"/>
          <w:lang w:bidi="ar"/>
        </w:rPr>
        <w:t>元</w:t>
      </w:r>
    </w:p>
    <w:p w14:paraId="755391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最高限价：同采购预算</w:t>
      </w:r>
    </w:p>
    <w:p w14:paraId="63E3F3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采购需求：202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年教职工健康体检服务采购</w:t>
      </w:r>
      <w:r>
        <w:rPr>
          <w:rFonts w:hint="eastAsia" w:ascii="宋体" w:hAnsi="宋体" w:cs="宋体"/>
          <w:color w:val="auto"/>
          <w:sz w:val="24"/>
          <w:szCs w:val="24"/>
          <w:highlight w:val="none"/>
          <w:lang w:val="en-US" w:eastAsia="zh-CN"/>
        </w:rPr>
        <w:t>1项，</w:t>
      </w:r>
      <w:r>
        <w:rPr>
          <w:rFonts w:hint="eastAsia" w:ascii="宋体" w:hAnsi="宋体" w:cs="宋体"/>
          <w:color w:val="auto"/>
          <w:sz w:val="24"/>
          <w:szCs w:val="24"/>
          <w:highlight w:val="none"/>
        </w:rPr>
        <w:t>具体要求详见采购需求一览表。</w:t>
      </w:r>
    </w:p>
    <w:p w14:paraId="2BC4F7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lang w:val="en-US" w:eastAsia="zh-CN"/>
        </w:rPr>
        <w:t>详见商务条款</w:t>
      </w:r>
      <w:r>
        <w:rPr>
          <w:rFonts w:hint="eastAsia" w:ascii="宋体" w:hAnsi="宋体" w:cs="宋体"/>
          <w:color w:val="auto"/>
          <w:sz w:val="24"/>
          <w:szCs w:val="24"/>
          <w:highlight w:val="none"/>
        </w:rPr>
        <w:t>。</w:t>
      </w:r>
    </w:p>
    <w:p w14:paraId="20B993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本项目（是/否）接受联合体：否</w:t>
      </w:r>
    </w:p>
    <w:p w14:paraId="29D482E4">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二、申请人的资格条件：</w:t>
      </w:r>
    </w:p>
    <w:p w14:paraId="63E714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0F9732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w:t>
      </w:r>
    </w:p>
    <w:p w14:paraId="72301A58">
      <w:pPr>
        <w:pStyle w:val="11"/>
        <w:ind w:firstLine="480" w:firstLineChars="200"/>
        <w:rPr>
          <w:rFonts w:hint="eastAsia"/>
          <w:color w:val="auto"/>
          <w:sz w:val="24"/>
          <w:highlight w:val="none"/>
          <w:lang w:val="en-US" w:eastAsia="zh-CN"/>
        </w:rPr>
      </w:pPr>
      <w:r>
        <w:rPr>
          <w:rFonts w:hint="eastAsia"/>
          <w:color w:val="auto"/>
          <w:sz w:val="24"/>
          <w:highlight w:val="none"/>
          <w:lang w:val="en-US" w:eastAsia="zh-CN"/>
        </w:rPr>
        <w:sym w:font="Wingdings 2" w:char="00A3"/>
      </w:r>
      <w:r>
        <w:rPr>
          <w:rFonts w:hint="eastAsia"/>
          <w:color w:val="auto"/>
          <w:sz w:val="24"/>
          <w:highlight w:val="none"/>
          <w:lang w:val="en-US" w:eastAsia="zh-CN"/>
        </w:rPr>
        <w:t>专门面向中小企业采购的项目</w:t>
      </w:r>
    </w:p>
    <w:p w14:paraId="5174A6B6">
      <w:pPr>
        <w:pStyle w:val="11"/>
        <w:ind w:firstLine="480" w:firstLineChars="200"/>
        <w:rPr>
          <w:rFonts w:hint="default" w:eastAsia="宋体"/>
          <w:color w:val="auto"/>
          <w:highlight w:val="none"/>
          <w:lang w:val="en-US" w:eastAsia="zh-CN"/>
        </w:rPr>
      </w:pPr>
      <w:r>
        <w:rPr>
          <w:rFonts w:hint="eastAsia"/>
          <w:color w:val="auto"/>
          <w:sz w:val="24"/>
          <w:highlight w:val="none"/>
          <w:lang w:val="en-US" w:eastAsia="zh-CN"/>
        </w:rPr>
        <w:sym w:font="Wingdings 2" w:char="0052"/>
      </w:r>
      <w:r>
        <w:rPr>
          <w:rFonts w:hint="eastAsia"/>
          <w:color w:val="auto"/>
          <w:sz w:val="24"/>
          <w:highlight w:val="none"/>
          <w:lang w:val="en-US" w:eastAsia="zh-CN"/>
        </w:rPr>
        <w:t>非专门面向中小企业采购的项目</w:t>
      </w:r>
    </w:p>
    <w:p w14:paraId="5CB4088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具有有效的行政主管部门颁发《医疗机构执业许可证》。</w:t>
      </w:r>
    </w:p>
    <w:p w14:paraId="7F2F3474">
      <w:pPr>
        <w:spacing w:line="360" w:lineRule="auto"/>
        <w:ind w:firstLine="480" w:firstLineChars="200"/>
        <w:rPr>
          <w:rFonts w:hint="eastAsia" w:ascii="宋体" w:hAnsi="宋体" w:eastAsia="宋体" w:cs="宋体"/>
          <w:color w:val="auto"/>
          <w:sz w:val="24"/>
          <w:szCs w:val="24"/>
          <w:highlight w:val="none"/>
          <w:lang w:eastAsia="zh-CN"/>
        </w:rPr>
      </w:pPr>
    </w:p>
    <w:p w14:paraId="5B2DA2F2">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三、获取竞争性磋商文件</w:t>
      </w:r>
    </w:p>
    <w:p w14:paraId="61F720EF">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11月20</w:t>
      </w:r>
      <w:r>
        <w:rPr>
          <w:rFonts w:hint="eastAsia" w:ascii="宋体" w:hAnsi="宋体" w:cs="宋体"/>
          <w:color w:val="auto"/>
          <w:sz w:val="24"/>
          <w:szCs w:val="24"/>
          <w:highlight w:val="none"/>
        </w:rPr>
        <w:t>日，每天上午00：00-12：00；下午12：00-23：59（北京时间，法定节假日除外）</w:t>
      </w:r>
      <w:r>
        <w:rPr>
          <w:rFonts w:hint="eastAsia" w:ascii="宋体" w:hAnsi="宋体" w:cs="宋体"/>
          <w:bCs/>
          <w:color w:val="auto"/>
          <w:kern w:val="0"/>
          <w:sz w:val="24"/>
          <w:szCs w:val="24"/>
          <w:highlight w:val="none"/>
        </w:rPr>
        <w:t>。</w:t>
      </w:r>
    </w:p>
    <w:p w14:paraId="07FEAECE">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地点：广西政府采购云平台（https：//www.gcy.zfcg.gxzf.gov.cn/）</w:t>
      </w:r>
    </w:p>
    <w:p w14:paraId="2D71040C">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方式：网上下载。本项目不发放纸质文件，供应商应自行在</w:t>
      </w:r>
      <w:r>
        <w:rPr>
          <w:color w:val="auto"/>
          <w:sz w:val="24"/>
          <w:szCs w:val="24"/>
          <w:highlight w:val="none"/>
        </w:rPr>
        <w:fldChar w:fldCharType="begin"/>
      </w:r>
      <w:r>
        <w:rPr>
          <w:color w:val="auto"/>
          <w:sz w:val="24"/>
          <w:szCs w:val="24"/>
          <w:highlight w:val="none"/>
        </w:rPr>
        <w:instrText xml:space="preserve"> HYPERLINK </w:instrText>
      </w:r>
      <w:r>
        <w:rPr>
          <w:color w:val="auto"/>
          <w:sz w:val="24"/>
          <w:szCs w:val="24"/>
          <w:highlight w:val="none"/>
        </w:rPr>
        <w:fldChar w:fldCharType="separate"/>
      </w:r>
      <w:r>
        <w:rPr>
          <w:color w:val="auto"/>
          <w:sz w:val="24"/>
          <w:szCs w:val="24"/>
          <w:highlight w:val="none"/>
        </w:rPr>
        <w:fldChar w:fldCharType="end"/>
      </w:r>
      <w:r>
        <w:rPr>
          <w:rFonts w:hint="eastAsia" w:ascii="宋体" w:hAnsi="宋体" w:cs="宋体"/>
          <w:bCs/>
          <w:color w:val="auto"/>
          <w:kern w:val="0"/>
          <w:sz w:val="24"/>
          <w:szCs w:val="24"/>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w:t>
      </w:r>
    </w:p>
    <w:p w14:paraId="1A8B44BC">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售价：0元。</w:t>
      </w:r>
    </w:p>
    <w:p w14:paraId="0F75C7EB">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四、响应文件提交</w:t>
      </w:r>
    </w:p>
    <w:p w14:paraId="7B43D377">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1、截止时间：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11</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25</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9</w:t>
      </w:r>
      <w:r>
        <w:rPr>
          <w:rFonts w:hint="eastAsia" w:ascii="宋体" w:hAnsi="宋体" w:cs="宋体"/>
          <w:bCs/>
          <w:color w:val="auto"/>
          <w:kern w:val="0"/>
          <w:sz w:val="24"/>
          <w:szCs w:val="24"/>
          <w:highlight w:val="none"/>
          <w:lang w:eastAsia="zh-CN"/>
        </w:rPr>
        <w:t>时00分</w:t>
      </w:r>
      <w:r>
        <w:rPr>
          <w:rFonts w:hint="eastAsia" w:ascii="宋体" w:hAnsi="宋体" w:cs="宋体"/>
          <w:bCs/>
          <w:color w:val="auto"/>
          <w:kern w:val="0"/>
          <w:sz w:val="24"/>
          <w:szCs w:val="24"/>
          <w:highlight w:val="none"/>
        </w:rPr>
        <w:t>（北京时间）</w:t>
      </w:r>
    </w:p>
    <w:p w14:paraId="0F8602D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2、地点：</w:t>
      </w:r>
      <w:r>
        <w:rPr>
          <w:rFonts w:hint="eastAsia" w:ascii="宋体" w:hAnsi="宋体" w:cs="宋体"/>
          <w:color w:val="auto"/>
          <w:sz w:val="24"/>
          <w:szCs w:val="24"/>
          <w:highlight w:val="none"/>
          <w:lang w:bidi="ar"/>
        </w:rPr>
        <w:t>通过广西政府采购云平台在线提交。</w:t>
      </w:r>
    </w:p>
    <w:p w14:paraId="620CAFE5">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五、</w:t>
      </w:r>
      <w:r>
        <w:rPr>
          <w:rFonts w:hint="eastAsia" w:ascii="宋体" w:hAnsi="宋体" w:cs="宋体"/>
          <w:b/>
          <w:color w:val="auto"/>
          <w:sz w:val="24"/>
          <w:szCs w:val="24"/>
          <w:highlight w:val="none"/>
          <w:lang w:val="en-US" w:eastAsia="zh-CN"/>
        </w:rPr>
        <w:t>响应文件</w:t>
      </w:r>
      <w:r>
        <w:rPr>
          <w:rFonts w:hint="eastAsia" w:ascii="宋体" w:hAnsi="宋体" w:cs="宋体"/>
          <w:b/>
          <w:color w:val="auto"/>
          <w:sz w:val="24"/>
          <w:szCs w:val="24"/>
          <w:highlight w:val="none"/>
        </w:rPr>
        <w:t>开启</w:t>
      </w:r>
    </w:p>
    <w:p w14:paraId="0B832F27">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1、开启时间：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11</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25</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9</w:t>
      </w:r>
      <w:r>
        <w:rPr>
          <w:rFonts w:hint="eastAsia" w:ascii="宋体" w:hAnsi="宋体" w:cs="宋体"/>
          <w:bCs/>
          <w:color w:val="auto"/>
          <w:kern w:val="0"/>
          <w:sz w:val="24"/>
          <w:szCs w:val="24"/>
          <w:highlight w:val="none"/>
          <w:lang w:eastAsia="zh-CN"/>
        </w:rPr>
        <w:t>时00分</w:t>
      </w:r>
      <w:r>
        <w:rPr>
          <w:rFonts w:hint="eastAsia" w:ascii="宋体" w:hAnsi="宋体" w:cs="宋体"/>
          <w:bCs/>
          <w:color w:val="auto"/>
          <w:kern w:val="0"/>
          <w:sz w:val="24"/>
          <w:szCs w:val="24"/>
          <w:highlight w:val="none"/>
        </w:rPr>
        <w:t>（北京时间）</w:t>
      </w:r>
    </w:p>
    <w:p w14:paraId="20E8512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2、地点：</w:t>
      </w:r>
      <w:r>
        <w:rPr>
          <w:rFonts w:hint="eastAsia" w:ascii="宋体" w:hAnsi="宋体" w:cs="宋体"/>
          <w:color w:val="auto"/>
          <w:sz w:val="24"/>
          <w:szCs w:val="24"/>
          <w:highlight w:val="none"/>
          <w:lang w:bidi="ar"/>
        </w:rPr>
        <w:t>本项目将在广西政府采购云平台电子开标大厅解密、开启。</w:t>
      </w:r>
    </w:p>
    <w:p w14:paraId="3352657B">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六、公告期限</w:t>
      </w:r>
    </w:p>
    <w:p w14:paraId="32A96EC9">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个工作日。</w:t>
      </w:r>
    </w:p>
    <w:p w14:paraId="5626E54C">
      <w:pPr>
        <w:spacing w:line="360" w:lineRule="auto"/>
        <w:ind w:firstLine="482" w:firstLineChars="200"/>
        <w:rPr>
          <w:rFonts w:hint="eastAsia" w:ascii="宋体" w:hAnsi="宋体" w:cs="宋体"/>
          <w:color w:val="auto"/>
          <w:sz w:val="24"/>
          <w:szCs w:val="24"/>
          <w:highlight w:val="none"/>
          <w:lang w:bidi="ar"/>
        </w:rPr>
      </w:pPr>
      <w:r>
        <w:rPr>
          <w:rFonts w:hint="eastAsia" w:ascii="宋体" w:hAnsi="宋体" w:cs="宋体"/>
          <w:b/>
          <w:color w:val="auto"/>
          <w:sz w:val="24"/>
          <w:szCs w:val="24"/>
          <w:highlight w:val="none"/>
        </w:rPr>
        <w:t>七、其他补充事宜</w:t>
      </w:r>
      <w:r>
        <w:rPr>
          <w:rFonts w:hint="eastAsia" w:ascii="宋体" w:hAnsi="宋体" w:cs="宋体"/>
          <w:color w:val="auto"/>
          <w:sz w:val="24"/>
          <w:szCs w:val="24"/>
          <w:highlight w:val="none"/>
          <w:lang w:bidi="ar"/>
        </w:rPr>
        <w:t>：</w:t>
      </w:r>
    </w:p>
    <w:p w14:paraId="631FED9A">
      <w:pPr>
        <w:spacing w:line="360" w:lineRule="auto"/>
        <w:ind w:firstLine="0" w:firstLineChars="0"/>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 xml:space="preserve">    1、磋商保证金（人民币）：22000元。</w:t>
      </w:r>
    </w:p>
    <w:p w14:paraId="414E2FE3">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8D72545">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5C2352B">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4</w:t>
      </w:r>
      <w:r>
        <w:rPr>
          <w:rFonts w:hint="eastAsia" w:ascii="宋体" w:hAnsi="宋体" w:cs="宋体"/>
          <w:color w:val="auto"/>
          <w:sz w:val="24"/>
          <w:szCs w:val="24"/>
          <w:highlight w:val="none"/>
          <w:lang w:bidi="ar"/>
        </w:rPr>
        <w:t>、网上查询地址：中国政府采购网（www.ccgp.gov.cn）、广西政府采购网（zfcg.gxzf.gov.cn）。</w:t>
      </w:r>
    </w:p>
    <w:p w14:paraId="436AE9D2">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、本项目需要落实的政府采购政策：</w:t>
      </w:r>
    </w:p>
    <w:p w14:paraId="0CB61524">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（1）政府采购促进中小企业发展。</w:t>
      </w:r>
    </w:p>
    <w:p w14:paraId="13124079">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（2）政府采购支持采用本国产品的政策。</w:t>
      </w:r>
    </w:p>
    <w:p w14:paraId="0870BEAB">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（3）强制采购节能产品；优先采购节能产品、环境标志产品。</w:t>
      </w:r>
    </w:p>
    <w:p w14:paraId="691F5E36">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（4）政府采购促进残疾人就业政策。</w:t>
      </w:r>
    </w:p>
    <w:p w14:paraId="6E7979C0">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（5）政府采购支持监狱企业发展。</w:t>
      </w:r>
    </w:p>
    <w:p w14:paraId="1853EF4C">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（6）扶持不发达地区和少数民族地区政策</w:t>
      </w:r>
    </w:p>
    <w:p w14:paraId="5D936386">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6</w:t>
      </w:r>
      <w:r>
        <w:rPr>
          <w:rFonts w:hint="eastAsia" w:ascii="宋体" w:hAnsi="宋体" w:cs="宋体"/>
          <w:color w:val="auto"/>
          <w:sz w:val="24"/>
          <w:szCs w:val="24"/>
          <w:highlight w:val="none"/>
          <w:lang w:bidi="ar"/>
        </w:rPr>
        <w:t>、磋商注意事项：</w:t>
      </w:r>
    </w:p>
    <w:p w14:paraId="447FE992">
      <w:pPr>
        <w:widowControl/>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rPr>
        <w:t>响应文件</w:t>
      </w:r>
      <w:r>
        <w:rPr>
          <w:rFonts w:hint="eastAsia" w:ascii="宋体" w:hAnsi="宋体" w:cs="宋体"/>
          <w:color w:val="auto"/>
          <w:sz w:val="24"/>
          <w:szCs w:val="24"/>
          <w:highlight w:val="none"/>
          <w:lang w:bidi="ar"/>
        </w:rPr>
        <w:t>提交方式：本项目为全流程电子化政府采购项目，通过广西政府采购云平台（https：//www.gcy.zfcg.gxzf.gov.cn/）实行在线电子磋商采购，供应商应先安装“政采云电子交易客户端”（请自行前往广西政府采购云平台进行下载），并按照本项目竞争性磋商文件和广西政府采购云平台的要求编制、加密后在</w:t>
      </w:r>
      <w:r>
        <w:rPr>
          <w:rFonts w:hint="eastAsia" w:ascii="宋体" w:hAnsi="宋体" w:cs="宋体"/>
          <w:color w:val="auto"/>
          <w:sz w:val="24"/>
          <w:szCs w:val="24"/>
          <w:highlight w:val="none"/>
        </w:rPr>
        <w:t>首次响应文件提交截止时间</w:t>
      </w:r>
      <w:r>
        <w:rPr>
          <w:rFonts w:hint="eastAsia" w:ascii="宋体" w:hAnsi="宋体" w:cs="宋体"/>
          <w:color w:val="auto"/>
          <w:sz w:val="24"/>
          <w:szCs w:val="24"/>
          <w:highlight w:val="none"/>
          <w:lang w:bidi="ar"/>
        </w:rPr>
        <w:t>前通过网络上传至广西政府采购云平台，</w:t>
      </w:r>
      <w:r>
        <w:rPr>
          <w:rFonts w:hint="eastAsia" w:ascii="宋体" w:hAnsi="宋体" w:cs="宋体"/>
          <w:b/>
          <w:color w:val="auto"/>
          <w:sz w:val="24"/>
          <w:szCs w:val="24"/>
          <w:highlight w:val="none"/>
          <w:lang w:bidi="ar"/>
        </w:rPr>
        <w:t>供应商在广西政府采购云平台提交电子版响应文件时，请填写参加远程开标活动经办人联系方式。</w:t>
      </w:r>
    </w:p>
    <w:p w14:paraId="0670FFAB">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2）供应商应及时熟悉掌握电子标系统操作指南（见政采云电子卖场首页右上角—服务中心—帮助文档—项目采购）；及时完成CA申领和绑定（见广西壮族自治区政府采购网—办事服务—下载专区-政采云CA证书办理操作指南）。</w:t>
      </w:r>
    </w:p>
    <w:p w14:paraId="02379A93">
      <w:pPr>
        <w:widowControl/>
        <w:spacing w:line="36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（3）未进行网上注册并办理数字证书（CA认证）的供应商将无法参与本项目政府采购活动，潜在供应商应当在</w:t>
      </w:r>
      <w:r>
        <w:rPr>
          <w:rFonts w:hint="eastAsia" w:ascii="宋体" w:hAnsi="宋体" w:cs="宋体"/>
          <w:color w:val="auto"/>
          <w:sz w:val="24"/>
          <w:szCs w:val="24"/>
          <w:highlight w:val="none"/>
        </w:rPr>
        <w:t>首次响应文件提交截止时间</w:t>
      </w:r>
      <w:r>
        <w:rPr>
          <w:rFonts w:hint="eastAsia" w:ascii="宋体" w:hAnsi="宋体" w:cs="宋体"/>
          <w:color w:val="auto"/>
          <w:sz w:val="24"/>
          <w:szCs w:val="24"/>
          <w:highlight w:val="none"/>
          <w:lang w:bidi="ar"/>
        </w:rPr>
        <w:t>前，完成电子交易平台上的CA数字证书办理及响应文件的提交。完成CA数字证书办理预计7日左右，供应商只需办理其中一家CA数字证书及签章，建议各供应商抓紧时间办理。</w:t>
      </w:r>
    </w:p>
    <w:p w14:paraId="4548C045">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（4）为确保网上操作合法、有效和安全，请供应商确保在电子竞标过程中能够对相关数据电文进行加密和使用电子签章，妥善保管CA数字证书并使用有效的CA数字证书参与整个采购活动。</w:t>
      </w:r>
    </w:p>
    <w:p w14:paraId="57639AE8">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注：供应商应当在首次响应文件提交截止时间前完成电子响应文件的上传、递交，</w:t>
      </w:r>
      <w:r>
        <w:rPr>
          <w:rFonts w:hint="eastAsia" w:ascii="宋体" w:hAnsi="宋体" w:cs="宋体"/>
          <w:b/>
          <w:color w:val="auto"/>
          <w:sz w:val="24"/>
          <w:szCs w:val="24"/>
          <w:highlight w:val="none"/>
        </w:rPr>
        <w:t>首次响应文件提交截止时间</w:t>
      </w:r>
      <w:r>
        <w:rPr>
          <w:rFonts w:hint="eastAsia" w:ascii="宋体" w:hAnsi="宋体" w:cs="宋体"/>
          <w:b/>
          <w:bCs/>
          <w:color w:val="auto"/>
          <w:sz w:val="24"/>
          <w:szCs w:val="24"/>
          <w:highlight w:val="none"/>
          <w:lang w:bidi="ar"/>
        </w:rPr>
        <w:t>前可以补充、修改或者撤回响应文件。补充或者修改响应文件的，应当先行撤回原文件，补充、修改后重新上传、递交。</w:t>
      </w:r>
      <w:r>
        <w:rPr>
          <w:rFonts w:hint="eastAsia" w:ascii="宋体" w:hAnsi="宋体" w:cs="宋体"/>
          <w:b/>
          <w:color w:val="auto"/>
          <w:sz w:val="24"/>
          <w:szCs w:val="24"/>
          <w:highlight w:val="none"/>
        </w:rPr>
        <w:t>首次响应文件提交截止时间</w:t>
      </w:r>
      <w:r>
        <w:rPr>
          <w:rFonts w:hint="eastAsia" w:ascii="宋体" w:hAnsi="宋体" w:cs="宋体"/>
          <w:b/>
          <w:bCs/>
          <w:color w:val="auto"/>
          <w:sz w:val="24"/>
          <w:szCs w:val="24"/>
          <w:highlight w:val="none"/>
          <w:lang w:bidi="ar"/>
        </w:rPr>
        <w:t>前未完成上传、递交的，视为撤回响应文件。</w:t>
      </w:r>
      <w:r>
        <w:rPr>
          <w:rFonts w:hint="eastAsia" w:ascii="宋体" w:hAnsi="宋体" w:cs="宋体"/>
          <w:b/>
          <w:color w:val="auto"/>
          <w:sz w:val="24"/>
          <w:szCs w:val="24"/>
          <w:highlight w:val="none"/>
        </w:rPr>
        <w:t>首次响应文件提交截止时间</w:t>
      </w:r>
      <w:r>
        <w:rPr>
          <w:rFonts w:hint="eastAsia" w:ascii="宋体" w:hAnsi="宋体" w:cs="宋体"/>
          <w:b/>
          <w:bCs/>
          <w:color w:val="auto"/>
          <w:sz w:val="24"/>
          <w:szCs w:val="24"/>
          <w:highlight w:val="none"/>
          <w:lang w:bidi="ar"/>
        </w:rPr>
        <w:t>以后上传递交的响应文件，广西政府采购云平台将予以拒收。</w:t>
      </w:r>
    </w:p>
    <w:p w14:paraId="230150F3">
      <w:pPr>
        <w:widowControl/>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kern w:val="0"/>
          <w:sz w:val="24"/>
          <w:szCs w:val="24"/>
          <w:highlight w:val="none"/>
          <w:lang w:val="en-US" w:eastAsia="zh-CN" w:bidi="ar"/>
        </w:rPr>
        <w:t>7</w:t>
      </w:r>
      <w:r>
        <w:rPr>
          <w:rFonts w:hint="eastAsia" w:ascii="宋体" w:hAnsi="宋体" w:cs="宋体"/>
          <w:color w:val="auto"/>
          <w:kern w:val="0"/>
          <w:sz w:val="24"/>
          <w:szCs w:val="24"/>
          <w:highlight w:val="none"/>
          <w:lang w:bidi="ar"/>
        </w:rPr>
        <w:t>、</w:t>
      </w:r>
      <w:r>
        <w:rPr>
          <w:rFonts w:hint="eastAsia" w:ascii="宋体" w:hAnsi="宋体" w:cs="宋体"/>
          <w:color w:val="auto"/>
          <w:sz w:val="24"/>
          <w:szCs w:val="24"/>
          <w:highlight w:val="none"/>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493E22F4">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
        </w:rPr>
        <w:t>8</w:t>
      </w:r>
      <w:r>
        <w:rPr>
          <w:rFonts w:hint="eastAsia" w:ascii="宋体" w:hAnsi="宋体" w:cs="宋体"/>
          <w:color w:val="auto"/>
          <w:sz w:val="24"/>
          <w:szCs w:val="24"/>
          <w:highlight w:val="none"/>
          <w:lang w:bidi="ar"/>
        </w:rPr>
        <w:t>、供应商需要在具备有摄像头及语音功能且互联网网络状况良好的电脑登录广西政府采购云平台远程开标大厅参与本次磋商，否则后果自负。</w:t>
      </w:r>
    </w:p>
    <w:p w14:paraId="7BEE1DAF">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
        </w:rPr>
        <w:t>9</w:t>
      </w:r>
      <w:r>
        <w:rPr>
          <w:rFonts w:hint="eastAsia" w:ascii="宋体" w:hAnsi="宋体" w:cs="宋体"/>
          <w:color w:val="auto"/>
          <w:sz w:val="24"/>
          <w:szCs w:val="24"/>
          <w:highlight w:val="none"/>
          <w:lang w:bidi="ar"/>
        </w:rPr>
        <w:t>、若对项目采购电子交易系统操作有疑问，可登录广西政府采购云平台（https：//www.gcy.zfcg.gxzf.gov.cn/），点击右侧咨询小采，获取采小蜜智能服务管家帮助，或拨打政采云服务热线95763获取热线服务帮助。</w:t>
      </w:r>
    </w:p>
    <w:bookmarkEnd w:id="4"/>
    <w:p w14:paraId="4E33D334">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八、凡对本次采购提出询问，请按以下方式联系。</w:t>
      </w:r>
      <w:bookmarkEnd w:id="5"/>
      <w:bookmarkEnd w:id="6"/>
      <w:bookmarkEnd w:id="7"/>
      <w:bookmarkEnd w:id="8"/>
      <w:bookmarkEnd w:id="9"/>
    </w:p>
    <w:p w14:paraId="07A043D4">
      <w:pPr>
        <w:spacing w:line="360" w:lineRule="auto"/>
        <w:ind w:firstLine="648" w:firstLineChars="270"/>
        <w:jc w:val="left"/>
        <w:rPr>
          <w:rFonts w:hint="eastAsia" w:ascii="宋体" w:hAnsi="宋体" w:cs="宋体"/>
          <w:color w:val="auto"/>
          <w:sz w:val="24"/>
          <w:highlight w:val="none"/>
        </w:rPr>
      </w:pPr>
      <w:bookmarkStart w:id="10" w:name="_Toc35393806"/>
      <w:bookmarkStart w:id="11" w:name="_Toc28359019"/>
      <w:bookmarkStart w:id="12" w:name="_Toc35393637"/>
      <w:bookmarkStart w:id="13" w:name="_Toc28359096"/>
      <w:r>
        <w:rPr>
          <w:rFonts w:hint="eastAsia" w:ascii="宋体" w:hAnsi="宋体" w:cs="宋体"/>
          <w:color w:val="auto"/>
          <w:sz w:val="24"/>
          <w:highlight w:val="none"/>
        </w:rPr>
        <w:t>1.采购人信息</w:t>
      </w:r>
    </w:p>
    <w:p w14:paraId="14408F05">
      <w:pPr>
        <w:spacing w:line="360" w:lineRule="auto"/>
        <w:ind w:firstLine="648" w:firstLineChars="270"/>
        <w:jc w:val="left"/>
        <w:rPr>
          <w:rFonts w:hint="eastAsia" w:ascii="宋体" w:hAnsi="宋体"/>
          <w:color w:val="auto"/>
          <w:sz w:val="24"/>
          <w:highlight w:val="none"/>
        </w:rPr>
      </w:pPr>
      <w:r>
        <w:rPr>
          <w:rFonts w:hint="eastAsia" w:ascii="宋体" w:hAnsi="宋体"/>
          <w:color w:val="auto"/>
          <w:sz w:val="24"/>
          <w:highlight w:val="none"/>
        </w:rPr>
        <w:t>名 称：</w:t>
      </w:r>
      <w:r>
        <w:rPr>
          <w:rFonts w:hint="eastAsia" w:ascii="宋体" w:hAnsi="宋体" w:cs="Arial"/>
          <w:color w:val="auto"/>
          <w:sz w:val="24"/>
          <w:highlight w:val="none"/>
        </w:rPr>
        <w:t>广西民族大学</w:t>
      </w:r>
    </w:p>
    <w:p w14:paraId="0B54B55D">
      <w:pPr>
        <w:spacing w:line="360" w:lineRule="auto"/>
        <w:ind w:firstLine="648" w:firstLineChars="270"/>
        <w:jc w:val="left"/>
        <w:rPr>
          <w:rFonts w:hint="eastAsia" w:ascii="宋体" w:hAnsi="宋体" w:cs="宋体"/>
          <w:color w:val="auto"/>
          <w:sz w:val="24"/>
          <w:highlight w:val="none"/>
        </w:rPr>
      </w:pPr>
      <w:r>
        <w:rPr>
          <w:rFonts w:hint="eastAsia" w:ascii="宋体" w:hAnsi="宋体"/>
          <w:color w:val="auto"/>
          <w:sz w:val="24"/>
          <w:highlight w:val="none"/>
        </w:rPr>
        <w:t>地址：</w:t>
      </w:r>
      <w:r>
        <w:rPr>
          <w:rFonts w:hint="eastAsia" w:ascii="宋体" w:hAnsi="宋体" w:cs="宋体"/>
          <w:color w:val="auto"/>
          <w:sz w:val="24"/>
          <w:highlight w:val="none"/>
        </w:rPr>
        <w:t>南宁市西乡塘区大学东路188号</w:t>
      </w:r>
    </w:p>
    <w:p w14:paraId="74B39D78">
      <w:pPr>
        <w:spacing w:line="360" w:lineRule="auto"/>
        <w:ind w:firstLine="648" w:firstLineChars="270"/>
        <w:jc w:val="left"/>
        <w:rPr>
          <w:rFonts w:ascii="宋体" w:hAnsi="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杨</w:t>
      </w:r>
      <w:r>
        <w:rPr>
          <w:rFonts w:hint="eastAsia" w:ascii="宋体" w:hAnsi="宋体" w:cs="宋体"/>
          <w:color w:val="auto"/>
          <w:sz w:val="24"/>
          <w:highlight w:val="none"/>
        </w:rPr>
        <w:t>老师，</w:t>
      </w:r>
      <w:bookmarkStart w:id="14" w:name="_Toc28359009"/>
      <w:bookmarkStart w:id="15" w:name="_Toc28359086"/>
      <w:r>
        <w:rPr>
          <w:rFonts w:hint="eastAsia" w:ascii="宋体" w:hAnsi="宋体" w:cs="宋体"/>
          <w:color w:val="auto"/>
          <w:sz w:val="24"/>
          <w:highlight w:val="none"/>
        </w:rPr>
        <w:t>0771-</w:t>
      </w:r>
      <w:r>
        <w:rPr>
          <w:rFonts w:hint="eastAsia" w:ascii="宋体" w:hAnsi="宋体" w:cs="宋体"/>
          <w:color w:val="auto"/>
          <w:sz w:val="24"/>
          <w:highlight w:val="none"/>
          <w:lang w:val="en-US" w:eastAsia="zh-CN"/>
        </w:rPr>
        <w:t>3265816</w:t>
      </w:r>
    </w:p>
    <w:p w14:paraId="0D30B9C7">
      <w:pPr>
        <w:spacing w:line="360" w:lineRule="auto"/>
        <w:ind w:firstLine="648" w:firstLineChars="270"/>
        <w:jc w:val="left"/>
        <w:rPr>
          <w:rFonts w:ascii="宋体" w:hAnsi="宋体"/>
          <w:color w:val="auto"/>
          <w:sz w:val="24"/>
          <w:highlight w:val="none"/>
        </w:rPr>
      </w:pPr>
      <w:r>
        <w:rPr>
          <w:rFonts w:hint="eastAsia" w:ascii="宋体" w:hAnsi="宋体" w:cs="宋体"/>
          <w:color w:val="auto"/>
          <w:sz w:val="24"/>
          <w:highlight w:val="none"/>
        </w:rPr>
        <w:t>2.采购代理机构信息</w:t>
      </w:r>
      <w:bookmarkEnd w:id="14"/>
      <w:bookmarkEnd w:id="15"/>
    </w:p>
    <w:p w14:paraId="4BB21D44">
      <w:pPr>
        <w:spacing w:line="360" w:lineRule="auto"/>
        <w:ind w:firstLine="648" w:firstLineChars="270"/>
        <w:rPr>
          <w:rFonts w:ascii="宋体" w:hAnsi="宋体"/>
          <w:color w:val="auto"/>
          <w:sz w:val="24"/>
          <w:highlight w:val="none"/>
        </w:rPr>
      </w:pPr>
      <w:r>
        <w:rPr>
          <w:rFonts w:hint="eastAsia" w:ascii="宋体" w:hAnsi="宋体"/>
          <w:color w:val="auto"/>
          <w:sz w:val="24"/>
          <w:highlight w:val="none"/>
        </w:rPr>
        <w:t>名 称：</w:t>
      </w:r>
      <w:r>
        <w:rPr>
          <w:rFonts w:hint="eastAsia" w:ascii="宋体" w:hAnsi="宋体" w:cs="Arial"/>
          <w:color w:val="auto"/>
          <w:sz w:val="24"/>
          <w:highlight w:val="none"/>
        </w:rPr>
        <w:t>广西科文招标有限公司</w:t>
      </w:r>
    </w:p>
    <w:p w14:paraId="4B1544EC">
      <w:pPr>
        <w:spacing w:line="360" w:lineRule="auto"/>
        <w:ind w:firstLine="648" w:firstLineChars="270"/>
        <w:rPr>
          <w:rFonts w:ascii="宋体" w:hAnsi="宋体"/>
          <w:color w:val="auto"/>
          <w:sz w:val="24"/>
          <w:highlight w:val="none"/>
        </w:rPr>
      </w:pPr>
      <w:r>
        <w:rPr>
          <w:rFonts w:hint="eastAsia" w:ascii="宋体" w:hAnsi="宋体"/>
          <w:color w:val="auto"/>
          <w:sz w:val="24"/>
          <w:highlight w:val="none"/>
        </w:rPr>
        <w:t>地　址：</w:t>
      </w:r>
      <w:r>
        <w:rPr>
          <w:rFonts w:hint="eastAsia" w:ascii="宋体" w:hAnsi="宋体" w:cs="Arial"/>
          <w:color w:val="auto"/>
          <w:sz w:val="24"/>
          <w:highlight w:val="none"/>
        </w:rPr>
        <w:t>广西南宁市民族大道141号中鼎万象东方D区五层</w:t>
      </w:r>
    </w:p>
    <w:p w14:paraId="4DDCC077">
      <w:pPr>
        <w:spacing w:line="360" w:lineRule="auto"/>
        <w:ind w:firstLine="648" w:firstLineChars="270"/>
        <w:rPr>
          <w:rFonts w:ascii="宋体" w:hAnsi="宋体"/>
          <w:color w:val="auto"/>
          <w:sz w:val="24"/>
          <w:highlight w:val="none"/>
        </w:rPr>
      </w:pPr>
      <w:r>
        <w:rPr>
          <w:rFonts w:hint="eastAsia" w:ascii="宋体" w:hAnsi="宋体"/>
          <w:color w:val="auto"/>
          <w:sz w:val="24"/>
          <w:highlight w:val="none"/>
        </w:rPr>
        <w:t>联系方式：</w:t>
      </w:r>
      <w:bookmarkStart w:id="16" w:name="_Toc28359010"/>
      <w:bookmarkStart w:id="17" w:name="_Toc28359087"/>
      <w:r>
        <w:rPr>
          <w:rFonts w:hint="eastAsia" w:ascii="宋体" w:hAnsi="宋体"/>
          <w:color w:val="auto"/>
          <w:sz w:val="24"/>
          <w:highlight w:val="none"/>
        </w:rPr>
        <w:t>刘晓艳，0771-2023805</w:t>
      </w:r>
    </w:p>
    <w:p w14:paraId="2029E3AC">
      <w:pPr>
        <w:spacing w:line="360" w:lineRule="auto"/>
        <w:ind w:firstLine="648" w:firstLineChars="270"/>
        <w:rPr>
          <w:rFonts w:ascii="宋体" w:hAnsi="宋体"/>
          <w:color w:val="auto"/>
          <w:sz w:val="24"/>
          <w:highlight w:val="none"/>
        </w:rPr>
      </w:pPr>
      <w:r>
        <w:rPr>
          <w:rFonts w:hint="eastAsia" w:ascii="宋体" w:hAnsi="宋体" w:cs="宋体"/>
          <w:color w:val="auto"/>
          <w:sz w:val="24"/>
          <w:highlight w:val="none"/>
        </w:rPr>
        <w:t>3.项目</w:t>
      </w:r>
      <w:r>
        <w:rPr>
          <w:rFonts w:ascii="宋体" w:hAnsi="宋体" w:cs="宋体"/>
          <w:color w:val="auto"/>
          <w:sz w:val="24"/>
          <w:highlight w:val="none"/>
        </w:rPr>
        <w:t>联系方式</w:t>
      </w:r>
      <w:bookmarkEnd w:id="16"/>
      <w:bookmarkEnd w:id="17"/>
    </w:p>
    <w:p w14:paraId="6CE4EDD5">
      <w:pPr>
        <w:pStyle w:val="15"/>
        <w:spacing w:line="360" w:lineRule="auto"/>
        <w:ind w:firstLine="648" w:firstLineChars="270"/>
        <w:rPr>
          <w:rFonts w:hAnsi="宋体"/>
          <w:color w:val="auto"/>
          <w:sz w:val="24"/>
          <w:szCs w:val="24"/>
          <w:highlight w:val="none"/>
        </w:rPr>
      </w:pPr>
      <w:r>
        <w:rPr>
          <w:rFonts w:hint="eastAsia" w:hAnsi="宋体"/>
          <w:color w:val="auto"/>
          <w:sz w:val="24"/>
          <w:szCs w:val="24"/>
          <w:highlight w:val="none"/>
        </w:rPr>
        <w:t>项目联系人：</w:t>
      </w:r>
      <w:r>
        <w:rPr>
          <w:rFonts w:hint="eastAsia" w:hAnsi="宋体"/>
          <w:color w:val="auto"/>
          <w:sz w:val="24"/>
          <w:szCs w:val="24"/>
          <w:highlight w:val="none"/>
          <w:lang w:eastAsia="zh-CN"/>
        </w:rPr>
        <w:t>刘晓艳</w:t>
      </w:r>
    </w:p>
    <w:p w14:paraId="17AFBFA4">
      <w:pPr>
        <w:spacing w:line="360" w:lineRule="auto"/>
        <w:ind w:firstLine="648" w:firstLineChars="270"/>
        <w:rPr>
          <w:rFonts w:ascii="宋体" w:hAnsi="宋体"/>
          <w:color w:val="auto"/>
          <w:sz w:val="24"/>
          <w:highlight w:val="none"/>
        </w:rPr>
      </w:pPr>
      <w:r>
        <w:rPr>
          <w:rFonts w:hint="eastAsia" w:ascii="宋体" w:hAnsi="宋体"/>
          <w:color w:val="auto"/>
          <w:sz w:val="24"/>
          <w:highlight w:val="none"/>
        </w:rPr>
        <w:t>电　话：0771-2023805</w:t>
      </w:r>
    </w:p>
    <w:p w14:paraId="1D76E390">
      <w:pPr>
        <w:spacing w:line="360" w:lineRule="auto"/>
        <w:ind w:firstLine="648" w:firstLineChars="270"/>
        <w:jc w:val="left"/>
        <w:rPr>
          <w:rFonts w:ascii="宋体" w:hAnsi="宋体" w:cs="宋体"/>
          <w:color w:val="auto"/>
          <w:sz w:val="24"/>
          <w:szCs w:val="24"/>
          <w:highlight w:val="none"/>
        </w:rPr>
      </w:pPr>
    </w:p>
    <w:p w14:paraId="574CBFCA">
      <w:pPr>
        <w:spacing w:line="360" w:lineRule="auto"/>
        <w:ind w:firstLine="648" w:firstLineChars="270"/>
        <w:jc w:val="right"/>
        <w:rPr>
          <w:rFonts w:ascii="宋体" w:hAnsi="宋体" w:cs="宋体"/>
          <w:color w:val="auto"/>
          <w:sz w:val="24"/>
          <w:szCs w:val="24"/>
          <w:highlight w:val="none"/>
        </w:rPr>
      </w:pPr>
      <w:r>
        <w:rPr>
          <w:rFonts w:hint="eastAsia" w:ascii="宋体" w:hAnsi="宋体" w:cs="宋体"/>
          <w:color w:val="auto"/>
          <w:sz w:val="24"/>
          <w:szCs w:val="24"/>
          <w:highlight w:val="none"/>
        </w:rPr>
        <w:t>广西科文招标有限公司</w:t>
      </w:r>
      <w:bookmarkEnd w:id="3"/>
      <w:bookmarkEnd w:id="10"/>
      <w:bookmarkEnd w:id="11"/>
      <w:bookmarkEnd w:id="12"/>
      <w:bookmarkEnd w:id="13"/>
    </w:p>
    <w:p w14:paraId="055A6C37">
      <w:pPr>
        <w:spacing w:line="360" w:lineRule="auto"/>
        <w:ind w:firstLine="648" w:firstLineChars="270"/>
        <w:jc w:val="right"/>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日</w:t>
      </w:r>
      <w:bookmarkStart w:id="18" w:name="_Toc74323457"/>
    </w:p>
    <w:p w14:paraId="4ED9AF58">
      <w:pPr>
        <w:pStyle w:val="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第二章 供应商须知</w:t>
      </w:r>
      <w:bookmarkEnd w:id="18"/>
    </w:p>
    <w:p w14:paraId="492D7511">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276B0647">
      <w:pPr>
        <w:spacing w:line="400" w:lineRule="exact"/>
        <w:jc w:val="center"/>
        <w:rPr>
          <w:rFonts w:ascii="宋体" w:hAnsi="宋体" w:cs="宋体"/>
          <w:b/>
          <w:color w:val="auto"/>
          <w:sz w:val="32"/>
          <w:szCs w:val="32"/>
          <w:highlight w:val="none"/>
        </w:rPr>
      </w:pP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45C44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A805B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627" w:type="dxa"/>
          </w:tcPr>
          <w:p w14:paraId="7DBDFCB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内    容</w:t>
            </w:r>
          </w:p>
        </w:tc>
      </w:tr>
      <w:tr w14:paraId="562A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86BB6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627" w:type="dxa"/>
            <w:vAlign w:val="center"/>
          </w:tcPr>
          <w:p w14:paraId="098399D0">
            <w:pPr>
              <w:spacing w:line="360" w:lineRule="auto"/>
              <w:rPr>
                <w:rFonts w:ascii="宋体" w:hAnsi="宋体" w:cs="宋体"/>
                <w:color w:val="auto"/>
                <w:sz w:val="24"/>
                <w:highlight w:val="none"/>
              </w:rPr>
            </w:pPr>
            <w:r>
              <w:rPr>
                <w:rFonts w:hint="eastAsia" w:ascii="宋体" w:hAnsi="宋体" w:cs="宋体"/>
                <w:bCs/>
                <w:color w:val="auto"/>
                <w:sz w:val="24"/>
                <w:highlight w:val="none"/>
              </w:rPr>
              <w:t>供应商的资格条件</w:t>
            </w:r>
            <w:r>
              <w:rPr>
                <w:rFonts w:hint="eastAsia" w:ascii="宋体" w:hAnsi="宋体" w:cs="宋体"/>
                <w:color w:val="auto"/>
                <w:sz w:val="24"/>
                <w:highlight w:val="none"/>
              </w:rPr>
              <w:t>：详见竞争性磋商公告</w:t>
            </w:r>
          </w:p>
        </w:tc>
      </w:tr>
      <w:tr w14:paraId="0E5DD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38FCA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w:t>
            </w:r>
          </w:p>
        </w:tc>
        <w:tc>
          <w:tcPr>
            <w:tcW w:w="8627" w:type="dxa"/>
            <w:vAlign w:val="center"/>
          </w:tcPr>
          <w:p w14:paraId="0D502113">
            <w:pPr>
              <w:spacing w:line="360" w:lineRule="auto"/>
              <w:rPr>
                <w:rFonts w:ascii="宋体" w:hAnsi="宋体" w:cs="宋体"/>
                <w:color w:val="auto"/>
                <w:sz w:val="24"/>
                <w:highlight w:val="none"/>
              </w:rPr>
            </w:pPr>
            <w:r>
              <w:rPr>
                <w:rFonts w:hint="eastAsia" w:ascii="宋体" w:hAnsi="宋体" w:cs="宋体"/>
                <w:color w:val="auto"/>
                <w:sz w:val="24"/>
                <w:highlight w:val="none"/>
              </w:rPr>
              <w:t>是否接受联合体竞标：详见竞争性磋商公告</w:t>
            </w:r>
          </w:p>
        </w:tc>
      </w:tr>
      <w:tr w14:paraId="179CC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4091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5.2</w:t>
            </w:r>
          </w:p>
        </w:tc>
        <w:tc>
          <w:tcPr>
            <w:tcW w:w="8627" w:type="dxa"/>
            <w:vAlign w:val="center"/>
          </w:tcPr>
          <w:p w14:paraId="13A50A25">
            <w:pPr>
              <w:spacing w:line="360" w:lineRule="auto"/>
              <w:rPr>
                <w:rFonts w:ascii="宋体" w:hAnsi="宋体" w:cs="宋体"/>
                <w:color w:val="auto"/>
                <w:sz w:val="24"/>
                <w:highlight w:val="none"/>
              </w:rPr>
            </w:pPr>
            <w:r>
              <w:rPr>
                <w:rFonts w:hint="eastAsia" w:ascii="宋体" w:hAnsi="宋体" w:cs="宋体"/>
                <w:color w:val="auto"/>
                <w:sz w:val="24"/>
                <w:highlight w:val="none"/>
              </w:rPr>
              <w:t>如接受联合体竞标，联合体竞标要求如下：</w:t>
            </w:r>
          </w:p>
          <w:p w14:paraId="596DDAE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1、两个以上供应商可以组成一个竞标联合体，以一个供应商的身份共同参加竞标，联合体供应商的名称应统一按“XXX 公司与 XXX 公司的联合体”的规则填写。</w:t>
            </w:r>
            <w:r>
              <w:rPr>
                <w:rFonts w:hint="eastAsia" w:ascii="宋体" w:hAnsi="宋体" w:cs="宋体"/>
                <w:color w:val="auto"/>
                <w:sz w:val="24"/>
                <w:highlight w:val="none"/>
              </w:rPr>
              <w:tab/>
            </w:r>
          </w:p>
          <w:p w14:paraId="28D5757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6604FEB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cs="宋体"/>
                <w:color w:val="auto"/>
                <w:sz w:val="24"/>
                <w:highlight w:val="none"/>
              </w:rPr>
              <w:tab/>
            </w:r>
          </w:p>
          <w:p w14:paraId="7CEA2C2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4447047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5、联合体中有同类资质的供应商按照联合体分工承担相同工作的，应当按照资质等级较低的供应商确定资质等级。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4407CC8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6、联合体竞标业绩、履约能力按照联合体各方其中较高的一方认定并计算（竞争性磋商文件另有规定的除外）。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35360FFA">
            <w:pPr>
              <w:spacing w:line="360" w:lineRule="auto"/>
              <w:rPr>
                <w:rFonts w:ascii="宋体" w:hAnsi="宋体" w:cs="宋体"/>
                <w:color w:val="auto"/>
                <w:sz w:val="24"/>
                <w:highlight w:val="none"/>
              </w:rPr>
            </w:pPr>
            <w:r>
              <w:rPr>
                <w:rFonts w:hint="eastAsia" w:ascii="宋体" w:hAnsi="宋体" w:cs="宋体"/>
                <w:color w:val="auto"/>
                <w:sz w:val="24"/>
                <w:highlight w:val="none"/>
              </w:rPr>
              <w:t>7、联合体各方均应按照竞争性磋商文件的规定提交资格证明文件。</w:t>
            </w:r>
          </w:p>
        </w:tc>
      </w:tr>
      <w:tr w14:paraId="57CE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BBE75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627" w:type="dxa"/>
            <w:vAlign w:val="center"/>
          </w:tcPr>
          <w:p w14:paraId="177758AE">
            <w:pPr>
              <w:pStyle w:val="9"/>
              <w:spacing w:line="360" w:lineRule="auto"/>
              <w:rPr>
                <w:rFonts w:ascii="宋体" w:hAnsi="宋体" w:cs="宋体"/>
                <w:color w:val="auto"/>
                <w:sz w:val="24"/>
                <w:highlight w:val="none"/>
              </w:rPr>
            </w:pPr>
            <w:r>
              <w:rPr>
                <w:rFonts w:ascii="Wingdings" w:hAnsi="Wingdings" w:cs="宋体"/>
                <w:color w:val="auto"/>
                <w:sz w:val="24"/>
                <w:highlight w:val="none"/>
              </w:rPr>
              <w:sym w:font="Wingdings" w:char="F0FE"/>
            </w:r>
            <w:r>
              <w:rPr>
                <w:rFonts w:hint="eastAsia" w:ascii="宋体" w:hAnsi="宋体" w:cs="宋体"/>
                <w:color w:val="auto"/>
                <w:sz w:val="24"/>
                <w:highlight w:val="none"/>
              </w:rPr>
              <w:t>本项目不允许分包。</w:t>
            </w:r>
          </w:p>
          <w:p w14:paraId="2A68641C">
            <w:pPr>
              <w:pStyle w:val="9"/>
              <w:spacing w:line="360" w:lineRule="auto"/>
              <w:rPr>
                <w:rFonts w:ascii="宋体" w:hAnsi="宋体" w:cs="宋体"/>
                <w:color w:val="auto"/>
                <w:sz w:val="24"/>
                <w:highlight w:val="none"/>
              </w:rPr>
            </w:pPr>
            <w:r>
              <w:rPr>
                <w:rFonts w:ascii="Wingdings" w:hAnsi="Wingdings" w:cs="宋体"/>
                <w:color w:val="auto"/>
                <w:sz w:val="24"/>
                <w:highlight w:val="none"/>
              </w:rPr>
              <w:sym w:font="Wingdings" w:char="F0A8"/>
            </w:r>
            <w:r>
              <w:rPr>
                <w:rFonts w:hint="eastAsia" w:ascii="宋体" w:hAnsi="宋体" w:cs="宋体"/>
                <w:color w:val="auto"/>
                <w:sz w:val="24"/>
                <w:highlight w:val="none"/>
              </w:rPr>
              <w:t>本项目允许分包：</w:t>
            </w:r>
          </w:p>
          <w:p w14:paraId="70700CAB">
            <w:pPr>
              <w:pStyle w:val="9"/>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2D7BCFFE">
            <w:pPr>
              <w:pStyle w:val="9"/>
              <w:spacing w:line="360" w:lineRule="auto"/>
              <w:rPr>
                <w:rFonts w:ascii="宋体" w:hAnsi="宋体" w:cs="宋体"/>
                <w:color w:val="auto"/>
                <w:sz w:val="24"/>
                <w:highlight w:val="non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11D2A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224E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12.1.1</w:t>
            </w:r>
          </w:p>
        </w:tc>
        <w:tc>
          <w:tcPr>
            <w:tcW w:w="8627" w:type="dxa"/>
            <w:vAlign w:val="center"/>
          </w:tcPr>
          <w:p w14:paraId="7F0B5A12">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5D1F82B9">
            <w:pPr>
              <w:pStyle w:val="9"/>
              <w:spacing w:line="360" w:lineRule="auto"/>
              <w:rPr>
                <w:rFonts w:ascii="宋体" w:hAnsi="宋体" w:cs="宋体"/>
                <w:color w:val="auto"/>
                <w:sz w:val="24"/>
                <w:highlight w:val="none"/>
              </w:rPr>
            </w:pPr>
            <w:r>
              <w:rPr>
                <w:rFonts w:hint="eastAsia" w:ascii="宋体" w:hAnsi="宋体" w:cs="宋体"/>
                <w:color w:val="auto"/>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5504D0C">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2、供应商依法缴纳税收的相关材料（</w:t>
            </w:r>
            <w:r>
              <w:rPr>
                <w:rFonts w:hint="eastAsia" w:ascii="宋体" w:hAnsi="宋体" w:cs="宋体"/>
                <w:color w:val="auto"/>
                <w:sz w:val="24"/>
                <w:highlight w:val="none"/>
                <w:u w:val="single"/>
              </w:rPr>
              <w:t>竞标截止之日前半年内连续三个月</w:t>
            </w:r>
            <w:r>
              <w:rPr>
                <w:rFonts w:hint="eastAsia" w:ascii="宋体" w:hAnsi="宋体" w:cs="宋体"/>
                <w:color w:val="auto"/>
                <w:sz w:val="24"/>
                <w:highlight w:val="none"/>
              </w:rPr>
              <w:t>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3B83C38">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3、供应商依法缴纳社会保障资金的相关材料[</w:t>
            </w:r>
            <w:r>
              <w:rPr>
                <w:rFonts w:hint="eastAsia" w:ascii="宋体" w:hAnsi="宋体" w:cs="宋体"/>
                <w:color w:val="auto"/>
                <w:sz w:val="24"/>
                <w:highlight w:val="none"/>
                <w:u w:val="single"/>
              </w:rPr>
              <w:t>竞标截止之日前半年内连续三个月</w:t>
            </w:r>
            <w:r>
              <w:rPr>
                <w:rFonts w:hint="eastAsia" w:ascii="宋体" w:hAnsi="宋体" w:cs="宋体"/>
                <w:color w:val="auto"/>
                <w:sz w:val="24"/>
                <w:highlight w:val="none"/>
              </w:rPr>
              <w:t>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AF774EA">
            <w:pPr>
              <w:spacing w:line="360" w:lineRule="auto"/>
              <w:contextualSpacing/>
              <w:jc w:val="left"/>
              <w:rPr>
                <w:rFonts w:ascii="宋体" w:hAnsi="宋体" w:cs="宋体"/>
                <w:b/>
                <w:color w:val="auto"/>
                <w:sz w:val="24"/>
                <w:highlight w:val="none"/>
              </w:rPr>
            </w:pPr>
            <w:r>
              <w:rPr>
                <w:rFonts w:hint="eastAsia" w:ascii="宋体" w:hAnsi="宋体" w:cs="宋体"/>
                <w:color w:val="auto"/>
                <w:sz w:val="24"/>
                <w:highlight w:val="none"/>
              </w:rPr>
              <w:t>4、供应商财务状况报告【2024年度财务报表复印件或者银行出具的资信证明；</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标人属于成立时间在规定年度之后的法人或其他组织，需提供成立之日起至</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标截止时间前的月报表或银行出具的资信证明；资信证明应在有效期内，未注明有效期的，银行出具时间至</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标截止时间不超过一年】；</w:t>
            </w:r>
            <w:r>
              <w:rPr>
                <w:rFonts w:hint="eastAsia" w:ascii="宋体" w:hAnsi="宋体" w:cs="宋体"/>
                <w:bCs/>
                <w:color w:val="auto"/>
                <w:sz w:val="24"/>
                <w:highlight w:val="none"/>
              </w:rPr>
              <w:t>（</w:t>
            </w:r>
            <w:r>
              <w:rPr>
                <w:rFonts w:hint="eastAsia" w:ascii="宋体" w:hAnsi="宋体" w:cs="宋体"/>
                <w:b/>
                <w:color w:val="auto"/>
                <w:sz w:val="24"/>
                <w:highlight w:val="none"/>
              </w:rPr>
              <w:t>除自然人外必须提供，否则响应文件按无效响应处理</w:t>
            </w:r>
            <w:r>
              <w:rPr>
                <w:rFonts w:hint="eastAsia" w:ascii="宋体" w:hAnsi="宋体" w:cs="宋体"/>
                <w:bCs/>
                <w:color w:val="auto"/>
                <w:sz w:val="24"/>
                <w:highlight w:val="none"/>
              </w:rPr>
              <w:t>）</w:t>
            </w:r>
          </w:p>
          <w:p w14:paraId="1A273EA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5、供应商直接控股、管理关系信息表（格式后附）；（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666A72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6、竞标声明（格式后附）；（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B4B1BD5">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7、联合体竞标协议书（格式后附）；（</w:t>
            </w:r>
            <w:r>
              <w:rPr>
                <w:rFonts w:hint="eastAsia" w:ascii="宋体" w:hAnsi="宋体" w:cs="宋体"/>
                <w:b/>
                <w:color w:val="auto"/>
                <w:sz w:val="24"/>
                <w:highlight w:val="none"/>
              </w:rPr>
              <w:t>联合体竞标时必须提供</w:t>
            </w:r>
            <w:r>
              <w:rPr>
                <w:rFonts w:hint="eastAsia" w:ascii="宋体" w:hAnsi="宋体" w:cs="宋体"/>
                <w:color w:val="auto"/>
                <w:sz w:val="24"/>
                <w:highlight w:val="none"/>
              </w:rPr>
              <w:t>）</w:t>
            </w:r>
          </w:p>
          <w:p w14:paraId="14DC7392">
            <w:pPr>
              <w:spacing w:line="360" w:lineRule="auto"/>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8、具有有效的行政主管部门颁发《医疗机构执业许可证》；</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24E03D2">
            <w:pPr>
              <w:snapToGrid w:val="0"/>
              <w:spacing w:line="360" w:lineRule="auto"/>
              <w:jc w:val="left"/>
              <w:rPr>
                <w:rFonts w:ascii="宋体" w:hAnsi="宋体" w:cs="宋体"/>
                <w:b/>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、除磋商文件规定必须提供以外，供应商认为需要提供的其他证明材料；</w:t>
            </w:r>
          </w:p>
          <w:p w14:paraId="671A1DA4">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注：</w:t>
            </w:r>
          </w:p>
          <w:p w14:paraId="28D18277">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1、以上标明“必须提供”的材料属于复印件的，必须加盖供应商公章，否则响应文件按无效响应处理。</w:t>
            </w:r>
          </w:p>
          <w:p w14:paraId="6FDFFC54">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2、竞标声明必须由法定代表人在规定签章处签字并加盖供应商公章，否则响应文件按无效响应处理。</w:t>
            </w:r>
          </w:p>
          <w:p w14:paraId="304D7007">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3、供应商直接控股、管理关系信息表必须由法定代表人或者委托代理人在规定签章处签字并加盖供应商公章，否则响应文件按无效响应处理。</w:t>
            </w:r>
          </w:p>
          <w:p w14:paraId="18D11E58">
            <w:pPr>
              <w:pStyle w:val="9"/>
              <w:spacing w:line="360" w:lineRule="auto"/>
              <w:rPr>
                <w:rFonts w:ascii="宋体" w:hAnsi="宋体" w:cs="宋体"/>
                <w:b/>
                <w:color w:val="auto"/>
                <w:sz w:val="24"/>
                <w:highlight w:val="none"/>
              </w:rPr>
            </w:pPr>
            <w:r>
              <w:rPr>
                <w:rFonts w:hint="eastAsia" w:ascii="宋体" w:hAnsi="宋体" w:cs="宋体"/>
                <w:b/>
                <w:color w:val="auto"/>
                <w:sz w:val="24"/>
                <w:highlight w:val="none"/>
              </w:rPr>
              <w:t>4、联合体竞标时，第1-5项和第7项资格证明文件联合体各方均必须分别提供，联合体各方分别盖章，否则响应文件按无效响应处理。</w:t>
            </w:r>
          </w:p>
          <w:p w14:paraId="11808661">
            <w:pPr>
              <w:pStyle w:val="9"/>
              <w:spacing w:line="360" w:lineRule="auto"/>
              <w:rPr>
                <w:rFonts w:ascii="宋体" w:hAnsi="宋体" w:cs="宋体"/>
                <w:b/>
                <w:color w:val="auto"/>
                <w:sz w:val="24"/>
                <w:highlight w:val="none"/>
              </w:rPr>
            </w:pPr>
            <w:r>
              <w:rPr>
                <w:rFonts w:hint="eastAsia" w:ascii="宋体" w:hAnsi="宋体" w:cs="宋体"/>
                <w:b/>
                <w:bCs/>
                <w:color w:val="auto"/>
                <w:sz w:val="24"/>
                <w:highlight w:val="none"/>
              </w:rPr>
              <w:t>5、分公司参加竞标的，应当取得总公司授权</w:t>
            </w:r>
            <w:r>
              <w:rPr>
                <w:rFonts w:hint="eastAsia" w:ascii="宋体" w:hAnsi="宋体" w:cs="宋体"/>
                <w:b/>
                <w:color w:val="auto"/>
                <w:sz w:val="24"/>
                <w:highlight w:val="none"/>
              </w:rPr>
              <w:t>，否则响应文件按无效响应处理。</w:t>
            </w:r>
          </w:p>
        </w:tc>
      </w:tr>
      <w:tr w14:paraId="6777F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7A73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12.1.2</w:t>
            </w:r>
          </w:p>
        </w:tc>
        <w:tc>
          <w:tcPr>
            <w:tcW w:w="8627" w:type="dxa"/>
            <w:vAlign w:val="center"/>
          </w:tcPr>
          <w:p w14:paraId="7BF5B8C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报价文件</w:t>
            </w:r>
          </w:p>
          <w:p w14:paraId="49DE71DB">
            <w:pPr>
              <w:spacing w:line="360" w:lineRule="auto"/>
              <w:rPr>
                <w:rFonts w:ascii="宋体" w:hAnsi="宋体" w:cs="宋体"/>
                <w:color w:val="auto"/>
                <w:sz w:val="24"/>
                <w:highlight w:val="none"/>
              </w:rPr>
            </w:pPr>
            <w:r>
              <w:rPr>
                <w:rFonts w:hint="eastAsia" w:ascii="宋体" w:hAnsi="宋体" w:cs="宋体"/>
                <w:color w:val="auto"/>
                <w:sz w:val="24"/>
                <w:highlight w:val="none"/>
              </w:rPr>
              <w:t>1、无串通竞标行为的承诺函（格式后附）；（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E7378D0">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2、竞标报价表（格式后附）；（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AC8C1F1">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中小企业声明函（格式后附，监狱企业或残疾人福利性单位视同中小企业）；（</w:t>
            </w:r>
            <w:r>
              <w:rPr>
                <w:rFonts w:hint="eastAsia" w:ascii="宋体" w:hAnsi="宋体" w:cs="宋体"/>
                <w:b/>
                <w:color w:val="auto"/>
                <w:sz w:val="24"/>
                <w:highlight w:val="none"/>
                <w:lang w:val="en-US" w:eastAsia="zh-CN"/>
              </w:rPr>
              <w:t>如有请提供</w:t>
            </w:r>
            <w:r>
              <w:rPr>
                <w:rFonts w:hint="eastAsia" w:ascii="宋体" w:hAnsi="宋体" w:cs="宋体"/>
                <w:color w:val="auto"/>
                <w:sz w:val="24"/>
                <w:highlight w:val="none"/>
              </w:rPr>
              <w:t>）</w:t>
            </w:r>
          </w:p>
          <w:p w14:paraId="5B065F9A">
            <w:pPr>
              <w:spacing w:line="360" w:lineRule="auto"/>
              <w:rPr>
                <w:rFonts w:ascii="宋体" w:hAnsi="宋体" w:cs="宋体"/>
                <w:b/>
                <w:bCs/>
                <w:color w:val="auto"/>
                <w:sz w:val="24"/>
                <w:highlight w:val="none"/>
              </w:rPr>
            </w:pPr>
            <w:r>
              <w:rPr>
                <w:rFonts w:hint="eastAsia" w:ascii="宋体" w:hAnsi="宋体" w:cs="宋体"/>
                <w:b/>
                <w:color w:val="auto"/>
                <w:sz w:val="24"/>
                <w:highlight w:val="none"/>
              </w:rPr>
              <w:t>注：以上标明“必须提供”的材料属于复印件的，必须加盖供应商公章，否则响应文件按无效响应处理。</w:t>
            </w:r>
          </w:p>
        </w:tc>
      </w:tr>
      <w:tr w14:paraId="18F92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EA06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12.1.3</w:t>
            </w:r>
          </w:p>
        </w:tc>
        <w:tc>
          <w:tcPr>
            <w:tcW w:w="8627" w:type="dxa"/>
            <w:vAlign w:val="center"/>
          </w:tcPr>
          <w:p w14:paraId="06BC1B13">
            <w:pPr>
              <w:spacing w:line="360" w:lineRule="auto"/>
              <w:rPr>
                <w:rFonts w:ascii="宋体" w:hAnsi="宋体" w:cs="宋体"/>
                <w:color w:val="auto"/>
                <w:sz w:val="24"/>
                <w:highlight w:val="none"/>
              </w:rPr>
            </w:pPr>
            <w:r>
              <w:rPr>
                <w:rFonts w:hint="eastAsia" w:ascii="宋体" w:hAnsi="宋体" w:cs="宋体"/>
                <w:b/>
                <w:bCs/>
                <w:color w:val="auto"/>
                <w:sz w:val="24"/>
                <w:highlight w:val="none"/>
              </w:rPr>
              <w:t>商务技术文件</w:t>
            </w:r>
          </w:p>
          <w:p w14:paraId="03924EB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1、法定代表人身份证明及法定代表人有效身份证正反面复印件（格式后附）；（</w:t>
            </w:r>
            <w:r>
              <w:rPr>
                <w:rFonts w:hint="eastAsia" w:ascii="宋体" w:hAnsi="宋体" w:cs="宋体"/>
                <w:b/>
                <w:bCs/>
                <w:color w:val="auto"/>
                <w:sz w:val="24"/>
                <w:highlight w:val="none"/>
              </w:rPr>
              <w:t>除自然人竞标外</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A4755DD">
            <w:pPr>
              <w:spacing w:line="360" w:lineRule="auto"/>
              <w:rPr>
                <w:rFonts w:ascii="宋体" w:hAnsi="宋体" w:cs="宋体"/>
                <w:b/>
                <w:color w:val="auto"/>
                <w:sz w:val="24"/>
                <w:highlight w:val="none"/>
              </w:rPr>
            </w:pPr>
            <w:r>
              <w:rPr>
                <w:rFonts w:hint="eastAsia" w:ascii="宋体" w:hAnsi="宋体" w:cs="宋体"/>
                <w:color w:val="auto"/>
                <w:sz w:val="24"/>
                <w:highlight w:val="none"/>
              </w:rPr>
              <w:t>2、授权委托书及委托代理人有效身份证正反面复印件（格式后附）；（</w:t>
            </w:r>
            <w:r>
              <w:rPr>
                <w:rFonts w:hint="eastAsia" w:ascii="宋体" w:hAnsi="宋体" w:cs="宋体"/>
                <w:b/>
                <w:color w:val="auto"/>
                <w:sz w:val="24"/>
                <w:highlight w:val="none"/>
              </w:rPr>
              <w:t>委托时必须提供，否则响应文件按无效响应处理</w:t>
            </w:r>
            <w:r>
              <w:rPr>
                <w:rFonts w:hint="eastAsia" w:ascii="宋体" w:hAnsi="宋体" w:cs="宋体"/>
                <w:color w:val="auto"/>
                <w:sz w:val="24"/>
                <w:highlight w:val="none"/>
              </w:rPr>
              <w:t>）</w:t>
            </w:r>
          </w:p>
          <w:p w14:paraId="4CCE9307">
            <w:pPr>
              <w:spacing w:line="360" w:lineRule="auto"/>
              <w:rPr>
                <w:rFonts w:ascii="宋体" w:hAnsi="宋体" w:cs="宋体"/>
                <w:color w:val="auto"/>
                <w:sz w:val="24"/>
                <w:highlight w:val="none"/>
              </w:rPr>
            </w:pPr>
            <w:r>
              <w:rPr>
                <w:rFonts w:hint="eastAsia" w:ascii="宋体" w:hAnsi="宋体" w:cs="宋体"/>
                <w:color w:val="auto"/>
                <w:sz w:val="24"/>
                <w:highlight w:val="none"/>
              </w:rPr>
              <w:t>3、磋商保证金提交凭证复印件；（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B8FB55B">
            <w:pPr>
              <w:spacing w:line="360" w:lineRule="auto"/>
              <w:rPr>
                <w:rFonts w:ascii="宋体" w:hAnsi="宋体" w:cs="宋体"/>
                <w:color w:val="auto"/>
                <w:sz w:val="24"/>
                <w:highlight w:val="none"/>
              </w:rPr>
            </w:pPr>
            <w:r>
              <w:rPr>
                <w:rFonts w:hint="eastAsia" w:ascii="宋体" w:hAnsi="宋体" w:cs="宋体"/>
                <w:color w:val="auto"/>
                <w:sz w:val="24"/>
                <w:highlight w:val="none"/>
              </w:rPr>
              <w:t>4、商务要求偏离表（格式后附）；（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6129990">
            <w:pPr>
              <w:spacing w:line="360" w:lineRule="auto"/>
              <w:rPr>
                <w:rFonts w:ascii="宋体" w:hAnsi="宋体" w:cs="宋体"/>
                <w:color w:val="auto"/>
                <w:sz w:val="24"/>
                <w:highlight w:val="none"/>
              </w:rPr>
            </w:pPr>
            <w:r>
              <w:rPr>
                <w:rFonts w:hint="eastAsia" w:ascii="宋体" w:hAnsi="宋体" w:cs="宋体"/>
                <w:color w:val="auto"/>
                <w:sz w:val="24"/>
                <w:highlight w:val="none"/>
              </w:rPr>
              <w:t>5、技术要求偏离表（格式后附）；（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7154E55">
            <w:pPr>
              <w:spacing w:line="360" w:lineRule="auto"/>
              <w:rPr>
                <w:rFonts w:ascii="宋体" w:hAnsi="宋体" w:cs="宋体"/>
                <w:color w:val="auto"/>
                <w:sz w:val="24"/>
                <w:highlight w:val="none"/>
              </w:rPr>
            </w:pPr>
            <w:r>
              <w:rPr>
                <w:rFonts w:hint="eastAsia" w:ascii="宋体" w:hAnsi="宋体" w:cs="宋体"/>
                <w:color w:val="auto"/>
                <w:sz w:val="24"/>
                <w:highlight w:val="none"/>
              </w:rPr>
              <w:t>6、服务方案（格式自拟）；（</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33CB13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7、项目实施人员一览表（格式自拟）； </w:t>
            </w:r>
          </w:p>
          <w:p w14:paraId="57BC3EB2">
            <w:pPr>
              <w:spacing w:line="360" w:lineRule="auto"/>
              <w:rPr>
                <w:rFonts w:ascii="宋体" w:hAnsi="宋体" w:cs="宋体"/>
                <w:color w:val="auto"/>
                <w:sz w:val="24"/>
                <w:highlight w:val="none"/>
              </w:rPr>
            </w:pPr>
            <w:r>
              <w:rPr>
                <w:rFonts w:hint="eastAsia" w:ascii="宋体" w:hAnsi="宋体" w:cs="宋体"/>
                <w:color w:val="auto"/>
                <w:sz w:val="24"/>
                <w:highlight w:val="none"/>
              </w:rPr>
              <w:t>8、对应采购需求的技术要求、商务要求提供的其他文件资料（格式自拟）；</w:t>
            </w:r>
          </w:p>
          <w:p w14:paraId="4E3D1160">
            <w:pPr>
              <w:spacing w:line="360" w:lineRule="auto"/>
              <w:rPr>
                <w:rFonts w:ascii="宋体" w:hAnsi="宋体" w:cs="宋体"/>
                <w:color w:val="auto"/>
                <w:sz w:val="24"/>
                <w:highlight w:val="none"/>
              </w:rPr>
            </w:pPr>
            <w:r>
              <w:rPr>
                <w:rFonts w:hint="eastAsia" w:ascii="宋体" w:hAnsi="宋体" w:cs="宋体"/>
                <w:color w:val="auto"/>
                <w:sz w:val="24"/>
                <w:highlight w:val="none"/>
              </w:rPr>
              <w:t>9、供应商认为需要提供的其他有关资料。</w:t>
            </w:r>
          </w:p>
          <w:p w14:paraId="50081B62">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注：以上标明“必须提供”的材料属于复印件的，必须加盖供应商公章，否则响应文件按无效响应处理。</w:t>
            </w:r>
          </w:p>
        </w:tc>
      </w:tr>
      <w:tr w14:paraId="0B4D2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6703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15.2</w:t>
            </w:r>
          </w:p>
        </w:tc>
        <w:tc>
          <w:tcPr>
            <w:tcW w:w="8627" w:type="dxa"/>
            <w:vAlign w:val="center"/>
          </w:tcPr>
          <w:p w14:paraId="189F98C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竞标报价是履行合同的最终价格，即满足全部采购需求所应提供的服务的价格；包括竞标服务的成本、运输（含保险）（如有）、技术服务、培训、税费等所有费用。</w:t>
            </w:r>
            <w:r>
              <w:rPr>
                <w:rFonts w:hint="eastAsia" w:ascii="宋体" w:hAnsi="宋体" w:cs="宋体"/>
                <w:b/>
                <w:color w:val="auto"/>
                <w:sz w:val="24"/>
                <w:highlight w:val="none"/>
              </w:rPr>
              <w:t>（采购需求另有约定的，从其约定。）</w:t>
            </w:r>
          </w:p>
        </w:tc>
      </w:tr>
      <w:tr w14:paraId="49DA9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9187B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16.2</w:t>
            </w:r>
          </w:p>
        </w:tc>
        <w:tc>
          <w:tcPr>
            <w:tcW w:w="8627" w:type="dxa"/>
            <w:vAlign w:val="center"/>
          </w:tcPr>
          <w:p w14:paraId="55766BF8">
            <w:pPr>
              <w:spacing w:line="360" w:lineRule="auto"/>
              <w:rPr>
                <w:rFonts w:ascii="宋体" w:hAnsi="宋体" w:cs="宋体"/>
                <w:color w:val="auto"/>
                <w:sz w:val="24"/>
                <w:highlight w:val="none"/>
              </w:rPr>
            </w:pPr>
            <w:r>
              <w:rPr>
                <w:rFonts w:hint="eastAsia" w:ascii="宋体" w:hAnsi="宋体" w:cs="宋体"/>
                <w:color w:val="auto"/>
                <w:sz w:val="24"/>
                <w:highlight w:val="none"/>
              </w:rPr>
              <w:t>竞标有效期：首次响应文件提交截止之日起60天内。</w:t>
            </w:r>
          </w:p>
        </w:tc>
      </w:tr>
      <w:tr w14:paraId="70D6C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4BAA0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17.1</w:t>
            </w:r>
          </w:p>
        </w:tc>
        <w:tc>
          <w:tcPr>
            <w:tcW w:w="8627" w:type="dxa"/>
            <w:vAlign w:val="center"/>
          </w:tcPr>
          <w:p w14:paraId="005DA68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本项目收取磋商保证金：</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000元；以下为磋商保证金专用银行账号：</w:t>
            </w:r>
          </w:p>
          <w:p w14:paraId="618C0DD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开户名称：广西科文招标有限公司</w:t>
            </w:r>
          </w:p>
          <w:p w14:paraId="617546B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开户银行：广西北部湾银行南宁分行营业部</w:t>
            </w:r>
          </w:p>
          <w:p w14:paraId="6991655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银行账号：0101012090615689</w:t>
            </w:r>
          </w:p>
          <w:p w14:paraId="2410B43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磋商保证金的交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6C006D5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5E239D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3D6803E5">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r>
              <w:rPr>
                <w:rFonts w:hint="eastAsia" w:ascii="宋体" w:hAnsi="宋体" w:cs="宋体"/>
                <w:b/>
                <w:color w:val="auto"/>
                <w:sz w:val="24"/>
                <w:highlight w:val="none"/>
              </w:rPr>
              <w:t>供应商必须在首次响应文件提交截止时间前将支票、汇票、本票或者金融、担保机构出具的保函原件提交给采购代理机构，由采购代理机构向供应商出具回执，并妥善保管。</w:t>
            </w:r>
          </w:p>
          <w:p w14:paraId="1539EDE0">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3、供应商为联合体的，可以由联合体中的一方或者多方共同交纳磋商保证金，其交纳的保证金对联合体各方均具有约束力。</w:t>
            </w:r>
          </w:p>
          <w:p w14:paraId="2DE0E5EB">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备注： </w:t>
            </w:r>
          </w:p>
          <w:p w14:paraId="14B919B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1、磋商保证金在响应文件提交截止时间后提交的，或者不按规定交纳方式交纳的，或者未足额交纳的（包含保函额度不足的），视为无效磋商保证金。</w:t>
            </w:r>
          </w:p>
          <w:p w14:paraId="4E321884">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2、供应商采用现钞方式或者从个人账户（自然人竞标除外）转出的磋商保证金，视为无效磋商保证金。</w:t>
            </w:r>
          </w:p>
          <w:p w14:paraId="15B66825">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3、支票、汇票或者本票出现无效或者背书情形的，视为无效磋商保证金。</w:t>
            </w:r>
          </w:p>
          <w:p w14:paraId="6ED33487">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4、保函有效期低于竞标有效期的，视为无效磋商保证金。</w:t>
            </w:r>
          </w:p>
          <w:p w14:paraId="6780D3A8">
            <w:pPr>
              <w:snapToGrid w:val="0"/>
              <w:spacing w:line="360" w:lineRule="auto"/>
              <w:rPr>
                <w:rFonts w:ascii="宋体" w:hAnsi="宋体" w:cs="宋体"/>
                <w:color w:val="auto"/>
                <w:sz w:val="24"/>
                <w:highlight w:val="none"/>
              </w:rPr>
            </w:pPr>
            <w:r>
              <w:rPr>
                <w:rFonts w:hint="eastAsia" w:ascii="宋体" w:hAnsi="宋体" w:cs="宋体"/>
                <w:b/>
                <w:color w:val="auto"/>
                <w:sz w:val="24"/>
                <w:highlight w:val="none"/>
              </w:rPr>
              <w:t>5、采用金融、担保机构出具保函的，必须为无条件保函，否则视为无效磋商保证金。</w:t>
            </w:r>
          </w:p>
        </w:tc>
      </w:tr>
      <w:tr w14:paraId="1FB22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7A23B51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18.2</w:t>
            </w:r>
          </w:p>
        </w:tc>
        <w:tc>
          <w:tcPr>
            <w:tcW w:w="8627" w:type="dxa"/>
            <w:vAlign w:val="center"/>
          </w:tcPr>
          <w:p w14:paraId="59FF8EAF">
            <w:pPr>
              <w:spacing w:line="360" w:lineRule="auto"/>
              <w:rPr>
                <w:rFonts w:ascii="宋体" w:hAnsi="宋体" w:cs="宋体"/>
                <w:color w:val="auto"/>
                <w:sz w:val="24"/>
                <w:highlight w:val="none"/>
              </w:rPr>
            </w:pPr>
            <w:r>
              <w:rPr>
                <w:rFonts w:hint="eastAsia" w:ascii="宋体" w:hAnsi="宋体" w:cs="宋体"/>
                <w:color w:val="auto"/>
                <w:sz w:val="24"/>
                <w:highlight w:val="none"/>
              </w:rPr>
              <w:t>响应文件应按资格证明文件、报价文件、商务技术文件分别编制，</w:t>
            </w:r>
            <w:r>
              <w:rPr>
                <w:rFonts w:hint="eastAsia" w:ascii="宋体" w:hAnsi="宋体" w:cs="宋体"/>
                <w:color w:val="auto"/>
                <w:sz w:val="24"/>
                <w:highlight w:val="none"/>
                <w:lang w:bidi="ar"/>
              </w:rPr>
              <w:t>并按广西政府采购云平台的要求编制、加密、上传。</w:t>
            </w:r>
          </w:p>
        </w:tc>
      </w:tr>
      <w:tr w14:paraId="576D7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362F65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627" w:type="dxa"/>
            <w:vAlign w:val="center"/>
          </w:tcPr>
          <w:p w14:paraId="67DDC32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首次响应文件提交截止时间：详见竞争性磋商公告。</w:t>
            </w:r>
          </w:p>
          <w:p w14:paraId="3DCA164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首次响应文件提交地点：详见竞争性磋商公告。</w:t>
            </w:r>
          </w:p>
        </w:tc>
      </w:tr>
      <w:tr w14:paraId="47C42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C7793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24.1</w:t>
            </w:r>
          </w:p>
        </w:tc>
        <w:tc>
          <w:tcPr>
            <w:tcW w:w="8627" w:type="dxa"/>
            <w:vAlign w:val="center"/>
          </w:tcPr>
          <w:p w14:paraId="08CEAF0C">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磋商小组的人数：3人。</w:t>
            </w:r>
            <w:r>
              <w:rPr>
                <w:rFonts w:hint="eastAsia" w:ascii="宋体" w:hAnsi="宋体" w:cs="宋体"/>
                <w:i/>
                <w:color w:val="auto"/>
                <w:sz w:val="24"/>
                <w:highlight w:val="none"/>
              </w:rPr>
              <w:t>（达到公开数额的应为5人以上）</w:t>
            </w:r>
          </w:p>
        </w:tc>
      </w:tr>
      <w:tr w14:paraId="2065F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8D16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25.2</w:t>
            </w:r>
          </w:p>
        </w:tc>
        <w:tc>
          <w:tcPr>
            <w:tcW w:w="8627" w:type="dxa"/>
            <w:vAlign w:val="center"/>
          </w:tcPr>
          <w:p w14:paraId="1BEF9F9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w:t>
            </w:r>
            <w:r>
              <w:rPr>
                <w:rFonts w:hint="eastAsia" w:ascii="宋体" w:hAnsi="宋体" w:cs="宋体"/>
                <w:b/>
                <w:color w:val="auto"/>
                <w:sz w:val="24"/>
                <w:highlight w:val="none"/>
              </w:rPr>
              <w:t>视为响应</w:t>
            </w:r>
            <w:r>
              <w:rPr>
                <w:rFonts w:hint="eastAsia" w:ascii="宋体" w:hAnsi="宋体" w:cs="宋体"/>
                <w:b/>
                <w:bCs/>
                <w:color w:val="auto"/>
                <w:sz w:val="24"/>
                <w:highlight w:val="none"/>
              </w:rPr>
              <w:t>文件无效。</w:t>
            </w:r>
          </w:p>
        </w:tc>
      </w:tr>
      <w:tr w14:paraId="34DD9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AE120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26</w:t>
            </w:r>
          </w:p>
        </w:tc>
        <w:tc>
          <w:tcPr>
            <w:tcW w:w="8627" w:type="dxa"/>
            <w:vAlign w:val="center"/>
          </w:tcPr>
          <w:p w14:paraId="684C0C90">
            <w:pPr>
              <w:pStyle w:val="9"/>
              <w:spacing w:line="360" w:lineRule="auto"/>
              <w:jc w:val="both"/>
              <w:rPr>
                <w:rFonts w:ascii="宋体" w:hAnsi="宋体" w:cs="宋体"/>
                <w:color w:val="auto"/>
                <w:sz w:val="24"/>
                <w:highlight w:val="none"/>
              </w:rPr>
            </w:pPr>
            <w:r>
              <w:rPr>
                <w:rFonts w:hint="eastAsia" w:ascii="宋体" w:hAnsi="宋体" w:cs="宋体"/>
                <w:color w:val="auto"/>
                <w:sz w:val="24"/>
                <w:highlight w:val="none"/>
              </w:rPr>
              <w:t>磋商的顺序：按“政采云”系统的编号顺序。</w:t>
            </w:r>
          </w:p>
          <w:p w14:paraId="61911DA1">
            <w:pPr>
              <w:pStyle w:val="9"/>
              <w:spacing w:line="360" w:lineRule="auto"/>
              <w:jc w:val="both"/>
              <w:rPr>
                <w:rFonts w:ascii="宋体" w:hAnsi="宋体" w:cs="宋体"/>
                <w:b/>
                <w:color w:val="auto"/>
                <w:sz w:val="24"/>
                <w:highlight w:val="none"/>
              </w:rPr>
            </w:pPr>
            <w:r>
              <w:rPr>
                <w:rFonts w:hint="eastAsia" w:ascii="宋体" w:hAnsi="宋体" w:cs="宋体"/>
                <w:b/>
                <w:color w:val="auto"/>
                <w:sz w:val="24"/>
                <w:highlight w:val="none"/>
              </w:rPr>
              <w:t>符合磋商资格的供应商必须在接到磋商通知后规定时间内参加磋商，未在规定时间内参加磋商的视同放弃参加磋商权利，其响应文件按无效响应处理。</w:t>
            </w:r>
          </w:p>
          <w:p w14:paraId="7017090A">
            <w:pPr>
              <w:snapToGrid w:val="0"/>
              <w:spacing w:line="360" w:lineRule="auto"/>
              <w:rPr>
                <w:rFonts w:ascii="宋体" w:hAnsi="宋体" w:cs="宋体"/>
                <w:color w:val="auto"/>
                <w:sz w:val="24"/>
                <w:highlight w:val="none"/>
              </w:rPr>
            </w:pPr>
            <w:r>
              <w:rPr>
                <w:rFonts w:hint="eastAsia" w:ascii="宋体" w:hAnsi="宋体" w:cs="宋体"/>
                <w:b/>
                <w:color w:val="auto"/>
                <w:sz w:val="24"/>
                <w:highlight w:val="none"/>
              </w:rPr>
              <w:t>注：参与磋商前，供应商法定代表人或者委托代理人向磋商小组出示本人有效证件原件[有效证件可以是身份证（含临时身份证明）或者护照的其中一项]。</w:t>
            </w:r>
          </w:p>
        </w:tc>
      </w:tr>
      <w:tr w14:paraId="68510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074205AC">
            <w:pPr>
              <w:spacing w:line="360" w:lineRule="auto"/>
              <w:jc w:val="center"/>
              <w:rPr>
                <w:rFonts w:ascii="宋体" w:hAnsi="宋体" w:cs="宋体"/>
                <w:color w:val="auto"/>
                <w:sz w:val="24"/>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8627" w:type="dxa"/>
            <w:vAlign w:val="center"/>
          </w:tcPr>
          <w:p w14:paraId="2A22CA9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hint="eastAsia" w:ascii="宋体" w:hAnsi="宋体" w:cs="宋体"/>
                <w:color w:val="auto"/>
                <w:sz w:val="24"/>
                <w:highlight w:val="none"/>
                <w:u w:val="single"/>
              </w:rPr>
              <w:t>0</w:t>
            </w:r>
            <w:r>
              <w:rPr>
                <w:rFonts w:hint="eastAsia" w:ascii="宋体" w:hAnsi="宋体" w:cs="宋体"/>
                <w:color w:val="auto"/>
                <w:sz w:val="24"/>
                <w:highlight w:val="none"/>
              </w:rPr>
              <w:t>项</w:t>
            </w:r>
          </w:p>
          <w:p w14:paraId="7AC2343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技术要求评审中允许负偏离的条款数为：</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rPr>
              <w:t>项</w:t>
            </w:r>
          </w:p>
        </w:tc>
      </w:tr>
      <w:tr w14:paraId="3B0F1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BC1D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28.1</w:t>
            </w:r>
          </w:p>
        </w:tc>
        <w:tc>
          <w:tcPr>
            <w:tcW w:w="8627" w:type="dxa"/>
            <w:vAlign w:val="center"/>
          </w:tcPr>
          <w:p w14:paraId="54C19A67">
            <w:pPr>
              <w:spacing w:line="360" w:lineRule="auto"/>
              <w:contextualSpacing/>
              <w:rPr>
                <w:rFonts w:ascii="宋体" w:hAnsi="宋体" w:cs="宋体"/>
                <w:color w:val="auto"/>
                <w:sz w:val="24"/>
                <w:highlight w:val="none"/>
              </w:rPr>
            </w:pPr>
            <w:r>
              <w:rPr>
                <w:rFonts w:ascii="Wingdings" w:hAnsi="Wingdings" w:cs="宋体"/>
                <w:color w:val="auto"/>
                <w:sz w:val="24"/>
                <w:highlight w:val="none"/>
              </w:rPr>
              <w:sym w:font="Wingdings" w:char="00A8"/>
            </w:r>
            <w:r>
              <w:rPr>
                <w:rFonts w:hint="eastAsia" w:ascii="宋体" w:hAnsi="宋体" w:cs="宋体"/>
                <w:color w:val="auto"/>
                <w:sz w:val="24"/>
                <w:highlight w:val="none"/>
              </w:rPr>
              <w:t>本项目</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收取履约保证金。</w:t>
            </w:r>
          </w:p>
          <w:p w14:paraId="46572944">
            <w:pPr>
              <w:spacing w:line="360" w:lineRule="auto"/>
              <w:contextualSpacing/>
              <w:rPr>
                <w:rFonts w:ascii="宋体" w:hAnsi="宋体" w:cs="宋体"/>
                <w:color w:val="auto"/>
                <w:sz w:val="24"/>
                <w:highlight w:val="none"/>
              </w:rPr>
            </w:pPr>
            <w:r>
              <w:rPr>
                <w:rFonts w:ascii="Wingdings" w:hAnsi="Wingdings" w:cs="宋体"/>
                <w:color w:val="auto"/>
                <w:sz w:val="24"/>
                <w:highlight w:val="none"/>
              </w:rPr>
              <w:sym w:font="Wingdings" w:char="00FE"/>
            </w:r>
            <w:r>
              <w:rPr>
                <w:rFonts w:hint="eastAsia" w:ascii="宋体" w:hAnsi="宋体" w:cs="宋体"/>
                <w:color w:val="auto"/>
                <w:sz w:val="24"/>
                <w:highlight w:val="none"/>
              </w:rPr>
              <w:t>本项目收取履约保证金，具体规定如下：</w:t>
            </w:r>
          </w:p>
          <w:p w14:paraId="43FEDEF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履约保证金金额：详见商务条款。</w:t>
            </w:r>
          </w:p>
          <w:p w14:paraId="56239DE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履约保证金提交方式：银行转账、支票、汇票、本票或者金融、担保机构出具的保函等非现金方式。</w:t>
            </w:r>
          </w:p>
          <w:p w14:paraId="7FE6133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履约保证金退付方式、时间及条件：详见商务条款。</w:t>
            </w:r>
          </w:p>
          <w:p w14:paraId="6B2482A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履约保证金指定账户信息：具体合同约定为准。</w:t>
            </w:r>
          </w:p>
          <w:p w14:paraId="22D8B2A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54663AB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1</w:t>
            </w:r>
            <w:bookmarkStart w:id="19" w:name="_Hlk54170335"/>
            <w:r>
              <w:rPr>
                <w:rFonts w:hint="eastAsia" w:ascii="宋体" w:hAnsi="宋体" w:cs="宋体"/>
                <w:color w:val="auto"/>
                <w:sz w:val="24"/>
                <w:highlight w:val="none"/>
              </w:rPr>
              <w:t>、根据《广西壮族自治区财政厅关于持续优化政府采购营商环境推动高质量发展的通知》（桂财采〔2024〕55号），采购人在采购文件中要求提交履约保证金的，履约保证金数额不得超过政府采购合同金额的5%；政府采购要加大对中小企业发展的扶持力度，对中小企业收取的履约保证金数额不得超过政府采购合同金额的2%。</w:t>
            </w:r>
            <w:bookmarkEnd w:id="19"/>
          </w:p>
          <w:p w14:paraId="7F8133E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0CD346D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3、采用金融、担保机构出具的保函的，必须为无条件保函，否则不予签订合同。</w:t>
            </w:r>
          </w:p>
          <w:p w14:paraId="2716FEE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4、供应商为联合体的，由联合体任意一方按规定提交的履约保证金，视为有效履约保证金。</w:t>
            </w:r>
          </w:p>
        </w:tc>
      </w:tr>
      <w:tr w14:paraId="30F01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CA6F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29.1</w:t>
            </w:r>
          </w:p>
        </w:tc>
        <w:tc>
          <w:tcPr>
            <w:tcW w:w="8627" w:type="dxa"/>
            <w:vAlign w:val="center"/>
          </w:tcPr>
          <w:p w14:paraId="4F4E09F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7CB5CE9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1、委托代理人负责签订合同的，须携带授权委托书及委托代理人身份证原件等其他资格证件。</w:t>
            </w:r>
          </w:p>
          <w:p w14:paraId="54380AD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2、法定代表人负责签订合同的，须携带法定代表人身份证明原件及身份证原件等其他证明材料。</w:t>
            </w:r>
          </w:p>
        </w:tc>
      </w:tr>
      <w:tr w14:paraId="7656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BA81E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31.2</w:t>
            </w:r>
          </w:p>
        </w:tc>
        <w:tc>
          <w:tcPr>
            <w:tcW w:w="8627" w:type="dxa"/>
            <w:vAlign w:val="center"/>
          </w:tcPr>
          <w:p w14:paraId="22AB26C4">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接收质疑函方式：以纸质书面形式。</w:t>
            </w:r>
          </w:p>
          <w:p w14:paraId="0A7CC1DA">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质疑联系部门及联系方式：广西科文招标有限公司</w:t>
            </w:r>
          </w:p>
          <w:p w14:paraId="59F3212B">
            <w:pPr>
              <w:pStyle w:val="15"/>
              <w:snapToGrid w:val="0"/>
              <w:spacing w:line="360" w:lineRule="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质疑联系人：</w:t>
            </w:r>
            <w:r>
              <w:rPr>
                <w:rFonts w:hint="eastAsia" w:hAnsi="宋体" w:cs="宋体"/>
                <w:color w:val="auto"/>
                <w:sz w:val="24"/>
                <w:szCs w:val="24"/>
                <w:highlight w:val="none"/>
                <w:lang w:eastAsia="zh-CN"/>
              </w:rPr>
              <w:t>刘晓艳</w:t>
            </w:r>
            <w:r>
              <w:rPr>
                <w:rFonts w:hint="eastAsia" w:hAnsi="宋体" w:cs="宋体"/>
                <w:color w:val="auto"/>
                <w:sz w:val="24"/>
                <w:szCs w:val="24"/>
                <w:highlight w:val="none"/>
              </w:rPr>
              <w:t xml:space="preserve">  联系电话：0771-2023</w:t>
            </w:r>
            <w:r>
              <w:rPr>
                <w:rFonts w:hint="eastAsia" w:hAnsi="宋体" w:cs="宋体"/>
                <w:color w:val="auto"/>
                <w:sz w:val="24"/>
                <w:szCs w:val="24"/>
                <w:highlight w:val="none"/>
                <w:lang w:val="en-US" w:eastAsia="zh-CN"/>
              </w:rPr>
              <w:t>805</w:t>
            </w:r>
          </w:p>
          <w:p w14:paraId="4AD90D64">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通讯地址：广西南宁市民族大道141号中鼎万象东方D区五层</w:t>
            </w:r>
          </w:p>
          <w:p w14:paraId="378FFFF2">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现场提交质疑办理业务时间：工作日，上午8：00-12：00；下午15：00-18：00（北京时间）</w:t>
            </w:r>
          </w:p>
        </w:tc>
      </w:tr>
      <w:tr w14:paraId="214B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6A2E99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32</w:t>
            </w:r>
          </w:p>
        </w:tc>
        <w:tc>
          <w:tcPr>
            <w:tcW w:w="8627" w:type="dxa"/>
            <w:vAlign w:val="center"/>
          </w:tcPr>
          <w:p w14:paraId="0EFA2F1D">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1、采购代理服务费支付方式：本项目的招标代理服务费向成交供应商收取，领取成交通知书前，成交供应商应向采购代理机构一次付清招标代理服务费，否则采购代理机构有权不予以办理。</w:t>
            </w:r>
          </w:p>
          <w:p w14:paraId="6C925894">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2、采购代理服务费收取标准：</w:t>
            </w:r>
          </w:p>
          <w:p w14:paraId="44DBE0DE">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以</w:t>
            </w:r>
            <w:r>
              <w:rPr>
                <w:rFonts w:hint="eastAsia" w:hAnsi="宋体" w:cs="宋体"/>
                <w:color w:val="auto"/>
                <w:sz w:val="24"/>
                <w:szCs w:val="24"/>
                <w:highlight w:val="none"/>
                <w:lang w:val="en-US" w:eastAsia="zh-CN"/>
              </w:rPr>
              <w:t>成交</w:t>
            </w:r>
            <w:r>
              <w:rPr>
                <w:rFonts w:hint="eastAsia" w:hAnsi="宋体" w:cs="宋体"/>
                <w:b w:val="0"/>
                <w:bCs w:val="0"/>
                <w:color w:val="auto"/>
                <w:sz w:val="24"/>
                <w:szCs w:val="24"/>
                <w:highlight w:val="none"/>
              </w:rPr>
              <w:t>金额</w:t>
            </w:r>
            <w:r>
              <w:rPr>
                <w:rFonts w:hint="eastAsia" w:hAnsi="宋体" w:cs="宋体"/>
                <w:color w:val="auto"/>
                <w:sz w:val="24"/>
                <w:szCs w:val="24"/>
                <w:highlight w:val="none"/>
              </w:rPr>
              <w:t>为计费额，按本须知正文第32.2条规定的收费计算标准服务类</w:t>
            </w:r>
            <w:r>
              <w:rPr>
                <w:rFonts w:hint="eastAsia" w:hAnsi="宋体" w:cs="宋体"/>
                <w:color w:val="auto"/>
                <w:sz w:val="24"/>
                <w:szCs w:val="24"/>
                <w:highlight w:val="none"/>
                <w:lang w:eastAsia="zh-CN"/>
              </w:rPr>
              <w:t>下浮</w:t>
            </w:r>
            <w:r>
              <w:rPr>
                <w:rFonts w:hint="eastAsia" w:hAnsi="宋体" w:cs="宋体"/>
                <w:color w:val="auto"/>
                <w:sz w:val="24"/>
                <w:szCs w:val="24"/>
                <w:highlight w:val="none"/>
                <w:lang w:val="en-US" w:eastAsia="zh-CN"/>
              </w:rPr>
              <w:t>20%</w:t>
            </w:r>
            <w:r>
              <w:rPr>
                <w:rFonts w:hint="eastAsia" w:hAnsi="宋体" w:cs="宋体"/>
                <w:color w:val="auto"/>
                <w:sz w:val="24"/>
                <w:szCs w:val="24"/>
                <w:highlight w:val="none"/>
              </w:rPr>
              <w:t>采用差额定率累进法计算出收费基准价格，由采购代理机构向成交供应商收取。</w:t>
            </w:r>
          </w:p>
          <w:p w14:paraId="6F3C6FC9">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3、采购代理服务费收取银行账号：</w:t>
            </w:r>
          </w:p>
          <w:p w14:paraId="33733DF8">
            <w:pPr>
              <w:pStyle w:val="15"/>
              <w:snapToGrid w:val="0"/>
              <w:spacing w:line="360" w:lineRule="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账户名称：广西科文招标有限公司南宁五分公司</w:t>
            </w:r>
          </w:p>
          <w:p w14:paraId="71CF9B2D">
            <w:pPr>
              <w:pStyle w:val="15"/>
              <w:snapToGrid w:val="0"/>
              <w:spacing w:line="360" w:lineRule="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开户银行：广西北部湾银行股份有限公司南宁市云景支行</w:t>
            </w:r>
          </w:p>
          <w:p w14:paraId="354CD5C1">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lang w:val="en-US" w:eastAsia="zh-CN"/>
              </w:rPr>
              <w:t>银行账号：</w:t>
            </w:r>
            <w:r>
              <w:rPr>
                <w:rFonts w:hint="eastAsia" w:hAnsi="宋体" w:cs="宋体"/>
                <w:color w:val="auto"/>
                <w:sz w:val="24"/>
                <w:highlight w:val="none"/>
                <w:lang w:val="en-US" w:eastAsia="zh-CN"/>
              </w:rPr>
              <w:t>8050 3022 0200 001</w:t>
            </w:r>
          </w:p>
        </w:tc>
      </w:tr>
      <w:tr w14:paraId="2A83A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0053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33.1</w:t>
            </w:r>
          </w:p>
        </w:tc>
        <w:tc>
          <w:tcPr>
            <w:tcW w:w="8627" w:type="dxa"/>
            <w:vAlign w:val="center"/>
          </w:tcPr>
          <w:p w14:paraId="3DBB3B64">
            <w:pPr>
              <w:pStyle w:val="15"/>
              <w:snapToGrid w:val="0"/>
              <w:spacing w:line="360" w:lineRule="auto"/>
              <w:rPr>
                <w:rFonts w:hAnsi="宋体" w:cs="宋体"/>
                <w:color w:val="auto"/>
                <w:kern w:val="2"/>
                <w:sz w:val="24"/>
                <w:szCs w:val="24"/>
                <w:highlight w:val="none"/>
              </w:rPr>
            </w:pPr>
            <w:r>
              <w:rPr>
                <w:rFonts w:hint="eastAsia" w:hAnsi="宋体" w:cs="宋体"/>
                <w:color w:val="auto"/>
                <w:sz w:val="24"/>
                <w:szCs w:val="24"/>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0F9F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6326C0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33.2</w:t>
            </w:r>
          </w:p>
        </w:tc>
        <w:tc>
          <w:tcPr>
            <w:tcW w:w="8627" w:type="dxa"/>
            <w:vAlign w:val="center"/>
          </w:tcPr>
          <w:p w14:paraId="46B0ABCB">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244CC189">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2、供应商为其他组织或者自然人时，本磋商文件规定的法定代表人指负责人或者自然人。本磋商文件所称负责人是指参加竞标的其他组织</w:t>
            </w:r>
            <w:r>
              <w:rPr>
                <w:rFonts w:hint="eastAsia" w:hAnsi="宋体" w:cs="宋体"/>
                <w:bCs/>
                <w:color w:val="auto"/>
                <w:sz w:val="24"/>
                <w:szCs w:val="24"/>
                <w:highlight w:val="none"/>
              </w:rPr>
              <w:t>营业执照或者执业许可证等证照上的</w:t>
            </w:r>
            <w:r>
              <w:rPr>
                <w:rFonts w:hint="eastAsia" w:hAnsi="宋体" w:cs="宋体"/>
                <w:color w:val="auto"/>
                <w:sz w:val="24"/>
                <w:szCs w:val="24"/>
                <w:highlight w:val="none"/>
              </w:rPr>
              <w:t>负责人，本磋商文件所称自然人指参与竞标的自然人本人，</w:t>
            </w:r>
            <w:r>
              <w:rPr>
                <w:rFonts w:hint="eastAsia" w:hAnsi="宋体" w:cs="宋体"/>
                <w:bCs/>
                <w:color w:val="auto"/>
                <w:sz w:val="24"/>
                <w:szCs w:val="24"/>
                <w:highlight w:val="none"/>
              </w:rPr>
              <w:t>且应具备独立承担民事责任能力，自然人应当为年满18岁以上成年人（十六周岁以上的未成年人，以自己的劳动收入为主要生活来源的，视为完全民事行为能力人）。</w:t>
            </w:r>
          </w:p>
          <w:p w14:paraId="7429DCE3">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3、本磋商文件中描述供应商的“签字”是指供应商的法定代表人或者委托代理人在文件规定签署处签名（含电子签名）的行为，私章、印鉴等其他形式均不能代替签字。</w:t>
            </w:r>
          </w:p>
          <w:p w14:paraId="6DD2AC3F">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4、自然人竞标的，磋商文件规定盖公章处由自然人摁手指指印。</w:t>
            </w:r>
          </w:p>
          <w:p w14:paraId="0DD1742D">
            <w:pPr>
              <w:pStyle w:val="15"/>
              <w:snapToGrid w:val="0"/>
              <w:spacing w:line="360" w:lineRule="auto"/>
              <w:rPr>
                <w:rFonts w:hAnsi="宋体" w:cs="宋体"/>
                <w:color w:val="auto"/>
                <w:sz w:val="24"/>
                <w:szCs w:val="24"/>
                <w:highlight w:val="none"/>
              </w:rPr>
            </w:pPr>
            <w:r>
              <w:rPr>
                <w:rFonts w:hint="eastAsia" w:hAnsi="宋体" w:cs="宋体"/>
                <w:color w:val="auto"/>
                <w:sz w:val="24"/>
                <w:szCs w:val="24"/>
                <w:highlight w:val="none"/>
              </w:rPr>
              <w:t>5、本磋商文件所称的“以上”“以下”“以内”“届满”，包括本数；所称的“不满”“超过”“以外”，不包括本数。</w:t>
            </w:r>
          </w:p>
        </w:tc>
      </w:tr>
    </w:tbl>
    <w:p w14:paraId="17A43901">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347782E5">
      <w:pPr>
        <w:spacing w:line="400" w:lineRule="exact"/>
        <w:jc w:val="center"/>
        <w:rPr>
          <w:rFonts w:ascii="宋体" w:hAnsi="宋体" w:cs="宋体"/>
          <w:b/>
          <w:color w:val="auto"/>
          <w:sz w:val="32"/>
          <w:szCs w:val="32"/>
          <w:highlight w:val="none"/>
        </w:rPr>
      </w:pPr>
    </w:p>
    <w:p w14:paraId="38F17695">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一、总则</w:t>
      </w:r>
    </w:p>
    <w:p w14:paraId="6141FC53">
      <w:pPr>
        <w:spacing w:line="400" w:lineRule="exact"/>
        <w:rPr>
          <w:rFonts w:ascii="宋体" w:hAnsi="宋体" w:cs="宋体"/>
          <w:color w:val="auto"/>
          <w:szCs w:val="21"/>
          <w:highlight w:val="none"/>
        </w:rPr>
      </w:pPr>
    </w:p>
    <w:p w14:paraId="549416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37177B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D350E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本竞争性磋商文件（以下简称磋商文件）适用于本项目的所有采购程序和环节（法律、法规另有规定的，从其规定）。</w:t>
      </w:r>
    </w:p>
    <w:p w14:paraId="2F1677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50391E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2.1“采购人”是指依法进行政府采购的国家机关、事业单位、团体组织。</w:t>
      </w:r>
    </w:p>
    <w:p w14:paraId="2EB2F28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2.2“采购代理机构”是指政府采购集中采购机构和集中采购机构以外的采购代理机构。</w:t>
      </w:r>
    </w:p>
    <w:p w14:paraId="238287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610E69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2.4“服务”是指除货物和工程以外的其他政府采购对象。</w:t>
      </w:r>
    </w:p>
    <w:p w14:paraId="5B70DE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2.5“竞标”是指供应商按照本项目竞争性磋商公告或者邀请函规定的方式获取磋商文件、提交响应文件并希望获得标的的行为。</w:t>
      </w:r>
    </w:p>
    <w:p w14:paraId="13AE769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2.6“书面形式”是指合同书、信件和数据电文（包括电报、电传、传真、电子数据交换和电子邮件）等可以有形地表现所载内容的形式。</w:t>
      </w:r>
    </w:p>
    <w:p w14:paraId="0570A5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2.7“响应文件”</w:t>
      </w:r>
      <w:r>
        <w:rPr>
          <w:rFonts w:hint="eastAsia" w:ascii="宋体" w:hAnsi="宋体" w:cs="宋体"/>
          <w:color w:val="auto"/>
          <w:spacing w:val="-6"/>
          <w:sz w:val="24"/>
          <w:highlight w:val="none"/>
        </w:rPr>
        <w:t>是指：供应商根据本磋商文件要求，编制包含资格证明、报价商务技术等所有内容的文件。</w:t>
      </w:r>
    </w:p>
    <w:p w14:paraId="414576C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2.8“实质性要求”是指磋商文件中已经指明不满足则响应文件按无效响应处理的条款，或者不能负偏离的条款，或者采购需求中带“▲”的条款。</w:t>
      </w:r>
    </w:p>
    <w:p w14:paraId="0C323FC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2.9“正偏离”，是指响应文件对磋商文件“采购需求”中有关条款作出的响应优于条款要求并有利于采购人的情形。</w:t>
      </w:r>
    </w:p>
    <w:p w14:paraId="7E4682A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2.10“负偏离”，是指响应文件对磋商文件“采购需求”中有关条款作出的响应不满足条款要求，导致采购人要求不能得到满足的情形。</w:t>
      </w:r>
    </w:p>
    <w:p w14:paraId="748CA6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p>
    <w:p w14:paraId="2FF402B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2.12“首次报价”是指供应商提交的首次响应文件中的报价。</w:t>
      </w:r>
    </w:p>
    <w:p w14:paraId="37359B8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2E351F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2648B8D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73FDF2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供应商应承担参与本次采购活动有关的所有费用，包括但不限于获取磋商文件、勘查现场、编制和提交响应文件、参加磋商与应答、签订合同等，不论竞标结果如何，均应自行承担。</w:t>
      </w:r>
    </w:p>
    <w:p w14:paraId="0C324E4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7962A0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5.1本项目是否接受联合体竞标，详见“供应商须知前附表”。</w:t>
      </w:r>
    </w:p>
    <w:p w14:paraId="038C1A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5.2如接受联合体竞标，联合体竞标要求详见“供应商须知前附表”。</w:t>
      </w:r>
    </w:p>
    <w:p w14:paraId="014C6D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w:t>
      </w:r>
      <w:bookmarkStart w:id="20" w:name="_Hlk66782192"/>
      <w:r>
        <w:rPr>
          <w:rFonts w:hint="eastAsia" w:ascii="宋体" w:hAnsi="宋体" w:cs="宋体"/>
          <w:color w:val="auto"/>
          <w:sz w:val="24"/>
          <w:highlight w:val="none"/>
        </w:rPr>
        <w:t>根据《政府采购促进中小企业发展管理办法》（财库〔2020〕46号）及《广西壮族自治区财政厅关于持续优化政府采购营商环境推动高质量发展的通知》（桂财采〔2024〕55号）规定，大中型企业与小微企业组成联合体或者大中型企业向小微企业分包的，采购人、采购代理机构应当对联合体或者大中型企业的报价予以 4%—6%（工程项目为 1%—2%）的扣除，用扣除后的价格参加评审。</w:t>
      </w:r>
    </w:p>
    <w:bookmarkEnd w:id="20"/>
    <w:p w14:paraId="417BE8F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260A402B">
      <w:pPr>
        <w:pStyle w:val="5"/>
        <w:keepNext w:val="0"/>
        <w:keepLines w:val="0"/>
        <w:spacing w:before="0" w:after="0" w:line="360" w:lineRule="auto"/>
        <w:ind w:left="420" w:leftChars="200"/>
        <w:rPr>
          <w:rFonts w:ascii="宋体" w:hAnsi="宋体" w:cs="宋体"/>
          <w:b w:val="0"/>
          <w:color w:val="auto"/>
          <w:sz w:val="24"/>
          <w:szCs w:val="24"/>
          <w:highlight w:val="none"/>
        </w:rPr>
      </w:pPr>
      <w:bookmarkStart w:id="21" w:name="_Toc254970673"/>
      <w:bookmarkStart w:id="22" w:name="_Toc254970532"/>
      <w:r>
        <w:rPr>
          <w:rFonts w:hint="eastAsia" w:ascii="宋体" w:hAnsi="宋体" w:cs="宋体"/>
          <w:b w:val="0"/>
          <w:color w:val="auto"/>
          <w:sz w:val="24"/>
          <w:szCs w:val="24"/>
          <w:highlight w:val="none"/>
        </w:rPr>
        <w:t>6.1本项目不允许转包。</w:t>
      </w:r>
    </w:p>
    <w:p w14:paraId="00659666">
      <w:pPr>
        <w:pStyle w:val="5"/>
        <w:keepNext w:val="0"/>
        <w:keepLines w:val="0"/>
        <w:spacing w:before="0" w:after="0" w:line="360" w:lineRule="auto"/>
        <w:ind w:firstLine="360" w:firstLineChars="15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CF0489F">
      <w:pPr>
        <w:pStyle w:val="5"/>
        <w:keepNext w:val="0"/>
        <w:keepLines w:val="0"/>
        <w:spacing w:before="0" w:after="0" w:line="360" w:lineRule="auto"/>
        <w:ind w:firstLine="360" w:firstLineChars="15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36583AF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21"/>
      <w:bookmarkEnd w:id="22"/>
    </w:p>
    <w:p w14:paraId="0D2F7DC6">
      <w:pPr>
        <w:spacing w:line="360" w:lineRule="auto"/>
        <w:ind w:firstLine="480" w:firstLineChars="200"/>
        <w:rPr>
          <w:rFonts w:ascii="宋体" w:hAnsi="宋体" w:cs="宋体"/>
          <w:color w:val="auto"/>
          <w:sz w:val="24"/>
          <w:highlight w:val="none"/>
        </w:rPr>
      </w:pPr>
      <w:bookmarkStart w:id="23" w:name="_8.1提供相同品牌产品且通过资格审查、符合性审查的不同投标人参加同一合"/>
      <w:bookmarkEnd w:id="23"/>
      <w:r>
        <w:rPr>
          <w:rFonts w:hint="eastAsia" w:ascii="宋体" w:hAnsi="宋体" w:cs="宋体"/>
          <w:color w:val="auto"/>
          <w:sz w:val="24"/>
          <w:highlight w:val="none"/>
        </w:rPr>
        <w:t>7.1</w:t>
      </w:r>
      <w:bookmarkStart w:id="24" w:name="_Hlk65832145"/>
      <w:r>
        <w:rPr>
          <w:rFonts w:hint="eastAsia" w:ascii="宋体" w:hAnsi="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24"/>
    <w:p w14:paraId="608891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7.2供应商应仔细阅读磋商文件的所有内容，按照磋商文件的要求提交响应文件，并对所提供的全部资料的真实性承担法律责任。</w:t>
      </w:r>
    </w:p>
    <w:p w14:paraId="074EB7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7.3供应商在竞标活动中提供任何疑似虚假材料，将报监管部门查处；签订合同后发现的，成交供应商须依法赔偿采购人，且民事赔偿并不免除违法供应商的行政与刑事责任。</w:t>
      </w:r>
    </w:p>
    <w:p w14:paraId="169B9B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7.4在政府采购活动中，采购人员及相关人员与供应商有下列利害关系之一的，应当回避：</w:t>
      </w:r>
    </w:p>
    <w:p w14:paraId="4946EA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48E274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2C294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5B86BB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3B3D97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1862D0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E6F9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7.5有下列情形之一的视为供应商相互串通竞标，响应文件将被视为无效：</w:t>
      </w:r>
    </w:p>
    <w:p w14:paraId="2229B4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780AD0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2B4358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30A5B6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704BCB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1BE55DF9">
      <w:pPr>
        <w:tabs>
          <w:tab w:val="left" w:pos="6931"/>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r>
        <w:rPr>
          <w:rFonts w:hint="eastAsia" w:ascii="宋体" w:hAnsi="宋体" w:cs="宋体"/>
          <w:color w:val="auto"/>
          <w:sz w:val="24"/>
          <w:highlight w:val="none"/>
        </w:rPr>
        <w:tab/>
      </w:r>
    </w:p>
    <w:p w14:paraId="6CABBF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7.6供应商有下列情形之一的，属于恶意串通行为，将报同级监督管理部门：</w:t>
      </w:r>
    </w:p>
    <w:p w14:paraId="5ED186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C394B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6304E2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276460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5712D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（5）供应商之间事先约定一致抬高或者压低报价，或者在政府采购活动中事先约定轮流以高价位或者低价位成交，或者事先约定由某一特定供应商成交，然后再参加竞标；</w:t>
      </w:r>
    </w:p>
    <w:p w14:paraId="45AD2B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3B7F9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10248196">
      <w:pPr>
        <w:spacing w:line="360" w:lineRule="auto"/>
        <w:ind w:firstLine="480" w:firstLineChars="200"/>
        <w:rPr>
          <w:rFonts w:ascii="宋体" w:hAnsi="宋体" w:cs="宋体"/>
          <w:color w:val="auto"/>
          <w:sz w:val="24"/>
          <w:highlight w:val="none"/>
        </w:rPr>
      </w:pPr>
    </w:p>
    <w:p w14:paraId="66D072D1">
      <w:pPr>
        <w:spacing w:line="360" w:lineRule="auto"/>
        <w:jc w:val="center"/>
        <w:rPr>
          <w:rFonts w:ascii="宋体" w:hAnsi="宋体" w:cs="宋体"/>
          <w:b/>
          <w:bCs/>
          <w:color w:val="auto"/>
          <w:sz w:val="24"/>
          <w:highlight w:val="none"/>
        </w:rPr>
      </w:pPr>
      <w:bookmarkStart w:id="25" w:name="_Toc254970534"/>
      <w:bookmarkStart w:id="26" w:name="_Toc254970675"/>
      <w:r>
        <w:rPr>
          <w:rFonts w:hint="eastAsia" w:ascii="宋体" w:hAnsi="宋体" w:cs="宋体"/>
          <w:b/>
          <w:bCs/>
          <w:color w:val="auto"/>
          <w:sz w:val="24"/>
          <w:highlight w:val="none"/>
        </w:rPr>
        <w:t>二、磋商文件</w:t>
      </w:r>
      <w:bookmarkEnd w:id="25"/>
      <w:bookmarkEnd w:id="26"/>
    </w:p>
    <w:p w14:paraId="2F5DB484">
      <w:pPr>
        <w:spacing w:line="360" w:lineRule="auto"/>
        <w:ind w:firstLine="482" w:firstLineChars="200"/>
        <w:rPr>
          <w:rFonts w:ascii="宋体" w:hAnsi="宋体" w:cs="宋体"/>
          <w:b/>
          <w:bCs/>
          <w:color w:val="auto"/>
          <w:sz w:val="24"/>
          <w:highlight w:val="none"/>
        </w:rPr>
      </w:pPr>
    </w:p>
    <w:p w14:paraId="538BFF6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5796D5C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（1）竞争性磋商公告；</w:t>
      </w:r>
    </w:p>
    <w:p w14:paraId="01F412B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（2）供应商须知； </w:t>
      </w:r>
    </w:p>
    <w:p w14:paraId="2AC8780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（3）采购需求；</w:t>
      </w:r>
    </w:p>
    <w:p w14:paraId="7285C9E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（4）评审程序、评审方法和评审标准；</w:t>
      </w:r>
    </w:p>
    <w:p w14:paraId="55E5688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（5）响应文件格式；</w:t>
      </w:r>
    </w:p>
    <w:p w14:paraId="12EA736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（6）合同文本。</w:t>
      </w:r>
    </w:p>
    <w:p w14:paraId="6402C94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2365BA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00C6CA4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212DC6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5A6E99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10.2采购人和采购代理机构可以视采购具体情况，变更首次响应文件提交截止时间和开启时间，并在原公告发布媒体上发布更正公告。</w:t>
      </w:r>
    </w:p>
    <w:p w14:paraId="03B4F7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10.3磋商文件澄清、答复、修改、补充的内容为磋商文件的组成部分。</w:t>
      </w:r>
      <w:r>
        <w:rPr>
          <w:rFonts w:hint="eastAsia" w:ascii="宋体" w:hAnsi="宋体" w:cs="宋体"/>
          <w:b/>
          <w:color w:val="auto"/>
          <w:sz w:val="24"/>
          <w:highlight w:val="none"/>
        </w:rPr>
        <w:t>当磋商文件与磋商文件的澄清、答复、修改、补充通知就同一内容的表述不一致时，以最后发出的文件为准。</w:t>
      </w:r>
    </w:p>
    <w:p w14:paraId="2F54FC0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10.4响应文件未按磋商文件的澄清、修改后的内容编制的，其响应文件作无效响应处理。</w:t>
      </w:r>
    </w:p>
    <w:p w14:paraId="4D29384F">
      <w:pPr>
        <w:spacing w:line="360" w:lineRule="auto"/>
        <w:ind w:firstLine="482" w:firstLineChars="200"/>
        <w:rPr>
          <w:rFonts w:ascii="宋体" w:hAnsi="宋体" w:cs="宋体"/>
          <w:b/>
          <w:color w:val="auto"/>
          <w:sz w:val="24"/>
          <w:highlight w:val="none"/>
        </w:rPr>
      </w:pPr>
    </w:p>
    <w:p w14:paraId="49A64949">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三、响应文件的编制</w:t>
      </w:r>
    </w:p>
    <w:p w14:paraId="27A3A309">
      <w:pPr>
        <w:spacing w:line="360" w:lineRule="auto"/>
        <w:ind w:firstLine="482" w:firstLineChars="200"/>
        <w:rPr>
          <w:rFonts w:ascii="宋体" w:hAnsi="宋体" w:cs="宋体"/>
          <w:b/>
          <w:bCs/>
          <w:color w:val="auto"/>
          <w:sz w:val="24"/>
          <w:highlight w:val="none"/>
        </w:rPr>
      </w:pPr>
    </w:p>
    <w:p w14:paraId="10F42F2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311FD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供应商必须按照磋商文件的要求编制响应文件，并对其提交的响应文件的真实性、合法性承担法律责任。响应文件必须对磋商文件作出实质性响应。</w:t>
      </w:r>
    </w:p>
    <w:p w14:paraId="6C34E24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7013C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12.1响应文件由资格证明文件、报价商务技术文件两部分组成。</w:t>
      </w:r>
    </w:p>
    <w:p w14:paraId="1A719E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12.1.1资格证明文件：详见须知前附表</w:t>
      </w:r>
    </w:p>
    <w:p w14:paraId="304C12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12.1.2报价文件：详见须知前附表</w:t>
      </w:r>
    </w:p>
    <w:p w14:paraId="756EB9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12.1.3商务文件：详见须知前附表</w:t>
      </w:r>
    </w:p>
    <w:p w14:paraId="7DE952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12.1.4技术文件：详见须知前附表</w:t>
      </w:r>
    </w:p>
    <w:p w14:paraId="2C2EB7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6E31CE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1A4A7A7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27B0B2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供应商没有按照磋商文件要求提供全部资料，或者供应商没有对磋商文件在各方面作出实质性响应可能导致其响应无效，是供应商应当考虑的风险。</w:t>
      </w:r>
    </w:p>
    <w:p w14:paraId="737AF4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41BD2334">
      <w:pPr>
        <w:tabs>
          <w:tab w:val="left" w:pos="2492"/>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15.1竞标报价应按磋商文件中“竞标报价表”格式填写。</w:t>
      </w:r>
    </w:p>
    <w:p w14:paraId="0EE132E6">
      <w:pPr>
        <w:tabs>
          <w:tab w:val="left" w:pos="2492"/>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15.2竞标报价的内容见“供应商须知前附表”。</w:t>
      </w:r>
    </w:p>
    <w:p w14:paraId="3352416A">
      <w:pPr>
        <w:spacing w:line="360" w:lineRule="auto"/>
        <w:ind w:left="426" w:leftChars="203"/>
        <w:rPr>
          <w:rFonts w:ascii="宋体" w:hAnsi="宋体" w:cs="宋体"/>
          <w:color w:val="auto"/>
          <w:sz w:val="24"/>
          <w:highlight w:val="none"/>
        </w:rPr>
      </w:pPr>
      <w:r>
        <w:rPr>
          <w:rFonts w:hint="eastAsia" w:ascii="宋体" w:hAnsi="宋体" w:cs="宋体"/>
          <w:color w:val="auto"/>
          <w:sz w:val="24"/>
          <w:highlight w:val="none"/>
        </w:rPr>
        <w:t>15.3竞标报价要求</w:t>
      </w:r>
    </w:p>
    <w:p w14:paraId="27678BA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15.3.1供应商的竞标报价应符合以下要求，否则响应文件按无效响应处理：</w:t>
      </w:r>
    </w:p>
    <w:p w14:paraId="23831B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（1）供应商必须就“采购需求”中所竞标的每个分标的全部内容分别作完整唯一总价报价，不得存在漏项报价；</w:t>
      </w:r>
    </w:p>
    <w:p w14:paraId="372984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（2）供应商必须就所竞标的分标的单项内容作唯一报价。</w:t>
      </w:r>
    </w:p>
    <w:p w14:paraId="3FDB78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15.3.2最后报价超过所竞标分标规定的采购预算金额或者最高限价的，其响应文件将按无效响应处理。</w:t>
      </w:r>
      <w:bookmarkStart w:id="27" w:name="_Hlk42592874"/>
    </w:p>
    <w:bookmarkEnd w:id="27"/>
    <w:p w14:paraId="4AF93B4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31D626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16.1竞标有效期是指为保证采购人有足够的时间在提交响应文件后完成评审、确定成交供应商、合同签订等工作而要求供应商提交的响应文件在一定时间内保持有效的期限。</w:t>
      </w:r>
    </w:p>
    <w:p w14:paraId="4AFAE5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竞标有效期应由供应商按“供应商须知前附表”规定的期限作出响应。</w:t>
      </w:r>
    </w:p>
    <w:p w14:paraId="2F16B6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16.3供应商的响应文件在竞标有效期内均保持有效。</w:t>
      </w:r>
    </w:p>
    <w:p w14:paraId="1A86FE0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4A8A59F2">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17.1供应商须按“供应商须知前附表”的规定提交磋商保证金。</w:t>
      </w:r>
    </w:p>
    <w:p w14:paraId="08813E95">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17.2磋商保证金的退还</w:t>
      </w:r>
    </w:p>
    <w:p w14:paraId="57AE8663">
      <w:pPr>
        <w:spacing w:line="360" w:lineRule="auto"/>
        <w:ind w:firstLine="480" w:firstLineChars="200"/>
        <w:rPr>
          <w:rFonts w:ascii="宋体" w:hAnsi="宋体" w:cs="宋体"/>
          <w:color w:val="auto"/>
          <w:sz w:val="24"/>
          <w:highlight w:val="none"/>
        </w:rPr>
      </w:pPr>
      <w:bookmarkStart w:id="28" w:name="_Hlk66782243"/>
      <w:r>
        <w:rPr>
          <w:rFonts w:hint="eastAsia" w:ascii="宋体" w:hAnsi="宋体" w:cs="宋体"/>
          <w:color w:val="auto"/>
          <w:sz w:val="24"/>
          <w:highlight w:val="none"/>
        </w:rPr>
        <w:t>未</w:t>
      </w:r>
      <w:r>
        <w:rPr>
          <w:rFonts w:hint="eastAsia" w:ascii="宋体" w:hAnsi="宋体" w:cs="宋体"/>
          <w:color w:val="auto"/>
          <w:spacing w:val="-6"/>
          <w:sz w:val="24"/>
          <w:highlight w:val="none"/>
        </w:rPr>
        <w:t>成交供应商的磋商保证金自成交通知书发出之日起</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个工作日内退还；</w:t>
      </w:r>
      <w:r>
        <w:rPr>
          <w:rFonts w:hint="eastAsia" w:ascii="宋体" w:hAnsi="宋体" w:cs="宋体"/>
          <w:color w:val="auto"/>
          <w:sz w:val="24"/>
          <w:highlight w:val="none"/>
        </w:rPr>
        <w:t>成交供应商的磋商保证金自签订合同之日起</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个工作日内退还。</w:t>
      </w:r>
      <w:bookmarkEnd w:id="28"/>
      <w:r>
        <w:rPr>
          <w:rFonts w:hint="eastAsia" w:ascii="宋体" w:hAnsi="宋体" w:cs="宋体"/>
          <w:color w:val="auto"/>
          <w:sz w:val="24"/>
          <w:highlight w:val="none"/>
        </w:rPr>
        <w:t xml:space="preserve"> </w:t>
      </w:r>
    </w:p>
    <w:p w14:paraId="6125F575">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17.3磋商保证金不计息。</w:t>
      </w:r>
    </w:p>
    <w:p w14:paraId="345DBC50">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17.4供应商有下列情形之一的，磋商保证金将不予退还： </w:t>
      </w:r>
    </w:p>
    <w:p w14:paraId="6E0C7B83">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（1）供应商在提交首次响应文件截止时间后撤回响应文件的；</w:t>
      </w:r>
    </w:p>
    <w:p w14:paraId="24C8AAC3">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（2）未按规定提交履约保证金的；</w:t>
      </w:r>
    </w:p>
    <w:p w14:paraId="5D1F270A">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（3）供应商在响应文件中提供虚假材料的；</w:t>
      </w:r>
    </w:p>
    <w:p w14:paraId="28B549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（4）除因不可抗力或者磋商文件认可的情形以外，成交供应商不与采购人签订合同的；</w:t>
      </w:r>
    </w:p>
    <w:p w14:paraId="18D81814">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（5）供应商与采购人、其他供应商或者采购代理机构恶意串通的；</w:t>
      </w:r>
    </w:p>
    <w:p w14:paraId="3F06B773">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5CFDCBF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766F3880">
      <w:pPr>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18.1供应商应按本磋商文件规定的格式和顺序编制响应文件并标注页码，响应文件内容</w:t>
      </w:r>
      <w:r>
        <w:rPr>
          <w:rFonts w:hint="eastAsia" w:ascii="宋体" w:hAnsi="宋体" w:cs="宋体"/>
          <w:color w:val="auto"/>
          <w:spacing w:val="-6"/>
          <w:sz w:val="24"/>
          <w:highlight w:val="none"/>
        </w:rPr>
        <w:t>不完整、编排混乱导致响应文件被误读、漏读或者查找不到相关内容的，</w:t>
      </w:r>
      <w:r>
        <w:rPr>
          <w:rFonts w:hint="eastAsia" w:ascii="宋体" w:hAnsi="宋体" w:cs="宋体"/>
          <w:color w:val="auto"/>
          <w:sz w:val="24"/>
          <w:highlight w:val="none"/>
        </w:rPr>
        <w:t>由此引发的</w:t>
      </w:r>
      <w:r>
        <w:rPr>
          <w:rFonts w:hint="eastAsia" w:ascii="宋体" w:hAnsi="宋体" w:cs="宋体"/>
          <w:color w:val="auto"/>
          <w:spacing w:val="-6"/>
          <w:sz w:val="24"/>
          <w:highlight w:val="none"/>
        </w:rPr>
        <w:t>后果由供应商承担。</w:t>
      </w:r>
    </w:p>
    <w:p w14:paraId="539791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18.2响应文件应按资格证明文件、报价商务技术文件分别编制电子文件，</w:t>
      </w:r>
      <w:r>
        <w:rPr>
          <w:rFonts w:hint="eastAsia" w:ascii="宋体" w:hAnsi="宋体" w:cs="宋体"/>
          <w:color w:val="auto"/>
          <w:sz w:val="24"/>
          <w:highlight w:val="none"/>
          <w:lang w:bidi="ar"/>
        </w:rPr>
        <w:t>并按广西政府采购云平台的要求编制、加密、上传。</w:t>
      </w:r>
    </w:p>
    <w:p w14:paraId="662EB1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w:t>
      </w:r>
      <w:bookmarkStart w:id="29" w:name="_Hlk65832699"/>
      <w:r>
        <w:rPr>
          <w:rFonts w:hint="eastAsia" w:ascii="宋体" w:hAnsi="宋体" w:cs="宋体"/>
          <w:color w:val="auto"/>
          <w:sz w:val="24"/>
          <w:highlight w:val="none"/>
        </w:rPr>
        <w:t>3响应文件须由供应商在规定位置盖公章并签字</w:t>
      </w:r>
      <w:bookmarkStart w:id="30" w:name="_Hlk65832569"/>
      <w:r>
        <w:rPr>
          <w:rFonts w:hint="eastAsia" w:ascii="宋体" w:hAnsi="宋体" w:cs="宋体"/>
          <w:color w:val="auto"/>
          <w:sz w:val="24"/>
          <w:highlight w:val="none"/>
        </w:rPr>
        <w:t>（具体以供应商须知前附表或响应文件格式规定为准）</w:t>
      </w:r>
      <w:bookmarkEnd w:id="29"/>
      <w:bookmarkEnd w:id="30"/>
      <w:r>
        <w:rPr>
          <w:rFonts w:hint="eastAsia" w:ascii="宋体" w:hAnsi="宋体" w:cs="宋体"/>
          <w:color w:val="auto"/>
          <w:sz w:val="24"/>
          <w:highlight w:val="none"/>
        </w:rPr>
        <w:t>，否则其响应文件按无效响应处理。</w:t>
      </w:r>
    </w:p>
    <w:p w14:paraId="0ECF2F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18.4响应文件中标注的供应商名称应与营业执照（事业单位法人证书、执业许可证、自然人身份证）及公章一致，否则其响应文件按无效响应处理。</w:t>
      </w:r>
    </w:p>
    <w:p w14:paraId="47BCA1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2CC8431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19.响应文件的加密、解密</w:t>
      </w:r>
    </w:p>
    <w:p w14:paraId="7EAEE1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19.1电子响应文件编制完成后，供应商应按广西政府采购云平台的要求进行加密，并在规定时间内解密，否则，由此产生的后果由供应商自行负责。</w:t>
      </w:r>
    </w:p>
    <w:p w14:paraId="13A2516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3B26C4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4EFB6E7F">
      <w:pPr>
        <w:widowControl/>
        <w:spacing w:line="360" w:lineRule="auto"/>
        <w:ind w:firstLine="480" w:firstLineChars="200"/>
        <w:rPr>
          <w:rFonts w:ascii="宋体" w:hAnsi="宋体" w:cs="宋体"/>
          <w:b/>
          <w:color w:val="auto"/>
          <w:sz w:val="24"/>
          <w:highlight w:val="none"/>
          <w:lang w:bidi="ar"/>
        </w:rPr>
      </w:pPr>
      <w:r>
        <w:rPr>
          <w:rFonts w:hint="eastAsia" w:ascii="宋体" w:hAnsi="宋体" w:cs="宋体"/>
          <w:color w:val="auto"/>
          <w:sz w:val="24"/>
          <w:highlight w:val="none"/>
        </w:rPr>
        <w:t>20.2</w:t>
      </w:r>
      <w:r>
        <w:rPr>
          <w:rFonts w:hint="eastAsia" w:ascii="宋体" w:hAnsi="宋体" w:cs="宋体"/>
          <w:color w:val="auto"/>
          <w:sz w:val="24"/>
          <w:highlight w:val="none"/>
          <w:lang w:bidi="ar"/>
        </w:rPr>
        <w:t>本项目为全流程电子化政府采购项目，通过广西政府采购云平台（https：//www.gcy.zfcg.gxzf.gov.cn/）实行在线电子竞标，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 w:val="24"/>
          <w:highlight w:val="none"/>
          <w:lang w:bidi="ar"/>
        </w:rPr>
        <w:t>供应商在广西政府采购云平台提交电子版响应文件时，请填写参加远程开标活动经办人联系方式。</w:t>
      </w:r>
    </w:p>
    <w:p w14:paraId="6ABE6528">
      <w:pPr>
        <w:pStyle w:val="5"/>
        <w:keepNext w:val="0"/>
        <w:keepLines w:val="0"/>
        <w:spacing w:before="0" w:after="0" w:line="360" w:lineRule="auto"/>
        <w:ind w:firstLine="480" w:firstLineChars="2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20.3未在规定时间内上传或者未按广西政府采购云平台的要求编制、加密的电子响应文件，广西政府采购云平台将拒收。</w:t>
      </w:r>
    </w:p>
    <w:p w14:paraId="20AB22F3">
      <w:pPr>
        <w:pStyle w:val="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20.4电子响应文件提交方</w:t>
      </w:r>
      <w:r>
        <w:rPr>
          <w:rFonts w:hint="eastAsia" w:ascii="宋体" w:hAnsi="宋体" w:cs="宋体"/>
          <w:bCs/>
          <w:color w:val="auto"/>
          <w:sz w:val="24"/>
          <w:szCs w:val="24"/>
          <w:highlight w:val="none"/>
        </w:rPr>
        <w:t>式见“竞争性磋商公告”</w:t>
      </w:r>
      <w:r>
        <w:rPr>
          <w:rFonts w:hint="eastAsia" w:ascii="宋体" w:hAnsi="宋体" w:cs="宋体"/>
          <w:color w:val="auto"/>
          <w:sz w:val="24"/>
          <w:szCs w:val="24"/>
          <w:highlight w:val="none"/>
        </w:rPr>
        <w:t>中“四、响应文件提交”。</w:t>
      </w:r>
    </w:p>
    <w:p w14:paraId="43149F5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34FC7576">
      <w:pPr>
        <w:spacing w:line="360" w:lineRule="auto"/>
        <w:ind w:firstLine="480" w:firstLineChars="200"/>
        <w:rPr>
          <w:rFonts w:ascii="宋体" w:hAnsi="宋体" w:cs="宋体"/>
          <w:bCs/>
          <w:color w:val="auto"/>
          <w:sz w:val="24"/>
          <w:highlight w:val="none"/>
          <w:lang w:bidi="ar"/>
        </w:rPr>
      </w:pPr>
      <w:r>
        <w:rPr>
          <w:rFonts w:hint="eastAsia" w:ascii="宋体" w:hAnsi="宋体" w:cs="宋体"/>
          <w:bCs/>
          <w:color w:val="auto"/>
          <w:sz w:val="24"/>
          <w:highlight w:val="none"/>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1C1E4A62">
      <w:pPr>
        <w:spacing w:line="360" w:lineRule="auto"/>
        <w:ind w:firstLine="482" w:firstLineChars="200"/>
        <w:rPr>
          <w:rFonts w:ascii="宋体" w:hAnsi="宋体" w:cs="宋体"/>
          <w:b/>
          <w:bCs/>
          <w:color w:val="auto"/>
          <w:sz w:val="24"/>
          <w:highlight w:val="none"/>
        </w:rPr>
      </w:pPr>
      <w:bookmarkStart w:id="31" w:name="_Hlk45702405"/>
      <w:r>
        <w:rPr>
          <w:rFonts w:hint="eastAsia" w:ascii="宋体" w:hAnsi="宋体" w:cs="宋体"/>
          <w:b/>
          <w:bCs/>
          <w:color w:val="auto"/>
          <w:sz w:val="24"/>
          <w:highlight w:val="none"/>
        </w:rPr>
        <w:t>22. 首次响应文件的退回</w:t>
      </w:r>
    </w:p>
    <w:p w14:paraId="0D1724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652284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4E9A55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23.1供应商在首次响应文件提交截止时间后书面通知采购人、采购代理机构书面撤回响应文件的，将根据本须知正文17.4的规定不予退还其磋商保证金。</w:t>
      </w:r>
    </w:p>
    <w:bookmarkEnd w:id="31"/>
    <w:p w14:paraId="1BDF29CC">
      <w:pPr>
        <w:spacing w:line="360" w:lineRule="auto"/>
        <w:rPr>
          <w:rFonts w:ascii="宋体" w:hAnsi="宋体" w:cs="宋体"/>
          <w:color w:val="auto"/>
          <w:sz w:val="24"/>
          <w:highlight w:val="none"/>
        </w:rPr>
      </w:pPr>
    </w:p>
    <w:p w14:paraId="405B1CB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四、评审及磋商</w:t>
      </w:r>
    </w:p>
    <w:p w14:paraId="1315E911">
      <w:pPr>
        <w:spacing w:line="360" w:lineRule="auto"/>
        <w:ind w:firstLine="482" w:firstLineChars="200"/>
        <w:rPr>
          <w:rFonts w:ascii="宋体" w:hAnsi="宋体" w:cs="宋体"/>
          <w:b/>
          <w:bCs/>
          <w:color w:val="auto"/>
          <w:sz w:val="24"/>
          <w:highlight w:val="none"/>
        </w:rPr>
      </w:pPr>
    </w:p>
    <w:p w14:paraId="3BF2792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677183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1BEF6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8FA34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6FCF30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25.1首次响应文件由磋商小组或者采购代理机构在“供应商须知前附表”规定的时间开启。</w:t>
      </w:r>
    </w:p>
    <w:p w14:paraId="260212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w:t>
      </w:r>
      <w:r>
        <w:rPr>
          <w:rFonts w:hint="eastAsia" w:ascii="宋体" w:hAnsi="宋体" w:cs="宋体"/>
          <w:b/>
          <w:color w:val="auto"/>
          <w:sz w:val="24"/>
          <w:highlight w:val="none"/>
        </w:rPr>
        <w:t>视为响应</w:t>
      </w:r>
      <w:r>
        <w:rPr>
          <w:rFonts w:hint="eastAsia" w:ascii="宋体" w:hAnsi="宋体" w:cs="宋体"/>
          <w:b/>
          <w:bCs/>
          <w:color w:val="auto"/>
          <w:sz w:val="24"/>
          <w:highlight w:val="none"/>
        </w:rPr>
        <w:t>文件无效。</w:t>
      </w:r>
      <w:r>
        <w:rPr>
          <w:rFonts w:hint="eastAsia" w:ascii="宋体" w:hAnsi="宋体" w:cs="宋体"/>
          <w:color w:val="auto"/>
          <w:sz w:val="24"/>
          <w:highlight w:val="none"/>
        </w:rPr>
        <w:t>（解密异常情况处理：详见本章26.2电子交易活动的中止。）</w:t>
      </w:r>
    </w:p>
    <w:p w14:paraId="45502F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25.3成功解密响应文件的供应商不足3家的，不得磋商。</w:t>
      </w:r>
    </w:p>
    <w:p w14:paraId="2A685C2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722E1E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26.1磋商小组按照“第四章 评审程序、评审方法和评审标准”规定的方法、评审因素、标准和程序对响应文件进行评审。</w:t>
      </w:r>
    </w:p>
    <w:p w14:paraId="5BA7A6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26.2电子交易活动的中止。采购过程中出现以下情形，导致电子交易平台无法正常运行，或者无法保证电子交易的公平、公正和安全时，采购机构可中止电子交易活动：</w:t>
      </w:r>
    </w:p>
    <w:p w14:paraId="56B58F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（1）电子交易平台发生故障而无法登录访问的； </w:t>
      </w:r>
    </w:p>
    <w:p w14:paraId="6574A9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0B7E69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15B402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（4）病毒发作导致不能进行正常操作的； </w:t>
      </w:r>
    </w:p>
    <w:p w14:paraId="13A99B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（4）其他无法保证电子交易的公平、公正和安全的情况。</w:t>
      </w:r>
    </w:p>
    <w:p w14:paraId="20748A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26.3出现以上情形，不影响采购公平、公正性的，采购代理机构可以待上述情形消除后继续组织电子交易活动；影响或可能影响采购公平、公正性的，经采购代理机构确认后，应当重新采购。</w:t>
      </w:r>
    </w:p>
    <w:p w14:paraId="53CA662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56D63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w:t>
      </w:r>
      <w:r>
        <w:rPr>
          <w:rFonts w:hint="eastAsia" w:ascii="宋体" w:hAnsi="宋体" w:cs="宋体"/>
          <w:color w:val="auto"/>
          <w:kern w:val="0"/>
          <w:sz w:val="24"/>
          <w:highlight w:val="none"/>
        </w:rPr>
        <w:t xml:space="preserve"> </w:t>
      </w:r>
      <w:r>
        <w:rPr>
          <w:rFonts w:hint="eastAsia" w:ascii="宋体" w:hAnsi="宋体" w:cs="宋体"/>
          <w:color w:val="auto"/>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AFD40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27.2采购代理机构应当在</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供应商确定后2个工作日内，在省级以上财政部门指定的媒体上公告成交结果，同时向成交供应商发出成交通知书。</w:t>
      </w:r>
      <w:r>
        <w:rPr>
          <w:rFonts w:hint="eastAsia" w:ascii="宋体" w:hAnsi="宋体" w:cs="宋体"/>
          <w:b/>
          <w:color w:val="auto"/>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 w:val="24"/>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2" w:name="_Hlk66782294"/>
      <w:r>
        <w:rPr>
          <w:rFonts w:hint="eastAsia" w:ascii="宋体" w:hAnsi="宋体" w:cs="宋体"/>
          <w:color w:val="auto"/>
          <w:sz w:val="24"/>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32"/>
    </w:p>
    <w:p w14:paraId="28CF07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2773D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4D578888">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28.1 履约保证金的金额、提交方式、退付的时间和条件详见 “供应商须知前附表”。成交供应商未按规定提交履约保证金的，视为拒绝与采购人签订合同。</w:t>
      </w:r>
    </w:p>
    <w:p w14:paraId="722A5228">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28.2在履约保证金退还日期前，若成交供应商的开户名称、开户银行、账号有变动的，请以书面形式通知履约保证金收取单位，否则由此产生的后果由成交供应商自行承担。</w:t>
      </w:r>
    </w:p>
    <w:p w14:paraId="63DEEAF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25F6F6A4">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39D98A29">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29.2 签订合同时间：按成交通知书规定的时间与采购人签订政府采购合同（最长不能超过25日）。</w:t>
      </w:r>
    </w:p>
    <w:p w14:paraId="5E3F0478">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29.3成交供应商拒绝与采购人签订合同的，按照本须知正文第27.3条的规定执行。</w:t>
      </w:r>
    </w:p>
    <w:p w14:paraId="0FB918B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0439B2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9E4FDF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0F3B378D">
      <w:pPr>
        <w:pStyle w:val="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50292B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1F7E61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（1）对可以质疑的磋商文件提出质疑的，为收到磋商文件之日或者竞争性磋商公告期限届满之日；</w:t>
      </w:r>
    </w:p>
    <w:p w14:paraId="5DB9B4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（2）对采购过程提出质疑的，为各采购程序环节结束之日；</w:t>
      </w:r>
    </w:p>
    <w:p w14:paraId="00663A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（3）对成交结果提出质疑的，为成交结果公告期限届满之日。</w:t>
      </w:r>
    </w:p>
    <w:p w14:paraId="28D744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B5688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highlight w:val="none"/>
        </w:rPr>
        <w:t>（质疑函格式后附）</w:t>
      </w:r>
      <w:r>
        <w:rPr>
          <w:rFonts w:hint="eastAsia" w:ascii="宋体" w:hAnsi="宋体" w:cs="宋体"/>
          <w:color w:val="auto"/>
          <w:sz w:val="24"/>
          <w:highlight w:val="none"/>
        </w:rPr>
        <w:t>：</w:t>
      </w:r>
    </w:p>
    <w:p w14:paraId="3300C3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（1）供应商的姓名或者名称、地址、邮编、联系人及联系电话；</w:t>
      </w:r>
    </w:p>
    <w:p w14:paraId="50657B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（2）质疑项目的名称、编号；</w:t>
      </w:r>
    </w:p>
    <w:p w14:paraId="295392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（3）具体、明确的质疑事项和与质疑事项相关的请求；</w:t>
      </w:r>
    </w:p>
    <w:p w14:paraId="203FD7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（4）事实依据；</w:t>
      </w:r>
    </w:p>
    <w:p w14:paraId="5DB588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（5）必要的法律依据；</w:t>
      </w:r>
    </w:p>
    <w:p w14:paraId="3DDBCD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（6）提出质疑的日期。</w:t>
      </w:r>
    </w:p>
    <w:p w14:paraId="3E3195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供应商为自然人的，应当由本人签字；供应商为法人或者其他组织的，应当由法定代表人、主要负责人，或者其委托代理人签字或者盖章，并加盖公章。</w:t>
      </w:r>
    </w:p>
    <w:p w14:paraId="3A54F3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760A4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（1）对采购文件提出的质疑，依法通过澄清或者修改可以继续开展采购活动的，澄清或者修改采购文件后继续开展采购活动；否则应当修改采购文件后重新开展采购活动。</w:t>
      </w:r>
    </w:p>
    <w:p w14:paraId="239335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（2）对采购过程或者成交结果提出的质疑，合格供应商符合法定数量时，可以从合格的成交候选人中另行确定成交供应商的，应当依法另行确定成交供应商；否则应当重新开展采购活动。</w:t>
      </w:r>
    </w:p>
    <w:p w14:paraId="29066B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质疑答复导致成交结果改变的，采购人或者采购代理机构应当将有关情况书面报告本级财政部门。</w:t>
      </w:r>
    </w:p>
    <w:p w14:paraId="61FE8D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0BB27E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27FBC44E">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32.1代理服务费：代理服务收取标准及缴费账户详见“供应商须知前附表”，供应商为联合体的，可以由联合体中的一方或者多方共同交纳代理服务费。</w:t>
      </w:r>
    </w:p>
    <w:p w14:paraId="23423A83">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32.2代理服务费收费计算标准：</w:t>
      </w:r>
    </w:p>
    <w:p w14:paraId="1621F780">
      <w:pPr>
        <w:pStyle w:val="11"/>
        <w:rPr>
          <w:color w:val="auto"/>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5B5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22625B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67733F29">
            <w:pPr>
              <w:spacing w:line="360" w:lineRule="auto"/>
              <w:rPr>
                <w:rFonts w:ascii="宋体" w:hAnsi="宋体" w:cs="宋体"/>
                <w:color w:val="auto"/>
                <w:sz w:val="24"/>
                <w:highlight w:val="none"/>
              </w:rPr>
            </w:pPr>
            <w:r>
              <w:rPr>
                <w:rFonts w:hint="eastAsia" w:ascii="宋体" w:hAnsi="宋体" w:cs="宋体"/>
                <w:color w:val="auto"/>
                <w:sz w:val="24"/>
                <w:highlight w:val="none"/>
              </w:rPr>
              <w:t>金额</w:t>
            </w:r>
          </w:p>
        </w:tc>
        <w:tc>
          <w:tcPr>
            <w:tcW w:w="1659" w:type="dxa"/>
            <w:vAlign w:val="center"/>
          </w:tcPr>
          <w:p w14:paraId="2B3A44E7">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货物类</w:t>
            </w:r>
          </w:p>
        </w:tc>
        <w:tc>
          <w:tcPr>
            <w:tcW w:w="1532" w:type="dxa"/>
            <w:vAlign w:val="center"/>
          </w:tcPr>
          <w:p w14:paraId="1A544F2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服务类</w:t>
            </w:r>
          </w:p>
        </w:tc>
        <w:tc>
          <w:tcPr>
            <w:tcW w:w="1546" w:type="dxa"/>
            <w:vAlign w:val="center"/>
          </w:tcPr>
          <w:p w14:paraId="27EE21E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工程类</w:t>
            </w:r>
          </w:p>
        </w:tc>
      </w:tr>
      <w:tr w14:paraId="2279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C142E0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tcPr>
          <w:p w14:paraId="2FD2C150">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532" w:type="dxa"/>
          </w:tcPr>
          <w:p w14:paraId="7FA1F532">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546" w:type="dxa"/>
          </w:tcPr>
          <w:p w14:paraId="1E12E74A">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1.0%</w:t>
            </w:r>
          </w:p>
        </w:tc>
      </w:tr>
      <w:tr w14:paraId="36F0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4EF9CB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tcPr>
          <w:p w14:paraId="49213C01">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1532" w:type="dxa"/>
          </w:tcPr>
          <w:p w14:paraId="27BA54D5">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546" w:type="dxa"/>
          </w:tcPr>
          <w:p w14:paraId="45A40E9E">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0.7%</w:t>
            </w:r>
          </w:p>
        </w:tc>
      </w:tr>
      <w:tr w14:paraId="409B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64471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tcPr>
          <w:p w14:paraId="2CFAC77F">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532" w:type="dxa"/>
          </w:tcPr>
          <w:p w14:paraId="01DB98CE">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0.45%</w:t>
            </w:r>
          </w:p>
        </w:tc>
        <w:tc>
          <w:tcPr>
            <w:tcW w:w="1546" w:type="dxa"/>
          </w:tcPr>
          <w:p w14:paraId="58064C6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0.55%</w:t>
            </w:r>
          </w:p>
        </w:tc>
      </w:tr>
      <w:tr w14:paraId="3057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47815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tcPr>
          <w:p w14:paraId="4E201919">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w:t>
            </w:r>
          </w:p>
        </w:tc>
        <w:tc>
          <w:tcPr>
            <w:tcW w:w="1532" w:type="dxa"/>
          </w:tcPr>
          <w:p w14:paraId="08D86674">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546" w:type="dxa"/>
          </w:tcPr>
          <w:p w14:paraId="52019E66">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0.35%</w:t>
            </w:r>
          </w:p>
        </w:tc>
      </w:tr>
      <w:tr w14:paraId="7DA7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681F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tcPr>
          <w:p w14:paraId="4E047023">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532" w:type="dxa"/>
          </w:tcPr>
          <w:p w14:paraId="5316DE8A">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0.1%</w:t>
            </w:r>
          </w:p>
        </w:tc>
        <w:tc>
          <w:tcPr>
            <w:tcW w:w="1546" w:type="dxa"/>
          </w:tcPr>
          <w:p w14:paraId="36B192B1">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w:t>
            </w:r>
          </w:p>
        </w:tc>
      </w:tr>
    </w:tbl>
    <w:p w14:paraId="048CE5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2905D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（1）按本表费率计算的收费标准为采购代理的收费价格，</w:t>
      </w:r>
      <w:r>
        <w:rPr>
          <w:rFonts w:hint="eastAsia" w:hAnsi="宋体" w:cs="宋体"/>
          <w:color w:val="auto"/>
          <w:sz w:val="24"/>
          <w:highlight w:val="none"/>
        </w:rPr>
        <w:t>由采购代理机构向成交供应商收取；</w:t>
      </w:r>
    </w:p>
    <w:p w14:paraId="11E6AC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（2）采购代理收费按差额定率累进法计算。</w:t>
      </w:r>
    </w:p>
    <w:p w14:paraId="5F3D5F3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32.3 代理服务费交纳银行账号信息</w:t>
      </w:r>
    </w:p>
    <w:p w14:paraId="452015CA">
      <w:pPr>
        <w:pStyle w:val="15"/>
        <w:snapToGrid w:val="0"/>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账户名称：广西科文招标有限公司南宁五分公司</w:t>
      </w:r>
    </w:p>
    <w:p w14:paraId="45DDB4A8">
      <w:pPr>
        <w:pStyle w:val="15"/>
        <w:snapToGrid w:val="0"/>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开户银行：广西北部湾银行股份有限公司南宁市云景支行</w:t>
      </w:r>
    </w:p>
    <w:p w14:paraId="35EF7588">
      <w:pPr>
        <w:spacing w:line="360" w:lineRule="auto"/>
        <w:ind w:firstLine="480" w:firstLineChars="200"/>
        <w:rPr>
          <w:rFonts w:hint="eastAsia" w:hAnsi="宋体" w:cs="宋体"/>
          <w:color w:val="auto"/>
          <w:sz w:val="24"/>
          <w:highlight w:val="none"/>
          <w:lang w:val="en-US" w:eastAsia="zh-CN"/>
        </w:rPr>
      </w:pPr>
      <w:r>
        <w:rPr>
          <w:rFonts w:hint="eastAsia" w:hAnsi="宋体" w:cs="宋体"/>
          <w:color w:val="auto"/>
          <w:sz w:val="24"/>
          <w:szCs w:val="24"/>
          <w:highlight w:val="none"/>
          <w:lang w:val="en-US" w:eastAsia="zh-CN"/>
        </w:rPr>
        <w:t>银行账号：</w:t>
      </w:r>
      <w:r>
        <w:rPr>
          <w:rFonts w:hint="eastAsia" w:ascii="宋体" w:hAnsi="宋体" w:eastAsia="宋体" w:cs="宋体"/>
          <w:color w:val="auto"/>
          <w:kern w:val="0"/>
          <w:sz w:val="24"/>
          <w:szCs w:val="24"/>
          <w:highlight w:val="none"/>
          <w:lang w:val="en-US" w:eastAsia="zh-CN" w:bidi="ar-SA"/>
        </w:rPr>
        <w:t>8050 3022 0200 001</w:t>
      </w:r>
    </w:p>
    <w:p w14:paraId="1E3F81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30366BC2">
      <w:pPr>
        <w:pStyle w:val="15"/>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33.1本磋商文件解释规则详见“供应商须知前附表”。</w:t>
      </w:r>
    </w:p>
    <w:p w14:paraId="4FFA0D39">
      <w:pPr>
        <w:pStyle w:val="15"/>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33.2 其他事项详见“供应商须知前附表”。</w:t>
      </w:r>
    </w:p>
    <w:p w14:paraId="78FE9F15">
      <w:pPr>
        <w:pStyle w:val="15"/>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2EB81F2">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1CD7D192">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1EDBE025">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429109D">
      <w:pPr>
        <w:pStyle w:val="15"/>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B1969F1">
      <w:pPr>
        <w:pStyle w:val="15"/>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依据本磋商文件规定享受扶持政策获得政府采购合同的，小微企业不得将合同分包给大中型企业，中型企业不得将合同分包给大型企业。</w:t>
      </w:r>
    </w:p>
    <w:p w14:paraId="389F3885">
      <w:pPr>
        <w:pStyle w:val="15"/>
        <w:snapToGrid w:val="0"/>
        <w:spacing w:before="120" w:after="120" w:line="360" w:lineRule="auto"/>
        <w:rPr>
          <w:rFonts w:hAnsi="宋体" w:cs="宋体"/>
          <w:color w:val="auto"/>
          <w:sz w:val="24"/>
          <w:szCs w:val="24"/>
          <w:highlight w:val="none"/>
        </w:rPr>
      </w:pPr>
    </w:p>
    <w:p w14:paraId="519C76A5">
      <w:pPr>
        <w:jc w:val="left"/>
        <w:rPr>
          <w:rFonts w:ascii="宋体" w:hAnsi="宋体" w:cs="宋体"/>
          <w:b/>
          <w:color w:val="auto"/>
          <w:sz w:val="32"/>
          <w:szCs w:val="32"/>
          <w:highlight w:val="none"/>
        </w:rPr>
      </w:pPr>
    </w:p>
    <w:p w14:paraId="68A91207">
      <w:pPr>
        <w:pStyle w:val="15"/>
        <w:snapToGrid w:val="0"/>
        <w:spacing w:before="120" w:after="120" w:line="360" w:lineRule="auto"/>
        <w:jc w:val="center"/>
        <w:rPr>
          <w:rFonts w:hAnsi="宋体" w:cs="宋体"/>
          <w:b/>
          <w:bCs/>
          <w:color w:val="auto"/>
          <w:sz w:val="36"/>
          <w:szCs w:val="40"/>
          <w:highlight w:val="none"/>
        </w:rPr>
      </w:pPr>
      <w:bookmarkStart w:id="33" w:name="_Toc74323458"/>
      <w:r>
        <w:rPr>
          <w:rFonts w:hint="eastAsia" w:hAnsi="宋体" w:cs="宋体"/>
          <w:color w:val="auto"/>
          <w:highlight w:val="none"/>
        </w:rPr>
        <w:br w:type="page"/>
      </w:r>
      <w:r>
        <w:rPr>
          <w:rFonts w:hint="eastAsia" w:hAnsi="宋体" w:cs="宋体"/>
          <w:b/>
          <w:bCs/>
          <w:color w:val="auto"/>
          <w:sz w:val="36"/>
          <w:szCs w:val="40"/>
          <w:highlight w:val="none"/>
        </w:rPr>
        <w:t>第三章 采购需求</w:t>
      </w:r>
      <w:bookmarkEnd w:id="33"/>
    </w:p>
    <w:p w14:paraId="4AEE35A4">
      <w:pPr>
        <w:spacing w:line="440" w:lineRule="exact"/>
        <w:jc w:val="center"/>
        <w:rPr>
          <w:rFonts w:ascii="宋体" w:hAnsi="宋体" w:cs="宋体"/>
          <w:b/>
          <w:color w:val="auto"/>
          <w:sz w:val="32"/>
          <w:szCs w:val="32"/>
          <w:highlight w:val="none"/>
        </w:rPr>
      </w:pPr>
    </w:p>
    <w:p w14:paraId="01A03DCC">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14:paraId="54E0BB5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1.为落实政府采购政策需满足的要求：本竞争性磋商采购文件所称中小企业必须符合《政府采购促进中小企业发展管理办法》（财库〔2020〕46号）的规定。</w:t>
      </w:r>
    </w:p>
    <w:p w14:paraId="6035C7C5">
      <w:pPr>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2.“实质性要求”是指采购需求中带“▲”的条款或者不能负偏离的条款或者已经指明不满足按响应文件按无效处理的条款。</w:t>
      </w:r>
    </w:p>
    <w:p w14:paraId="025016EA">
      <w:pPr>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供应商应根据自身实际情况如实响应磋商文件，不得仅将磋商文件内容简单复制粘贴作为竞标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4BAB242A">
      <w:pPr>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4.供应商必须自行为其竞标产品侵犯他人的知识产权或者专利成果的行为承担相应法律责任。</w:t>
      </w:r>
    </w:p>
    <w:p w14:paraId="45E88931">
      <w:pPr>
        <w:spacing w:line="360" w:lineRule="auto"/>
        <w:ind w:left="-10" w:leftChars="-5" w:right="2" w:rightChars="1" w:firstLine="480" w:firstLineChars="200"/>
        <w:rPr>
          <w:rFonts w:ascii="宋体" w:hAnsi="宋体" w:cs="宋体"/>
          <w:color w:val="auto"/>
          <w:sz w:val="24"/>
          <w:highlight w:val="none"/>
        </w:rPr>
      </w:pPr>
      <w:r>
        <w:rPr>
          <w:rFonts w:hint="eastAsia" w:ascii="宋体" w:hAnsi="宋体" w:cs="宋体"/>
          <w:color w:val="auto"/>
          <w:sz w:val="24"/>
          <w:highlight w:val="none"/>
        </w:rPr>
        <w:t>5.所属行业：其他未列明行业</w:t>
      </w:r>
    </w:p>
    <w:tbl>
      <w:tblPr>
        <w:tblStyle w:val="27"/>
        <w:tblW w:w="94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029"/>
        <w:gridCol w:w="993"/>
        <w:gridCol w:w="6776"/>
      </w:tblGrid>
      <w:tr w14:paraId="73773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6277B788">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29" w:type="dxa"/>
            <w:vAlign w:val="center"/>
          </w:tcPr>
          <w:p w14:paraId="4CB5A348">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标的的名称</w:t>
            </w:r>
          </w:p>
        </w:tc>
        <w:tc>
          <w:tcPr>
            <w:tcW w:w="993" w:type="dxa"/>
            <w:vAlign w:val="center"/>
          </w:tcPr>
          <w:p w14:paraId="384FC963">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6776" w:type="dxa"/>
            <w:vAlign w:val="center"/>
          </w:tcPr>
          <w:p w14:paraId="3B4555FC">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服务内容及要求</w:t>
            </w:r>
          </w:p>
        </w:tc>
      </w:tr>
      <w:tr w14:paraId="71D7F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3A32FCE4">
            <w:pPr>
              <w:tabs>
                <w:tab w:val="left" w:pos="180"/>
                <w:tab w:val="left" w:pos="1620"/>
              </w:tabs>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029" w:type="dxa"/>
            <w:vAlign w:val="center"/>
          </w:tcPr>
          <w:p w14:paraId="61E105D9">
            <w:pPr>
              <w:widowControl/>
              <w:snapToGrid w:val="0"/>
              <w:spacing w:line="360" w:lineRule="auto"/>
              <w:jc w:val="center"/>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2025年教职工健康体检服务采购</w:t>
            </w:r>
          </w:p>
        </w:tc>
        <w:tc>
          <w:tcPr>
            <w:tcW w:w="993" w:type="dxa"/>
            <w:vAlign w:val="center"/>
          </w:tcPr>
          <w:p w14:paraId="7785D647">
            <w:pPr>
              <w:widowControl/>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1项</w:t>
            </w:r>
          </w:p>
        </w:tc>
        <w:tc>
          <w:tcPr>
            <w:tcW w:w="6776" w:type="dxa"/>
            <w:vAlign w:val="center"/>
          </w:tcPr>
          <w:p w14:paraId="00FBFD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MS Shell Dlg"/>
                <w:color w:val="auto"/>
                <w:kern w:val="0"/>
                <w:sz w:val="24"/>
                <w:szCs w:val="24"/>
                <w:highlight w:val="none"/>
                <w:lang w:val="en-US" w:eastAsia="zh-CN"/>
              </w:rPr>
            </w:pPr>
            <w:r>
              <w:rPr>
                <w:rFonts w:hint="default" w:ascii="宋体" w:hAnsi="宋体" w:cs="MS Shell Dlg"/>
                <w:b/>
                <w:bCs/>
                <w:color w:val="auto"/>
                <w:kern w:val="0"/>
                <w:sz w:val="24"/>
                <w:szCs w:val="24"/>
                <w:highlight w:val="none"/>
                <w:lang w:val="en-US" w:eastAsia="zh-CN"/>
              </w:rPr>
              <w:t>一、项目内容</w:t>
            </w:r>
          </w:p>
          <w:p w14:paraId="6D7EFE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MS Shell Dlg"/>
                <w:color w:val="auto"/>
                <w:kern w:val="0"/>
                <w:sz w:val="24"/>
                <w:szCs w:val="24"/>
                <w:highlight w:val="none"/>
                <w:lang w:val="en-US" w:eastAsia="zh-CN"/>
              </w:rPr>
            </w:pPr>
            <w:r>
              <w:rPr>
                <w:rFonts w:hint="default" w:ascii="宋体" w:hAnsi="宋体" w:cs="MS Shell Dlg"/>
                <w:color w:val="auto"/>
                <w:kern w:val="0"/>
                <w:sz w:val="24"/>
                <w:szCs w:val="24"/>
                <w:highlight w:val="none"/>
                <w:lang w:val="en-US" w:eastAsia="zh-CN"/>
              </w:rPr>
              <w:t>1.采购人拟对2025年教职工健康体检服务机构通过</w:t>
            </w:r>
            <w:r>
              <w:rPr>
                <w:rFonts w:hint="eastAsia" w:ascii="宋体" w:hAnsi="宋体" w:cs="MS Shell Dlg"/>
                <w:color w:val="auto"/>
                <w:kern w:val="0"/>
                <w:sz w:val="24"/>
                <w:szCs w:val="24"/>
                <w:highlight w:val="none"/>
                <w:lang w:val="en-US" w:eastAsia="zh-CN"/>
              </w:rPr>
              <w:t>采购</w:t>
            </w:r>
            <w:r>
              <w:rPr>
                <w:rFonts w:hint="default" w:ascii="宋体" w:hAnsi="宋体" w:cs="MS Shell Dlg"/>
                <w:color w:val="auto"/>
                <w:kern w:val="0"/>
                <w:sz w:val="24"/>
                <w:szCs w:val="24"/>
                <w:highlight w:val="none"/>
                <w:lang w:val="en-US" w:eastAsia="zh-CN"/>
              </w:rPr>
              <w:t>确定一名</w:t>
            </w:r>
            <w:r>
              <w:rPr>
                <w:rFonts w:hint="eastAsia" w:ascii="宋体" w:hAnsi="宋体" w:cs="MS Shell Dlg"/>
                <w:color w:val="auto"/>
                <w:kern w:val="0"/>
                <w:sz w:val="24"/>
                <w:szCs w:val="24"/>
                <w:highlight w:val="none"/>
                <w:lang w:val="en-US" w:eastAsia="zh-CN"/>
              </w:rPr>
              <w:t>成交</w:t>
            </w:r>
            <w:r>
              <w:rPr>
                <w:rFonts w:hint="default" w:ascii="宋体" w:hAnsi="宋体" w:cs="MS Shell Dlg"/>
                <w:color w:val="auto"/>
                <w:kern w:val="0"/>
                <w:sz w:val="24"/>
                <w:szCs w:val="24"/>
                <w:highlight w:val="none"/>
                <w:lang w:val="en-US" w:eastAsia="zh-CN"/>
              </w:rPr>
              <w:t>体检服务机构。</w:t>
            </w:r>
          </w:p>
          <w:p w14:paraId="2CD911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MS Shell Dlg"/>
                <w:color w:val="auto"/>
                <w:kern w:val="0"/>
                <w:sz w:val="24"/>
                <w:szCs w:val="24"/>
                <w:highlight w:val="none"/>
                <w:lang w:val="en-US" w:eastAsia="zh-CN"/>
              </w:rPr>
            </w:pPr>
            <w:r>
              <w:rPr>
                <w:rFonts w:hint="default" w:ascii="宋体" w:hAnsi="宋体" w:cs="MS Shell Dlg"/>
                <w:color w:val="auto"/>
                <w:kern w:val="0"/>
                <w:sz w:val="24"/>
                <w:szCs w:val="24"/>
                <w:highlight w:val="none"/>
                <w:lang w:val="en-US" w:eastAsia="zh-CN"/>
              </w:rPr>
              <w:t>2.体检项目</w:t>
            </w:r>
            <w:r>
              <w:rPr>
                <w:rFonts w:hint="eastAsia" w:ascii="宋体" w:hAnsi="宋体" w:cs="MS Shell Dlg"/>
                <w:color w:val="auto"/>
                <w:kern w:val="0"/>
                <w:sz w:val="24"/>
                <w:szCs w:val="24"/>
                <w:highlight w:val="none"/>
                <w:lang w:val="en-US" w:eastAsia="zh-CN"/>
              </w:rPr>
              <w:t>由采购人</w:t>
            </w:r>
            <w:r>
              <w:rPr>
                <w:rFonts w:hint="default" w:ascii="宋体" w:hAnsi="宋体" w:cs="MS Shell Dlg"/>
                <w:color w:val="auto"/>
                <w:kern w:val="0"/>
                <w:sz w:val="24"/>
                <w:szCs w:val="24"/>
                <w:highlight w:val="none"/>
                <w:lang w:val="en-US" w:eastAsia="zh-CN"/>
              </w:rPr>
              <w:t>根据男、女职工不同需求（女职工参加妇检项目</w:t>
            </w:r>
            <w:r>
              <w:rPr>
                <w:rFonts w:hint="eastAsia" w:ascii="宋体" w:hAnsi="宋体" w:cs="MS Shell Dlg"/>
                <w:color w:val="auto"/>
                <w:kern w:val="0"/>
                <w:sz w:val="24"/>
                <w:szCs w:val="24"/>
                <w:highlight w:val="none"/>
                <w:lang w:val="en-US" w:eastAsia="zh-CN"/>
              </w:rPr>
              <w:t>等)来拟定</w:t>
            </w:r>
            <w:r>
              <w:rPr>
                <w:rFonts w:hint="default" w:ascii="宋体" w:hAnsi="宋体" w:cs="MS Shell Dlg"/>
                <w:color w:val="auto"/>
                <w:kern w:val="0"/>
                <w:sz w:val="24"/>
                <w:szCs w:val="24"/>
                <w:highlight w:val="none"/>
                <w:lang w:val="en-US" w:eastAsia="zh-CN"/>
              </w:rPr>
              <w:t>。</w:t>
            </w:r>
          </w:p>
          <w:p w14:paraId="4DDB26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MS Shell Dlg"/>
                <w:color w:val="auto"/>
                <w:kern w:val="0"/>
                <w:sz w:val="24"/>
                <w:szCs w:val="24"/>
                <w:highlight w:val="none"/>
                <w:lang w:val="en-US" w:eastAsia="zh-CN"/>
              </w:rPr>
            </w:pPr>
            <w:r>
              <w:rPr>
                <w:rFonts w:hint="default" w:ascii="宋体" w:hAnsi="宋体" w:cs="MS Shell Dlg"/>
                <w:color w:val="auto"/>
                <w:kern w:val="0"/>
                <w:sz w:val="24"/>
                <w:szCs w:val="24"/>
                <w:highlight w:val="none"/>
                <w:lang w:val="en-US" w:eastAsia="zh-CN"/>
              </w:rPr>
              <w:t>3.体检机构必须在《医疗机构管理条例》、《中华人民共和国执业医师法》等法规下进行体检活动；</w:t>
            </w:r>
          </w:p>
          <w:p w14:paraId="7749CD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MS Shell Dlg"/>
                <w:color w:val="auto"/>
                <w:kern w:val="0"/>
                <w:sz w:val="24"/>
                <w:szCs w:val="24"/>
                <w:highlight w:val="none"/>
                <w:lang w:val="en-US" w:eastAsia="zh-CN"/>
              </w:rPr>
            </w:pPr>
            <w:r>
              <w:rPr>
                <w:rFonts w:hint="default" w:ascii="宋体" w:hAnsi="宋体" w:cs="MS Shell Dlg"/>
                <w:color w:val="auto"/>
                <w:kern w:val="0"/>
                <w:sz w:val="24"/>
                <w:szCs w:val="24"/>
                <w:highlight w:val="none"/>
                <w:lang w:val="en-US" w:eastAsia="zh-CN"/>
              </w:rPr>
              <w:t>4.教职工健康体检的场所设置在体检机构的体检中心内。</w:t>
            </w:r>
          </w:p>
          <w:p w14:paraId="17F74B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MS Shell Dlg"/>
                <w:color w:val="auto"/>
                <w:kern w:val="0"/>
                <w:sz w:val="24"/>
                <w:szCs w:val="24"/>
                <w:highlight w:val="none"/>
                <w:lang w:val="en-US" w:eastAsia="zh-CN"/>
              </w:rPr>
            </w:pPr>
            <w:r>
              <w:rPr>
                <w:rFonts w:hint="default" w:ascii="宋体" w:hAnsi="宋体" w:cs="MS Shell Dlg"/>
                <w:color w:val="auto"/>
                <w:kern w:val="0"/>
                <w:sz w:val="24"/>
                <w:szCs w:val="24"/>
                <w:highlight w:val="none"/>
                <w:lang w:val="en-US" w:eastAsia="zh-CN"/>
              </w:rPr>
              <w:t>5.教职工根据自身情况自行前往</w:t>
            </w:r>
            <w:r>
              <w:rPr>
                <w:rFonts w:hint="eastAsia" w:ascii="宋体" w:hAnsi="宋体" w:cs="MS Shell Dlg"/>
                <w:color w:val="auto"/>
                <w:kern w:val="0"/>
                <w:sz w:val="24"/>
                <w:szCs w:val="24"/>
                <w:highlight w:val="none"/>
                <w:lang w:val="en-US" w:eastAsia="zh-CN"/>
              </w:rPr>
              <w:t>成交</w:t>
            </w:r>
            <w:r>
              <w:rPr>
                <w:rFonts w:hint="default" w:ascii="宋体" w:hAnsi="宋体" w:cs="MS Shell Dlg"/>
                <w:color w:val="auto"/>
                <w:kern w:val="0"/>
                <w:sz w:val="24"/>
                <w:szCs w:val="24"/>
                <w:highlight w:val="none"/>
                <w:lang w:val="en-US" w:eastAsia="zh-CN"/>
              </w:rPr>
              <w:t>体检机构进行体检。</w:t>
            </w:r>
          </w:p>
          <w:p w14:paraId="1F635B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MS Shell Dlg"/>
                <w:color w:val="auto"/>
                <w:kern w:val="0"/>
                <w:sz w:val="24"/>
                <w:szCs w:val="24"/>
                <w:highlight w:val="none"/>
                <w:lang w:val="en-US" w:eastAsia="zh-CN"/>
              </w:rPr>
            </w:pPr>
            <w:r>
              <w:rPr>
                <w:rFonts w:hint="default" w:ascii="宋体" w:hAnsi="宋体" w:cs="MS Shell Dlg"/>
                <w:b/>
                <w:bCs/>
                <w:color w:val="auto"/>
                <w:kern w:val="0"/>
                <w:sz w:val="24"/>
                <w:szCs w:val="24"/>
                <w:highlight w:val="none"/>
                <w:lang w:val="en-US" w:eastAsia="zh-CN"/>
              </w:rPr>
              <w:t>二、关于体检机构有关要求</w:t>
            </w:r>
          </w:p>
          <w:p w14:paraId="1F5CB4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MS Shell Dlg"/>
                <w:color w:val="auto"/>
                <w:kern w:val="0"/>
                <w:sz w:val="24"/>
                <w:szCs w:val="24"/>
                <w:highlight w:val="none"/>
                <w:lang w:val="en-US" w:eastAsia="zh-CN"/>
              </w:rPr>
            </w:pPr>
            <w:r>
              <w:rPr>
                <w:rFonts w:hint="default" w:ascii="宋体" w:hAnsi="宋体" w:cs="MS Shell Dlg"/>
                <w:color w:val="auto"/>
                <w:kern w:val="0"/>
                <w:sz w:val="24"/>
                <w:szCs w:val="24"/>
                <w:highlight w:val="none"/>
                <w:lang w:val="en-US" w:eastAsia="zh-CN"/>
              </w:rPr>
              <w:t>1.体检机构必须按照规定及时向教职工提供个人健康体检结果、个人健康处方及群体健康评价报告。</w:t>
            </w:r>
          </w:p>
          <w:p w14:paraId="4ACD93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MS Shell Dlg"/>
                <w:color w:val="auto"/>
                <w:kern w:val="0"/>
                <w:sz w:val="24"/>
                <w:szCs w:val="24"/>
                <w:highlight w:val="none"/>
                <w:lang w:val="en-US" w:eastAsia="zh-CN"/>
              </w:rPr>
            </w:pPr>
            <w:r>
              <w:rPr>
                <w:rFonts w:hint="default" w:ascii="宋体" w:hAnsi="宋体" w:cs="MS Shell Dlg"/>
                <w:color w:val="auto"/>
                <w:kern w:val="0"/>
                <w:sz w:val="24"/>
                <w:szCs w:val="24"/>
                <w:highlight w:val="none"/>
                <w:lang w:val="en-US" w:eastAsia="zh-CN"/>
              </w:rPr>
              <w:t>2.体检机构必须认真履行职责，保证体检质量，做好参与体检的医务人员及相关人员的管理工作，遵守职业道德，保护个人隐私。参与体检的医务人员必须参加卫生行政部门组织的体检医生上岗培训，经考核合格，持证上岗。如因失职而造成不良影响和后果的，将按有关规定追究当事人及相关人员的责任。</w:t>
            </w:r>
          </w:p>
          <w:p w14:paraId="063B19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MS Shell Dlg"/>
                <w:b/>
                <w:bCs/>
                <w:color w:val="auto"/>
                <w:kern w:val="0"/>
                <w:sz w:val="24"/>
                <w:szCs w:val="24"/>
                <w:highlight w:val="none"/>
                <w:lang w:val="en-US" w:eastAsia="zh-CN"/>
              </w:rPr>
            </w:pPr>
            <w:r>
              <w:rPr>
                <w:rFonts w:hint="default" w:ascii="宋体" w:hAnsi="宋体" w:cs="MS Shell Dlg"/>
                <w:b/>
                <w:bCs/>
                <w:color w:val="auto"/>
                <w:kern w:val="0"/>
                <w:sz w:val="24"/>
                <w:szCs w:val="24"/>
                <w:highlight w:val="none"/>
                <w:lang w:val="en-US" w:eastAsia="zh-CN"/>
              </w:rPr>
              <w:t>三、2025年的体检项目包含但不限于：</w:t>
            </w:r>
          </w:p>
          <w:tbl>
            <w:tblPr>
              <w:tblStyle w:val="27"/>
              <w:tblW w:w="6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6"/>
              <w:gridCol w:w="2047"/>
              <w:gridCol w:w="2047"/>
            </w:tblGrid>
            <w:tr w14:paraId="3225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5E85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1.</w:t>
                  </w:r>
                  <w:r>
                    <w:rPr>
                      <w:rFonts w:hint="eastAsia" w:ascii="宋体" w:hAnsi="宋体" w:eastAsia="宋体" w:cs="宋体"/>
                      <w:b/>
                      <w:bCs/>
                      <w:i w:val="0"/>
                      <w:iCs w:val="0"/>
                      <w:color w:val="auto"/>
                      <w:kern w:val="0"/>
                      <w:sz w:val="24"/>
                      <w:szCs w:val="24"/>
                      <w:highlight w:val="none"/>
                      <w:u w:val="none"/>
                      <w:lang w:val="en-US" w:eastAsia="zh-CN" w:bidi="ar"/>
                    </w:rPr>
                    <w:t>2025年拟定基础体检项目</w:t>
                  </w:r>
                </w:p>
              </w:tc>
            </w:tr>
            <w:tr w14:paraId="36DB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46D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男职工拟体检项目</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1DE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已婚女职工拟体检项目</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EDD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未婚女职工拟体检项目</w:t>
                  </w:r>
                </w:p>
              </w:tc>
            </w:tr>
            <w:tr w14:paraId="4AB5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8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80"/>
                      <w:color w:val="auto"/>
                      <w:highlight w:val="none"/>
                      <w:lang w:val="en-US" w:eastAsia="zh-CN" w:bidi="ar"/>
                    </w:rPr>
                    <w:t>一般检查：血压、身高、体重、</w:t>
                  </w:r>
                  <w:r>
                    <w:rPr>
                      <w:rStyle w:val="81"/>
                      <w:color w:val="auto"/>
                      <w:highlight w:val="none"/>
                      <w:lang w:val="en-US" w:eastAsia="zh-CN" w:bidi="ar"/>
                    </w:rPr>
                    <w:t>视力</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1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80"/>
                      <w:color w:val="auto"/>
                      <w:highlight w:val="none"/>
                      <w:lang w:val="en-US" w:eastAsia="zh-CN" w:bidi="ar"/>
                    </w:rPr>
                    <w:t>一般检查：血压、身高、体重、</w:t>
                  </w:r>
                  <w:r>
                    <w:rPr>
                      <w:rStyle w:val="81"/>
                      <w:color w:val="auto"/>
                      <w:highlight w:val="none"/>
                      <w:lang w:val="en-US" w:eastAsia="zh-CN" w:bidi="ar"/>
                    </w:rPr>
                    <w:t>视力</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3B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80"/>
                      <w:color w:val="auto"/>
                      <w:highlight w:val="none"/>
                      <w:lang w:val="en-US" w:eastAsia="zh-CN" w:bidi="ar"/>
                    </w:rPr>
                    <w:t>一般检查：血压、身高、体重、</w:t>
                  </w:r>
                  <w:r>
                    <w:rPr>
                      <w:rStyle w:val="81"/>
                      <w:color w:val="auto"/>
                      <w:highlight w:val="none"/>
                      <w:lang w:val="en-US" w:eastAsia="zh-CN" w:bidi="ar"/>
                    </w:rPr>
                    <w:t>视力</w:t>
                  </w:r>
                </w:p>
              </w:tc>
            </w:tr>
            <w:tr w14:paraId="1E47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试管、采血费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8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试管、采血费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9C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试管、采血费</w:t>
                  </w:r>
                </w:p>
              </w:tc>
            </w:tr>
            <w:tr w14:paraId="4DCD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7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肝功能检查三项（ALT、AST、GGT）</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肝功能检查三项（ALT、AST、GGT）</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E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肝功能检查三项（ALT、AST、GGT）</w:t>
                  </w:r>
                </w:p>
              </w:tc>
            </w:tr>
            <w:tr w14:paraId="7D70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7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肾功三项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F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肾功三项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67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肾功三项</w:t>
                  </w:r>
                </w:p>
              </w:tc>
            </w:tr>
            <w:tr w14:paraId="1BCC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44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血脂检查4项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B0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血脂检查4项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5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血脂检查4项</w:t>
                  </w:r>
                </w:p>
              </w:tc>
            </w:tr>
            <w:tr w14:paraId="2205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57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空腹血糖</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46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空腹血糖</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空腹血糖</w:t>
                  </w:r>
                </w:p>
              </w:tc>
            </w:tr>
            <w:tr w14:paraId="4A19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F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血常规</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B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血常规</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9C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血常规</w:t>
                  </w:r>
                </w:p>
              </w:tc>
            </w:tr>
            <w:tr w14:paraId="1B06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0D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尿常规</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5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尿常规</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C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尿常规</w:t>
                  </w:r>
                </w:p>
              </w:tc>
            </w:tr>
            <w:tr w14:paraId="31EB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4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EB病毒检测2项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0C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EB病毒检测2项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0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EB病毒检测2项</w:t>
                  </w:r>
                </w:p>
              </w:tc>
            </w:tr>
            <w:tr w14:paraId="580F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6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甲胎蛋白（AFP）</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6D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甲胎蛋白（AFP）</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6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甲胎蛋白（AFP）</w:t>
                  </w:r>
                </w:p>
              </w:tc>
            </w:tr>
            <w:tr w14:paraId="1D3F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9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癌胚抗原</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1E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癌胚抗原</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F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癌胚抗原</w:t>
                  </w:r>
                </w:p>
              </w:tc>
            </w:tr>
            <w:tr w14:paraId="3678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1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甲功三项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EC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甲功三项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E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甲功三项</w:t>
                  </w:r>
                </w:p>
              </w:tc>
            </w:tr>
            <w:tr w14:paraId="55A0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7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心肌酶6项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1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心肌酶6项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6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心肌酶6项</w:t>
                  </w:r>
                </w:p>
              </w:tc>
            </w:tr>
            <w:tr w14:paraId="61E1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1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腹部彩超（肝、胆、胰、脾、双肾）</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C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腹部彩超（肝、胆、胰、脾、双肾）</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77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腹部彩超（肝、胆、胰、脾、双肾）</w:t>
                  </w:r>
                </w:p>
              </w:tc>
            </w:tr>
            <w:tr w14:paraId="79D4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0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甲状腺彩超</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8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甲状腺彩超</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C1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甲状腺彩超</w:t>
                  </w:r>
                </w:p>
              </w:tc>
            </w:tr>
            <w:tr w14:paraId="060C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1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常规心电图检查</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C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常规心电图检查</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2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常规心电图检查</w:t>
                  </w:r>
                </w:p>
              </w:tc>
            </w:tr>
            <w:tr w14:paraId="5526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A3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胸正位片（DR）（不含胶片）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胸正位片（DR）（不含胶片）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70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胸正位片（DR）（不含胶片）</w:t>
                  </w:r>
                </w:p>
              </w:tc>
            </w:tr>
            <w:tr w14:paraId="60CC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A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临床内科（团）</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6E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临床内科（团）</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A7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临床内科（团）</w:t>
                  </w:r>
                </w:p>
              </w:tc>
            </w:tr>
            <w:tr w14:paraId="4923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6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临床外科（团）</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3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临床外科（团）</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D5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临床外科（团）</w:t>
                  </w:r>
                </w:p>
              </w:tc>
            </w:tr>
            <w:tr w14:paraId="610C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6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临床耳鼻喉科（团）</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C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临床耳鼻喉科（团）</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4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临床耳鼻喉科（团）</w:t>
                  </w:r>
                </w:p>
              </w:tc>
            </w:tr>
            <w:tr w14:paraId="549D3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0E29">
                  <w:pPr>
                    <w:jc w:val="center"/>
                    <w:rPr>
                      <w:rFonts w:hint="eastAsia" w:ascii="宋体" w:hAnsi="宋体" w:eastAsia="宋体" w:cs="宋体"/>
                      <w:i w:val="0"/>
                      <w:iCs w:val="0"/>
                      <w:color w:val="auto"/>
                      <w:sz w:val="22"/>
                      <w:szCs w:val="22"/>
                      <w:highlight w:val="none"/>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3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80"/>
                      <w:color w:val="auto"/>
                      <w:highlight w:val="none"/>
                      <w:lang w:val="en-US" w:eastAsia="zh-CN" w:bidi="ar"/>
                    </w:rPr>
                    <w:t>妇科+TCT+</w:t>
                  </w:r>
                  <w:r>
                    <w:rPr>
                      <w:rStyle w:val="81"/>
                      <w:color w:val="auto"/>
                      <w:highlight w:val="none"/>
                      <w:lang w:val="en-US" w:eastAsia="zh-CN" w:bidi="ar"/>
                    </w:rPr>
                    <w:t>HPV</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13E6">
                  <w:pPr>
                    <w:jc w:val="center"/>
                    <w:rPr>
                      <w:rFonts w:hint="eastAsia" w:ascii="宋体" w:hAnsi="宋体" w:eastAsia="宋体" w:cs="宋体"/>
                      <w:i w:val="0"/>
                      <w:iCs w:val="0"/>
                      <w:color w:val="auto"/>
                      <w:sz w:val="22"/>
                      <w:szCs w:val="22"/>
                      <w:highlight w:val="none"/>
                      <w:u w:val="none"/>
                    </w:rPr>
                  </w:pPr>
                </w:p>
              </w:tc>
            </w:tr>
            <w:tr w14:paraId="0DBB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8FF7">
                  <w:pPr>
                    <w:jc w:val="center"/>
                    <w:rPr>
                      <w:rFonts w:hint="eastAsia" w:ascii="宋体" w:hAnsi="宋体" w:eastAsia="宋体" w:cs="宋体"/>
                      <w:i w:val="0"/>
                      <w:iCs w:val="0"/>
                      <w:color w:val="auto"/>
                      <w:sz w:val="22"/>
                      <w:szCs w:val="22"/>
                      <w:highlight w:val="none"/>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高频乳腺彩超</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6F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高频乳腺彩超</w:t>
                  </w:r>
                </w:p>
              </w:tc>
            </w:tr>
            <w:tr w14:paraId="6366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EB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前列腺+膀胱B超</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3AB">
                  <w:pPr>
                    <w:jc w:val="center"/>
                    <w:rPr>
                      <w:rFonts w:hint="eastAsia" w:ascii="宋体" w:hAnsi="宋体" w:eastAsia="宋体" w:cs="宋体"/>
                      <w:i w:val="0"/>
                      <w:iCs w:val="0"/>
                      <w:color w:val="auto"/>
                      <w:sz w:val="22"/>
                      <w:szCs w:val="22"/>
                      <w:highlight w:val="none"/>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28E0">
                  <w:pPr>
                    <w:jc w:val="center"/>
                    <w:rPr>
                      <w:rFonts w:hint="eastAsia" w:ascii="宋体" w:hAnsi="宋体" w:eastAsia="宋体" w:cs="宋体"/>
                      <w:i w:val="0"/>
                      <w:iCs w:val="0"/>
                      <w:color w:val="auto"/>
                      <w:sz w:val="22"/>
                      <w:szCs w:val="22"/>
                      <w:highlight w:val="none"/>
                      <w:u w:val="none"/>
                    </w:rPr>
                  </w:pPr>
                </w:p>
              </w:tc>
            </w:tr>
            <w:tr w14:paraId="197E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0A5B">
                  <w:pPr>
                    <w:jc w:val="center"/>
                    <w:rPr>
                      <w:rFonts w:hint="eastAsia" w:ascii="宋体" w:hAnsi="宋体" w:eastAsia="宋体" w:cs="宋体"/>
                      <w:i w:val="0"/>
                      <w:iCs w:val="0"/>
                      <w:color w:val="auto"/>
                      <w:sz w:val="22"/>
                      <w:szCs w:val="22"/>
                      <w:highlight w:val="none"/>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8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经阴道子宫附件B超</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5D3F">
                  <w:pPr>
                    <w:jc w:val="center"/>
                    <w:rPr>
                      <w:rFonts w:hint="eastAsia" w:ascii="宋体" w:hAnsi="宋体" w:eastAsia="宋体" w:cs="宋体"/>
                      <w:i w:val="0"/>
                      <w:iCs w:val="0"/>
                      <w:color w:val="auto"/>
                      <w:sz w:val="22"/>
                      <w:szCs w:val="22"/>
                      <w:highlight w:val="none"/>
                      <w:u w:val="none"/>
                    </w:rPr>
                  </w:pPr>
                </w:p>
              </w:tc>
            </w:tr>
            <w:tr w14:paraId="720D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0DA5">
                  <w:pPr>
                    <w:jc w:val="center"/>
                    <w:rPr>
                      <w:rFonts w:hint="eastAsia" w:ascii="宋体" w:hAnsi="宋体" w:eastAsia="宋体" w:cs="宋体"/>
                      <w:i w:val="0"/>
                      <w:iCs w:val="0"/>
                      <w:color w:val="auto"/>
                      <w:sz w:val="22"/>
                      <w:szCs w:val="22"/>
                      <w:highlight w:val="none"/>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B5A3">
                  <w:pPr>
                    <w:jc w:val="center"/>
                    <w:rPr>
                      <w:rFonts w:hint="eastAsia" w:ascii="宋体" w:hAnsi="宋体" w:eastAsia="宋体" w:cs="宋体"/>
                      <w:i w:val="0"/>
                      <w:iCs w:val="0"/>
                      <w:color w:val="auto"/>
                      <w:sz w:val="22"/>
                      <w:szCs w:val="22"/>
                      <w:highlight w:val="none"/>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8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经腹部子宫附件B超</w:t>
                  </w:r>
                </w:p>
              </w:tc>
            </w:tr>
            <w:tr w14:paraId="3947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1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前列腺特异性抗原2项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E0A9">
                  <w:pPr>
                    <w:jc w:val="center"/>
                    <w:rPr>
                      <w:rFonts w:hint="eastAsia" w:ascii="宋体" w:hAnsi="宋体" w:eastAsia="宋体" w:cs="宋体"/>
                      <w:i w:val="0"/>
                      <w:iCs w:val="0"/>
                      <w:color w:val="auto"/>
                      <w:sz w:val="22"/>
                      <w:szCs w:val="22"/>
                      <w:highlight w:val="none"/>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F4B2">
                  <w:pPr>
                    <w:jc w:val="center"/>
                    <w:rPr>
                      <w:rFonts w:hint="eastAsia" w:ascii="宋体" w:hAnsi="宋体" w:eastAsia="宋体" w:cs="宋体"/>
                      <w:i w:val="0"/>
                      <w:iCs w:val="0"/>
                      <w:color w:val="auto"/>
                      <w:sz w:val="22"/>
                      <w:szCs w:val="22"/>
                      <w:highlight w:val="none"/>
                      <w:u w:val="none"/>
                    </w:rPr>
                  </w:pPr>
                </w:p>
              </w:tc>
            </w:tr>
            <w:tr w14:paraId="55F2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6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幽门螺杆菌</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幽门螺杆菌</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7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幽门螺杆菌</w:t>
                  </w:r>
                </w:p>
              </w:tc>
            </w:tr>
          </w:tbl>
          <w:p w14:paraId="39013FD6">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1+X：基础套餐+专项体检方案</w:t>
            </w:r>
          </w:p>
          <w:tbl>
            <w:tblPr>
              <w:tblStyle w:val="27"/>
              <w:tblW w:w="5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2196"/>
              <w:gridCol w:w="709"/>
              <w:gridCol w:w="995"/>
              <w:gridCol w:w="990"/>
            </w:tblGrid>
            <w:tr w14:paraId="2EC0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227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基础套餐</w:t>
                  </w:r>
                </w:p>
              </w:tc>
            </w:tr>
            <w:tr w14:paraId="6321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6" w:type="dxa"/>
                  <w:tcBorders>
                    <w:top w:val="nil"/>
                    <w:left w:val="single" w:color="000000" w:sz="4" w:space="0"/>
                    <w:bottom w:val="single" w:color="000000" w:sz="4" w:space="0"/>
                    <w:right w:val="single" w:color="000000" w:sz="4" w:space="0"/>
                  </w:tcBorders>
                  <w:shd w:val="clear" w:color="auto" w:fill="auto"/>
                  <w:noWrap/>
                  <w:vAlign w:val="center"/>
                </w:tcPr>
                <w:p w14:paraId="3CDF50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196" w:type="dxa"/>
                  <w:tcBorders>
                    <w:top w:val="nil"/>
                    <w:left w:val="single" w:color="000000" w:sz="4" w:space="0"/>
                    <w:bottom w:val="single" w:color="000000" w:sz="4" w:space="0"/>
                    <w:right w:val="single" w:color="000000" w:sz="4" w:space="0"/>
                  </w:tcBorders>
                  <w:shd w:val="clear" w:color="auto" w:fill="auto"/>
                  <w:noWrap/>
                  <w:vAlign w:val="center"/>
                </w:tcPr>
                <w:p w14:paraId="2C2B85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体检项目</w:t>
                  </w:r>
                </w:p>
              </w:tc>
              <w:tc>
                <w:tcPr>
                  <w:tcW w:w="709" w:type="dxa"/>
                  <w:tcBorders>
                    <w:top w:val="nil"/>
                    <w:left w:val="single" w:color="000000" w:sz="4" w:space="0"/>
                    <w:bottom w:val="single" w:color="000000" w:sz="4" w:space="0"/>
                    <w:right w:val="single" w:color="000000" w:sz="4" w:space="0"/>
                  </w:tcBorders>
                  <w:shd w:val="clear" w:color="auto" w:fill="auto"/>
                  <w:noWrap/>
                  <w:vAlign w:val="center"/>
                </w:tcPr>
                <w:p w14:paraId="777C8A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男性</w:t>
                  </w:r>
                </w:p>
              </w:tc>
              <w:tc>
                <w:tcPr>
                  <w:tcW w:w="995" w:type="dxa"/>
                  <w:tcBorders>
                    <w:top w:val="nil"/>
                    <w:left w:val="single" w:color="000000" w:sz="4" w:space="0"/>
                    <w:bottom w:val="single" w:color="000000" w:sz="4" w:space="0"/>
                    <w:right w:val="single" w:color="000000" w:sz="4" w:space="0"/>
                  </w:tcBorders>
                  <w:shd w:val="clear" w:color="auto" w:fill="auto"/>
                  <w:vAlign w:val="center"/>
                </w:tcPr>
                <w:p w14:paraId="06E65D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女性</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（未婚）</w:t>
                  </w:r>
                </w:p>
              </w:tc>
              <w:tc>
                <w:tcPr>
                  <w:tcW w:w="990" w:type="dxa"/>
                  <w:tcBorders>
                    <w:top w:val="nil"/>
                    <w:left w:val="single" w:color="000000" w:sz="4" w:space="0"/>
                    <w:bottom w:val="single" w:color="000000" w:sz="4" w:space="0"/>
                    <w:right w:val="single" w:color="000000" w:sz="4" w:space="0"/>
                  </w:tcBorders>
                  <w:shd w:val="clear" w:color="auto" w:fill="auto"/>
                  <w:vAlign w:val="center"/>
                </w:tcPr>
                <w:p w14:paraId="040282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女性</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（已婚）</w:t>
                  </w:r>
                </w:p>
              </w:tc>
            </w:tr>
            <w:tr w14:paraId="43CC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79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76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建立健康档案（免费）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61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FB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2E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2DF0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E9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7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测血压、身高、体重（免费）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C3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7B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00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480F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80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C9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早餐（免费）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C5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E9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FD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0E85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C5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78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肝功能检测12项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4E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49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7C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7C33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93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05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肾功能检测3项(尿素、尿酸、肌酐)</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CD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CB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AB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1F32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4A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BE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血脂检测4项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C4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57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E4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304C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6C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00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空腹血糖</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94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D8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8A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7BF1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40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5C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血常规</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CD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C4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BA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2C5C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36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2C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尿常规</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93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3F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8E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66F4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7C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6B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甲胎蛋白AFP</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9F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23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16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7062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8E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BF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癌胚抗原CEA</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81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00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46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5647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78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EE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总前列腺特异性抗原(T-PSA)(男)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BF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EA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FC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324A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2F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DA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临床内科（团体）</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FC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50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39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1D20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A2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B5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临床外科（团体）</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D4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C1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A0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06CA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59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C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临床耳鼻喉科（团体）</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08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DD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4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4261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7B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D4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常规心电图检查</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17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C0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F3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3DBE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82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C1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胸正位片(DR)(不含胶片)</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43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A8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24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58DD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67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57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彩色超声(肝胆胰脾双肾)(团体)</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1B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97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70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1098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EC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ED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前列腺+膀胱+输尿管彩色超声(男)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98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24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58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37D3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49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4C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甲状腺彩色超声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D3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14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05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124B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D1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F5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经阴道子宫、附件彩超（已婚）</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52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FF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F0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7CEB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6A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30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经腹部子宫、附件彩超（未婚）</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3F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03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B8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14:paraId="2531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5D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DD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高频双乳腺彩色超声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48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99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3A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1309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94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B7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试管、采血费（以系统产生价格为准）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8D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99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63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bl>
          <w:p w14:paraId="1401EDD1">
            <w:pPr>
              <w:spacing w:line="400" w:lineRule="exact"/>
              <w:jc w:val="both"/>
              <w:rPr>
                <w:rFonts w:hint="eastAsia" w:ascii="微软雅黑" w:hAnsi="微软雅黑" w:eastAsia="微软雅黑"/>
                <w:color w:val="auto"/>
                <w:szCs w:val="21"/>
                <w:highlight w:val="none"/>
              </w:rPr>
            </w:pPr>
          </w:p>
          <w:tbl>
            <w:tblPr>
              <w:tblStyle w:val="27"/>
              <w:tblW w:w="5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2236"/>
              <w:gridCol w:w="696"/>
              <w:gridCol w:w="1104"/>
              <w:gridCol w:w="1004"/>
            </w:tblGrid>
            <w:tr w14:paraId="6775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B3DC0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X套餐1——心血管专项</w:t>
                  </w:r>
                </w:p>
              </w:tc>
            </w:tr>
            <w:tr w14:paraId="66DE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D4D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51E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体检项目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A53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男性</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683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女性</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（未婚）</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DFE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女性</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（已婚）</w:t>
                  </w:r>
                </w:p>
              </w:tc>
            </w:tr>
            <w:tr w14:paraId="5662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2C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93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同型半胱氨酸</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1AC1">
                  <w:pPr>
                    <w:keepNext w:val="0"/>
                    <w:keepLines w:val="0"/>
                    <w:widowControl/>
                    <w:suppressLineNumbers w:val="0"/>
                    <w:jc w:val="center"/>
                    <w:textAlignment w:val="center"/>
                    <w:rPr>
                      <w:rFonts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08E6">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FE5F">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4EF6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BF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09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经胸超声心动图（心脏彩色B超）</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E364">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CFBA">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9CA4">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3592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24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5F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静脉采血+试管耗材费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DB36">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60AB">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6BA3">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bl>
          <w:p w14:paraId="3A0C49B6">
            <w:pPr>
              <w:spacing w:line="400" w:lineRule="exact"/>
              <w:jc w:val="left"/>
              <w:rPr>
                <w:rFonts w:hint="eastAsia" w:ascii="微软雅黑" w:hAnsi="微软雅黑" w:eastAsia="微软雅黑"/>
                <w:color w:val="auto"/>
                <w:szCs w:val="21"/>
                <w:highlight w:val="none"/>
              </w:rPr>
            </w:pPr>
          </w:p>
          <w:tbl>
            <w:tblPr>
              <w:tblStyle w:val="27"/>
              <w:tblW w:w="56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175"/>
              <w:gridCol w:w="660"/>
              <w:gridCol w:w="990"/>
              <w:gridCol w:w="1115"/>
            </w:tblGrid>
            <w:tr w14:paraId="7955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6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2200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X套餐2——糖尿病内分泌代谢专项</w:t>
                  </w:r>
                </w:p>
              </w:tc>
            </w:tr>
            <w:tr w14:paraId="51EC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74D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078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体检项目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3FC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男性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C4E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女性</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（未婚）</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D01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女性</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（已婚）</w:t>
                  </w:r>
                </w:p>
              </w:tc>
            </w:tr>
            <w:tr w14:paraId="09DF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7F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AC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甲状腺功能3项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D9AA">
                  <w:pPr>
                    <w:keepNext w:val="0"/>
                    <w:keepLines w:val="0"/>
                    <w:widowControl/>
                    <w:suppressLineNumbers w:val="0"/>
                    <w:jc w:val="center"/>
                    <w:textAlignment w:val="center"/>
                    <w:rPr>
                      <w:rFonts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4D77">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C7E9">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19BE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F6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41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餐后2小时血糖</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A9B8">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DF26">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28D0">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20D9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E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B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糖化血红蛋白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2D9E">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EC7A">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8A40">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0720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18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D6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胰岛素测定（空腹+餐后2h）</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7057">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129E">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42FA">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7171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7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85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C肽测定（空腹+餐后2h）</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1934">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5A39">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12E4">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0784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C8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D0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随机尿微量白蛋白+肌酐(含比值)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F198">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CE6F">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03F3">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6831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DB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0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电解质五项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1F99">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77D9">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4414">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0CDC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E2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79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试管耗材费（以系统产生价格为准）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AB82">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BA56">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2EC4">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bl>
          <w:p w14:paraId="074E10CB">
            <w:pPr>
              <w:spacing w:line="400" w:lineRule="exact"/>
              <w:jc w:val="center"/>
              <w:rPr>
                <w:rFonts w:hint="eastAsia" w:ascii="微软雅黑" w:hAnsi="微软雅黑" w:eastAsia="微软雅黑"/>
                <w:color w:val="auto"/>
                <w:szCs w:val="21"/>
                <w:highlight w:val="none"/>
                <w:lang w:val="en-US" w:eastAsia="zh-CN"/>
              </w:rPr>
            </w:pPr>
          </w:p>
          <w:tbl>
            <w:tblPr>
              <w:tblStyle w:val="27"/>
              <w:tblW w:w="56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2209"/>
              <w:gridCol w:w="709"/>
              <w:gridCol w:w="1050"/>
              <w:gridCol w:w="994"/>
            </w:tblGrid>
            <w:tr w14:paraId="7ED5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6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947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X套餐3——胃肠肝等消化系统专项</w:t>
                  </w:r>
                </w:p>
              </w:tc>
            </w:tr>
            <w:tr w14:paraId="3513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E0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2D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体检项目</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C8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男性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21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女性</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（未婚）</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0F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女性</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（已婚）</w:t>
                  </w:r>
                </w:p>
              </w:tc>
            </w:tr>
            <w:tr w14:paraId="057C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9E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92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碳14呼气试验</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89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14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9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145C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BA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42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胃泌素17+胃蛋白酶原三项（胃泌素17、PGI、PGII、PCR）</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4C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F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E6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1057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09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D6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肝吸虫酶标</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C0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16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CF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1510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B0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BD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试管耗材费（以系统产生价格为准）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E6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CA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7E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bl>
          <w:p w14:paraId="319B1947">
            <w:pPr>
              <w:spacing w:line="400" w:lineRule="exact"/>
              <w:jc w:val="center"/>
              <w:rPr>
                <w:rFonts w:hint="eastAsia" w:ascii="微软雅黑" w:hAnsi="微软雅黑" w:eastAsia="微软雅黑"/>
                <w:color w:val="auto"/>
                <w:szCs w:val="21"/>
                <w:highlight w:val="none"/>
              </w:rPr>
            </w:pPr>
          </w:p>
          <w:tbl>
            <w:tblPr>
              <w:tblStyle w:val="27"/>
              <w:tblW w:w="5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2237"/>
              <w:gridCol w:w="722"/>
              <w:gridCol w:w="914"/>
              <w:gridCol w:w="990"/>
            </w:tblGrid>
            <w:tr w14:paraId="3E61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86AE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X套餐4——已婚女性宫颈癌筛查专项</w:t>
                  </w:r>
                </w:p>
              </w:tc>
            </w:tr>
            <w:tr w14:paraId="148F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F68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572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体检项目</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8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8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26C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女性</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（已婚）</w:t>
                  </w:r>
                </w:p>
              </w:tc>
            </w:tr>
            <w:tr w14:paraId="63E4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0D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96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妇科</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03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72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03FA">
                  <w:pPr>
                    <w:keepNext w:val="0"/>
                    <w:keepLines w:val="0"/>
                    <w:widowControl/>
                    <w:suppressLineNumbers w:val="0"/>
                    <w:jc w:val="center"/>
                    <w:textAlignment w:val="center"/>
                    <w:rPr>
                      <w:rFonts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27C8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46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E4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宫颈液基细胞检查（已婚）</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7E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65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B3D6">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2993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12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8A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糖类抗原CA153（女）</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44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82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F5BB">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79B9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A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6D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宫颈分泌物+BV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08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75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C75C">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r w14:paraId="6719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96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C3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试管耗材费（以系统产生价格为准）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FE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AB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F4C7">
                  <w:pPr>
                    <w:keepNext w:val="0"/>
                    <w:keepLines w:val="0"/>
                    <w:widowControl/>
                    <w:suppressLineNumbers w:val="0"/>
                    <w:jc w:val="center"/>
                    <w:textAlignment w:val="center"/>
                    <w:rPr>
                      <w:rFonts w:hint="default" w:ascii="Arial" w:hAnsi="Arial" w:eastAsia="宋体" w:cs="Arial"/>
                      <w:i w:val="0"/>
                      <w:iCs w:val="0"/>
                      <w:color w:val="auto"/>
                      <w:sz w:val="20"/>
                      <w:szCs w:val="20"/>
                      <w:highlight w:val="none"/>
                      <w:u w:val="none"/>
                    </w:rPr>
                  </w:pPr>
                  <w:r>
                    <w:rPr>
                      <w:rFonts w:hint="default" w:ascii="Arial" w:hAnsi="Arial" w:eastAsia="宋体" w:cs="Arial"/>
                      <w:i w:val="0"/>
                      <w:iCs w:val="0"/>
                      <w:color w:val="auto"/>
                      <w:kern w:val="0"/>
                      <w:sz w:val="20"/>
                      <w:szCs w:val="20"/>
                      <w:highlight w:val="none"/>
                      <w:u w:val="none"/>
                      <w:lang w:val="en-US" w:eastAsia="zh-CN" w:bidi="ar"/>
                    </w:rPr>
                    <w:t>√</w:t>
                  </w:r>
                </w:p>
              </w:tc>
            </w:tr>
          </w:tbl>
          <w:p w14:paraId="171B50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MS Shell Dlg"/>
                <w:color w:val="auto"/>
                <w:kern w:val="0"/>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说明：标注“/”的项目为不检项。</w:t>
            </w:r>
          </w:p>
        </w:tc>
      </w:tr>
      <w:tr w14:paraId="21B91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53" w:type="dxa"/>
            <w:gridSpan w:val="4"/>
            <w:tcBorders>
              <w:top w:val="single" w:color="auto" w:sz="4" w:space="0"/>
              <w:left w:val="single" w:color="auto" w:sz="4" w:space="0"/>
              <w:bottom w:val="single" w:color="auto" w:sz="4" w:space="0"/>
              <w:right w:val="single" w:color="auto" w:sz="4" w:space="0"/>
            </w:tcBorders>
          </w:tcPr>
          <w:p w14:paraId="40F28F13">
            <w:pPr>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一、</w:t>
            </w:r>
            <w:r>
              <w:rPr>
                <w:rFonts w:hint="eastAsia" w:ascii="宋体" w:hAnsi="宋体" w:cs="宋体"/>
                <w:b/>
                <w:color w:val="auto"/>
                <w:sz w:val="24"/>
                <w:highlight w:val="none"/>
              </w:rPr>
              <w:t>商务要求</w:t>
            </w:r>
          </w:p>
        </w:tc>
      </w:tr>
      <w:tr w14:paraId="4E097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684" w:type="dxa"/>
            <w:gridSpan w:val="2"/>
            <w:tcBorders>
              <w:top w:val="single" w:color="auto" w:sz="4" w:space="0"/>
              <w:left w:val="single" w:color="auto" w:sz="4" w:space="0"/>
              <w:bottom w:val="single" w:color="auto" w:sz="4" w:space="0"/>
              <w:right w:val="single" w:color="auto" w:sz="4" w:space="0"/>
            </w:tcBorders>
            <w:vAlign w:val="center"/>
          </w:tcPr>
          <w:p w14:paraId="178AF38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b/>
                <w:bCs/>
                <w:color w:val="auto"/>
                <w:sz w:val="24"/>
                <w:highlight w:val="none"/>
              </w:rPr>
            </w:pPr>
            <w:r>
              <w:rPr>
                <w:rFonts w:hint="eastAsia" w:ascii="宋体" w:hAnsi="宋体" w:cs="宋体"/>
                <w:b w:val="0"/>
                <w:bCs w:val="0"/>
                <w:color w:val="auto"/>
                <w:sz w:val="24"/>
                <w:highlight w:val="none"/>
              </w:rPr>
              <w:t>体检完成时间、地点（服务期）</w:t>
            </w:r>
          </w:p>
        </w:tc>
        <w:tc>
          <w:tcPr>
            <w:tcW w:w="7769" w:type="dxa"/>
            <w:gridSpan w:val="2"/>
            <w:tcBorders>
              <w:top w:val="single" w:color="auto" w:sz="4" w:space="0"/>
              <w:left w:val="single" w:color="auto" w:sz="4" w:space="0"/>
              <w:bottom w:val="single" w:color="auto" w:sz="4" w:space="0"/>
              <w:right w:val="single" w:color="auto" w:sz="4" w:space="0"/>
            </w:tcBorders>
            <w:vAlign w:val="center"/>
          </w:tcPr>
          <w:p w14:paraId="144029EB">
            <w:pPr>
              <w:pStyle w:val="11"/>
              <w:spacing w:after="0" w:line="360" w:lineRule="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1.服务期：自合同签订之日起</w:t>
            </w:r>
            <w:r>
              <w:rPr>
                <w:rFonts w:hint="eastAsia" w:ascii="宋体" w:hAnsi="宋体" w:cs="宋体"/>
                <w:color w:val="auto"/>
                <w:kern w:val="2"/>
                <w:sz w:val="24"/>
                <w:szCs w:val="24"/>
                <w:highlight w:val="none"/>
                <w:lang w:val="en-US" w:eastAsia="zh-CN" w:bidi="ar-SA"/>
              </w:rPr>
              <w:t>一</w:t>
            </w:r>
            <w:r>
              <w:rPr>
                <w:rFonts w:hint="default" w:ascii="宋体" w:hAnsi="宋体" w:eastAsia="宋体" w:cs="宋体"/>
                <w:color w:val="auto"/>
                <w:kern w:val="2"/>
                <w:sz w:val="24"/>
                <w:szCs w:val="24"/>
                <w:highlight w:val="none"/>
                <w:lang w:val="en-US" w:eastAsia="zh-CN" w:bidi="ar-SA"/>
              </w:rPr>
              <w:t>年内完成2025年采购人教职工体检工作。</w:t>
            </w:r>
          </w:p>
          <w:p w14:paraId="781C86FF">
            <w:pPr>
              <w:pStyle w:val="11"/>
              <w:spacing w:after="0" w:line="360" w:lineRule="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2.体检时间：2025年体检一次。签订合同后，以采购人出具的书面通知为准，</w:t>
            </w:r>
            <w:r>
              <w:rPr>
                <w:rFonts w:hint="eastAsia" w:ascii="宋体" w:hAnsi="宋体" w:cs="宋体"/>
                <w:color w:val="auto"/>
                <w:kern w:val="2"/>
                <w:sz w:val="24"/>
                <w:szCs w:val="24"/>
                <w:highlight w:val="none"/>
                <w:lang w:val="en-US" w:eastAsia="zh-CN" w:bidi="ar-SA"/>
              </w:rPr>
              <w:t>成交</w:t>
            </w:r>
            <w:r>
              <w:rPr>
                <w:rFonts w:hint="default" w:ascii="宋体" w:hAnsi="宋体" w:eastAsia="宋体" w:cs="宋体"/>
                <w:color w:val="auto"/>
                <w:kern w:val="2"/>
                <w:sz w:val="24"/>
                <w:szCs w:val="24"/>
                <w:highlight w:val="none"/>
                <w:lang w:val="en-US" w:eastAsia="zh-CN" w:bidi="ar-SA"/>
              </w:rPr>
              <w:t>供应商接到采购人出具书面通知后30天内完成当年体检服务。</w:t>
            </w:r>
          </w:p>
          <w:p w14:paraId="33E5C386">
            <w:pPr>
              <w:pStyle w:val="11"/>
              <w:spacing w:after="0" w:line="360" w:lineRule="auto"/>
              <w:rPr>
                <w:rFonts w:hint="default" w:eastAsia="宋体"/>
                <w:color w:val="auto"/>
                <w:highlight w:val="none"/>
                <w:lang w:val="en-US" w:eastAsia="zh-CN"/>
              </w:rPr>
            </w:pPr>
            <w:r>
              <w:rPr>
                <w:rFonts w:hint="default" w:ascii="宋体" w:hAnsi="宋体" w:eastAsia="宋体" w:cs="宋体"/>
                <w:color w:val="auto"/>
                <w:kern w:val="2"/>
                <w:sz w:val="24"/>
                <w:szCs w:val="24"/>
                <w:highlight w:val="none"/>
                <w:lang w:val="en-US" w:eastAsia="zh-CN" w:bidi="ar-SA"/>
              </w:rPr>
              <w:t>3.体检地点：教职工体检的场所设置在体检机构的体检中心内。</w:t>
            </w:r>
          </w:p>
        </w:tc>
      </w:tr>
      <w:tr w14:paraId="2CAAF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684" w:type="dxa"/>
            <w:gridSpan w:val="2"/>
            <w:tcBorders>
              <w:top w:val="single" w:color="auto" w:sz="4" w:space="0"/>
              <w:left w:val="single" w:color="auto" w:sz="4" w:space="0"/>
              <w:bottom w:val="single" w:color="auto" w:sz="4" w:space="0"/>
              <w:right w:val="single" w:color="auto" w:sz="4" w:space="0"/>
            </w:tcBorders>
            <w:vAlign w:val="center"/>
          </w:tcPr>
          <w:p w14:paraId="741BCD45">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b/>
                <w:color w:val="auto"/>
                <w:sz w:val="24"/>
                <w:highlight w:val="none"/>
              </w:rPr>
            </w:pPr>
            <w:r>
              <w:rPr>
                <w:rFonts w:hint="eastAsia" w:ascii="宋体" w:hAnsi="宋体" w:cs="宋体"/>
                <w:color w:val="auto"/>
                <w:sz w:val="24"/>
                <w:highlight w:val="none"/>
              </w:rPr>
              <w:t>合同签订时间</w:t>
            </w:r>
          </w:p>
        </w:tc>
        <w:tc>
          <w:tcPr>
            <w:tcW w:w="7769" w:type="dxa"/>
            <w:gridSpan w:val="2"/>
            <w:tcBorders>
              <w:top w:val="single" w:color="auto" w:sz="4" w:space="0"/>
              <w:left w:val="single" w:color="auto" w:sz="4" w:space="0"/>
              <w:bottom w:val="single" w:color="auto" w:sz="4" w:space="0"/>
              <w:right w:val="single" w:color="auto" w:sz="4" w:space="0"/>
            </w:tcBorders>
            <w:vAlign w:val="center"/>
          </w:tcPr>
          <w:p w14:paraId="39F34BC6">
            <w:pPr>
              <w:spacing w:line="360" w:lineRule="auto"/>
              <w:rPr>
                <w:rFonts w:ascii="宋体" w:hAnsi="宋体" w:cs="宋体"/>
                <w:b/>
                <w:color w:val="auto"/>
                <w:sz w:val="24"/>
                <w:highlight w:val="none"/>
              </w:rPr>
            </w:pPr>
            <w:r>
              <w:rPr>
                <w:rFonts w:hint="eastAsia" w:ascii="宋体" w:hAnsi="宋体" w:cs="宋体"/>
                <w:color w:val="auto"/>
                <w:sz w:val="24"/>
                <w:highlight w:val="none"/>
              </w:rPr>
              <w:t>自成交通知书发出之日起25日内。</w:t>
            </w:r>
          </w:p>
        </w:tc>
      </w:tr>
      <w:tr w14:paraId="14B29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684" w:type="dxa"/>
            <w:gridSpan w:val="2"/>
            <w:tcBorders>
              <w:top w:val="single" w:color="auto" w:sz="4" w:space="0"/>
              <w:left w:val="single" w:color="auto" w:sz="4" w:space="0"/>
              <w:bottom w:val="single" w:color="auto" w:sz="4" w:space="0"/>
              <w:right w:val="single" w:color="auto" w:sz="4" w:space="0"/>
            </w:tcBorders>
            <w:vAlign w:val="center"/>
          </w:tcPr>
          <w:p w14:paraId="785BF36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投标报价</w:t>
            </w:r>
          </w:p>
        </w:tc>
        <w:tc>
          <w:tcPr>
            <w:tcW w:w="7769" w:type="dxa"/>
            <w:gridSpan w:val="2"/>
            <w:tcBorders>
              <w:top w:val="single" w:color="auto" w:sz="4" w:space="0"/>
              <w:left w:val="single" w:color="auto" w:sz="4" w:space="0"/>
              <w:bottom w:val="single" w:color="auto" w:sz="4" w:space="0"/>
              <w:right w:val="single" w:color="auto" w:sz="4" w:space="0"/>
            </w:tcBorders>
            <w:vAlign w:val="center"/>
          </w:tcPr>
          <w:p w14:paraId="1D99C2F8">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1.本次报价为</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lang w:eastAsia="zh-CN"/>
              </w:rPr>
              <w:t>年服务期内按要求完成服务的全部价格，</w:t>
            </w:r>
            <w:r>
              <w:rPr>
                <w:rFonts w:hint="eastAsia" w:ascii="宋体" w:hAnsi="宋体" w:cs="宋体"/>
                <w:color w:val="auto"/>
                <w:sz w:val="24"/>
                <w:highlight w:val="none"/>
                <w:lang w:val="en-US" w:eastAsia="zh-CN"/>
              </w:rPr>
              <w:t>竞</w:t>
            </w:r>
            <w:r>
              <w:rPr>
                <w:rFonts w:hint="eastAsia" w:ascii="宋体" w:hAnsi="宋体" w:eastAsia="宋体" w:cs="宋体"/>
                <w:color w:val="auto"/>
                <w:sz w:val="24"/>
                <w:highlight w:val="none"/>
                <w:lang w:eastAsia="zh-CN"/>
              </w:rPr>
              <w:t>标报价单价包含体检、化验、材料（如设备、体检表格、消耗性材料等）、医疗垃圾管理及处置、体检结果分析、与本项目服务业务有关一切费用和政策性文件规定及合同包含的所有风险、责任等全部费用。</w:t>
            </w:r>
          </w:p>
          <w:p w14:paraId="7ADE3276">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2.采购人教职工约</w:t>
            </w:r>
            <w:r>
              <w:rPr>
                <w:rFonts w:hint="eastAsia" w:ascii="宋体" w:hAnsi="宋体" w:eastAsia="宋体" w:cs="宋体"/>
                <w:color w:val="auto"/>
                <w:sz w:val="24"/>
                <w:highlight w:val="none"/>
                <w:lang w:val="en-US" w:eastAsia="zh-CN"/>
              </w:rPr>
              <w:t>2786</w:t>
            </w:r>
            <w:r>
              <w:rPr>
                <w:rFonts w:hint="eastAsia" w:ascii="宋体" w:hAnsi="宋体" w:eastAsia="宋体" w:cs="宋体"/>
                <w:color w:val="auto"/>
                <w:sz w:val="24"/>
                <w:highlight w:val="none"/>
                <w:lang w:eastAsia="zh-CN"/>
              </w:rPr>
              <w:t>人，本项目采购预算：人民币</w:t>
            </w:r>
            <w:r>
              <w:rPr>
                <w:rFonts w:hint="eastAsia" w:ascii="宋体" w:hAnsi="宋体" w:eastAsia="宋体" w:cs="宋体"/>
                <w:color w:val="auto"/>
                <w:sz w:val="24"/>
                <w:highlight w:val="none"/>
                <w:lang w:val="en-US" w:eastAsia="zh-CN"/>
              </w:rPr>
              <w:t>220.09</w:t>
            </w:r>
            <w:r>
              <w:rPr>
                <w:rFonts w:hint="eastAsia" w:ascii="宋体" w:hAnsi="宋体" w:eastAsia="宋体" w:cs="宋体"/>
                <w:color w:val="auto"/>
                <w:sz w:val="24"/>
                <w:highlight w:val="none"/>
                <w:lang w:eastAsia="zh-CN"/>
              </w:rPr>
              <w:t>万元【本项目最高限价：</w:t>
            </w:r>
            <w:r>
              <w:rPr>
                <w:rFonts w:hint="eastAsia" w:ascii="宋体" w:hAnsi="宋体" w:eastAsia="宋体" w:cs="宋体"/>
                <w:color w:val="auto"/>
                <w:sz w:val="24"/>
                <w:highlight w:val="none"/>
                <w:lang w:val="en-US" w:eastAsia="zh-CN"/>
              </w:rPr>
              <w:t>220.09</w:t>
            </w:r>
            <w:r>
              <w:rPr>
                <w:rFonts w:hint="eastAsia" w:ascii="宋体" w:hAnsi="宋体" w:eastAsia="宋体" w:cs="宋体"/>
                <w:color w:val="auto"/>
                <w:sz w:val="24"/>
                <w:highlight w:val="none"/>
                <w:lang w:eastAsia="zh-CN"/>
              </w:rPr>
              <w:t>万（其中，单价最高限价</w:t>
            </w:r>
            <w:r>
              <w:rPr>
                <w:rFonts w:hint="eastAsia" w:ascii="宋体" w:hAnsi="宋体" w:eastAsia="宋体" w:cs="宋体"/>
                <w:color w:val="auto"/>
                <w:sz w:val="24"/>
                <w:highlight w:val="none"/>
                <w:lang w:val="en-US" w:eastAsia="zh-CN"/>
              </w:rPr>
              <w:t>7</w:t>
            </w:r>
            <w:r>
              <w:rPr>
                <w:rFonts w:hint="eastAsia" w:ascii="宋体" w:hAnsi="宋体" w:cs="宋体"/>
                <w:color w:val="auto"/>
                <w:sz w:val="24"/>
                <w:highlight w:val="none"/>
                <w:lang w:val="en-US" w:eastAsia="zh-CN"/>
              </w:rPr>
              <w:t>90</w:t>
            </w:r>
            <w:r>
              <w:rPr>
                <w:rFonts w:hint="eastAsia" w:ascii="宋体" w:hAnsi="宋体" w:eastAsia="宋体" w:cs="宋体"/>
                <w:color w:val="auto"/>
                <w:sz w:val="24"/>
                <w:highlight w:val="none"/>
                <w:lang w:eastAsia="zh-CN"/>
              </w:rPr>
              <w:t>元/人）】。</w:t>
            </w:r>
          </w:p>
          <w:p w14:paraId="022801A3">
            <w:pPr>
              <w:spacing w:line="360" w:lineRule="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3.单价最高限价790元/人体检内容为1.2025年拟定基础体检项目或2.1+X：基础套餐+专项体检方案X套餐1-4项中任意一项套餐内容。</w:t>
            </w:r>
          </w:p>
        </w:tc>
      </w:tr>
      <w:tr w14:paraId="1A16D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684" w:type="dxa"/>
            <w:gridSpan w:val="2"/>
            <w:tcBorders>
              <w:top w:val="single" w:color="auto" w:sz="4" w:space="0"/>
              <w:left w:val="single" w:color="auto" w:sz="4" w:space="0"/>
              <w:bottom w:val="single" w:color="auto" w:sz="4" w:space="0"/>
              <w:right w:val="single" w:color="auto" w:sz="4" w:space="0"/>
            </w:tcBorders>
            <w:vAlign w:val="center"/>
          </w:tcPr>
          <w:p w14:paraId="14B1A54B">
            <w:pPr>
              <w:pStyle w:val="6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b/>
                <w:color w:val="auto"/>
                <w:sz w:val="24"/>
                <w:highlight w:val="none"/>
              </w:rPr>
            </w:pPr>
            <w:r>
              <w:rPr>
                <w:rFonts w:hint="eastAsia" w:ascii="宋体" w:hAnsi="宋体" w:cs="宋体"/>
                <w:color w:val="auto"/>
                <w:sz w:val="24"/>
                <w:highlight w:val="none"/>
              </w:rPr>
              <w:t>付款条件</w:t>
            </w:r>
          </w:p>
        </w:tc>
        <w:tc>
          <w:tcPr>
            <w:tcW w:w="7769" w:type="dxa"/>
            <w:gridSpan w:val="2"/>
            <w:tcBorders>
              <w:top w:val="single" w:color="auto" w:sz="4" w:space="0"/>
              <w:left w:val="single" w:color="auto" w:sz="4" w:space="0"/>
              <w:bottom w:val="single" w:color="auto" w:sz="4" w:space="0"/>
              <w:right w:val="single" w:color="auto" w:sz="4" w:space="0"/>
            </w:tcBorders>
            <w:vAlign w:val="center"/>
          </w:tcPr>
          <w:p w14:paraId="1881566C">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本项目按实际结算，</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次</w:t>
            </w:r>
            <w:r>
              <w:rPr>
                <w:rFonts w:hint="eastAsia" w:ascii="宋体" w:hAnsi="宋体" w:cs="宋体"/>
                <w:color w:val="auto"/>
                <w:sz w:val="24"/>
                <w:highlight w:val="none"/>
                <w:lang w:val="en-US" w:eastAsia="zh-CN"/>
              </w:rPr>
              <w:t>性付款</w:t>
            </w:r>
            <w:r>
              <w:rPr>
                <w:rFonts w:hint="eastAsia" w:ascii="宋体" w:hAnsi="宋体" w:cs="宋体"/>
                <w:color w:val="auto"/>
                <w:sz w:val="24"/>
                <w:highlight w:val="none"/>
              </w:rPr>
              <w:t>。</w:t>
            </w:r>
          </w:p>
          <w:p w14:paraId="27CF4BC6">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2.成交</w:t>
            </w:r>
            <w:r>
              <w:rPr>
                <w:rFonts w:hint="eastAsia" w:ascii="宋体" w:hAnsi="宋体" w:cs="宋体"/>
                <w:color w:val="auto"/>
                <w:sz w:val="24"/>
                <w:highlight w:val="none"/>
              </w:rPr>
              <w:t>体检机构完成健康体检并向采购人指定部门提交相关健康体检报告及统计汇总材料，采购人人事处与</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体检机构核对已参加体检人数及体检项目无问题后，采购人财务按实际体检人数乘以</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单价进行结算，若有违约金、赔偿金等扣款，则按合同约定扣除该部分服务费后再支付给</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体检机构。</w:t>
            </w:r>
          </w:p>
          <w:p w14:paraId="1BFA6F4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3.成交</w:t>
            </w:r>
            <w:r>
              <w:rPr>
                <w:rFonts w:hint="eastAsia" w:ascii="宋体" w:hAnsi="宋体" w:cs="宋体"/>
                <w:color w:val="auto"/>
                <w:sz w:val="24"/>
                <w:highlight w:val="none"/>
              </w:rPr>
              <w:t>体检机构需在付款前开具正式发票给采购人。</w:t>
            </w:r>
          </w:p>
        </w:tc>
      </w:tr>
      <w:tr w14:paraId="1C771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684" w:type="dxa"/>
            <w:gridSpan w:val="2"/>
            <w:tcBorders>
              <w:top w:val="single" w:color="auto" w:sz="4" w:space="0"/>
              <w:left w:val="single" w:color="auto" w:sz="4" w:space="0"/>
              <w:bottom w:val="single" w:color="auto" w:sz="4" w:space="0"/>
              <w:right w:val="single" w:color="auto" w:sz="4" w:space="0"/>
            </w:tcBorders>
            <w:vAlign w:val="center"/>
          </w:tcPr>
          <w:p w14:paraId="46A4A0FB">
            <w:pPr>
              <w:pStyle w:val="6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服务标准、服务效率、售后服务要求</w:t>
            </w:r>
          </w:p>
        </w:tc>
        <w:tc>
          <w:tcPr>
            <w:tcW w:w="7769" w:type="dxa"/>
            <w:gridSpan w:val="2"/>
            <w:tcBorders>
              <w:top w:val="single" w:color="auto" w:sz="4" w:space="0"/>
              <w:left w:val="single" w:color="auto" w:sz="4" w:space="0"/>
              <w:bottom w:val="single" w:color="auto" w:sz="4" w:space="0"/>
              <w:right w:val="single" w:color="auto" w:sz="4" w:space="0"/>
            </w:tcBorders>
            <w:vAlign w:val="center"/>
          </w:tcPr>
          <w:p w14:paraId="45A53903">
            <w:pPr>
              <w:spacing w:line="360" w:lineRule="auto"/>
              <w:rPr>
                <w:rFonts w:hint="eastAsia" w:ascii="宋体" w:hAnsi="宋体" w:cs="宋体"/>
                <w:color w:val="auto"/>
                <w:sz w:val="24"/>
                <w:highlight w:val="none"/>
              </w:rPr>
            </w:pPr>
            <w:r>
              <w:rPr>
                <w:rFonts w:hint="eastAsia" w:ascii="宋体" w:hAnsi="宋体" w:cs="宋体"/>
                <w:color w:val="auto"/>
                <w:sz w:val="24"/>
                <w:highlight w:val="none"/>
              </w:rPr>
              <w:t>1.医务工作人员必须具备国家规定的资质，要求业务技术精、工作责任心强、服务态度好的医务人员参加体检工作；拟投入为本次体检服务的医务人员人数不少于20人。</w:t>
            </w:r>
          </w:p>
          <w:p w14:paraId="5FF5D7FF">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2.在体检过程中，因服务人员操作失误或检查材料问题导致的责任事故，由体检单位负责。</w:t>
            </w:r>
          </w:p>
          <w:p w14:paraId="5AC3ADE0">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3.有漏检教职工能按照采购人要求的时间予以补检；</w:t>
            </w:r>
          </w:p>
          <w:p w14:paraId="7EDC7C89">
            <w:pPr>
              <w:spacing w:line="360" w:lineRule="auto"/>
              <w:rPr>
                <w:rFonts w:hint="eastAsia" w:ascii="宋体" w:hAnsi="宋体" w:cs="宋体"/>
                <w:color w:val="auto"/>
                <w:sz w:val="24"/>
                <w:highlight w:val="none"/>
              </w:rPr>
            </w:pPr>
            <w:r>
              <w:rPr>
                <w:rFonts w:hint="eastAsia" w:ascii="宋体" w:hAnsi="宋体" w:cs="宋体"/>
                <w:color w:val="auto"/>
                <w:sz w:val="24"/>
                <w:highlight w:val="none"/>
              </w:rPr>
              <w:t>4.体检有异常者及时（当天）通知采购人或体检者本人，并能及时给予复检，复检费用由个人自付；</w:t>
            </w:r>
          </w:p>
          <w:p w14:paraId="3FF3E43B">
            <w:pPr>
              <w:spacing w:line="360" w:lineRule="auto"/>
              <w:rPr>
                <w:rFonts w:hint="eastAsia" w:ascii="宋体" w:hAnsi="宋体" w:cs="宋体"/>
                <w:color w:val="auto"/>
                <w:sz w:val="24"/>
                <w:highlight w:val="none"/>
              </w:rPr>
            </w:pPr>
            <w:r>
              <w:rPr>
                <w:rFonts w:hint="eastAsia" w:ascii="宋体" w:hAnsi="宋体" w:cs="宋体"/>
                <w:color w:val="auto"/>
                <w:sz w:val="24"/>
                <w:highlight w:val="none"/>
              </w:rPr>
              <w:t>5.体检后将检验报告交给采购人指定部门，并加盖体检机构印章；</w:t>
            </w:r>
          </w:p>
          <w:p w14:paraId="3D42E221">
            <w:pPr>
              <w:spacing w:line="360" w:lineRule="auto"/>
              <w:rPr>
                <w:rFonts w:hint="eastAsia" w:ascii="宋体" w:hAnsi="宋体" w:cs="宋体"/>
                <w:color w:val="auto"/>
                <w:sz w:val="24"/>
                <w:highlight w:val="none"/>
              </w:rPr>
            </w:pPr>
            <w:r>
              <w:rPr>
                <w:rFonts w:hint="eastAsia" w:ascii="宋体" w:hAnsi="宋体" w:cs="宋体"/>
                <w:color w:val="auto"/>
                <w:sz w:val="24"/>
                <w:highlight w:val="none"/>
              </w:rPr>
              <w:t>6.体检结束后20个工作日全部返回体检表，给出体检结论，并提供由电脑汇总电子档资料一份。</w:t>
            </w:r>
          </w:p>
        </w:tc>
      </w:tr>
      <w:tr w14:paraId="02382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684" w:type="dxa"/>
            <w:gridSpan w:val="2"/>
            <w:tcBorders>
              <w:top w:val="single" w:color="auto" w:sz="4" w:space="0"/>
              <w:left w:val="single" w:color="auto" w:sz="4" w:space="0"/>
              <w:bottom w:val="single" w:color="auto" w:sz="4" w:space="0"/>
              <w:right w:val="single" w:color="auto" w:sz="4" w:space="0"/>
            </w:tcBorders>
            <w:vAlign w:val="center"/>
          </w:tcPr>
          <w:p w14:paraId="4674AE4F">
            <w:pPr>
              <w:pStyle w:val="6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履约保证金</w:t>
            </w:r>
          </w:p>
        </w:tc>
        <w:tc>
          <w:tcPr>
            <w:tcW w:w="7769" w:type="dxa"/>
            <w:gridSpan w:val="2"/>
            <w:tcBorders>
              <w:top w:val="single" w:color="auto" w:sz="4" w:space="0"/>
              <w:left w:val="single" w:color="auto" w:sz="4" w:space="0"/>
              <w:bottom w:val="single" w:color="auto" w:sz="4" w:space="0"/>
              <w:right w:val="single" w:color="auto" w:sz="4" w:space="0"/>
            </w:tcBorders>
            <w:vAlign w:val="center"/>
          </w:tcPr>
          <w:p w14:paraId="7C90E6C6">
            <w:pPr>
              <w:spacing w:line="360" w:lineRule="auto"/>
              <w:rPr>
                <w:rFonts w:hint="eastAsia" w:ascii="宋体" w:hAnsi="宋体" w:cs="宋体"/>
                <w:color w:val="auto"/>
                <w:sz w:val="24"/>
                <w:highlight w:val="none"/>
              </w:rPr>
            </w:pPr>
            <w:r>
              <w:rPr>
                <w:rFonts w:hint="eastAsia" w:ascii="宋体" w:hAnsi="宋体" w:cs="宋体"/>
                <w:color w:val="auto"/>
                <w:sz w:val="24"/>
                <w:highlight w:val="none"/>
              </w:rPr>
              <w:t>1.履约保证金为成交合同金额的5%（根据《广西壮族自治区财政厅关于持续优化政府采购营商环境推动高质量发展的通知》（桂财采〔2024〕55号）</w:t>
            </w:r>
            <w:r>
              <w:rPr>
                <w:rFonts w:hint="eastAsia" w:ascii="宋体" w:hAnsi="宋体" w:cs="宋体"/>
                <w:color w:val="auto"/>
                <w:sz w:val="24"/>
                <w:highlight w:val="none"/>
                <w:lang w:val="en-US" w:eastAsia="zh-CN"/>
              </w:rPr>
              <w:t>规定</w:t>
            </w:r>
            <w:r>
              <w:rPr>
                <w:rFonts w:hint="eastAsia" w:ascii="宋体" w:hAnsi="宋体" w:cs="宋体"/>
                <w:color w:val="auto"/>
                <w:sz w:val="24"/>
                <w:highlight w:val="none"/>
              </w:rPr>
              <w:t>，中小企业的履约保证金数额按成交金额的2%），合同签订之后五个工作日内缴纳。</w:t>
            </w:r>
          </w:p>
          <w:p w14:paraId="2FB71F31">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2.合同签订后，如供应商按合同履约，本项目合同期满后，</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自收到函件之日起二十个工作日内向供应商退回（无息）。如供应商不按双方签订的合同履约的，履约保证金不予退还，履约保证金不足以赔偿实际损失的，按实际损失赔偿。</w:t>
            </w:r>
          </w:p>
          <w:p w14:paraId="6F4C712E">
            <w:pPr>
              <w:spacing w:line="360" w:lineRule="auto"/>
              <w:rPr>
                <w:rFonts w:hint="eastAsia" w:ascii="宋体" w:hAnsi="宋体" w:cs="宋体"/>
                <w:color w:val="auto"/>
                <w:sz w:val="24"/>
                <w:highlight w:val="none"/>
              </w:rPr>
            </w:pPr>
            <w:r>
              <w:rPr>
                <w:rFonts w:hint="eastAsia" w:ascii="宋体" w:hAnsi="宋体" w:cs="宋体"/>
                <w:color w:val="auto"/>
                <w:sz w:val="24"/>
                <w:highlight w:val="none"/>
              </w:rPr>
              <w:t>3.履约保证金递交方式：以电汇、转账、汇票等非现金形式提交。由供应商在签订合同前按规定的金额直接缴入招标人账户，凭履约保证金缴纳凭证签订合同。</w:t>
            </w:r>
          </w:p>
          <w:p w14:paraId="5EA392D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开户名称：广西民族大学              </w:t>
            </w:r>
          </w:p>
          <w:p w14:paraId="53784AD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开户银行：工行广西南宁市西乡塘支行  </w:t>
            </w:r>
          </w:p>
          <w:p w14:paraId="43DDCB9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银行账号：2102 1113 0924 9010 118   </w:t>
            </w:r>
          </w:p>
        </w:tc>
      </w:tr>
      <w:tr w14:paraId="3BD55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9453" w:type="dxa"/>
            <w:gridSpan w:val="4"/>
            <w:tcBorders>
              <w:top w:val="single" w:color="auto" w:sz="4" w:space="0"/>
              <w:left w:val="single" w:color="auto" w:sz="4" w:space="0"/>
              <w:bottom w:val="single" w:color="auto" w:sz="4" w:space="0"/>
              <w:right w:val="single" w:color="auto" w:sz="4" w:space="0"/>
            </w:tcBorders>
            <w:vAlign w:val="center"/>
          </w:tcPr>
          <w:p w14:paraId="624201C5">
            <w:pPr>
              <w:spacing w:line="360" w:lineRule="auto"/>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二、其他要求</w:t>
            </w:r>
          </w:p>
        </w:tc>
      </w:tr>
      <w:tr w14:paraId="7E783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684" w:type="dxa"/>
            <w:gridSpan w:val="2"/>
            <w:tcBorders>
              <w:top w:val="single" w:color="auto" w:sz="4" w:space="0"/>
              <w:bottom w:val="single" w:color="auto" w:sz="4" w:space="0"/>
              <w:right w:val="single" w:color="auto" w:sz="4" w:space="0"/>
            </w:tcBorders>
            <w:vAlign w:val="center"/>
          </w:tcPr>
          <w:p w14:paraId="275E794E">
            <w:pPr>
              <w:pStyle w:val="6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b/>
                <w:bCs/>
                <w:color w:val="auto"/>
                <w:sz w:val="24"/>
                <w:highlight w:val="none"/>
                <w:lang w:eastAsia="zh-CN"/>
              </w:rPr>
            </w:pPr>
            <w:r>
              <w:rPr>
                <w:rFonts w:hint="eastAsia" w:ascii="宋体" w:hAnsi="宋体" w:cs="宋体"/>
                <w:color w:val="auto"/>
                <w:sz w:val="24"/>
                <w:highlight w:val="none"/>
                <w:lang w:eastAsia="zh-CN"/>
              </w:rPr>
              <w:t>验收标准</w:t>
            </w:r>
          </w:p>
        </w:tc>
        <w:tc>
          <w:tcPr>
            <w:tcW w:w="7769" w:type="dxa"/>
            <w:gridSpan w:val="2"/>
            <w:tcBorders>
              <w:top w:val="single" w:color="auto" w:sz="4" w:space="0"/>
              <w:left w:val="single" w:color="auto" w:sz="4" w:space="0"/>
              <w:bottom w:val="single" w:color="auto" w:sz="4" w:space="0"/>
            </w:tcBorders>
            <w:vAlign w:val="center"/>
          </w:tcPr>
          <w:p w14:paraId="1DF83013">
            <w:pPr>
              <w:pStyle w:val="67"/>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采购人组织验收。</w:t>
            </w:r>
          </w:p>
          <w:p w14:paraId="629C3A3C">
            <w:pPr>
              <w:pStyle w:val="67"/>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所有服务均严格按</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文件上购买服务内容的实质要求、</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供应商响应和承诺的服务内容等有关标准进行验收，达不到要求的不予验收。</w:t>
            </w:r>
          </w:p>
        </w:tc>
      </w:tr>
      <w:tr w14:paraId="4299C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684" w:type="dxa"/>
            <w:gridSpan w:val="2"/>
            <w:tcBorders>
              <w:top w:val="single" w:color="auto" w:sz="4" w:space="0"/>
              <w:bottom w:val="single" w:color="auto" w:sz="4" w:space="0"/>
              <w:right w:val="single" w:color="auto" w:sz="4" w:space="0"/>
            </w:tcBorders>
            <w:vAlign w:val="center"/>
          </w:tcPr>
          <w:p w14:paraId="7AB1BF44">
            <w:pPr>
              <w:pStyle w:val="6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管理体系要求</w:t>
            </w:r>
          </w:p>
        </w:tc>
        <w:tc>
          <w:tcPr>
            <w:tcW w:w="7769" w:type="dxa"/>
            <w:gridSpan w:val="2"/>
            <w:tcBorders>
              <w:top w:val="single" w:color="auto" w:sz="4" w:space="0"/>
              <w:left w:val="single" w:color="auto" w:sz="4" w:space="0"/>
              <w:bottom w:val="single" w:color="auto" w:sz="4" w:space="0"/>
            </w:tcBorders>
            <w:vAlign w:val="center"/>
          </w:tcPr>
          <w:p w14:paraId="223A2EFF">
            <w:pPr>
              <w:pStyle w:val="67"/>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详见《第四章  评标方法及评标标准》</w:t>
            </w:r>
          </w:p>
        </w:tc>
      </w:tr>
      <w:tr w14:paraId="328CB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1684" w:type="dxa"/>
            <w:gridSpan w:val="2"/>
            <w:tcBorders>
              <w:top w:val="single" w:color="auto" w:sz="4" w:space="0"/>
              <w:bottom w:val="single" w:color="auto" w:sz="4" w:space="0"/>
              <w:right w:val="single" w:color="auto" w:sz="4" w:space="0"/>
            </w:tcBorders>
            <w:vAlign w:val="center"/>
          </w:tcPr>
          <w:p w14:paraId="6E42860E">
            <w:pPr>
              <w:pStyle w:val="6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能力或业绩要求</w:t>
            </w:r>
          </w:p>
        </w:tc>
        <w:tc>
          <w:tcPr>
            <w:tcW w:w="7769" w:type="dxa"/>
            <w:gridSpan w:val="2"/>
            <w:tcBorders>
              <w:top w:val="single" w:color="auto" w:sz="4" w:space="0"/>
              <w:left w:val="single" w:color="auto" w:sz="4" w:space="0"/>
              <w:bottom w:val="single" w:color="auto" w:sz="4" w:space="0"/>
            </w:tcBorders>
            <w:vAlign w:val="center"/>
          </w:tcPr>
          <w:p w14:paraId="4EE2C2DD">
            <w:pPr>
              <w:pStyle w:val="67"/>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详见《第四章  评标方法及评标标准》</w:t>
            </w:r>
          </w:p>
        </w:tc>
      </w:tr>
      <w:tr w14:paraId="64B80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84" w:type="dxa"/>
            <w:gridSpan w:val="2"/>
            <w:tcBorders>
              <w:top w:val="single" w:color="auto" w:sz="4" w:space="0"/>
              <w:bottom w:val="single" w:color="auto" w:sz="4" w:space="0"/>
              <w:right w:val="single" w:color="auto" w:sz="4" w:space="0"/>
            </w:tcBorders>
            <w:vAlign w:val="center"/>
          </w:tcPr>
          <w:p w14:paraId="5B2E9B3F">
            <w:pPr>
              <w:pStyle w:val="6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其他要求</w:t>
            </w:r>
          </w:p>
        </w:tc>
        <w:tc>
          <w:tcPr>
            <w:tcW w:w="7769" w:type="dxa"/>
            <w:gridSpan w:val="2"/>
            <w:tcBorders>
              <w:top w:val="single" w:color="auto" w:sz="4" w:space="0"/>
              <w:left w:val="single" w:color="auto" w:sz="4" w:space="0"/>
              <w:bottom w:val="single" w:color="auto" w:sz="4" w:space="0"/>
            </w:tcBorders>
            <w:vAlign w:val="center"/>
          </w:tcPr>
          <w:p w14:paraId="066BD424">
            <w:pPr>
              <w:pStyle w:val="67"/>
              <w:spacing w:line="360" w:lineRule="auto"/>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体检机构应根据项目要求，在响应文件中提供包括体检服务方案及承诺、对教职工健康管理服务方案及服务承诺、投入的设备方案、体检环境介绍、业绩等内容。</w:t>
            </w:r>
          </w:p>
        </w:tc>
      </w:tr>
    </w:tbl>
    <w:p w14:paraId="4B931B40">
      <w:pPr>
        <w:spacing w:line="360" w:lineRule="auto"/>
        <w:ind w:left="-10" w:leftChars="-5" w:right="2" w:rightChars="1" w:firstLine="482" w:firstLineChars="200"/>
        <w:rPr>
          <w:rFonts w:ascii="宋体" w:hAnsi="宋体" w:cs="宋体"/>
          <w:b/>
          <w:bCs/>
          <w:color w:val="auto"/>
          <w:sz w:val="24"/>
          <w:highlight w:val="none"/>
        </w:rPr>
      </w:pPr>
    </w:p>
    <w:p w14:paraId="0D9A0BEC">
      <w:pPr>
        <w:pStyle w:val="15"/>
        <w:jc w:val="left"/>
        <w:rPr>
          <w:rFonts w:hint="eastAsia" w:hAnsi="宋体" w:cs="宋体"/>
          <w:bCs/>
          <w:color w:val="auto"/>
          <w:sz w:val="24"/>
          <w:highlight w:val="none"/>
          <w:u w:val="single"/>
        </w:rPr>
      </w:pPr>
      <w:r>
        <w:rPr>
          <w:rFonts w:hint="eastAsia" w:hAnsi="宋体" w:cs="宋体"/>
          <w:bCs/>
          <w:color w:val="auto"/>
          <w:sz w:val="24"/>
          <w:highlight w:val="none"/>
          <w:u w:val="single"/>
        </w:rPr>
        <w:br w:type="page"/>
      </w:r>
      <w:bookmarkStart w:id="34" w:name="_Toc74323459"/>
    </w:p>
    <w:p w14:paraId="139C0E88">
      <w:pPr>
        <w:pStyle w:val="15"/>
        <w:jc w:val="left"/>
        <w:rPr>
          <w:rFonts w:hAnsi="宋体" w:cs="宋体"/>
          <w:color w:val="auto"/>
          <w:sz w:val="32"/>
          <w:szCs w:val="32"/>
          <w:highlight w:val="none"/>
        </w:rPr>
      </w:pPr>
      <w:r>
        <w:rPr>
          <w:rFonts w:hint="eastAsia" w:hAnsi="宋体" w:cs="宋体"/>
          <w:color w:val="auto"/>
          <w:sz w:val="32"/>
          <w:szCs w:val="32"/>
          <w:highlight w:val="none"/>
        </w:rPr>
        <w:t>附：</w:t>
      </w:r>
    </w:p>
    <w:p w14:paraId="48730455">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1FB02064">
      <w:pPr>
        <w:ind w:left="1871"/>
        <w:rPr>
          <w:rFonts w:ascii="宋体" w:hAnsi="宋体" w:cs="宋体"/>
          <w:color w:val="auto"/>
          <w:szCs w:val="21"/>
          <w:highlight w:val="none"/>
        </w:rPr>
      </w:pPr>
    </w:p>
    <w:tbl>
      <w:tblPr>
        <w:tblStyle w:val="27"/>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0462A289">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C091DC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70C6D22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71C799E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08EA5A4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126338A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0315A94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0241077">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67DE5E4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5913ED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8AB4C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FBA9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3E7582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770A7E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727D93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448C8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6D17ED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F38D6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B942A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4FCBB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14CB2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37A188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8BE8838">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6E14B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F69A7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6A425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110A67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40C0A9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D47FA0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BC02BF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D15A1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CCACF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C4D10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298C40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2AD004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B76EC3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AC9DC3F">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503A6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67CE34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2075D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17542E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534080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B598D7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E45F5C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70B807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131D0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D8B4EE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7552DC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3BE170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899423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DE4945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C8E68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E4A54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29908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78D906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67350A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AA1590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340A3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03DCDA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D9FDA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5C174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68B63C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6B6E20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991792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B1851F5">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B9EA8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E608B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3BE06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3D004D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76BE77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ABED8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51E3F1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173157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DB26D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7EE8E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6B468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CB294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46935B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1B909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EC54B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F0306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D845C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55BCCE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481C05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DAD690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ADA27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4271A4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89999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7001F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2E45CC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5097F2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27D7A9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72C70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E707C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1A646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B6DAB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75D651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0116E7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E84749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FBBC77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47BB11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CE7CC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1D8CA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6625E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367A38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D89254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81C76D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8C887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E0DF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9D857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4556FC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35FE6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6C06D3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C52BA7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085589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C8397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1203C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F9AC2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CA7A1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BE1973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3DAFBEA">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FDEAD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782D6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8A2F9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592F66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E2D1E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E0F31B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9A3481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18622C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B996C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CA6F7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FDA29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6150A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1497B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34B3F9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5F5F2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63912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27EA1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7919A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50022A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E7262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AB1FC5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245546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2DF2A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86061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6C71E4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13C63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A3EFC4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2144E9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C1FDD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A2AC0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F076A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59AFC2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6083A7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D2FC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47C087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2AF31D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83937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B330C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30BF3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DBBD0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2CB3C74">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6F927E41">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06AF9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3A584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6187A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2A75BC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4FD32C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49BBA6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F6ACF0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08295D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CBA53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C52C9A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6E86C2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68A855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C7885F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BE2C82A">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EB2CE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2561A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88A51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0EC900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436FF7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1BF9BB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7A05AF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666FD9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C6C38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9049A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4E64C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6DF3AD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578C7F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1121F1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508E6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DDC9E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EB109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532057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4B563A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F9CFD7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2D26F4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000270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70438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04CFB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0B19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80579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7324FF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6E25A6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D13EE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2562E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B9E12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7AF7F1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6DCAF3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745036">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3269797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569F05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0814A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82001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CDD52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8B6BF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9DDF91E">
      <w:pPr>
        <w:spacing w:line="360" w:lineRule="auto"/>
        <w:ind w:firstLine="525" w:firstLineChars="250"/>
        <w:rPr>
          <w:rFonts w:ascii="宋体" w:hAnsi="宋体" w:cs="宋体"/>
          <w:color w:val="auto"/>
          <w:szCs w:val="21"/>
          <w:highlight w:val="none"/>
        </w:rPr>
      </w:pPr>
    </w:p>
    <w:p w14:paraId="413FE15B">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CB308F1">
      <w:pPr>
        <w:pStyle w:val="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第四章  评审程序、评审方法和评审标准</w:t>
      </w:r>
      <w:bookmarkEnd w:id="34"/>
    </w:p>
    <w:p w14:paraId="3B0E6842">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45ED8849">
      <w:pPr>
        <w:spacing w:line="360" w:lineRule="auto"/>
        <w:ind w:firstLine="482" w:firstLineChars="200"/>
        <w:rPr>
          <w:rFonts w:ascii="宋体" w:hAnsi="宋体" w:cs="宋体"/>
          <w:b/>
          <w:bCs/>
          <w:color w:val="auto"/>
          <w:sz w:val="24"/>
          <w:highlight w:val="none"/>
        </w:rPr>
      </w:pPr>
    </w:p>
    <w:p w14:paraId="76C7F33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4160A9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1.1响应文件开启后，磋商小组依法对供应商的资格证明文件进行审查。</w:t>
      </w:r>
    </w:p>
    <w:p w14:paraId="2740FFF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color w:val="auto"/>
          <w:highlight w:val="none"/>
        </w:rPr>
        <w:fldChar w:fldCharType="end"/>
      </w:r>
      <w:r>
        <w:rPr>
          <w:rFonts w:hint="eastAsia" w:ascii="宋体" w:hAnsi="宋体" w:cs="宋体"/>
          <w:color w:val="auto"/>
          <w:sz w:val="24"/>
          <w:highlight w:val="none"/>
        </w:rPr>
        <w:t>）</w:t>
      </w:r>
    </w:p>
    <w:p w14:paraId="2A722B6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21053BD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（3）查询记录和证据留存方式：将查询网站中的查询记录截图并作为评审资料保存。</w:t>
      </w:r>
    </w:p>
    <w:p w14:paraId="1286B17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93412B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1.2资格审查标准为本磋商文件中载明对供应商资格要求的条件。资格审查采用合格制，凡符合磋商文件规定的供应商资格要求的响应文件均通过资格审查。</w:t>
      </w:r>
    </w:p>
    <w:p w14:paraId="5EF0F3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1.3供应商有下列情形之一的，资格审查不通过，其响应文件按无效响应处理：</w:t>
      </w:r>
    </w:p>
    <w:p w14:paraId="460AC7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（1）不具备磋商文件中规定的资格要求的；</w:t>
      </w:r>
    </w:p>
    <w:p w14:paraId="0767BD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（2）响应文件的资格证明文件缺少任一项“供应商须知前附表”资格证明文件规定的“必须提供”的文件资料的；</w:t>
      </w:r>
    </w:p>
    <w:p w14:paraId="0AF2F2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（3）响应文件中的资格证明文件出现任一项不符合“供应商须知前附表”资格证明文件规定的“必须提供”的文件资料要求或者无效的；</w:t>
      </w:r>
    </w:p>
    <w:p w14:paraId="700B31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2F1B36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1.4通过资格审查的合格供应商不足3家的，不得进入符合性审查环节，采购人或者采购代理机构应当重新开展采购活动。</w:t>
      </w:r>
    </w:p>
    <w:p w14:paraId="235E0C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30EBE2CF">
      <w:pPr>
        <w:spacing w:line="360" w:lineRule="auto"/>
        <w:ind w:firstLine="480" w:firstLineChars="200"/>
        <w:rPr>
          <w:rFonts w:ascii="宋体" w:hAnsi="宋体" w:cs="宋体"/>
          <w:color w:val="auto"/>
          <w:sz w:val="24"/>
          <w:highlight w:val="none"/>
        </w:rPr>
      </w:pPr>
      <w:bookmarkStart w:id="35" w:name="_Hlk42528882"/>
      <w:r>
        <w:rPr>
          <w:rFonts w:hint="eastAsia" w:ascii="宋体" w:hAnsi="宋体" w:cs="宋体"/>
          <w:color w:val="auto"/>
          <w:sz w:val="24"/>
          <w:highlight w:val="none"/>
        </w:rPr>
        <w:t>2.1由磋商小组对资格审查的合格供应商的响应文件的竞标报价、商务、技术等实质性要求进行符合性审查，以确定其是否满足磋商文件的实质性要求。</w:t>
      </w:r>
    </w:p>
    <w:bookmarkEnd w:id="35"/>
    <w:p w14:paraId="796FAE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3A3D9F">
      <w:pPr>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 w:val="24"/>
          <w:highlight w:val="none"/>
        </w:rPr>
        <w:t>。供应商为自然人的，必须由本人签字并附身份证明。</w:t>
      </w:r>
    </w:p>
    <w:p w14:paraId="59480E81">
      <w:pPr>
        <w:spacing w:line="360" w:lineRule="auto"/>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2.4</w:t>
      </w:r>
      <w:r>
        <w:rPr>
          <w:rFonts w:hint="eastAsia" w:ascii="宋体" w:hAnsi="宋体" w:cs="宋体"/>
          <w:color w:val="auto"/>
          <w:sz w:val="24"/>
          <w:highlight w:val="none"/>
        </w:rPr>
        <w:t xml:space="preserve">首次响应文件报价出现前后不一致的，按照下列规定修正： </w:t>
      </w:r>
    </w:p>
    <w:p w14:paraId="67C049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3755CC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72BC51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089AA1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5EB124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1CFABF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2.5商务技术报价评审</w:t>
      </w:r>
    </w:p>
    <w:p w14:paraId="09E45C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在评审时，如发现下列情形之一的，将被视为响应文件无效响应处理：</w:t>
      </w:r>
    </w:p>
    <w:p w14:paraId="11CB83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（1）商务技术评审</w:t>
      </w:r>
    </w:p>
    <w:p w14:paraId="4B71F4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1）响应文件未按磋商文件要求签署、盖章；</w:t>
      </w:r>
    </w:p>
    <w:p w14:paraId="2B923E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2）委托代理人未能出具有效身份证或者出具的身份证与授权委托书中的信息不符的； </w:t>
      </w:r>
    </w:p>
    <w:p w14:paraId="1FD48C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3）提交的磋商保证金无效的或者未按照磋商文件的规定提交磋商保证金；</w:t>
      </w:r>
    </w:p>
    <w:p w14:paraId="6A1BF7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4）响应文件中的报价商务技术文件出现任一项不符合“供应商须知前附表”中“必须提供”或者“委托时必须提供”文件资料要求的规定或者提供的报价商务技术文件无效。</w:t>
      </w:r>
    </w:p>
    <w:p w14:paraId="244AB3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5）商务条款中标“▲”的条款发生负偏离或者允许负偏离的条款数超过“供应商须知前附表”规定项数的；</w:t>
      </w:r>
    </w:p>
    <w:p w14:paraId="370FDD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6）未对竞标有效期作出响应或者响应文件承诺的竞标有效期不满足磋商文件要求；</w:t>
      </w:r>
    </w:p>
    <w:p w14:paraId="39F111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7）响应文件的实质性内容未使用中文表述、使用计量单位不符合磋商文件要求；</w:t>
      </w:r>
    </w:p>
    <w:p w14:paraId="4EAE8E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8）响应文件中的文件资料因填写不齐全或者内容虚假或者出现其他情形而导致被磋商小组认定无效；</w:t>
      </w:r>
    </w:p>
    <w:p w14:paraId="72097A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9）响应文件含有采购人不能接受的附加条件；</w:t>
      </w:r>
    </w:p>
    <w:p w14:paraId="085AFC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10）属于“供应商须知正文”第7.5条情形；</w:t>
      </w:r>
    </w:p>
    <w:p w14:paraId="5BA682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11）技术要求中标“▲”的条款发生负偏离或允许负偏离的条款数超过“供应商须知前附表”规定项数的；</w:t>
      </w:r>
    </w:p>
    <w:p w14:paraId="2615A0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12）虚假竞标，或者出现其他情形而导致被磋商小组认定无效；</w:t>
      </w:r>
    </w:p>
    <w:p w14:paraId="00BE26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w:t>
      </w:r>
      <w:bookmarkStart w:id="36" w:name="_Hlk71704147"/>
      <w:r>
        <w:rPr>
          <w:rFonts w:hint="eastAsia" w:ascii="宋体" w:hAnsi="宋体" w:cs="宋体"/>
          <w:color w:val="auto"/>
          <w:sz w:val="24"/>
          <w:highlight w:val="none"/>
        </w:rPr>
        <w:t>磋商文件未载明允许提供备选（替代）竞标方案或明确不允许提供备选（替代）竞标方案时，供应商提供了备选（替代）竞标方案的；</w:t>
      </w:r>
      <w:bookmarkEnd w:id="36"/>
    </w:p>
    <w:p w14:paraId="7288E1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14）响应文件标注的项目名称或者项目编号与磋商文件标注的项目名称或者项目编号不一致的；</w:t>
      </w:r>
    </w:p>
    <w:p w14:paraId="558719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15）竞争性磋商文件明确不允许分包，响应文件拟分包的；</w:t>
      </w:r>
    </w:p>
    <w:p w14:paraId="6D7D90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16）未响应磋商文件实质性要求；</w:t>
      </w:r>
    </w:p>
    <w:p w14:paraId="618D8B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17）法律、法规和磋商文件规定的其他无效情形。</w:t>
      </w:r>
    </w:p>
    <w:p w14:paraId="675935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（2）报价评审</w:t>
      </w:r>
    </w:p>
    <w:p w14:paraId="6607AC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响应文件未提供“供应商须知前附表” 报价商务技术文件中规定的“竞标报价表”；</w:t>
      </w:r>
    </w:p>
    <w:p w14:paraId="07DF3C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2）未采用人民币报价或者未按照磋商文件标明的币种报价；</w:t>
      </w:r>
    </w:p>
    <w:p w14:paraId="43A891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153D6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4）最后报价超过所竞标分标规定的采购预算金额或者最高限价的（如本项目公布了最高限价）；</w:t>
      </w:r>
      <w:bookmarkStart w:id="37" w:name="_Hlk42596405"/>
      <w:r>
        <w:rPr>
          <w:rFonts w:hint="eastAsia" w:ascii="宋体" w:hAnsi="宋体" w:cs="宋体"/>
          <w:color w:val="auto"/>
          <w:sz w:val="24"/>
          <w:highlight w:val="none"/>
        </w:rPr>
        <w:t xml:space="preserve"> </w:t>
      </w:r>
      <w:bookmarkEnd w:id="37"/>
    </w:p>
    <w:p w14:paraId="3F76D3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5）修正后的报价，供应商不确认的；或者经供应商确认修正后的最后报价超过所竞标分标规定的采购预算金额或者最高限价（如本项目公布了最高限价）；</w:t>
      </w:r>
    </w:p>
    <w:p w14:paraId="1E6167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6）响应文件响应的标的数量及单位与竞争性磋商采购文件要求实质性不一致的。</w:t>
      </w:r>
    </w:p>
    <w:p w14:paraId="294655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5BD59D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E7C58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0FA07A29">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3.1磋商小组按照“供应商须知前附表”</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确定的</w:t>
      </w:r>
      <w:r>
        <w:rPr>
          <w:rFonts w:hint="eastAsia" w:ascii="宋体" w:hAnsi="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0E97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A048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3.3对磋商文件作出的实质性变动是磋商文件的有效组成部分，由磋商小组及时以电子磋商记录形式同时通知所有参加磋商的供应商。</w:t>
      </w:r>
    </w:p>
    <w:p w14:paraId="3B6FAD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7F70D7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3.5磋商中，</w:t>
      </w:r>
      <w:r>
        <w:rPr>
          <w:rFonts w:hint="eastAsia" w:ascii="宋体" w:hAnsi="宋体" w:cs="宋体"/>
          <w:color w:val="auto"/>
          <w:spacing w:val="-6"/>
          <w:sz w:val="24"/>
          <w:highlight w:val="none"/>
        </w:rPr>
        <w:t>磋商的任何一方不得透露与磋商有关的其他供应商的技术资料、价格和其他信息。</w:t>
      </w:r>
    </w:p>
    <w:p w14:paraId="6BADFE9D">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3.6对磋商过程提交的响应文件进行有效性、完整性和响应程度审查，通过审查的合格供应商不足3家的，采购人或者采购代理机构应当重新开展采购活动。</w:t>
      </w:r>
    </w:p>
    <w:p w14:paraId="039248A0">
      <w:pPr>
        <w:widowControl/>
        <w:tabs>
          <w:tab w:val="left" w:pos="54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318A490">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4. 最后报价</w:t>
      </w:r>
    </w:p>
    <w:p w14:paraId="5B8D0C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磋商文件能够详细列明采购标的的技术、服务要求的，磋商结束后，由磋商小组要求所有继续参加磋商的供应商在规定时间内以电子文件形式提交最后报价，除本章第2.7、3.8、4.3条外，提交最后报价的供应商不得少于3家，否则必须重新采购。</w:t>
      </w:r>
    </w:p>
    <w:p w14:paraId="3DF9E8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4BB5B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0F9752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499C65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4.5供应商未在规定时间内提交最后报价的，视同退出磋商。</w:t>
      </w:r>
    </w:p>
    <w:p w14:paraId="700732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4.6磋商小组收齐某一分标最后报价后或达到规定时间后统一开启，磋商小组对最后报价进行有效性、完整性和响应程度的审查。</w:t>
      </w:r>
    </w:p>
    <w:p w14:paraId="0C12DF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4.7响应文件最后报价出现前后不一致的，按照本章第2.4条的规定修正。 </w:t>
      </w:r>
    </w:p>
    <w:p w14:paraId="0852E4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4.8经供应商确认修正后的最后报价作为评审及签订合同的依据。</w:t>
      </w:r>
    </w:p>
    <w:p w14:paraId="4A25F5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4.9供应商出现最后报价按无效响应处理或者响应文件按无效响应处理时，磋商小组应当告知有关供应商。</w:t>
      </w:r>
    </w:p>
    <w:p w14:paraId="0CFC6F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4.10最后报价结束后，磋商小组不得再与供应商进行任何形式的商谈。</w:t>
      </w:r>
    </w:p>
    <w:p w14:paraId="16B9E49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7AA8EE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5.1评审方法：综合评分法。</w:t>
      </w:r>
    </w:p>
    <w:p w14:paraId="5D618F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5.2经磋商确定最终采购需求和提交最后报价的供应商后，由磋商小组采用综合评分法对提交最后报价的供应商的响应文件和最后报价进行综合评分。</w:t>
      </w:r>
    </w:p>
    <w:p w14:paraId="5034E4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5.3评审时，磋商小组各成员应当独立对每个有效响应的文件进行评价、打分，然后汇总每个供应商每项评分因素的得分。</w:t>
      </w:r>
    </w:p>
    <w:p w14:paraId="0B8AC8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（1）磋商小组按照磋商文件中规定的评审标准计算各供应商的报价得分。项目评审过程中，不得去掉最后报价中的最高报价和最低报价。</w:t>
      </w:r>
    </w:p>
    <w:p w14:paraId="36A8F9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（2）各供应商的得分为磋商小组所有成员的有效评分的算术平均数。</w:t>
      </w:r>
    </w:p>
    <w:p w14:paraId="2D0785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5.4评标价为供应商的最后报价进行政策性扣除后的价格，评标价只是作为评审时使用。最终成交供应商的成交金额等于最后报价（如有修正，以确认修正后的最后报价为准）。</w:t>
      </w:r>
    </w:p>
    <w:p w14:paraId="14DFDABF">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5.5由磋商小组根据综合评分情况，按照评审得分由高到低顺序推荐3名以上成交候选供应商，并编写评</w:t>
      </w:r>
      <w:r>
        <w:rPr>
          <w:rFonts w:hint="eastAsia" w:ascii="宋体" w:hAnsi="宋体" w:cs="宋体"/>
          <w:color w:val="auto"/>
          <w:kern w:val="0"/>
          <w:sz w:val="24"/>
          <w:highlight w:val="none"/>
        </w:rPr>
        <w:t>审报告。符合本章第</w:t>
      </w:r>
      <w:r>
        <w:rPr>
          <w:rFonts w:hint="eastAsia" w:ascii="宋体" w:hAnsi="宋体" w:cs="宋体"/>
          <w:color w:val="auto"/>
          <w:sz w:val="24"/>
          <w:highlight w:val="none"/>
        </w:rPr>
        <w:t>2.7、3.8、4.3</w:t>
      </w:r>
      <w:r>
        <w:rPr>
          <w:rFonts w:hint="eastAsia" w:ascii="宋体" w:hAnsi="宋体" w:cs="宋体"/>
          <w:color w:val="auto"/>
          <w:kern w:val="0"/>
          <w:sz w:val="24"/>
          <w:highlight w:val="none"/>
        </w:rPr>
        <w:t>条情形的，可以推荐2家成交候选供应商。评审得分相同的，按照最后报价由低到高的顺序推荐。评审得分且最后报价相同的，按照技术指标优劣顺序推荐。</w:t>
      </w:r>
    </w:p>
    <w:p w14:paraId="357393CB">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0A9E23B">
      <w:pPr>
        <w:spacing w:line="360" w:lineRule="auto"/>
        <w:jc w:val="center"/>
        <w:rPr>
          <w:rFonts w:ascii="宋体" w:hAnsi="宋体" w:cs="宋体"/>
          <w:b/>
          <w:color w:val="auto"/>
          <w:sz w:val="32"/>
          <w:szCs w:val="32"/>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二、评审标准</w:t>
      </w:r>
    </w:p>
    <w:p w14:paraId="677A34C4">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6.评审依据：磋商小组将以磋商响应文件为评审依据，对供应商的报价、技术、商务等方面内容按百分制打分。（计分方法按四舍五入取至百分位）</w:t>
      </w:r>
    </w:p>
    <w:tbl>
      <w:tblPr>
        <w:tblStyle w:val="2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92"/>
        <w:gridCol w:w="1276"/>
        <w:gridCol w:w="6986"/>
      </w:tblGrid>
      <w:tr w14:paraId="6BBE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58" w:type="dxa"/>
            <w:gridSpan w:val="2"/>
            <w:tcBorders>
              <w:top w:val="single" w:color="auto" w:sz="4" w:space="0"/>
              <w:left w:val="single" w:color="auto" w:sz="4" w:space="0"/>
              <w:bottom w:val="single" w:color="auto" w:sz="4" w:space="0"/>
              <w:right w:val="single" w:color="auto" w:sz="4" w:space="0"/>
            </w:tcBorders>
            <w:vAlign w:val="center"/>
          </w:tcPr>
          <w:p w14:paraId="5156060B">
            <w:pPr>
              <w:adjustRightInd w:val="0"/>
              <w:spacing w:line="360" w:lineRule="auto"/>
              <w:jc w:val="center"/>
              <w:textAlignment w:val="baseline"/>
              <w:rPr>
                <w:rFonts w:ascii="宋体" w:hAnsi="宋体" w:cs="宋体"/>
                <w:b/>
                <w:color w:val="auto"/>
                <w:kern w:val="0"/>
                <w:sz w:val="24"/>
                <w:highlight w:val="none"/>
              </w:rPr>
            </w:pPr>
            <w:r>
              <w:rPr>
                <w:rFonts w:hint="eastAsia" w:ascii="宋体" w:hAnsi="宋体" w:cs="宋体"/>
                <w:b/>
                <w:color w:val="auto"/>
                <w:sz w:val="24"/>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562D0DD8">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评分类型</w:t>
            </w:r>
          </w:p>
        </w:tc>
        <w:tc>
          <w:tcPr>
            <w:tcW w:w="6986" w:type="dxa"/>
            <w:tcBorders>
              <w:top w:val="single" w:color="auto" w:sz="4" w:space="0"/>
              <w:left w:val="single" w:color="auto" w:sz="4" w:space="0"/>
              <w:bottom w:val="single" w:color="auto" w:sz="4" w:space="0"/>
              <w:right w:val="single" w:color="auto" w:sz="4" w:space="0"/>
            </w:tcBorders>
            <w:vAlign w:val="center"/>
          </w:tcPr>
          <w:p w14:paraId="5AB59D94">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评分标准</w:t>
            </w:r>
          </w:p>
        </w:tc>
      </w:tr>
      <w:tr w14:paraId="4DE6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tcBorders>
              <w:top w:val="single" w:color="auto" w:sz="4" w:space="0"/>
              <w:left w:val="single" w:color="auto" w:sz="4" w:space="0"/>
              <w:bottom w:val="single" w:color="auto" w:sz="4" w:space="0"/>
              <w:right w:val="single" w:color="auto" w:sz="4" w:space="0"/>
            </w:tcBorders>
            <w:vAlign w:val="center"/>
          </w:tcPr>
          <w:p w14:paraId="28AAFAEF">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14:paraId="3EB7097A">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价格分</w:t>
            </w:r>
          </w:p>
          <w:p w14:paraId="189C9851">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（满分</w:t>
            </w:r>
            <w:r>
              <w:rPr>
                <w:rStyle w:val="63"/>
                <w:rFonts w:hint="eastAsia"/>
                <w:color w:val="auto"/>
                <w:sz w:val="24"/>
                <w:szCs w:val="24"/>
                <w:highlight w:val="none"/>
                <w:lang w:val="en-US" w:eastAsia="zh-CN"/>
              </w:rPr>
              <w:t>10</w:t>
            </w:r>
            <w:r>
              <w:rPr>
                <w:rStyle w:val="63"/>
                <w:rFonts w:hint="eastAsia"/>
                <w:color w:val="auto"/>
                <w:sz w:val="24"/>
                <w:szCs w:val="24"/>
                <w:highlight w:val="none"/>
              </w:rPr>
              <w:t>分</w:t>
            </w:r>
            <w:r>
              <w:rPr>
                <w:rFonts w:hint="eastAsia" w:ascii="宋体" w:hAnsi="宋体" w:cs="宋体"/>
                <w:bCs/>
                <w:color w:val="auto"/>
                <w:sz w:val="24"/>
                <w:szCs w:val="24"/>
                <w:highlight w:val="none"/>
              </w:rPr>
              <w:t>）</w:t>
            </w:r>
          </w:p>
          <w:p w14:paraId="1D4994B6">
            <w:pPr>
              <w:adjustRightInd w:val="0"/>
              <w:spacing w:line="360" w:lineRule="auto"/>
              <w:jc w:val="left"/>
              <w:textAlignment w:val="baseline"/>
              <w:rPr>
                <w:rFonts w:ascii="宋体" w:hAnsi="宋体" w:cs="宋体"/>
                <w:bCs/>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BC4BE88">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磋商报价</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10分</w:t>
            </w:r>
            <w:r>
              <w:rPr>
                <w:rFonts w:hint="eastAsia" w:ascii="宋体" w:hAnsi="宋体" w:cs="宋体"/>
                <w:bCs/>
                <w:color w:val="auto"/>
                <w:sz w:val="24"/>
                <w:highlight w:val="none"/>
                <w:lang w:eastAsia="zh-CN"/>
              </w:rPr>
              <w:t>）</w:t>
            </w:r>
          </w:p>
        </w:tc>
        <w:tc>
          <w:tcPr>
            <w:tcW w:w="6986" w:type="dxa"/>
            <w:tcBorders>
              <w:top w:val="single" w:color="auto" w:sz="4" w:space="0"/>
              <w:left w:val="single" w:color="auto" w:sz="4" w:space="0"/>
              <w:bottom w:val="single" w:color="auto" w:sz="4" w:space="0"/>
              <w:right w:val="single" w:color="auto" w:sz="4" w:space="0"/>
            </w:tcBorders>
            <w:vAlign w:val="center"/>
          </w:tcPr>
          <w:p w14:paraId="726BDC12">
            <w:pPr>
              <w:spacing w:line="360" w:lineRule="auto"/>
              <w:ind w:firstLine="480" w:firstLineChars="200"/>
              <w:jc w:val="left"/>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（1）评标报价为</w:t>
            </w:r>
            <w:r>
              <w:rPr>
                <w:rFonts w:hint="eastAsia" w:ascii="宋体" w:hAnsi="宋体" w:cs="宋体"/>
                <w:bCs/>
                <w:color w:val="auto"/>
                <w:sz w:val="24"/>
                <w:highlight w:val="none"/>
                <w:lang w:val="en-US" w:eastAsia="zh-CN"/>
              </w:rPr>
              <w:t>竞</w:t>
            </w:r>
            <w:r>
              <w:rPr>
                <w:rFonts w:hint="eastAsia" w:ascii="宋体" w:hAnsi="宋体" w:cs="宋体"/>
                <w:bCs/>
                <w:color w:val="auto"/>
                <w:sz w:val="24"/>
                <w:highlight w:val="none"/>
                <w:lang w:eastAsia="zh-CN"/>
              </w:rPr>
              <w:t>标人的</w:t>
            </w:r>
            <w:r>
              <w:rPr>
                <w:rFonts w:hint="eastAsia" w:ascii="宋体" w:hAnsi="宋体" w:cs="宋体"/>
                <w:bCs/>
                <w:color w:val="auto"/>
                <w:sz w:val="24"/>
                <w:highlight w:val="none"/>
                <w:lang w:val="en-US" w:eastAsia="zh-CN"/>
              </w:rPr>
              <w:t>竞</w:t>
            </w:r>
            <w:r>
              <w:rPr>
                <w:rFonts w:hint="eastAsia" w:ascii="宋体" w:hAnsi="宋体" w:cs="宋体"/>
                <w:bCs/>
                <w:color w:val="auto"/>
                <w:sz w:val="24"/>
                <w:highlight w:val="none"/>
                <w:lang w:eastAsia="zh-CN"/>
              </w:rPr>
              <w:t>标报价进行政策性扣除后的价格，</w:t>
            </w:r>
            <w:r>
              <w:rPr>
                <w:rFonts w:hint="eastAsia" w:ascii="宋体" w:hAnsi="宋体" w:cs="宋体"/>
                <w:bCs/>
                <w:color w:val="auto"/>
                <w:sz w:val="24"/>
                <w:highlight w:val="none"/>
                <w:lang w:val="en-US" w:eastAsia="zh-CN"/>
              </w:rPr>
              <w:t>竞</w:t>
            </w:r>
            <w:r>
              <w:rPr>
                <w:rFonts w:hint="eastAsia" w:ascii="宋体" w:hAnsi="宋体" w:cs="宋体"/>
                <w:bCs/>
                <w:color w:val="auto"/>
                <w:sz w:val="24"/>
                <w:highlight w:val="none"/>
                <w:lang w:eastAsia="zh-CN"/>
              </w:rPr>
              <w:t>标报价只是作为评标时使用。最终</w:t>
            </w:r>
            <w:r>
              <w:rPr>
                <w:rFonts w:hint="eastAsia" w:ascii="宋体" w:hAnsi="宋体" w:cs="宋体"/>
                <w:bCs/>
                <w:color w:val="auto"/>
                <w:sz w:val="24"/>
                <w:highlight w:val="none"/>
                <w:lang w:val="en-US" w:eastAsia="zh-CN"/>
              </w:rPr>
              <w:t>成交供应商</w:t>
            </w:r>
            <w:r>
              <w:rPr>
                <w:rFonts w:hint="eastAsia" w:ascii="宋体" w:hAnsi="宋体" w:cs="宋体"/>
                <w:bCs/>
                <w:color w:val="auto"/>
                <w:sz w:val="24"/>
                <w:highlight w:val="none"/>
                <w:lang w:eastAsia="zh-CN"/>
              </w:rPr>
              <w:t>的</w:t>
            </w:r>
            <w:r>
              <w:rPr>
                <w:rFonts w:hint="eastAsia" w:ascii="宋体" w:hAnsi="宋体" w:cs="宋体"/>
                <w:bCs/>
                <w:color w:val="auto"/>
                <w:sz w:val="24"/>
                <w:highlight w:val="none"/>
                <w:lang w:val="en-US" w:eastAsia="zh-CN"/>
              </w:rPr>
              <w:t>成交</w:t>
            </w:r>
            <w:r>
              <w:rPr>
                <w:rFonts w:hint="eastAsia" w:ascii="宋体" w:hAnsi="宋体" w:cs="宋体"/>
                <w:bCs/>
                <w:color w:val="auto"/>
                <w:sz w:val="24"/>
                <w:highlight w:val="none"/>
                <w:lang w:eastAsia="zh-CN"/>
              </w:rPr>
              <w:t>金额等于</w:t>
            </w:r>
            <w:r>
              <w:rPr>
                <w:rFonts w:hint="eastAsia" w:ascii="宋体" w:hAnsi="宋体" w:cs="宋体"/>
                <w:bCs/>
                <w:color w:val="auto"/>
                <w:sz w:val="24"/>
                <w:highlight w:val="none"/>
                <w:lang w:val="en-US" w:eastAsia="zh-CN"/>
              </w:rPr>
              <w:t>竞</w:t>
            </w:r>
            <w:r>
              <w:rPr>
                <w:rFonts w:hint="eastAsia" w:ascii="宋体" w:hAnsi="宋体" w:cs="宋体"/>
                <w:bCs/>
                <w:color w:val="auto"/>
                <w:sz w:val="24"/>
                <w:highlight w:val="none"/>
                <w:lang w:eastAsia="zh-CN"/>
              </w:rPr>
              <w:t>标报价。</w:t>
            </w:r>
          </w:p>
          <w:p w14:paraId="7A868004">
            <w:pPr>
              <w:spacing w:line="360" w:lineRule="auto"/>
              <w:ind w:firstLine="480" w:firstLineChars="200"/>
              <w:jc w:val="left"/>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（2）政策性扣除计算方法。</w:t>
            </w:r>
          </w:p>
          <w:p w14:paraId="4CDCC93C">
            <w:pPr>
              <w:spacing w:line="360" w:lineRule="auto"/>
              <w:ind w:firstLine="480" w:firstLineChars="200"/>
              <w:jc w:val="left"/>
              <w:rPr>
                <w:rFonts w:hint="eastAsia" w:ascii="宋体" w:hAnsi="宋体" w:cs="宋体"/>
                <w:bCs/>
                <w:color w:val="auto"/>
                <w:sz w:val="24"/>
                <w:highlight w:val="none"/>
                <w:lang w:eastAsia="zh-CN"/>
              </w:rPr>
            </w:pPr>
            <w:bookmarkStart w:id="38" w:name="_Hlk65858438"/>
            <w:r>
              <w:rPr>
                <w:rFonts w:hint="eastAsia" w:ascii="宋体" w:hAnsi="宋体" w:cs="宋体"/>
                <w:bCs/>
                <w:color w:val="auto"/>
                <w:sz w:val="24"/>
                <w:highlight w:val="none"/>
                <w:lang w:eastAsia="zh-CN"/>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bookmarkEnd w:id="38"/>
          <w:p w14:paraId="2404C451">
            <w:pPr>
              <w:spacing w:line="360" w:lineRule="auto"/>
              <w:ind w:firstLine="480" w:firstLineChars="200"/>
              <w:jc w:val="left"/>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7FA5AD0">
            <w:pPr>
              <w:spacing w:line="360" w:lineRule="auto"/>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eastAsia="zh-C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EACFF60">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）满足</w:t>
            </w:r>
            <w:r>
              <w:rPr>
                <w:rFonts w:hint="eastAsia" w:ascii="宋体" w:hAnsi="宋体" w:cs="宋体"/>
                <w:bCs/>
                <w:color w:val="auto"/>
                <w:sz w:val="24"/>
                <w:highlight w:val="none"/>
                <w:lang w:val="en-US" w:eastAsia="zh-CN"/>
              </w:rPr>
              <w:t>磋商</w:t>
            </w:r>
            <w:r>
              <w:rPr>
                <w:rFonts w:hint="eastAsia" w:ascii="宋体" w:hAnsi="宋体" w:cs="宋体"/>
                <w:bCs/>
                <w:color w:val="auto"/>
                <w:sz w:val="24"/>
                <w:highlight w:val="none"/>
              </w:rPr>
              <w:t>文件要求且</w:t>
            </w:r>
            <w:r>
              <w:rPr>
                <w:rFonts w:hint="eastAsia" w:ascii="宋体" w:hAnsi="宋体" w:cs="宋体"/>
                <w:bCs/>
                <w:color w:val="auto"/>
                <w:sz w:val="24"/>
                <w:highlight w:val="none"/>
                <w:lang w:val="en-US" w:eastAsia="zh-CN"/>
              </w:rPr>
              <w:t>竞</w:t>
            </w:r>
            <w:r>
              <w:rPr>
                <w:rFonts w:hint="eastAsia" w:ascii="宋体" w:hAnsi="宋体" w:cs="宋体"/>
                <w:bCs/>
                <w:color w:val="auto"/>
                <w:sz w:val="24"/>
                <w:highlight w:val="none"/>
              </w:rPr>
              <w:t>标报价最低的</w:t>
            </w:r>
            <w:r>
              <w:rPr>
                <w:rFonts w:hint="eastAsia" w:ascii="宋体" w:hAnsi="宋体" w:cs="宋体"/>
                <w:bCs/>
                <w:color w:val="auto"/>
                <w:sz w:val="24"/>
                <w:highlight w:val="none"/>
                <w:lang w:val="en-US" w:eastAsia="zh-CN"/>
              </w:rPr>
              <w:t>竞</w:t>
            </w:r>
            <w:r>
              <w:rPr>
                <w:rFonts w:hint="eastAsia" w:ascii="宋体" w:hAnsi="宋体" w:cs="宋体"/>
                <w:bCs/>
                <w:color w:val="auto"/>
                <w:sz w:val="24"/>
                <w:highlight w:val="none"/>
              </w:rPr>
              <w:t>标报价为</w:t>
            </w:r>
            <w:r>
              <w:rPr>
                <w:rFonts w:hint="eastAsia" w:ascii="宋体" w:hAnsi="宋体" w:cs="宋体"/>
                <w:bCs/>
                <w:color w:val="auto"/>
                <w:sz w:val="24"/>
                <w:highlight w:val="none"/>
                <w:lang w:val="en-US" w:eastAsia="zh-CN"/>
              </w:rPr>
              <w:t>竞</w:t>
            </w:r>
            <w:r>
              <w:rPr>
                <w:rFonts w:hint="eastAsia" w:ascii="宋体" w:hAnsi="宋体" w:cs="宋体"/>
                <w:bCs/>
                <w:color w:val="auto"/>
                <w:sz w:val="24"/>
                <w:highlight w:val="none"/>
              </w:rPr>
              <w:t>标基准价，其价格分为满分。</w:t>
            </w:r>
          </w:p>
          <w:p w14:paraId="7B5D58BF">
            <w:pPr>
              <w:spacing w:line="360" w:lineRule="auto"/>
              <w:ind w:firstLine="480" w:firstLineChars="200"/>
              <w:jc w:val="left"/>
              <w:rPr>
                <w:rFonts w:hint="default" w:ascii="宋体" w:hAnsi="宋体" w:eastAsia="宋体" w:cs="宋体"/>
                <w:bCs/>
                <w:color w:val="auto"/>
                <w:kern w:val="2"/>
                <w:sz w:val="24"/>
                <w:highlight w:val="none"/>
                <w:lang w:val="en-US" w:eastAsia="zh-CN"/>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）价格分计算公式：</w:t>
            </w:r>
            <w:r>
              <w:rPr>
                <w:rFonts w:hint="eastAsia" w:ascii="宋体" w:hAnsi="宋体" w:eastAsia="宋体" w:cs="宋体"/>
                <w:bCs/>
                <w:color w:val="auto"/>
                <w:kern w:val="2"/>
                <w:sz w:val="24"/>
                <w:highlight w:val="none"/>
              </w:rPr>
              <w:t>某有效</w:t>
            </w:r>
            <w:r>
              <w:rPr>
                <w:rFonts w:hint="eastAsia" w:ascii="宋体" w:hAnsi="宋体" w:eastAsia="宋体" w:cs="宋体"/>
                <w:bCs/>
                <w:color w:val="auto"/>
                <w:kern w:val="2"/>
                <w:sz w:val="24"/>
                <w:highlight w:val="none"/>
                <w:lang w:eastAsia="zh-CN"/>
              </w:rPr>
              <w:t>供应商</w:t>
            </w:r>
            <w:r>
              <w:rPr>
                <w:rFonts w:hint="eastAsia" w:ascii="宋体" w:hAnsi="宋体" w:eastAsia="宋体" w:cs="宋体"/>
                <w:bCs/>
                <w:color w:val="auto"/>
                <w:kern w:val="2"/>
                <w:sz w:val="24"/>
                <w:highlight w:val="none"/>
              </w:rPr>
              <w:t>价格分=</w:t>
            </w:r>
            <w:r>
              <w:rPr>
                <w:rFonts w:hint="eastAsia" w:ascii="宋体" w:hAnsi="宋体" w:cs="宋体"/>
                <w:bCs/>
                <w:color w:val="auto"/>
                <w:sz w:val="24"/>
                <w:highlight w:val="none"/>
              </w:rPr>
              <w:t>（某</w:t>
            </w:r>
            <w:r>
              <w:rPr>
                <w:rFonts w:hint="eastAsia" w:ascii="宋体" w:hAnsi="宋体" w:cs="宋体"/>
                <w:bCs/>
                <w:color w:val="auto"/>
                <w:sz w:val="24"/>
                <w:highlight w:val="none"/>
                <w:lang w:val="en-US" w:eastAsia="zh-CN"/>
              </w:rPr>
              <w:t>竞</w:t>
            </w:r>
            <w:r>
              <w:rPr>
                <w:rFonts w:hint="eastAsia" w:ascii="宋体" w:hAnsi="宋体" w:cs="宋体"/>
                <w:bCs/>
                <w:color w:val="auto"/>
                <w:sz w:val="24"/>
                <w:highlight w:val="none"/>
              </w:rPr>
              <w:t>标人的最低</w:t>
            </w:r>
            <w:r>
              <w:rPr>
                <w:rFonts w:hint="eastAsia" w:ascii="宋体" w:hAnsi="宋体" w:cs="宋体"/>
                <w:bCs/>
                <w:color w:val="auto"/>
                <w:sz w:val="24"/>
                <w:highlight w:val="none"/>
                <w:lang w:val="en-US" w:eastAsia="zh-CN"/>
              </w:rPr>
              <w:t>竞</w:t>
            </w:r>
            <w:r>
              <w:rPr>
                <w:rFonts w:hint="eastAsia" w:ascii="宋体" w:hAnsi="宋体" w:cs="宋体"/>
                <w:bCs/>
                <w:color w:val="auto"/>
                <w:sz w:val="24"/>
                <w:highlight w:val="none"/>
              </w:rPr>
              <w:t>标报价／</w:t>
            </w:r>
            <w:r>
              <w:rPr>
                <w:rFonts w:hint="eastAsia" w:ascii="宋体" w:hAnsi="宋体" w:cs="宋体"/>
                <w:bCs/>
                <w:color w:val="auto"/>
                <w:sz w:val="24"/>
                <w:highlight w:val="none"/>
                <w:lang w:val="en-US" w:eastAsia="zh-CN"/>
              </w:rPr>
              <w:t>竞</w:t>
            </w:r>
            <w:r>
              <w:rPr>
                <w:rFonts w:hint="eastAsia" w:ascii="宋体" w:hAnsi="宋体" w:cs="宋体"/>
                <w:bCs/>
                <w:color w:val="auto"/>
                <w:sz w:val="24"/>
                <w:highlight w:val="none"/>
              </w:rPr>
              <w:t>标人</w:t>
            </w:r>
            <w:r>
              <w:rPr>
                <w:rFonts w:hint="eastAsia" w:ascii="宋体" w:hAnsi="宋体" w:cs="宋体"/>
                <w:bCs/>
                <w:color w:val="auto"/>
                <w:sz w:val="24"/>
                <w:highlight w:val="none"/>
                <w:lang w:val="en-US" w:eastAsia="zh-CN"/>
              </w:rPr>
              <w:t>竞</w:t>
            </w:r>
            <w:r>
              <w:rPr>
                <w:rFonts w:hint="eastAsia" w:ascii="宋体" w:hAnsi="宋体" w:cs="宋体"/>
                <w:bCs/>
                <w:color w:val="auto"/>
                <w:sz w:val="24"/>
                <w:highlight w:val="none"/>
              </w:rPr>
              <w:t>标报价）×</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0分</w:t>
            </w:r>
          </w:p>
        </w:tc>
      </w:tr>
      <w:tr w14:paraId="6D4D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restart"/>
            <w:tcBorders>
              <w:top w:val="single" w:color="auto" w:sz="4" w:space="0"/>
              <w:left w:val="single" w:color="auto" w:sz="4" w:space="0"/>
              <w:bottom w:val="single" w:color="auto" w:sz="4" w:space="0"/>
              <w:right w:val="single" w:color="auto" w:sz="4" w:space="0"/>
            </w:tcBorders>
            <w:vAlign w:val="center"/>
          </w:tcPr>
          <w:p w14:paraId="2D6F5076">
            <w:pPr>
              <w:adjustRightInd w:val="0"/>
              <w:snapToGri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2</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8F1EA8B">
            <w:pPr>
              <w:adjustRightInd w:val="0"/>
              <w:spacing w:line="360" w:lineRule="auto"/>
              <w:jc w:val="center"/>
              <w:textAlignment w:val="baseline"/>
              <w:rPr>
                <w:rFonts w:ascii="宋体" w:hAnsi="宋体" w:cs="宋体"/>
                <w:bCs/>
                <w:color w:val="auto"/>
                <w:sz w:val="24"/>
                <w:highlight w:val="none"/>
              </w:rPr>
            </w:pPr>
          </w:p>
          <w:p w14:paraId="30A55B2F">
            <w:pPr>
              <w:adjustRightInd w:val="0"/>
              <w:spacing w:line="360" w:lineRule="auto"/>
              <w:jc w:val="both"/>
              <w:textAlignment w:val="baseline"/>
              <w:rPr>
                <w:rFonts w:ascii="宋体" w:hAnsi="宋体" w:cs="宋体"/>
                <w:bCs/>
                <w:color w:val="auto"/>
                <w:sz w:val="24"/>
                <w:highlight w:val="none"/>
              </w:rPr>
            </w:pPr>
          </w:p>
          <w:p w14:paraId="03343474">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技术分</w:t>
            </w:r>
          </w:p>
          <w:p w14:paraId="58CD6F21">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（满分</w:t>
            </w:r>
            <w:r>
              <w:rPr>
                <w:rFonts w:hint="eastAsia" w:ascii="宋体" w:hAnsi="宋体" w:cs="宋体"/>
                <w:bCs/>
                <w:color w:val="auto"/>
                <w:sz w:val="24"/>
                <w:highlight w:val="none"/>
                <w:lang w:val="en-US" w:eastAsia="zh-CN"/>
              </w:rPr>
              <w:t>72</w:t>
            </w:r>
            <w:r>
              <w:rPr>
                <w:rFonts w:hint="eastAsia" w:ascii="宋体" w:hAnsi="宋体" w:cs="宋体"/>
                <w:bCs/>
                <w:color w:val="auto"/>
                <w:sz w:val="24"/>
                <w:highlight w:val="none"/>
              </w:rPr>
              <w:t>分）</w:t>
            </w:r>
          </w:p>
          <w:p w14:paraId="5B71BD96">
            <w:pPr>
              <w:pStyle w:val="25"/>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87210A9">
            <w:pPr>
              <w:spacing w:line="360" w:lineRule="auto"/>
              <w:jc w:val="center"/>
              <w:rPr>
                <w:rFonts w:ascii="宋体" w:hAnsi="宋体" w:cs="宋体"/>
                <w:bCs/>
                <w:color w:val="auto"/>
                <w:sz w:val="24"/>
                <w:highlight w:val="none"/>
              </w:rPr>
            </w:pPr>
            <w:r>
              <w:rPr>
                <w:rFonts w:ascii="宋体" w:hAnsi="宋体" w:cs="宋体"/>
                <w:bCs/>
                <w:color w:val="auto"/>
                <w:sz w:val="24"/>
                <w:highlight w:val="none"/>
              </w:rPr>
              <w:t>拟投入人</w:t>
            </w:r>
          </w:p>
          <w:p w14:paraId="2D8D15BE">
            <w:pPr>
              <w:spacing w:line="360" w:lineRule="auto"/>
              <w:jc w:val="center"/>
              <w:rPr>
                <w:rFonts w:ascii="宋体" w:hAnsi="宋体" w:cs="宋体"/>
                <w:bCs/>
                <w:color w:val="auto"/>
                <w:sz w:val="24"/>
                <w:highlight w:val="none"/>
              </w:rPr>
            </w:pPr>
            <w:r>
              <w:rPr>
                <w:rFonts w:ascii="宋体" w:hAnsi="宋体" w:cs="宋体"/>
                <w:bCs/>
                <w:color w:val="auto"/>
                <w:sz w:val="24"/>
                <w:highlight w:val="none"/>
              </w:rPr>
              <w:t>员方案分</w:t>
            </w:r>
          </w:p>
          <w:p w14:paraId="62956D03">
            <w:pPr>
              <w:spacing w:line="360" w:lineRule="auto"/>
              <w:jc w:val="center"/>
              <w:rPr>
                <w:rFonts w:ascii="宋体" w:hAnsi="宋体" w:cs="宋体"/>
                <w:bCs/>
                <w:color w:val="auto"/>
                <w:sz w:val="24"/>
                <w:highlight w:val="none"/>
              </w:rPr>
            </w:pPr>
            <w:r>
              <w:rPr>
                <w:rFonts w:ascii="宋体" w:hAnsi="宋体" w:cs="宋体"/>
                <w:bCs/>
                <w:color w:val="auto"/>
                <w:sz w:val="24"/>
                <w:highlight w:val="none"/>
              </w:rPr>
              <w:t>（</w:t>
            </w:r>
            <w:r>
              <w:rPr>
                <w:rFonts w:hint="eastAsia" w:ascii="宋体" w:hAnsi="宋体" w:cs="宋体"/>
                <w:bCs/>
                <w:color w:val="auto"/>
                <w:sz w:val="24"/>
                <w:highlight w:val="none"/>
                <w:lang w:val="en-US" w:eastAsia="zh-CN"/>
              </w:rPr>
              <w:t>20</w:t>
            </w:r>
            <w:r>
              <w:rPr>
                <w:rFonts w:ascii="宋体" w:hAnsi="宋体" w:cs="宋体"/>
                <w:bCs/>
                <w:color w:val="auto"/>
                <w:sz w:val="24"/>
                <w:highlight w:val="none"/>
              </w:rPr>
              <w:t>分）</w:t>
            </w:r>
          </w:p>
        </w:tc>
        <w:tc>
          <w:tcPr>
            <w:tcW w:w="6986" w:type="dxa"/>
            <w:tcBorders>
              <w:top w:val="single" w:color="auto" w:sz="4" w:space="0"/>
              <w:left w:val="single" w:color="auto" w:sz="4" w:space="0"/>
              <w:bottom w:val="single" w:color="auto" w:sz="4" w:space="0"/>
              <w:right w:val="single" w:color="auto" w:sz="4" w:space="0"/>
            </w:tcBorders>
            <w:vAlign w:val="center"/>
          </w:tcPr>
          <w:p w14:paraId="39C3B815">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一档（</w:t>
            </w:r>
            <w:r>
              <w:rPr>
                <w:rFonts w:hint="eastAsia" w:ascii="宋体" w:hAnsi="宋体" w:cs="宋体"/>
                <w:color w:val="auto"/>
                <w:sz w:val="24"/>
                <w:highlight w:val="none"/>
                <w:lang w:val="en-US" w:eastAsia="zh-CN"/>
              </w:rPr>
              <w:t>10</w:t>
            </w:r>
            <w:r>
              <w:rPr>
                <w:rFonts w:ascii="宋体" w:hAnsi="宋体" w:cs="宋体"/>
                <w:color w:val="auto"/>
                <w:sz w:val="24"/>
                <w:highlight w:val="none"/>
              </w:rPr>
              <w:t>分）：拟投入为本次体检服务的医务人员人数达2</w:t>
            </w:r>
            <w:r>
              <w:rPr>
                <w:rFonts w:hint="eastAsia" w:ascii="宋体" w:hAnsi="宋体" w:cs="宋体"/>
                <w:color w:val="auto"/>
                <w:sz w:val="24"/>
                <w:highlight w:val="none"/>
                <w:lang w:val="en-US" w:eastAsia="zh-CN"/>
              </w:rPr>
              <w:t>0</w:t>
            </w:r>
            <w:r>
              <w:rPr>
                <w:rFonts w:ascii="宋体" w:hAnsi="宋体" w:cs="宋体"/>
                <w:color w:val="auto"/>
                <w:sz w:val="24"/>
                <w:highlight w:val="none"/>
              </w:rPr>
              <w:t>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ascii="宋体" w:hAnsi="宋体" w:cs="宋体"/>
                <w:color w:val="auto"/>
                <w:sz w:val="24"/>
                <w:highlight w:val="none"/>
              </w:rPr>
              <w:t>及以上，其中项目负责人为副主任医师以下（不含副主任医师）职称</w:t>
            </w:r>
            <w:r>
              <w:rPr>
                <w:rFonts w:hint="eastAsia" w:ascii="宋体" w:hAnsi="宋体" w:cs="宋体"/>
                <w:color w:val="auto"/>
                <w:sz w:val="24"/>
                <w:highlight w:val="none"/>
                <w:lang w:eastAsia="zh-CN"/>
              </w:rPr>
              <w:t>，</w:t>
            </w:r>
            <w:r>
              <w:rPr>
                <w:rFonts w:ascii="宋体" w:hAnsi="宋体" w:cs="宋体"/>
                <w:color w:val="auto"/>
                <w:sz w:val="24"/>
                <w:highlight w:val="none"/>
              </w:rPr>
              <w:t>具有中级职称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ascii="宋体" w:hAnsi="宋体" w:cs="宋体"/>
                <w:color w:val="auto"/>
                <w:sz w:val="24"/>
                <w:highlight w:val="none"/>
              </w:rPr>
              <w:t>及以上的人员</w:t>
            </w:r>
            <w:r>
              <w:rPr>
                <w:rFonts w:hint="eastAsia" w:ascii="宋体" w:hAnsi="宋体" w:cs="宋体"/>
                <w:color w:val="auto"/>
                <w:sz w:val="24"/>
                <w:highlight w:val="none"/>
                <w:lang w:val="en-US" w:eastAsia="zh-CN"/>
              </w:rPr>
              <w:t>为8人（含）及以上</w:t>
            </w:r>
            <w:r>
              <w:rPr>
                <w:rFonts w:ascii="宋体" w:hAnsi="宋体" w:cs="宋体"/>
                <w:color w:val="auto"/>
                <w:sz w:val="24"/>
                <w:highlight w:val="none"/>
              </w:rPr>
              <w:t>；</w:t>
            </w:r>
          </w:p>
          <w:p w14:paraId="53CADEDA">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二档（</w:t>
            </w:r>
            <w:r>
              <w:rPr>
                <w:rFonts w:hint="eastAsia" w:ascii="宋体" w:hAnsi="宋体" w:cs="宋体"/>
                <w:color w:val="auto"/>
                <w:sz w:val="24"/>
                <w:highlight w:val="none"/>
                <w:lang w:val="en-US" w:eastAsia="zh-CN"/>
              </w:rPr>
              <w:t>15</w:t>
            </w:r>
            <w:r>
              <w:rPr>
                <w:rFonts w:ascii="宋体" w:hAnsi="宋体" w:cs="宋体"/>
                <w:color w:val="auto"/>
                <w:sz w:val="24"/>
                <w:highlight w:val="none"/>
              </w:rPr>
              <w:t>分）：拟投入为本次体检服务的医务人员人数达2</w:t>
            </w:r>
            <w:r>
              <w:rPr>
                <w:rFonts w:hint="eastAsia" w:ascii="宋体" w:hAnsi="宋体" w:cs="宋体"/>
                <w:color w:val="auto"/>
                <w:sz w:val="24"/>
                <w:highlight w:val="none"/>
                <w:lang w:val="en-US" w:eastAsia="zh-CN"/>
              </w:rPr>
              <w:t>2</w:t>
            </w:r>
            <w:r>
              <w:rPr>
                <w:rFonts w:ascii="宋体" w:hAnsi="宋体" w:cs="宋体"/>
                <w:color w:val="auto"/>
                <w:sz w:val="24"/>
                <w:highlight w:val="none"/>
              </w:rPr>
              <w:t>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ascii="宋体" w:hAnsi="宋体" w:cs="宋体"/>
                <w:color w:val="auto"/>
                <w:sz w:val="24"/>
                <w:highlight w:val="none"/>
              </w:rPr>
              <w:t>及以上，其中项目负责人为副主任医师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及以上</w:t>
            </w:r>
            <w:r>
              <w:rPr>
                <w:rFonts w:ascii="宋体" w:hAnsi="宋体" w:cs="宋体"/>
                <w:color w:val="auto"/>
                <w:sz w:val="24"/>
                <w:highlight w:val="none"/>
              </w:rPr>
              <w:t>职称</w:t>
            </w:r>
            <w:r>
              <w:rPr>
                <w:rFonts w:hint="eastAsia" w:ascii="宋体" w:hAnsi="宋体" w:cs="宋体"/>
                <w:color w:val="auto"/>
                <w:sz w:val="24"/>
                <w:highlight w:val="none"/>
                <w:lang w:eastAsia="zh-CN"/>
              </w:rPr>
              <w:t>，</w:t>
            </w:r>
            <w:r>
              <w:rPr>
                <w:rFonts w:ascii="宋体" w:hAnsi="宋体" w:cs="宋体"/>
                <w:color w:val="auto"/>
                <w:sz w:val="24"/>
                <w:highlight w:val="none"/>
              </w:rPr>
              <w:t>具有中级职称的人员</w:t>
            </w:r>
            <w:r>
              <w:rPr>
                <w:rFonts w:hint="eastAsia" w:ascii="宋体" w:hAnsi="宋体" w:cs="宋体"/>
                <w:color w:val="auto"/>
                <w:sz w:val="24"/>
                <w:highlight w:val="none"/>
                <w:lang w:val="en-US" w:eastAsia="zh-CN"/>
              </w:rPr>
              <w:t>为10人（含）及以上,除项目负责人外具</w:t>
            </w:r>
            <w:r>
              <w:rPr>
                <w:rFonts w:hint="eastAsia" w:ascii="宋体" w:hAnsi="宋体" w:cs="宋体"/>
                <w:color w:val="auto"/>
                <w:sz w:val="24"/>
                <w:highlight w:val="none"/>
                <w:lang w:eastAsia="zh-CN"/>
              </w:rPr>
              <w:t>有</w:t>
            </w:r>
            <w:r>
              <w:rPr>
                <w:rFonts w:hint="eastAsia" w:ascii="宋体" w:hAnsi="宋体" w:cs="宋体"/>
                <w:color w:val="auto"/>
                <w:sz w:val="24"/>
                <w:highlight w:val="none"/>
                <w:lang w:val="en-US" w:eastAsia="zh-CN"/>
              </w:rPr>
              <w:t>高级</w:t>
            </w:r>
            <w:r>
              <w:rPr>
                <w:rFonts w:hint="eastAsia" w:ascii="宋体" w:hAnsi="宋体" w:cs="宋体"/>
                <w:color w:val="auto"/>
                <w:sz w:val="24"/>
                <w:highlight w:val="none"/>
                <w:lang w:eastAsia="zh-CN"/>
              </w:rPr>
              <w:t>职称的</w:t>
            </w:r>
            <w:r>
              <w:rPr>
                <w:rFonts w:hint="eastAsia" w:ascii="宋体" w:hAnsi="宋体" w:cs="宋体"/>
                <w:color w:val="auto"/>
                <w:sz w:val="24"/>
                <w:highlight w:val="none"/>
                <w:lang w:val="en-US" w:eastAsia="zh-CN"/>
              </w:rPr>
              <w:t>人员为4人（含）及以上</w:t>
            </w:r>
            <w:r>
              <w:rPr>
                <w:rFonts w:ascii="宋体" w:hAnsi="宋体" w:cs="宋体"/>
                <w:color w:val="auto"/>
                <w:sz w:val="24"/>
                <w:highlight w:val="none"/>
              </w:rPr>
              <w:t>；</w:t>
            </w:r>
          </w:p>
          <w:p w14:paraId="0E61522D">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三档（</w:t>
            </w:r>
            <w:r>
              <w:rPr>
                <w:rFonts w:hint="eastAsia" w:ascii="宋体" w:hAnsi="宋体" w:cs="宋体"/>
                <w:color w:val="auto"/>
                <w:sz w:val="24"/>
                <w:highlight w:val="none"/>
                <w:lang w:val="en-US" w:eastAsia="zh-CN"/>
              </w:rPr>
              <w:t>20</w:t>
            </w:r>
            <w:r>
              <w:rPr>
                <w:rFonts w:ascii="宋体" w:hAnsi="宋体" w:cs="宋体"/>
                <w:color w:val="auto"/>
                <w:sz w:val="24"/>
                <w:highlight w:val="none"/>
              </w:rPr>
              <w:t>分）：拟投入为本次体检服务的医务人员人数达2</w:t>
            </w:r>
            <w:r>
              <w:rPr>
                <w:rFonts w:hint="eastAsia" w:ascii="宋体" w:hAnsi="宋体" w:cs="宋体"/>
                <w:color w:val="auto"/>
                <w:sz w:val="24"/>
                <w:highlight w:val="none"/>
                <w:lang w:val="en-US" w:eastAsia="zh-CN"/>
              </w:rPr>
              <w:t>5</w:t>
            </w:r>
            <w:r>
              <w:rPr>
                <w:rFonts w:ascii="宋体" w:hAnsi="宋体" w:cs="宋体"/>
                <w:color w:val="auto"/>
                <w:sz w:val="24"/>
                <w:highlight w:val="none"/>
              </w:rPr>
              <w:t>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ascii="宋体" w:hAnsi="宋体" w:cs="宋体"/>
                <w:color w:val="auto"/>
                <w:sz w:val="24"/>
                <w:highlight w:val="none"/>
              </w:rPr>
              <w:t>及以上，其中项目负责人为主任医师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及以上</w:t>
            </w:r>
            <w:r>
              <w:rPr>
                <w:rFonts w:ascii="宋体" w:hAnsi="宋体" w:cs="宋体"/>
                <w:color w:val="auto"/>
                <w:sz w:val="24"/>
                <w:highlight w:val="none"/>
              </w:rPr>
              <w:t>职称</w:t>
            </w:r>
            <w:r>
              <w:rPr>
                <w:rFonts w:hint="eastAsia" w:ascii="宋体" w:hAnsi="宋体" w:cs="宋体"/>
                <w:color w:val="auto"/>
                <w:sz w:val="24"/>
                <w:highlight w:val="none"/>
                <w:lang w:eastAsia="zh-CN"/>
              </w:rPr>
              <w:t>，</w:t>
            </w:r>
            <w:r>
              <w:rPr>
                <w:rFonts w:ascii="宋体" w:hAnsi="宋体" w:cs="宋体"/>
                <w:color w:val="auto"/>
                <w:sz w:val="24"/>
                <w:highlight w:val="none"/>
              </w:rPr>
              <w:t>具有中级职称的人员</w:t>
            </w:r>
            <w:r>
              <w:rPr>
                <w:rFonts w:hint="eastAsia" w:ascii="宋体" w:hAnsi="宋体" w:cs="宋体"/>
                <w:color w:val="auto"/>
                <w:sz w:val="24"/>
                <w:highlight w:val="none"/>
                <w:lang w:val="en-US" w:eastAsia="zh-CN"/>
              </w:rPr>
              <w:t>为12人（含）及以上,除项目负责人外具</w:t>
            </w:r>
            <w:r>
              <w:rPr>
                <w:rFonts w:hint="eastAsia" w:ascii="宋体" w:hAnsi="宋体" w:cs="宋体"/>
                <w:color w:val="auto"/>
                <w:sz w:val="24"/>
                <w:highlight w:val="none"/>
                <w:lang w:eastAsia="zh-CN"/>
              </w:rPr>
              <w:t>有</w:t>
            </w:r>
            <w:r>
              <w:rPr>
                <w:rFonts w:hint="eastAsia" w:ascii="宋体" w:hAnsi="宋体" w:cs="宋体"/>
                <w:color w:val="auto"/>
                <w:sz w:val="24"/>
                <w:highlight w:val="none"/>
                <w:lang w:val="en-US" w:eastAsia="zh-CN"/>
              </w:rPr>
              <w:t>高级</w:t>
            </w:r>
            <w:r>
              <w:rPr>
                <w:rFonts w:hint="eastAsia" w:ascii="宋体" w:hAnsi="宋体" w:cs="宋体"/>
                <w:color w:val="auto"/>
                <w:sz w:val="24"/>
                <w:highlight w:val="none"/>
                <w:lang w:eastAsia="zh-CN"/>
              </w:rPr>
              <w:t>职称的</w:t>
            </w:r>
            <w:r>
              <w:rPr>
                <w:rFonts w:hint="eastAsia" w:ascii="宋体" w:hAnsi="宋体" w:cs="宋体"/>
                <w:color w:val="auto"/>
                <w:sz w:val="24"/>
                <w:highlight w:val="none"/>
                <w:lang w:val="en-US" w:eastAsia="zh-CN"/>
              </w:rPr>
              <w:t>人员为6人（含）及以上。</w:t>
            </w:r>
          </w:p>
          <w:p w14:paraId="4452141D">
            <w:pPr>
              <w:snapToGrid w:val="0"/>
              <w:spacing w:line="360" w:lineRule="auto"/>
              <w:ind w:firstLine="482" w:firstLineChars="200"/>
              <w:jc w:val="left"/>
              <w:rPr>
                <w:rFonts w:hint="eastAsia" w:ascii="宋体" w:hAnsi="宋体" w:cs="宋体"/>
                <w:b/>
                <w:bCs/>
                <w:color w:val="auto"/>
                <w:sz w:val="24"/>
                <w:highlight w:val="none"/>
                <w:lang w:eastAsia="zh-CN"/>
              </w:rPr>
            </w:pPr>
            <w:r>
              <w:rPr>
                <w:rFonts w:ascii="宋体" w:hAnsi="宋体" w:cs="宋体"/>
                <w:b/>
                <w:bCs/>
                <w:color w:val="auto"/>
                <w:sz w:val="24"/>
                <w:highlight w:val="none"/>
              </w:rPr>
              <w:t>注：</w:t>
            </w:r>
            <w:r>
              <w:rPr>
                <w:rFonts w:hint="eastAsia" w:ascii="宋体" w:hAnsi="宋体" w:cs="宋体"/>
                <w:b/>
                <w:bCs/>
                <w:color w:val="auto"/>
                <w:sz w:val="24"/>
                <w:highlight w:val="none"/>
                <w:lang w:val="en-US" w:eastAsia="zh-CN"/>
              </w:rPr>
              <w:t>响应</w:t>
            </w:r>
            <w:r>
              <w:rPr>
                <w:rFonts w:ascii="宋体" w:hAnsi="宋体" w:cs="宋体"/>
                <w:b/>
                <w:bCs/>
                <w:color w:val="auto"/>
                <w:sz w:val="24"/>
                <w:highlight w:val="none"/>
              </w:rPr>
              <w:t>文件中提供</w:t>
            </w:r>
            <w:r>
              <w:rPr>
                <w:rFonts w:hint="eastAsia" w:ascii="宋体" w:hAnsi="宋体" w:cs="宋体"/>
                <w:b/>
                <w:bCs/>
                <w:color w:val="auto"/>
                <w:sz w:val="24"/>
                <w:highlight w:val="none"/>
                <w:lang w:val="en-US" w:eastAsia="zh-CN"/>
              </w:rPr>
              <w:t>拟投入人员的名单及</w:t>
            </w:r>
            <w:r>
              <w:rPr>
                <w:rFonts w:ascii="宋体" w:hAnsi="宋体" w:cs="宋体"/>
                <w:b/>
                <w:bCs/>
                <w:color w:val="auto"/>
                <w:sz w:val="24"/>
                <w:highlight w:val="none"/>
              </w:rPr>
              <w:t>有效的</w:t>
            </w:r>
            <w:r>
              <w:rPr>
                <w:rFonts w:hint="eastAsia" w:ascii="宋体" w:hAnsi="宋体" w:cs="宋体"/>
                <w:b/>
                <w:bCs/>
                <w:color w:val="auto"/>
                <w:sz w:val="24"/>
                <w:highlight w:val="none"/>
                <w:lang w:val="en-US" w:eastAsia="zh-CN"/>
              </w:rPr>
              <w:t>身份证、</w:t>
            </w:r>
            <w:r>
              <w:rPr>
                <w:rFonts w:ascii="宋体" w:hAnsi="宋体" w:cs="宋体"/>
                <w:b/>
                <w:bCs/>
                <w:color w:val="auto"/>
                <w:sz w:val="24"/>
                <w:highlight w:val="none"/>
              </w:rPr>
              <w:t>职称证复印件</w:t>
            </w:r>
            <w:r>
              <w:rPr>
                <w:rFonts w:hint="eastAsia" w:ascii="宋体" w:hAnsi="宋体" w:cs="宋体"/>
                <w:b/>
                <w:bCs/>
                <w:color w:val="auto"/>
                <w:sz w:val="24"/>
                <w:highlight w:val="none"/>
                <w:lang w:val="en-US" w:eastAsia="zh-CN"/>
              </w:rPr>
              <w:t>等</w:t>
            </w:r>
            <w:r>
              <w:rPr>
                <w:rFonts w:ascii="宋体" w:hAnsi="宋体" w:cs="宋体"/>
                <w:b/>
                <w:bCs/>
                <w:color w:val="auto"/>
                <w:sz w:val="24"/>
                <w:highlight w:val="none"/>
              </w:rPr>
              <w:t>，原件备查</w:t>
            </w:r>
            <w:r>
              <w:rPr>
                <w:rFonts w:hint="eastAsia" w:ascii="宋体" w:hAnsi="宋体" w:cs="宋体"/>
                <w:b/>
                <w:bCs/>
                <w:color w:val="auto"/>
                <w:sz w:val="24"/>
                <w:highlight w:val="none"/>
                <w:lang w:eastAsia="zh-CN"/>
              </w:rPr>
              <w:t>。</w:t>
            </w:r>
          </w:p>
          <w:p w14:paraId="0BCD4687">
            <w:pPr>
              <w:snapToGrid w:val="0"/>
              <w:spacing w:line="360" w:lineRule="auto"/>
              <w:ind w:firstLine="480" w:firstLineChars="200"/>
              <w:jc w:val="left"/>
              <w:rPr>
                <w:rFonts w:hint="eastAsia" w:ascii="宋体" w:hAnsi="宋体" w:cs="宋体"/>
                <w:b/>
                <w:bCs/>
                <w:color w:val="auto"/>
                <w:sz w:val="24"/>
                <w:highlight w:val="none"/>
                <w:lang w:eastAsia="zh-CN"/>
              </w:rPr>
            </w:pPr>
            <w:r>
              <w:rPr>
                <w:rFonts w:hint="eastAsia" w:ascii="宋体" w:hAnsi="宋体" w:eastAsia="宋体" w:cs="宋体"/>
                <w:color w:val="auto"/>
                <w:kern w:val="2"/>
                <w:sz w:val="24"/>
                <w:szCs w:val="24"/>
                <w:highlight w:val="none"/>
                <w:lang w:val="en-US" w:eastAsia="zh-CN" w:bidi="ar-SA"/>
              </w:rPr>
              <w:t>不满足进档要求不得分。</w:t>
            </w:r>
          </w:p>
        </w:tc>
      </w:tr>
      <w:tr w14:paraId="70EC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2785B2B2">
            <w:pPr>
              <w:adjustRightInd w:val="0"/>
              <w:snapToGrid w:val="0"/>
              <w:spacing w:line="360" w:lineRule="auto"/>
              <w:jc w:val="center"/>
              <w:textAlignment w:val="baseline"/>
              <w:rPr>
                <w:rFonts w:hint="eastAsia" w:ascii="宋体" w:hAnsi="宋体" w:cs="宋体"/>
                <w:bCs/>
                <w:color w:val="auto"/>
                <w:sz w:val="24"/>
                <w:highlight w:val="none"/>
              </w:rPr>
            </w:pPr>
          </w:p>
        </w:tc>
        <w:tc>
          <w:tcPr>
            <w:tcW w:w="992" w:type="dxa"/>
            <w:vMerge w:val="continue"/>
            <w:tcBorders>
              <w:left w:val="single" w:color="auto" w:sz="4" w:space="0"/>
              <w:right w:val="single" w:color="auto" w:sz="4" w:space="0"/>
            </w:tcBorders>
            <w:vAlign w:val="center"/>
          </w:tcPr>
          <w:p w14:paraId="4495C0E7">
            <w:pPr>
              <w:pStyle w:val="25"/>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F0A91F">
            <w:pPr>
              <w:snapToGrid w:val="0"/>
              <w:spacing w:line="360" w:lineRule="auto"/>
              <w:ind w:firstLine="480" w:firstLineChars="200"/>
              <w:jc w:val="center"/>
              <w:rPr>
                <w:rFonts w:ascii="宋体" w:hAnsi="宋体" w:cs="宋体"/>
                <w:color w:val="auto"/>
                <w:sz w:val="24"/>
                <w:highlight w:val="none"/>
              </w:rPr>
            </w:pPr>
          </w:p>
          <w:p w14:paraId="033D9005">
            <w:pPr>
              <w:snapToGrid w:val="0"/>
              <w:spacing w:line="360" w:lineRule="auto"/>
              <w:jc w:val="center"/>
              <w:rPr>
                <w:rFonts w:ascii="宋体" w:hAnsi="宋体" w:cs="宋体"/>
                <w:color w:val="auto"/>
                <w:sz w:val="24"/>
                <w:highlight w:val="none"/>
              </w:rPr>
            </w:pPr>
          </w:p>
          <w:p w14:paraId="26336B44">
            <w:pPr>
              <w:snapToGrid w:val="0"/>
              <w:spacing w:line="360" w:lineRule="auto"/>
              <w:jc w:val="center"/>
              <w:rPr>
                <w:rFonts w:ascii="宋体" w:hAnsi="宋体" w:cs="宋体"/>
                <w:color w:val="auto"/>
                <w:sz w:val="24"/>
                <w:highlight w:val="none"/>
              </w:rPr>
            </w:pPr>
            <w:r>
              <w:rPr>
                <w:rFonts w:ascii="宋体" w:hAnsi="宋体" w:cs="宋体"/>
                <w:color w:val="auto"/>
                <w:sz w:val="24"/>
                <w:highlight w:val="none"/>
              </w:rPr>
              <w:t>体检服务方案及承</w:t>
            </w:r>
          </w:p>
          <w:p w14:paraId="69DA6BE9">
            <w:pPr>
              <w:snapToGrid w:val="0"/>
              <w:spacing w:line="360" w:lineRule="auto"/>
              <w:jc w:val="center"/>
              <w:rPr>
                <w:rFonts w:hint="eastAsia" w:ascii="宋体" w:hAnsi="宋体" w:cs="宋体"/>
                <w:color w:val="auto"/>
                <w:sz w:val="24"/>
                <w:highlight w:val="none"/>
                <w:lang w:val="en-US" w:eastAsia="zh-CN"/>
              </w:rPr>
            </w:pPr>
            <w:r>
              <w:rPr>
                <w:rFonts w:ascii="宋体" w:hAnsi="宋体" w:cs="宋体"/>
                <w:color w:val="auto"/>
                <w:sz w:val="24"/>
                <w:highlight w:val="none"/>
              </w:rPr>
              <w:t>诺（1</w:t>
            </w:r>
            <w:r>
              <w:rPr>
                <w:rFonts w:hint="eastAsia" w:ascii="宋体" w:hAnsi="宋体" w:cs="宋体"/>
                <w:color w:val="auto"/>
                <w:sz w:val="24"/>
                <w:highlight w:val="none"/>
                <w:lang w:val="en-US" w:eastAsia="zh-CN"/>
              </w:rPr>
              <w:t>2</w:t>
            </w:r>
            <w:r>
              <w:rPr>
                <w:rFonts w:ascii="宋体" w:hAnsi="宋体" w:cs="宋体"/>
                <w:color w:val="auto"/>
                <w:sz w:val="24"/>
                <w:highlight w:val="none"/>
              </w:rPr>
              <w:t>分）</w:t>
            </w:r>
          </w:p>
        </w:tc>
        <w:tc>
          <w:tcPr>
            <w:tcW w:w="6986" w:type="dxa"/>
            <w:tcBorders>
              <w:top w:val="single" w:color="auto" w:sz="4" w:space="0"/>
              <w:left w:val="single" w:color="auto" w:sz="4" w:space="0"/>
              <w:bottom w:val="single" w:color="auto" w:sz="4" w:space="0"/>
              <w:right w:val="single" w:color="auto" w:sz="4" w:space="0"/>
            </w:tcBorders>
            <w:shd w:val="clear" w:color="auto" w:fill="auto"/>
            <w:vAlign w:val="top"/>
          </w:tcPr>
          <w:p w14:paraId="0B1FE661">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一档（</w:t>
            </w:r>
            <w:r>
              <w:rPr>
                <w:rFonts w:hint="eastAsia" w:ascii="宋体" w:hAnsi="宋体" w:cs="宋体"/>
                <w:color w:val="auto"/>
                <w:sz w:val="24"/>
                <w:highlight w:val="none"/>
                <w:lang w:val="en-US" w:eastAsia="zh-CN"/>
              </w:rPr>
              <w:t>6</w:t>
            </w:r>
            <w:r>
              <w:rPr>
                <w:rFonts w:ascii="宋体" w:hAnsi="宋体" w:cs="宋体"/>
                <w:color w:val="auto"/>
                <w:sz w:val="24"/>
                <w:highlight w:val="none"/>
              </w:rPr>
              <w:t>分）：</w:t>
            </w:r>
            <w:r>
              <w:rPr>
                <w:rFonts w:hint="eastAsia" w:ascii="宋体" w:hAnsi="宋体" w:cs="宋体"/>
                <w:color w:val="auto"/>
                <w:sz w:val="24"/>
                <w:highlight w:val="none"/>
                <w:lang w:val="en-US" w:eastAsia="zh-CN"/>
              </w:rPr>
              <w:t>提供针对本项目的体检服务方案及承诺，方案</w:t>
            </w:r>
            <w:r>
              <w:rPr>
                <w:rFonts w:ascii="宋体" w:hAnsi="宋体" w:cs="宋体"/>
                <w:color w:val="auto"/>
                <w:sz w:val="24"/>
                <w:highlight w:val="none"/>
              </w:rPr>
              <w:t>有对体检的整个流程安排、各环节有具体服务承诺</w:t>
            </w:r>
            <w:r>
              <w:rPr>
                <w:rFonts w:hint="eastAsia" w:ascii="宋体" w:hAnsi="宋体" w:cs="宋体"/>
                <w:color w:val="auto"/>
                <w:sz w:val="24"/>
                <w:highlight w:val="none"/>
                <w:lang w:eastAsia="zh-CN"/>
              </w:rPr>
              <w:t>；</w:t>
            </w:r>
          </w:p>
          <w:p w14:paraId="169E3164">
            <w:pPr>
              <w:snapToGrid w:val="0"/>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w:t>
            </w:r>
            <w:r>
              <w:rPr>
                <w:rFonts w:ascii="宋体" w:hAnsi="宋体" w:cs="宋体"/>
                <w:color w:val="auto"/>
                <w:sz w:val="24"/>
                <w:highlight w:val="none"/>
              </w:rPr>
              <w:t>档（</w:t>
            </w:r>
            <w:r>
              <w:rPr>
                <w:rFonts w:hint="eastAsia" w:ascii="宋体" w:hAnsi="宋体" w:cs="宋体"/>
                <w:color w:val="auto"/>
                <w:sz w:val="24"/>
                <w:highlight w:val="none"/>
                <w:lang w:val="en-US" w:eastAsia="zh-CN"/>
              </w:rPr>
              <w:t>9</w:t>
            </w:r>
            <w:r>
              <w:rPr>
                <w:rFonts w:ascii="宋体" w:hAnsi="宋体" w:cs="宋体"/>
                <w:color w:val="auto"/>
                <w:sz w:val="24"/>
                <w:highlight w:val="none"/>
              </w:rPr>
              <w:t>分）：</w:t>
            </w:r>
            <w:r>
              <w:rPr>
                <w:rFonts w:hint="eastAsia" w:ascii="宋体" w:hAnsi="宋体" w:cs="宋体"/>
                <w:color w:val="auto"/>
                <w:sz w:val="24"/>
                <w:highlight w:val="none"/>
                <w:lang w:val="en-US" w:eastAsia="zh-CN"/>
              </w:rPr>
              <w:t>在满足上一档基础上，对体检的整个过程安排、人员及设备保障有相应的描述和保障措施，提供体检单位专场体检场所。</w:t>
            </w:r>
          </w:p>
          <w:p w14:paraId="4E83669A">
            <w:pPr>
              <w:snapToGrid w:val="0"/>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三</w:t>
            </w:r>
            <w:r>
              <w:rPr>
                <w:rFonts w:ascii="宋体" w:hAnsi="宋体" w:cs="宋体"/>
                <w:color w:val="auto"/>
                <w:sz w:val="24"/>
                <w:highlight w:val="none"/>
              </w:rPr>
              <w:t>档（1</w:t>
            </w:r>
            <w:r>
              <w:rPr>
                <w:rFonts w:hint="eastAsia" w:ascii="宋体" w:hAnsi="宋体" w:cs="宋体"/>
                <w:color w:val="auto"/>
                <w:sz w:val="24"/>
                <w:highlight w:val="none"/>
                <w:lang w:val="en-US" w:eastAsia="zh-CN"/>
              </w:rPr>
              <w:t>2</w:t>
            </w:r>
            <w:r>
              <w:rPr>
                <w:rFonts w:ascii="宋体" w:hAnsi="宋体" w:cs="宋体"/>
                <w:color w:val="auto"/>
                <w:sz w:val="24"/>
                <w:highlight w:val="none"/>
              </w:rPr>
              <w:t>分）：</w:t>
            </w:r>
            <w:r>
              <w:rPr>
                <w:rFonts w:hint="eastAsia" w:ascii="宋体" w:hAnsi="宋体" w:cs="宋体"/>
                <w:color w:val="auto"/>
                <w:sz w:val="24"/>
                <w:highlight w:val="none"/>
                <w:lang w:val="en-US" w:eastAsia="zh-CN"/>
              </w:rPr>
              <w:t>在满足上一档基础上，方案中充分考虑到</w:t>
            </w:r>
            <w:r>
              <w:rPr>
                <w:rFonts w:ascii="宋体" w:hAnsi="宋体" w:cs="宋体"/>
                <w:color w:val="auto"/>
                <w:sz w:val="24"/>
                <w:highlight w:val="none"/>
              </w:rPr>
              <w:t>体检过程中所遇到的问题</w:t>
            </w:r>
            <w:r>
              <w:rPr>
                <w:rFonts w:hint="eastAsia" w:ascii="宋体" w:hAnsi="宋体" w:cs="宋体"/>
                <w:color w:val="auto"/>
                <w:sz w:val="24"/>
                <w:highlight w:val="none"/>
                <w:lang w:val="en-US" w:eastAsia="zh-CN"/>
              </w:rPr>
              <w:t>并</w:t>
            </w:r>
            <w:r>
              <w:rPr>
                <w:rFonts w:ascii="宋体" w:hAnsi="宋体" w:cs="宋体"/>
                <w:color w:val="auto"/>
                <w:sz w:val="24"/>
                <w:highlight w:val="none"/>
              </w:rPr>
              <w:t>提供解决或应急</w:t>
            </w:r>
            <w:r>
              <w:rPr>
                <w:rFonts w:hint="eastAsia" w:ascii="宋体" w:hAnsi="宋体" w:cs="宋体"/>
                <w:color w:val="auto"/>
                <w:sz w:val="24"/>
                <w:highlight w:val="none"/>
                <w:lang w:eastAsia="zh-CN"/>
              </w:rPr>
              <w:t>办法</w:t>
            </w:r>
            <w:r>
              <w:rPr>
                <w:rFonts w:ascii="宋体" w:hAnsi="宋体" w:cs="宋体"/>
                <w:color w:val="auto"/>
                <w:sz w:val="24"/>
                <w:highlight w:val="none"/>
              </w:rPr>
              <w:t>，</w:t>
            </w:r>
            <w:r>
              <w:rPr>
                <w:rFonts w:hint="eastAsia" w:ascii="宋体" w:hAnsi="宋体" w:cs="宋体"/>
                <w:color w:val="auto"/>
                <w:sz w:val="24"/>
                <w:highlight w:val="none"/>
                <w:lang w:eastAsia="zh-CN"/>
              </w:rPr>
              <w:t>人员及设备保障明确、措施完善，</w:t>
            </w:r>
            <w:r>
              <w:rPr>
                <w:rFonts w:hint="eastAsia" w:ascii="宋体" w:hAnsi="宋体" w:cs="宋体"/>
                <w:color w:val="auto"/>
                <w:sz w:val="24"/>
                <w:highlight w:val="none"/>
                <w:lang w:val="en-US" w:eastAsia="zh-CN"/>
              </w:rPr>
              <w:t>且承诺能</w:t>
            </w:r>
            <w:r>
              <w:rPr>
                <w:rFonts w:ascii="宋体" w:hAnsi="宋体" w:cs="宋体"/>
                <w:color w:val="auto"/>
                <w:sz w:val="24"/>
                <w:highlight w:val="none"/>
              </w:rPr>
              <w:t>提供单位专场体检服务的</w:t>
            </w:r>
            <w:r>
              <w:rPr>
                <w:rFonts w:hint="eastAsia" w:ascii="宋体" w:hAnsi="宋体" w:cs="宋体"/>
                <w:color w:val="auto"/>
                <w:sz w:val="24"/>
                <w:highlight w:val="none"/>
                <w:lang w:eastAsia="zh-CN"/>
              </w:rPr>
              <w:t>。</w:t>
            </w:r>
          </w:p>
          <w:p w14:paraId="2FF1F491">
            <w:pPr>
              <w:snapToGrid w:val="0"/>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注：</w:t>
            </w:r>
            <w:r>
              <w:rPr>
                <w:rFonts w:hint="eastAsia" w:ascii="宋体" w:hAnsi="宋体" w:eastAsia="宋体" w:cs="宋体"/>
                <w:color w:val="auto"/>
                <w:kern w:val="2"/>
                <w:sz w:val="24"/>
                <w:szCs w:val="24"/>
                <w:highlight w:val="none"/>
                <w:lang w:val="en-US" w:eastAsia="zh-CN" w:bidi="ar-SA"/>
              </w:rPr>
              <w:t>不满足进档要求不得分。</w:t>
            </w:r>
          </w:p>
        </w:tc>
      </w:tr>
      <w:tr w14:paraId="2614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4C670B3B">
            <w:pPr>
              <w:adjustRightInd w:val="0"/>
              <w:snapToGrid w:val="0"/>
              <w:spacing w:line="360" w:lineRule="auto"/>
              <w:jc w:val="center"/>
              <w:textAlignment w:val="baseline"/>
              <w:rPr>
                <w:rFonts w:ascii="宋体" w:hAnsi="宋体" w:cs="宋体"/>
                <w:bCs/>
                <w:color w:val="auto"/>
                <w:sz w:val="24"/>
                <w:highlight w:val="none"/>
              </w:rPr>
            </w:pPr>
          </w:p>
        </w:tc>
        <w:tc>
          <w:tcPr>
            <w:tcW w:w="992" w:type="dxa"/>
            <w:vMerge w:val="continue"/>
            <w:tcBorders>
              <w:left w:val="single" w:color="auto" w:sz="4" w:space="0"/>
              <w:right w:val="single" w:color="auto" w:sz="4" w:space="0"/>
            </w:tcBorders>
            <w:vAlign w:val="center"/>
          </w:tcPr>
          <w:p w14:paraId="05A6AE08">
            <w:pPr>
              <w:pStyle w:val="25"/>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F8965C3">
            <w:pPr>
              <w:pStyle w:val="82"/>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对教职工健康管理服务方案及服务承诺</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15分）</w:t>
            </w:r>
          </w:p>
        </w:tc>
        <w:tc>
          <w:tcPr>
            <w:tcW w:w="6986" w:type="dxa"/>
            <w:tcBorders>
              <w:top w:val="single" w:color="auto" w:sz="4" w:space="0"/>
              <w:left w:val="single" w:color="auto" w:sz="4" w:space="0"/>
              <w:bottom w:val="single" w:color="auto" w:sz="4" w:space="0"/>
              <w:right w:val="single" w:color="auto" w:sz="4" w:space="0"/>
            </w:tcBorders>
            <w:vAlign w:val="top"/>
          </w:tcPr>
          <w:p w14:paraId="4315858F">
            <w:pPr>
              <w:pStyle w:val="8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一档（</w:t>
            </w:r>
            <w:r>
              <w:rPr>
                <w:rFonts w:hint="eastAsia" w:ascii="宋体" w:hAnsi="宋体" w:eastAsia="宋体" w:cs="宋体"/>
                <w:color w:val="auto"/>
                <w:kern w:val="2"/>
                <w:sz w:val="24"/>
                <w:szCs w:val="24"/>
                <w:highlight w:val="none"/>
                <w:lang w:val="en-US" w:eastAsia="zh-CN" w:bidi="ar-SA"/>
              </w:rPr>
              <w:t>5</w:t>
            </w:r>
            <w:r>
              <w:rPr>
                <w:rFonts w:ascii="宋体" w:hAnsi="宋体" w:eastAsia="宋体" w:cs="宋体"/>
                <w:color w:val="auto"/>
                <w:kern w:val="2"/>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提供针对本项目</w:t>
            </w:r>
            <w:r>
              <w:rPr>
                <w:rFonts w:ascii="宋体" w:hAnsi="宋体" w:eastAsia="宋体" w:cs="宋体"/>
                <w:color w:val="auto"/>
                <w:kern w:val="2"/>
                <w:sz w:val="24"/>
                <w:szCs w:val="24"/>
                <w:highlight w:val="none"/>
                <w:lang w:val="en-US" w:eastAsia="zh-CN" w:bidi="ar-SA"/>
              </w:rPr>
              <w:t>教职工健康管理服务方案及服务承诺</w:t>
            </w:r>
            <w:r>
              <w:rPr>
                <w:rFonts w:hint="eastAsia" w:ascii="宋体" w:hAnsi="宋体" w:eastAsia="宋体" w:cs="宋体"/>
                <w:color w:val="auto"/>
                <w:kern w:val="2"/>
                <w:sz w:val="24"/>
                <w:szCs w:val="24"/>
                <w:highlight w:val="none"/>
                <w:lang w:val="en-US" w:eastAsia="zh-CN" w:bidi="ar-SA"/>
              </w:rPr>
              <w:t>，方案及承诺基本满足采购需求；</w:t>
            </w:r>
          </w:p>
          <w:p w14:paraId="7B591F59">
            <w:pPr>
              <w:pStyle w:val="8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二档（10分）：</w:t>
            </w:r>
            <w:r>
              <w:rPr>
                <w:rFonts w:hint="eastAsia" w:ascii="宋体" w:hAnsi="宋体" w:eastAsia="宋体" w:cs="宋体"/>
                <w:color w:val="auto"/>
                <w:kern w:val="2"/>
                <w:sz w:val="24"/>
                <w:szCs w:val="24"/>
                <w:highlight w:val="none"/>
                <w:lang w:val="en-US" w:eastAsia="zh-CN" w:bidi="ar-SA"/>
              </w:rPr>
              <w:t>在满足上一档基础上，</w:t>
            </w:r>
            <w:r>
              <w:rPr>
                <w:rFonts w:ascii="宋体" w:hAnsi="宋体" w:eastAsia="宋体" w:cs="宋体"/>
                <w:color w:val="auto"/>
                <w:kern w:val="2"/>
                <w:sz w:val="24"/>
                <w:szCs w:val="24"/>
                <w:highlight w:val="none"/>
                <w:lang w:val="en-US" w:eastAsia="zh-CN" w:bidi="ar-SA"/>
              </w:rPr>
              <w:t>对参检者体检结果有异常情况、需进一步检查或需住院治疗的参检人开辟绿色通道，提供预约床位、就诊、检查等服务，体检结果能够通过网络与门诊直接共享，对</w:t>
            </w:r>
            <w:r>
              <w:rPr>
                <w:rFonts w:hint="eastAsia" w:ascii="宋体" w:hAnsi="宋体" w:eastAsia="宋体" w:cs="宋体"/>
                <w:color w:val="auto"/>
                <w:kern w:val="2"/>
                <w:sz w:val="24"/>
                <w:szCs w:val="24"/>
                <w:highlight w:val="none"/>
                <w:lang w:val="en-US" w:eastAsia="zh-CN" w:bidi="ar-SA"/>
              </w:rPr>
              <w:t>采购人</w:t>
            </w:r>
            <w:r>
              <w:rPr>
                <w:rFonts w:ascii="宋体" w:hAnsi="宋体" w:eastAsia="宋体" w:cs="宋体"/>
                <w:color w:val="auto"/>
                <w:kern w:val="2"/>
                <w:sz w:val="24"/>
                <w:szCs w:val="24"/>
                <w:highlight w:val="none"/>
                <w:lang w:val="en-US" w:eastAsia="zh-CN" w:bidi="ar-SA"/>
              </w:rPr>
              <w:t>教职工紧急就医开辟绿色通道</w:t>
            </w:r>
            <w:r>
              <w:rPr>
                <w:rFonts w:hint="eastAsia" w:ascii="宋体" w:hAnsi="宋体" w:eastAsia="宋体" w:cs="宋体"/>
                <w:color w:val="auto"/>
                <w:kern w:val="2"/>
                <w:sz w:val="24"/>
                <w:szCs w:val="24"/>
                <w:highlight w:val="none"/>
                <w:lang w:val="en-US" w:eastAsia="zh-CN" w:bidi="ar-SA"/>
              </w:rPr>
              <w:t>；</w:t>
            </w:r>
          </w:p>
          <w:p w14:paraId="1B93BDCA">
            <w:pPr>
              <w:pStyle w:val="8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三档（15分）：</w:t>
            </w:r>
            <w:r>
              <w:rPr>
                <w:rFonts w:hint="eastAsia" w:ascii="宋体" w:hAnsi="宋体" w:eastAsia="宋体" w:cs="宋体"/>
                <w:color w:val="auto"/>
                <w:kern w:val="2"/>
                <w:sz w:val="24"/>
                <w:szCs w:val="24"/>
                <w:highlight w:val="none"/>
                <w:lang w:val="en-US" w:eastAsia="zh-CN" w:bidi="ar-SA"/>
              </w:rPr>
              <w:t>在满足上一档基础上，</w:t>
            </w:r>
            <w:r>
              <w:rPr>
                <w:rFonts w:ascii="宋体" w:hAnsi="宋体" w:eastAsia="宋体" w:cs="宋体"/>
                <w:color w:val="auto"/>
                <w:kern w:val="2"/>
                <w:sz w:val="24"/>
                <w:szCs w:val="24"/>
                <w:highlight w:val="none"/>
                <w:lang w:val="en-US" w:eastAsia="zh-CN" w:bidi="ar-SA"/>
              </w:rPr>
              <w:t>对参检者提供检后智慧化全程健康管理服务，可开展</w:t>
            </w:r>
            <w:r>
              <w:rPr>
                <w:rFonts w:hint="eastAsia" w:ascii="宋体" w:hAnsi="宋体" w:eastAsia="宋体" w:cs="宋体"/>
                <w:color w:val="auto"/>
                <w:kern w:val="2"/>
                <w:sz w:val="24"/>
                <w:szCs w:val="24"/>
                <w:highlight w:val="none"/>
                <w:lang w:val="en-US" w:eastAsia="zh-CN" w:bidi="ar-SA"/>
              </w:rPr>
              <w:t>线上预约体检及</w:t>
            </w:r>
            <w:r>
              <w:rPr>
                <w:rFonts w:ascii="宋体" w:hAnsi="宋体" w:eastAsia="宋体" w:cs="宋体"/>
                <w:color w:val="auto"/>
                <w:kern w:val="2"/>
                <w:sz w:val="24"/>
                <w:szCs w:val="24"/>
                <w:highlight w:val="none"/>
                <w:lang w:val="en-US" w:eastAsia="zh-CN" w:bidi="ar-SA"/>
              </w:rPr>
              <w:t>远程健康管理，对重点人群开展健康风险评估、连续性监测及有效干预</w:t>
            </w:r>
            <w:r>
              <w:rPr>
                <w:rFonts w:hint="eastAsia" w:ascii="宋体" w:hAnsi="宋体" w:eastAsia="宋体" w:cs="宋体"/>
                <w:color w:val="auto"/>
                <w:kern w:val="2"/>
                <w:sz w:val="24"/>
                <w:szCs w:val="24"/>
                <w:highlight w:val="none"/>
                <w:lang w:val="en-US" w:eastAsia="zh-CN" w:bidi="ar-SA"/>
              </w:rPr>
              <w:t>等</w:t>
            </w:r>
            <w:r>
              <w:rPr>
                <w:rFonts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联合医院多学科专家团队，包括开展体检人群肺结节、乳腺结节、甲状腺结节、多病共患等多学科联合会诊，能实现健康管理，能为职工提供体检报告结果的详细解答。</w:t>
            </w:r>
          </w:p>
          <w:p w14:paraId="65AB48FA">
            <w:pPr>
              <w:pStyle w:val="8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注：不满足进档要求不得分。</w:t>
            </w:r>
          </w:p>
        </w:tc>
      </w:tr>
      <w:tr w14:paraId="4BFD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20C5DAC4">
            <w:pPr>
              <w:adjustRightInd w:val="0"/>
              <w:snapToGrid w:val="0"/>
              <w:spacing w:line="360" w:lineRule="auto"/>
              <w:jc w:val="center"/>
              <w:textAlignment w:val="baseline"/>
              <w:rPr>
                <w:rFonts w:ascii="宋体" w:hAnsi="宋体" w:cs="宋体"/>
                <w:bCs/>
                <w:color w:val="auto"/>
                <w:sz w:val="24"/>
                <w:highlight w:val="none"/>
              </w:rPr>
            </w:pPr>
          </w:p>
        </w:tc>
        <w:tc>
          <w:tcPr>
            <w:tcW w:w="992" w:type="dxa"/>
            <w:vMerge w:val="continue"/>
            <w:tcBorders>
              <w:left w:val="single" w:color="auto" w:sz="4" w:space="0"/>
              <w:right w:val="single" w:color="auto" w:sz="4" w:space="0"/>
            </w:tcBorders>
            <w:vAlign w:val="center"/>
          </w:tcPr>
          <w:p w14:paraId="297009A9">
            <w:pPr>
              <w:pStyle w:val="25"/>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EEC861C">
            <w:pPr>
              <w:spacing w:line="360" w:lineRule="auto"/>
              <w:jc w:val="center"/>
              <w:rPr>
                <w:rFonts w:hint="default" w:ascii="宋体" w:hAnsi="宋体" w:eastAsia="宋体" w:cs="宋体"/>
                <w:bCs/>
                <w:color w:val="auto"/>
                <w:sz w:val="24"/>
                <w:highlight w:val="none"/>
                <w:lang w:val="en-US" w:eastAsia="zh-CN"/>
              </w:rPr>
            </w:pPr>
            <w:r>
              <w:rPr>
                <w:rFonts w:hint="default" w:ascii="宋体" w:hAnsi="宋体" w:eastAsia="宋体" w:cs="宋体"/>
                <w:bCs/>
                <w:color w:val="auto"/>
                <w:sz w:val="24"/>
                <w:highlight w:val="none"/>
                <w:lang w:val="en-US" w:eastAsia="zh-CN"/>
              </w:rPr>
              <w:t>投入的设备方案（1</w:t>
            </w:r>
            <w:r>
              <w:rPr>
                <w:rFonts w:hint="eastAsia" w:ascii="宋体" w:hAnsi="宋体" w:cs="宋体"/>
                <w:bCs/>
                <w:color w:val="auto"/>
                <w:sz w:val="24"/>
                <w:highlight w:val="none"/>
                <w:lang w:val="en-US" w:eastAsia="zh-CN"/>
              </w:rPr>
              <w:t>5</w:t>
            </w:r>
            <w:r>
              <w:rPr>
                <w:rFonts w:hint="default" w:ascii="宋体" w:hAnsi="宋体" w:eastAsia="宋体" w:cs="宋体"/>
                <w:bCs/>
                <w:color w:val="auto"/>
                <w:sz w:val="24"/>
                <w:highlight w:val="none"/>
                <w:lang w:val="en-US" w:eastAsia="zh-CN"/>
              </w:rPr>
              <w:t>分）</w:t>
            </w:r>
          </w:p>
        </w:tc>
        <w:tc>
          <w:tcPr>
            <w:tcW w:w="6986" w:type="dxa"/>
            <w:tcBorders>
              <w:top w:val="single" w:color="auto" w:sz="4" w:space="0"/>
              <w:left w:val="single" w:color="auto" w:sz="4" w:space="0"/>
              <w:bottom w:val="single" w:color="auto" w:sz="4" w:space="0"/>
              <w:right w:val="single" w:color="auto" w:sz="4" w:space="0"/>
            </w:tcBorders>
            <w:vAlign w:val="center"/>
          </w:tcPr>
          <w:p w14:paraId="709F3D52">
            <w:pPr>
              <w:pStyle w:val="8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一档（</w:t>
            </w:r>
            <w:r>
              <w:rPr>
                <w:rFonts w:hint="eastAsia" w:ascii="宋体" w:hAnsi="宋体" w:eastAsia="宋体" w:cs="宋体"/>
                <w:color w:val="auto"/>
                <w:kern w:val="2"/>
                <w:sz w:val="24"/>
                <w:szCs w:val="24"/>
                <w:highlight w:val="none"/>
                <w:lang w:val="en-US" w:eastAsia="zh-CN" w:bidi="ar-SA"/>
              </w:rPr>
              <w:t>5</w:t>
            </w:r>
            <w:r>
              <w:rPr>
                <w:rFonts w:ascii="宋体" w:hAnsi="宋体" w:eastAsia="宋体" w:cs="宋体"/>
                <w:color w:val="auto"/>
                <w:kern w:val="2"/>
                <w:sz w:val="24"/>
                <w:szCs w:val="24"/>
                <w:highlight w:val="none"/>
                <w:lang w:val="en-US" w:eastAsia="zh-CN" w:bidi="ar-SA"/>
              </w:rPr>
              <w:t>分）：提供本次体检项目所需的检查仪器设备清单，且清单中X线成像系统、超声检查仪、心电图机</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生化分析仪等与本次体检项目相关的检查仪器设备使用年限＜5年的，占50%以下；</w:t>
            </w:r>
          </w:p>
          <w:p w14:paraId="4E24A2A5">
            <w:pPr>
              <w:pStyle w:val="8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二档（</w:t>
            </w:r>
            <w:r>
              <w:rPr>
                <w:rFonts w:hint="eastAsia" w:ascii="宋体" w:hAnsi="宋体" w:eastAsia="宋体" w:cs="宋体"/>
                <w:color w:val="auto"/>
                <w:kern w:val="2"/>
                <w:sz w:val="24"/>
                <w:szCs w:val="24"/>
                <w:highlight w:val="none"/>
                <w:lang w:val="en-US" w:eastAsia="zh-CN" w:bidi="ar-SA"/>
              </w:rPr>
              <w:t>10</w:t>
            </w:r>
            <w:r>
              <w:rPr>
                <w:rFonts w:ascii="宋体" w:hAnsi="宋体" w:eastAsia="宋体" w:cs="宋体"/>
                <w:color w:val="auto"/>
                <w:kern w:val="2"/>
                <w:sz w:val="24"/>
                <w:szCs w:val="24"/>
                <w:highlight w:val="none"/>
                <w:lang w:val="en-US" w:eastAsia="zh-CN" w:bidi="ar-SA"/>
              </w:rPr>
              <w:t>分）：提供本次体检项目相关的检查仪器设备清单，且清单中X线成像系统、超声检查仪、心电图机、生化分析仪等与本次体检项目相关的检查仪器设备使用年限＜5年的，占50%—</w:t>
            </w:r>
            <w:r>
              <w:rPr>
                <w:rFonts w:hint="eastAsia" w:ascii="宋体" w:hAnsi="宋体" w:eastAsia="宋体" w:cs="宋体"/>
                <w:color w:val="auto"/>
                <w:kern w:val="2"/>
                <w:sz w:val="24"/>
                <w:szCs w:val="24"/>
                <w:highlight w:val="none"/>
                <w:lang w:val="en-US" w:eastAsia="zh-CN" w:bidi="ar-SA"/>
              </w:rPr>
              <w:t>90</w:t>
            </w:r>
            <w:r>
              <w:rPr>
                <w:rFonts w:ascii="宋体" w:hAnsi="宋体" w:eastAsia="宋体" w:cs="宋体"/>
                <w:color w:val="auto"/>
                <w:kern w:val="2"/>
                <w:sz w:val="24"/>
                <w:szCs w:val="24"/>
                <w:highlight w:val="none"/>
                <w:lang w:val="en-US" w:eastAsia="zh-CN" w:bidi="ar-SA"/>
              </w:rPr>
              <w:t>%（不含）；</w:t>
            </w:r>
          </w:p>
          <w:p w14:paraId="575C6616">
            <w:pPr>
              <w:pStyle w:val="8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三档（</w:t>
            </w:r>
            <w:r>
              <w:rPr>
                <w:rFonts w:hint="eastAsia" w:ascii="宋体" w:hAnsi="宋体" w:eastAsia="宋体" w:cs="宋体"/>
                <w:color w:val="auto"/>
                <w:kern w:val="2"/>
                <w:sz w:val="24"/>
                <w:szCs w:val="24"/>
                <w:highlight w:val="none"/>
                <w:lang w:val="en-US" w:eastAsia="zh-CN" w:bidi="ar-SA"/>
              </w:rPr>
              <w:t>15</w:t>
            </w:r>
            <w:r>
              <w:rPr>
                <w:rFonts w:ascii="宋体" w:hAnsi="宋体" w:eastAsia="宋体" w:cs="宋体"/>
                <w:color w:val="auto"/>
                <w:kern w:val="2"/>
                <w:sz w:val="24"/>
                <w:szCs w:val="24"/>
                <w:highlight w:val="none"/>
                <w:lang w:val="en-US" w:eastAsia="zh-CN" w:bidi="ar-SA"/>
              </w:rPr>
              <w:t>分）：提供本次体检项目所需的检查仪器设备清单，且清单中X线成像系统、超声检查仪、心电图机、生化分析仪等与本次体检项目相关的检查仪器设备使用年限＜5年的，占</w:t>
            </w:r>
            <w:r>
              <w:rPr>
                <w:rFonts w:hint="eastAsia" w:ascii="宋体" w:hAnsi="宋体" w:eastAsia="宋体" w:cs="宋体"/>
                <w:color w:val="auto"/>
                <w:kern w:val="2"/>
                <w:sz w:val="24"/>
                <w:szCs w:val="24"/>
                <w:highlight w:val="none"/>
                <w:lang w:val="en-US" w:eastAsia="zh-CN" w:bidi="ar-SA"/>
              </w:rPr>
              <w:t>90</w:t>
            </w:r>
            <w:r>
              <w:rPr>
                <w:rFonts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（含）</w:t>
            </w:r>
            <w:r>
              <w:rPr>
                <w:rFonts w:ascii="宋体" w:hAnsi="宋体" w:eastAsia="宋体" w:cs="宋体"/>
                <w:color w:val="auto"/>
                <w:kern w:val="2"/>
                <w:sz w:val="24"/>
                <w:szCs w:val="24"/>
                <w:highlight w:val="none"/>
                <w:lang w:val="en-US" w:eastAsia="zh-CN" w:bidi="ar-SA"/>
              </w:rPr>
              <w:t>及以上。</w:t>
            </w:r>
          </w:p>
          <w:p w14:paraId="682D8AA8">
            <w:pPr>
              <w:pStyle w:val="8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bCs/>
                <w:color w:val="auto"/>
                <w:kern w:val="2"/>
                <w:sz w:val="24"/>
                <w:szCs w:val="24"/>
                <w:highlight w:val="none"/>
                <w:lang w:val="en-US" w:eastAsia="zh-CN" w:bidi="ar-SA"/>
              </w:rPr>
            </w:pPr>
            <w:r>
              <w:rPr>
                <w:rFonts w:ascii="宋体" w:hAnsi="宋体" w:eastAsia="宋体" w:cs="宋体"/>
                <w:b/>
                <w:bCs/>
                <w:color w:val="auto"/>
                <w:kern w:val="2"/>
                <w:sz w:val="24"/>
                <w:szCs w:val="24"/>
                <w:highlight w:val="none"/>
                <w:lang w:val="en-US" w:eastAsia="zh-CN" w:bidi="ar-SA"/>
              </w:rPr>
              <w:t>注：1、</w:t>
            </w:r>
            <w:r>
              <w:rPr>
                <w:rFonts w:hint="eastAsia" w:ascii="宋体" w:hAnsi="宋体" w:eastAsia="宋体" w:cs="宋体"/>
                <w:b/>
                <w:bCs/>
                <w:color w:val="auto"/>
                <w:kern w:val="2"/>
                <w:sz w:val="24"/>
                <w:szCs w:val="24"/>
                <w:highlight w:val="none"/>
                <w:lang w:val="en-US" w:eastAsia="zh-CN" w:bidi="ar-SA"/>
              </w:rPr>
              <w:t>响应</w:t>
            </w:r>
            <w:r>
              <w:rPr>
                <w:rFonts w:ascii="宋体" w:hAnsi="宋体" w:eastAsia="宋体" w:cs="宋体"/>
                <w:b/>
                <w:bCs/>
                <w:color w:val="auto"/>
                <w:kern w:val="2"/>
                <w:sz w:val="24"/>
                <w:szCs w:val="24"/>
                <w:highlight w:val="none"/>
                <w:lang w:val="en-US" w:eastAsia="zh-CN" w:bidi="ar-SA"/>
              </w:rPr>
              <w:t>文件</w:t>
            </w:r>
            <w:r>
              <w:rPr>
                <w:rFonts w:hint="eastAsia" w:ascii="宋体" w:hAnsi="宋体" w:eastAsia="宋体" w:cs="宋体"/>
                <w:b/>
                <w:bCs/>
                <w:color w:val="auto"/>
                <w:kern w:val="2"/>
                <w:sz w:val="24"/>
                <w:szCs w:val="24"/>
                <w:highlight w:val="none"/>
                <w:lang w:val="en-US" w:eastAsia="zh-CN" w:bidi="ar-SA"/>
              </w:rPr>
              <w:t>中</w:t>
            </w:r>
            <w:r>
              <w:rPr>
                <w:rFonts w:ascii="宋体" w:hAnsi="宋体" w:eastAsia="宋体" w:cs="宋体"/>
                <w:b/>
                <w:bCs/>
                <w:color w:val="auto"/>
                <w:kern w:val="2"/>
                <w:sz w:val="24"/>
                <w:szCs w:val="24"/>
                <w:highlight w:val="none"/>
                <w:lang w:val="en-US" w:eastAsia="zh-CN" w:bidi="ar-SA"/>
              </w:rPr>
              <w:t>提供与本次体检项目所需的检查仪器设备【包括但不限于X线成像系统、超声检查仪、心电图机、生化分析仪，包括完成本次体检项目（不包含一般检查项目）涉及的所有的检查、化验仪器】清单。</w:t>
            </w:r>
          </w:p>
          <w:p w14:paraId="22E14FEE">
            <w:pPr>
              <w:pStyle w:val="8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响应</w:t>
            </w:r>
            <w:r>
              <w:rPr>
                <w:rFonts w:ascii="宋体" w:hAnsi="宋体" w:eastAsia="宋体" w:cs="宋体"/>
                <w:b/>
                <w:bCs/>
                <w:color w:val="auto"/>
                <w:kern w:val="2"/>
                <w:sz w:val="24"/>
                <w:szCs w:val="24"/>
                <w:highlight w:val="none"/>
                <w:lang w:val="en-US" w:eastAsia="zh-CN" w:bidi="ar-SA"/>
              </w:rPr>
              <w:t>文件提供仪器设备使用年限以医院签订的购买合同时间至本项目</w:t>
            </w:r>
            <w:r>
              <w:rPr>
                <w:rFonts w:hint="eastAsia" w:ascii="宋体" w:hAnsi="宋体" w:eastAsia="宋体" w:cs="宋体"/>
                <w:b/>
                <w:bCs/>
                <w:color w:val="auto"/>
                <w:kern w:val="2"/>
                <w:sz w:val="24"/>
                <w:szCs w:val="24"/>
                <w:highlight w:val="none"/>
                <w:lang w:val="en-US" w:eastAsia="zh-CN" w:bidi="ar-SA"/>
              </w:rPr>
              <w:t>竞</w:t>
            </w:r>
            <w:r>
              <w:rPr>
                <w:rFonts w:ascii="宋体" w:hAnsi="宋体" w:eastAsia="宋体" w:cs="宋体"/>
                <w:b/>
                <w:bCs/>
                <w:color w:val="auto"/>
                <w:kern w:val="2"/>
                <w:sz w:val="24"/>
                <w:szCs w:val="24"/>
                <w:highlight w:val="none"/>
                <w:lang w:val="en-US" w:eastAsia="zh-CN" w:bidi="ar-SA"/>
              </w:rPr>
              <w:t>标日计，</w:t>
            </w:r>
            <w:r>
              <w:rPr>
                <w:rFonts w:hint="eastAsia" w:ascii="宋体" w:hAnsi="宋体" w:eastAsia="宋体" w:cs="宋体"/>
                <w:b/>
                <w:bCs/>
                <w:color w:val="auto"/>
                <w:kern w:val="2"/>
                <w:sz w:val="24"/>
                <w:szCs w:val="24"/>
                <w:highlight w:val="none"/>
                <w:lang w:val="en-US" w:eastAsia="zh-CN" w:bidi="ar-SA"/>
              </w:rPr>
              <w:t>响应</w:t>
            </w:r>
            <w:r>
              <w:rPr>
                <w:rFonts w:ascii="宋体" w:hAnsi="宋体" w:eastAsia="宋体" w:cs="宋体"/>
                <w:b/>
                <w:bCs/>
                <w:color w:val="auto"/>
                <w:kern w:val="2"/>
                <w:sz w:val="24"/>
                <w:szCs w:val="24"/>
                <w:highlight w:val="none"/>
                <w:lang w:val="en-US" w:eastAsia="zh-CN" w:bidi="ar-SA"/>
              </w:rPr>
              <w:t>文件中提供购买合同或发票复印件</w:t>
            </w:r>
            <w:r>
              <w:rPr>
                <w:rFonts w:hint="eastAsia" w:ascii="宋体" w:hAnsi="宋体" w:eastAsia="宋体" w:cs="宋体"/>
                <w:b/>
                <w:bCs/>
                <w:color w:val="auto"/>
                <w:kern w:val="2"/>
                <w:sz w:val="24"/>
                <w:szCs w:val="24"/>
                <w:highlight w:val="none"/>
                <w:lang w:val="en-US" w:eastAsia="zh-CN" w:bidi="ar-SA"/>
              </w:rPr>
              <w:t>等证明材料</w:t>
            </w:r>
            <w:r>
              <w:rPr>
                <w:rFonts w:ascii="宋体" w:hAnsi="宋体" w:eastAsia="宋体" w:cs="宋体"/>
                <w:b/>
                <w:bCs/>
                <w:color w:val="auto"/>
                <w:kern w:val="2"/>
                <w:sz w:val="24"/>
                <w:szCs w:val="24"/>
                <w:highlight w:val="none"/>
                <w:lang w:val="en-US" w:eastAsia="zh-CN" w:bidi="ar-SA"/>
              </w:rPr>
              <w:t>。</w:t>
            </w:r>
          </w:p>
          <w:p w14:paraId="2B8FCBDE">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不满足进档要求不得分。</w:t>
            </w:r>
          </w:p>
        </w:tc>
      </w:tr>
      <w:tr w14:paraId="4127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3D05A7BF">
            <w:pPr>
              <w:adjustRightInd w:val="0"/>
              <w:snapToGrid w:val="0"/>
              <w:spacing w:line="360" w:lineRule="auto"/>
              <w:jc w:val="center"/>
              <w:textAlignment w:val="baseline"/>
              <w:rPr>
                <w:rFonts w:ascii="宋体" w:hAnsi="宋体" w:cs="宋体"/>
                <w:bCs/>
                <w:color w:val="auto"/>
                <w:sz w:val="24"/>
                <w:highlight w:val="none"/>
              </w:rPr>
            </w:pPr>
          </w:p>
        </w:tc>
        <w:tc>
          <w:tcPr>
            <w:tcW w:w="992" w:type="dxa"/>
            <w:vMerge w:val="continue"/>
            <w:tcBorders>
              <w:left w:val="single" w:color="auto" w:sz="4" w:space="0"/>
              <w:right w:val="single" w:color="auto" w:sz="4" w:space="0"/>
            </w:tcBorders>
            <w:vAlign w:val="center"/>
          </w:tcPr>
          <w:p w14:paraId="4B6A6423">
            <w:pPr>
              <w:pStyle w:val="25"/>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78A27BD">
            <w:pPr>
              <w:spacing w:line="360" w:lineRule="auto"/>
              <w:jc w:val="center"/>
              <w:rPr>
                <w:rFonts w:hint="default" w:ascii="宋体" w:hAnsi="宋体" w:cs="宋体"/>
                <w:bCs/>
                <w:color w:val="auto"/>
                <w:sz w:val="24"/>
                <w:highlight w:val="none"/>
                <w:lang w:val="en-US" w:eastAsia="zh-CN"/>
              </w:rPr>
            </w:pPr>
            <w:r>
              <w:rPr>
                <w:rFonts w:hint="default" w:ascii="宋体" w:hAnsi="宋体" w:cs="宋体"/>
                <w:bCs/>
                <w:color w:val="auto"/>
                <w:sz w:val="24"/>
                <w:highlight w:val="none"/>
                <w:lang w:val="en-US" w:eastAsia="zh-CN"/>
              </w:rPr>
              <w:t>体检环境</w:t>
            </w:r>
          </w:p>
          <w:p w14:paraId="6433DAAE">
            <w:pPr>
              <w:spacing w:line="360" w:lineRule="auto"/>
              <w:jc w:val="center"/>
              <w:rPr>
                <w:rFonts w:hint="default" w:ascii="宋体" w:hAnsi="宋体" w:cs="宋体"/>
                <w:bCs/>
                <w:color w:val="auto"/>
                <w:sz w:val="24"/>
                <w:highlight w:val="none"/>
                <w:lang w:val="en-US" w:eastAsia="zh-CN"/>
              </w:rPr>
            </w:pPr>
            <w:r>
              <w:rPr>
                <w:rFonts w:hint="default" w:ascii="宋体" w:hAnsi="宋体" w:cs="宋体"/>
                <w:bCs/>
                <w:color w:val="auto"/>
                <w:sz w:val="24"/>
                <w:highlight w:val="none"/>
                <w:lang w:val="en-US" w:eastAsia="zh-CN"/>
              </w:rPr>
              <w:t>（</w:t>
            </w:r>
            <w:r>
              <w:rPr>
                <w:rFonts w:hint="eastAsia" w:ascii="宋体" w:hAnsi="宋体" w:cs="宋体"/>
                <w:bCs/>
                <w:color w:val="auto"/>
                <w:sz w:val="24"/>
                <w:highlight w:val="none"/>
                <w:lang w:val="en-US" w:eastAsia="zh-CN"/>
              </w:rPr>
              <w:t>10</w:t>
            </w:r>
            <w:r>
              <w:rPr>
                <w:rFonts w:hint="default" w:ascii="宋体" w:hAnsi="宋体" w:cs="宋体"/>
                <w:bCs/>
                <w:color w:val="auto"/>
                <w:sz w:val="24"/>
                <w:highlight w:val="none"/>
                <w:lang w:val="en-US" w:eastAsia="zh-CN"/>
              </w:rPr>
              <w:t>分）</w:t>
            </w:r>
          </w:p>
        </w:tc>
        <w:tc>
          <w:tcPr>
            <w:tcW w:w="6986" w:type="dxa"/>
            <w:tcBorders>
              <w:top w:val="single" w:color="auto" w:sz="4" w:space="0"/>
              <w:left w:val="single" w:color="auto" w:sz="4" w:space="0"/>
              <w:bottom w:val="single" w:color="auto" w:sz="4" w:space="0"/>
              <w:right w:val="single" w:color="auto" w:sz="4" w:space="0"/>
            </w:tcBorders>
            <w:vAlign w:val="center"/>
          </w:tcPr>
          <w:p w14:paraId="0814182F">
            <w:pPr>
              <w:snapToGrid w:val="0"/>
              <w:spacing w:line="360" w:lineRule="auto"/>
              <w:ind w:firstLine="480" w:firstLineChars="200"/>
              <w:jc w:val="left"/>
              <w:rPr>
                <w:rStyle w:val="59"/>
                <w:rFonts w:hint="eastAsia"/>
                <w:color w:val="auto"/>
                <w:highlight w:val="none"/>
                <w:lang w:val="en-US" w:eastAsia="zh-CN"/>
                <w:woUserID w:val="0"/>
              </w:rPr>
            </w:pPr>
            <w:r>
              <w:rPr>
                <w:rFonts w:hint="eastAsia" w:ascii="宋体" w:hAnsi="宋体" w:eastAsia="宋体" w:cs="宋体"/>
                <w:color w:val="auto"/>
                <w:kern w:val="2"/>
                <w:sz w:val="24"/>
                <w:szCs w:val="24"/>
                <w:highlight w:val="none"/>
                <w:lang w:val="en-US" w:eastAsia="zh-CN" w:bidi="ar-SA"/>
              </w:rPr>
              <w:t>（1）健康体检中心有独立的楼层，接待量可安排每日</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00人</w:t>
            </w:r>
            <w:r>
              <w:rPr>
                <w:rFonts w:hint="eastAsia" w:ascii="宋体" w:hAnsi="宋体" w:cs="宋体"/>
                <w:color w:val="auto"/>
                <w:kern w:val="2"/>
                <w:sz w:val="24"/>
                <w:szCs w:val="24"/>
                <w:highlight w:val="none"/>
                <w:lang w:val="en-US" w:eastAsia="zh-CN" w:bidi="ar-SA"/>
              </w:rPr>
              <w:t>（含）及</w:t>
            </w:r>
            <w:r>
              <w:rPr>
                <w:rFonts w:hint="eastAsia" w:ascii="宋体" w:hAnsi="宋体" w:eastAsia="宋体" w:cs="宋体"/>
                <w:color w:val="auto"/>
                <w:kern w:val="2"/>
                <w:sz w:val="24"/>
                <w:szCs w:val="24"/>
                <w:highlight w:val="none"/>
                <w:lang w:val="en-US" w:eastAsia="zh-CN" w:bidi="ar-SA"/>
              </w:rPr>
              <w:t>以上</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b/>
                <w:bCs/>
                <w:color w:val="auto"/>
                <w:kern w:val="2"/>
                <w:sz w:val="24"/>
                <w:szCs w:val="24"/>
                <w:highlight w:val="none"/>
                <w:lang w:val="en-US" w:eastAsia="zh-CN" w:bidi="ar-SA"/>
              </w:rPr>
              <w:t>（响应文件中提供</w:t>
            </w:r>
            <w:r>
              <w:rPr>
                <w:rFonts w:hint="eastAsia" w:ascii="宋体" w:hAnsi="宋体" w:eastAsia="宋体" w:cs="宋体"/>
                <w:b/>
                <w:bCs/>
                <w:color w:val="auto"/>
                <w:kern w:val="2"/>
                <w:sz w:val="24"/>
                <w:szCs w:val="24"/>
                <w:highlight w:val="none"/>
                <w:lang w:val="en-US" w:eastAsia="zh-CN" w:bidi="ar-SA"/>
              </w:rPr>
              <w:t>一年内</w:t>
            </w:r>
            <w:r>
              <w:rPr>
                <w:rFonts w:hint="eastAsia" w:ascii="宋体" w:hAnsi="宋体" w:cs="宋体"/>
                <w:b/>
                <w:bCs/>
                <w:color w:val="auto"/>
                <w:kern w:val="2"/>
                <w:sz w:val="24"/>
                <w:szCs w:val="24"/>
                <w:highlight w:val="none"/>
                <w:lang w:val="en-US" w:eastAsia="zh-CN" w:bidi="ar-SA"/>
              </w:rPr>
              <w:t>任意一</w:t>
            </w:r>
            <w:r>
              <w:rPr>
                <w:rFonts w:hint="eastAsia" w:ascii="宋体" w:hAnsi="宋体" w:eastAsia="宋体" w:cs="宋体"/>
                <w:b/>
                <w:bCs/>
                <w:color w:val="auto"/>
                <w:kern w:val="2"/>
                <w:sz w:val="24"/>
                <w:szCs w:val="24"/>
                <w:highlight w:val="none"/>
                <w:lang w:val="en-US" w:eastAsia="zh-CN" w:bidi="ar-SA"/>
              </w:rPr>
              <w:t>天体检人数的列表</w:t>
            </w:r>
            <w:r>
              <w:rPr>
                <w:rFonts w:hint="eastAsia" w:ascii="宋体" w:hAnsi="宋体" w:cs="宋体"/>
                <w:b/>
                <w:bCs/>
                <w:color w:val="auto"/>
                <w:kern w:val="2"/>
                <w:sz w:val="24"/>
                <w:szCs w:val="24"/>
                <w:highlight w:val="none"/>
                <w:lang w:val="en-US" w:eastAsia="zh-CN" w:bidi="ar-SA"/>
              </w:rPr>
              <w:t>等作为证明材料）</w:t>
            </w:r>
            <w:r>
              <w:rPr>
                <w:rFonts w:hint="eastAsia" w:ascii="宋体" w:hAnsi="宋体" w:eastAsia="宋体" w:cs="宋体"/>
                <w:color w:val="auto"/>
                <w:kern w:val="2"/>
                <w:sz w:val="24"/>
                <w:szCs w:val="24"/>
                <w:highlight w:val="none"/>
                <w:lang w:val="en-US" w:eastAsia="zh-CN" w:bidi="ar-SA"/>
              </w:rPr>
              <w:t>（满分</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w:t>
            </w:r>
          </w:p>
          <w:p w14:paraId="226CA9EA">
            <w:pPr>
              <w:snapToGrid w:val="0"/>
              <w:spacing w:line="360" w:lineRule="auto"/>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提供有独立的健康体检场所，有独立的VIP服务区域，可实现分层服务，特殊人群给予照顾，得1分。</w:t>
            </w:r>
            <w:r>
              <w:rPr>
                <w:rFonts w:hint="eastAsia" w:ascii="宋体" w:hAnsi="宋体" w:cs="宋体"/>
                <w:b/>
                <w:bCs/>
                <w:color w:val="auto"/>
                <w:kern w:val="2"/>
                <w:sz w:val="24"/>
                <w:szCs w:val="24"/>
                <w:highlight w:val="none"/>
                <w:lang w:val="en-US" w:eastAsia="zh-CN" w:bidi="ar-SA"/>
              </w:rPr>
              <w:t>（响应文件中提供现场实物图等相关证明材料）</w:t>
            </w:r>
            <w:r>
              <w:rPr>
                <w:rFonts w:hint="eastAsia" w:ascii="宋体" w:hAnsi="宋体" w:eastAsia="宋体" w:cs="宋体"/>
                <w:color w:val="auto"/>
                <w:kern w:val="2"/>
                <w:sz w:val="24"/>
                <w:szCs w:val="24"/>
                <w:highlight w:val="none"/>
                <w:lang w:val="en-US" w:eastAsia="zh-CN" w:bidi="ar-SA"/>
              </w:rPr>
              <w:t>（满分</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w:t>
            </w:r>
          </w:p>
          <w:p w14:paraId="4958C668">
            <w:pPr>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配备有</w:t>
            </w:r>
            <w:r>
              <w:rPr>
                <w:rFonts w:hint="eastAsia" w:ascii="宋体" w:hAnsi="宋体" w:cs="宋体"/>
                <w:color w:val="auto"/>
                <w:kern w:val="2"/>
                <w:sz w:val="24"/>
                <w:szCs w:val="24"/>
                <w:highlight w:val="none"/>
                <w:lang w:val="en-US" w:eastAsia="zh-CN" w:bidi="ar-SA"/>
              </w:rPr>
              <w:t>智能导检系统，全程智能叫号导检</w:t>
            </w:r>
            <w:r>
              <w:rPr>
                <w:rFonts w:hint="eastAsia" w:ascii="宋体" w:hAnsi="宋体" w:eastAsia="宋体" w:cs="宋体"/>
                <w:color w:val="auto"/>
                <w:kern w:val="2"/>
                <w:sz w:val="24"/>
                <w:szCs w:val="24"/>
                <w:highlight w:val="none"/>
                <w:lang w:val="en-US" w:eastAsia="zh-CN" w:bidi="ar-SA"/>
              </w:rPr>
              <w:t>，体检流程便捷顺畅，能实现“一站式”服务</w:t>
            </w:r>
            <w:r>
              <w:rPr>
                <w:rFonts w:hint="eastAsia" w:ascii="宋体" w:hAnsi="宋体" w:cs="宋体"/>
                <w:color w:val="auto"/>
                <w:kern w:val="2"/>
                <w:sz w:val="24"/>
                <w:szCs w:val="24"/>
                <w:highlight w:val="none"/>
                <w:lang w:val="en-US" w:eastAsia="zh-CN" w:bidi="ar-SA"/>
              </w:rPr>
              <w:t>，即进入体检中心后可以完成所有的体检项目，得1</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b/>
                <w:bCs/>
                <w:color w:val="auto"/>
                <w:kern w:val="2"/>
                <w:sz w:val="24"/>
                <w:szCs w:val="24"/>
                <w:highlight w:val="none"/>
                <w:lang w:val="en-US" w:eastAsia="zh-CN" w:bidi="ar-SA"/>
              </w:rPr>
              <w:t>（响应文件中提供现场实物图及采购合同等相关证明材料）</w:t>
            </w:r>
            <w:r>
              <w:rPr>
                <w:rFonts w:hint="eastAsia" w:ascii="宋体" w:hAnsi="宋体" w:eastAsia="宋体" w:cs="宋体"/>
                <w:color w:val="auto"/>
                <w:kern w:val="2"/>
                <w:sz w:val="24"/>
                <w:szCs w:val="24"/>
                <w:highlight w:val="none"/>
                <w:lang w:val="en-US" w:eastAsia="zh-CN" w:bidi="ar-SA"/>
              </w:rPr>
              <w:t>（满分</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w:t>
            </w:r>
          </w:p>
          <w:p w14:paraId="2F13BF38">
            <w:pPr>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配备有智能采血系统，能规范高效完成采血，</w:t>
            </w:r>
            <w:r>
              <w:rPr>
                <w:rFonts w:hint="eastAsia"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b/>
                <w:bCs/>
                <w:color w:val="auto"/>
                <w:kern w:val="2"/>
                <w:sz w:val="24"/>
                <w:szCs w:val="24"/>
                <w:highlight w:val="none"/>
                <w:lang w:val="en-US" w:eastAsia="zh-CN" w:bidi="ar-SA"/>
              </w:rPr>
              <w:t>（响应文件中提供现场实物图及采购合同等相关证明材料）</w:t>
            </w:r>
            <w:r>
              <w:rPr>
                <w:rFonts w:hint="eastAsia" w:ascii="宋体" w:hAnsi="宋体" w:eastAsia="宋体" w:cs="宋体"/>
                <w:color w:val="auto"/>
                <w:kern w:val="2"/>
                <w:sz w:val="24"/>
                <w:szCs w:val="24"/>
                <w:highlight w:val="none"/>
                <w:lang w:val="en-US" w:eastAsia="zh-CN" w:bidi="ar-SA"/>
              </w:rPr>
              <w:t>（满分</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p>
          <w:p w14:paraId="0E129857">
            <w:pPr>
              <w:snapToGrid w:val="0"/>
              <w:spacing w:line="360" w:lineRule="auto"/>
              <w:ind w:firstLine="480" w:firstLineChars="200"/>
              <w:jc w:val="left"/>
              <w:rPr>
                <w:rFonts w:hint="default" w:ascii="宋体" w:hAnsi="宋体" w:eastAsia="宋体" w:cs="宋体"/>
                <w:b/>
                <w:bCs/>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（5）配备有智能物流（箱式气流、气动物流）系统，可以提供高效、环保、保障检验标本安全的功能，每有一个得1.5分。</w:t>
            </w:r>
            <w:r>
              <w:rPr>
                <w:rFonts w:hint="eastAsia" w:ascii="宋体" w:hAnsi="宋体" w:cs="宋体"/>
                <w:b/>
                <w:bCs/>
                <w:color w:val="auto"/>
                <w:kern w:val="2"/>
                <w:sz w:val="24"/>
                <w:szCs w:val="24"/>
                <w:highlight w:val="none"/>
                <w:lang w:val="en-US" w:eastAsia="zh-CN" w:bidi="ar-SA"/>
              </w:rPr>
              <w:t>（响应文件中提供现场实物图及采购合同等相关证明材料）</w:t>
            </w:r>
            <w:r>
              <w:rPr>
                <w:rFonts w:hint="eastAsia" w:ascii="宋体" w:hAnsi="宋体" w:cs="宋体"/>
                <w:color w:val="auto"/>
                <w:kern w:val="2"/>
                <w:sz w:val="24"/>
                <w:szCs w:val="24"/>
                <w:highlight w:val="none"/>
                <w:lang w:val="en-US" w:eastAsia="zh-CN" w:bidi="ar-SA"/>
              </w:rPr>
              <w:t>（满分3分）</w:t>
            </w:r>
          </w:p>
          <w:p w14:paraId="557ED25B">
            <w:pPr>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）体检机构可提供公共停车位≥50</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个，</w:t>
            </w:r>
            <w:r>
              <w:rPr>
                <w:rFonts w:hint="eastAsia" w:ascii="宋体" w:hAnsi="宋体" w:cs="宋体"/>
                <w:color w:val="auto"/>
                <w:kern w:val="2"/>
                <w:sz w:val="24"/>
                <w:szCs w:val="24"/>
                <w:highlight w:val="none"/>
                <w:lang w:val="en-US" w:eastAsia="zh-CN" w:bidi="ar-SA"/>
              </w:rPr>
              <w:t>响应</w:t>
            </w:r>
            <w:r>
              <w:rPr>
                <w:rFonts w:hint="eastAsia" w:ascii="宋体" w:hAnsi="宋体" w:eastAsia="宋体" w:cs="宋体"/>
                <w:color w:val="auto"/>
                <w:kern w:val="2"/>
                <w:sz w:val="24"/>
                <w:szCs w:val="24"/>
                <w:highlight w:val="none"/>
                <w:lang w:val="en-US" w:eastAsia="zh-CN" w:bidi="ar-SA"/>
              </w:rPr>
              <w:t>文件中说明停车场位置、停车位数量等</w:t>
            </w:r>
            <w:r>
              <w:rPr>
                <w:rFonts w:hint="eastAsia" w:ascii="宋体" w:hAnsi="宋体" w:cs="宋体"/>
                <w:color w:val="auto"/>
                <w:kern w:val="2"/>
                <w:sz w:val="24"/>
                <w:szCs w:val="24"/>
                <w:highlight w:val="none"/>
                <w:lang w:val="en-US" w:eastAsia="zh-CN" w:bidi="ar-SA"/>
              </w:rPr>
              <w:t>，得1分；对单位大巴提供免费停车位，</w:t>
            </w:r>
            <w:r>
              <w:rPr>
                <w:rFonts w:hint="eastAsia"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分。（满分</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p>
          <w:p w14:paraId="403F7D04">
            <w:pPr>
              <w:snapToGrid w:val="0"/>
              <w:spacing w:line="360" w:lineRule="auto"/>
              <w:ind w:firstLine="482" w:firstLineChars="200"/>
              <w:jc w:val="left"/>
              <w:rPr>
                <w:rFonts w:hint="eastAsia" w:ascii="宋体" w:hAnsi="宋体" w:cs="宋体"/>
                <w:color w:val="auto"/>
                <w:sz w:val="24"/>
                <w:highlight w:val="none"/>
                <w:lang w:val="en-US" w:eastAsia="zh-CN"/>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响应</w:t>
            </w:r>
            <w:r>
              <w:rPr>
                <w:rFonts w:hint="eastAsia" w:ascii="宋体" w:hAnsi="宋体" w:eastAsia="宋体" w:cs="宋体"/>
                <w:b/>
                <w:bCs/>
                <w:color w:val="auto"/>
                <w:kern w:val="2"/>
                <w:sz w:val="24"/>
                <w:szCs w:val="24"/>
                <w:highlight w:val="none"/>
                <w:lang w:val="en-US" w:eastAsia="zh-CN" w:bidi="ar-SA"/>
              </w:rPr>
              <w:t>文件中提供体检环境说明，可附</w:t>
            </w:r>
            <w:r>
              <w:rPr>
                <w:rFonts w:hint="eastAsia" w:ascii="宋体" w:hAnsi="宋体" w:cs="宋体"/>
                <w:b/>
                <w:bCs/>
                <w:color w:val="auto"/>
                <w:kern w:val="2"/>
                <w:sz w:val="24"/>
                <w:szCs w:val="24"/>
                <w:highlight w:val="none"/>
                <w:lang w:val="en-US" w:eastAsia="zh-CN" w:bidi="ar-SA"/>
              </w:rPr>
              <w:t>现场</w:t>
            </w:r>
            <w:r>
              <w:rPr>
                <w:rFonts w:hint="eastAsia" w:ascii="宋体" w:hAnsi="宋体" w:eastAsia="宋体" w:cs="宋体"/>
                <w:b/>
                <w:bCs/>
                <w:color w:val="auto"/>
                <w:kern w:val="2"/>
                <w:sz w:val="24"/>
                <w:szCs w:val="24"/>
                <w:highlight w:val="none"/>
                <w:lang w:val="en-US" w:eastAsia="zh-CN" w:bidi="ar-SA"/>
              </w:rPr>
              <w:t>相应图片</w:t>
            </w:r>
            <w:r>
              <w:rPr>
                <w:rFonts w:hint="eastAsia" w:ascii="宋体" w:hAnsi="宋体" w:cs="宋体"/>
                <w:b/>
                <w:bCs/>
                <w:color w:val="auto"/>
                <w:kern w:val="2"/>
                <w:sz w:val="24"/>
                <w:szCs w:val="24"/>
                <w:highlight w:val="none"/>
                <w:lang w:val="en-US" w:eastAsia="zh-CN" w:bidi="ar-SA"/>
              </w:rPr>
              <w:t>及文字说明材料</w:t>
            </w:r>
            <w:r>
              <w:rPr>
                <w:rFonts w:hint="eastAsia" w:ascii="宋体" w:hAnsi="宋体" w:eastAsia="宋体" w:cs="宋体"/>
                <w:b/>
                <w:bCs/>
                <w:color w:val="auto"/>
                <w:kern w:val="2"/>
                <w:sz w:val="24"/>
                <w:szCs w:val="24"/>
                <w:highlight w:val="none"/>
                <w:lang w:val="en-US" w:eastAsia="zh-CN" w:bidi="ar-SA"/>
              </w:rPr>
              <w:t>。</w:t>
            </w:r>
          </w:p>
        </w:tc>
      </w:tr>
      <w:tr w14:paraId="0CC4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66" w:type="dxa"/>
            <w:vMerge w:val="restart"/>
            <w:tcBorders>
              <w:top w:val="single" w:color="auto" w:sz="4" w:space="0"/>
              <w:left w:val="single" w:color="auto" w:sz="4" w:space="0"/>
              <w:right w:val="single" w:color="auto" w:sz="4" w:space="0"/>
            </w:tcBorders>
            <w:vAlign w:val="center"/>
          </w:tcPr>
          <w:p w14:paraId="2CE8459D">
            <w:pPr>
              <w:adjustRightInd w:val="0"/>
              <w:snapToGri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3</w:t>
            </w:r>
          </w:p>
        </w:tc>
        <w:tc>
          <w:tcPr>
            <w:tcW w:w="992" w:type="dxa"/>
            <w:vMerge w:val="restart"/>
            <w:tcBorders>
              <w:top w:val="single" w:color="auto" w:sz="4" w:space="0"/>
              <w:left w:val="single" w:color="auto" w:sz="4" w:space="0"/>
              <w:right w:val="single" w:color="auto" w:sz="4" w:space="0"/>
            </w:tcBorders>
            <w:vAlign w:val="center"/>
          </w:tcPr>
          <w:p w14:paraId="3EFA8DD3">
            <w:pPr>
              <w:adjustRightInd w:val="0"/>
              <w:snapToGri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商务分 （满分</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E1FA82">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信息系统</w:t>
            </w:r>
          </w:p>
          <w:p w14:paraId="7C3CFE9C">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tc>
        <w:tc>
          <w:tcPr>
            <w:tcW w:w="6986" w:type="dxa"/>
            <w:tcBorders>
              <w:top w:val="single" w:color="auto" w:sz="4" w:space="0"/>
              <w:left w:val="single" w:color="auto" w:sz="4" w:space="0"/>
              <w:bottom w:val="single" w:color="auto" w:sz="4" w:space="0"/>
              <w:right w:val="single" w:color="auto" w:sz="4" w:space="0"/>
            </w:tcBorders>
            <w:shd w:val="clear" w:color="auto" w:fill="auto"/>
            <w:vAlign w:val="top"/>
          </w:tcPr>
          <w:p w14:paraId="1A4648E7">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一档(</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sz w:val="24"/>
                <w:highlight w:val="none"/>
                <w:lang w:val="en-US" w:eastAsia="zh-CN"/>
              </w:rPr>
              <w:t>竞标人</w:t>
            </w:r>
            <w:r>
              <w:rPr>
                <w:rFonts w:hint="eastAsia" w:ascii="宋体" w:hAnsi="宋体" w:eastAsia="宋体" w:cs="宋体"/>
                <w:color w:val="auto"/>
                <w:kern w:val="2"/>
                <w:sz w:val="24"/>
                <w:szCs w:val="24"/>
                <w:highlight w:val="none"/>
                <w:lang w:val="en-US" w:eastAsia="zh-CN" w:bidi="ar-SA"/>
              </w:rPr>
              <w:t>有健康管理系统。</w:t>
            </w:r>
          </w:p>
          <w:p w14:paraId="27A658EC">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二档(6分):</w:t>
            </w:r>
            <w:r>
              <w:rPr>
                <w:rFonts w:hint="eastAsia" w:ascii="宋体" w:hAnsi="宋体" w:cs="宋体"/>
                <w:color w:val="auto"/>
                <w:sz w:val="24"/>
                <w:highlight w:val="none"/>
                <w:lang w:val="en-US" w:eastAsia="zh-CN"/>
              </w:rPr>
              <w:t>竞标人</w:t>
            </w:r>
            <w:r>
              <w:rPr>
                <w:rFonts w:hint="eastAsia" w:ascii="宋体" w:hAnsi="宋体" w:eastAsia="宋体" w:cs="宋体"/>
                <w:color w:val="auto"/>
                <w:kern w:val="2"/>
                <w:sz w:val="24"/>
                <w:szCs w:val="24"/>
                <w:highlight w:val="none"/>
                <w:lang w:val="en-US" w:eastAsia="zh-CN" w:bidi="ar-SA"/>
              </w:rPr>
              <w:t>有完善的健康管理系统，有完善的体检系统。</w:t>
            </w:r>
            <w:r>
              <w:rPr>
                <w:rFonts w:hint="eastAsia" w:ascii="宋体" w:hAnsi="宋体" w:cs="宋体"/>
                <w:color w:val="auto"/>
                <w:kern w:val="2"/>
                <w:sz w:val="24"/>
                <w:szCs w:val="24"/>
                <w:highlight w:val="none"/>
                <w:lang w:val="en-US" w:eastAsia="zh-CN" w:bidi="ar-SA"/>
              </w:rPr>
              <w:t>能实现体检项目中的化验及仪器检查结果与门诊就医系统共享。</w:t>
            </w:r>
          </w:p>
          <w:p w14:paraId="4D5BC804">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三档(</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sz w:val="24"/>
                <w:highlight w:val="none"/>
                <w:lang w:val="en-US" w:eastAsia="zh-CN"/>
              </w:rPr>
              <w:t>竞标人</w:t>
            </w:r>
            <w:r>
              <w:rPr>
                <w:rFonts w:hint="eastAsia" w:ascii="宋体" w:hAnsi="宋体" w:eastAsia="宋体" w:cs="宋体"/>
                <w:color w:val="auto"/>
                <w:kern w:val="2"/>
                <w:sz w:val="24"/>
                <w:szCs w:val="24"/>
                <w:highlight w:val="none"/>
                <w:lang w:val="en-US" w:eastAsia="zh-CN" w:bidi="ar-SA"/>
              </w:rPr>
              <w:t>有完善的健康管理系统且有相对应的多学科健康管理云平台，能对健康档案分类管理、监测、抓取异常。对影响健康的危险因素进行全面评估，制定并实施规范化、个体化、连续性的综合治疗干预方案。</w:t>
            </w:r>
          </w:p>
          <w:p w14:paraId="53557365">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注：不满足进档要求不得分。</w:t>
            </w:r>
          </w:p>
        </w:tc>
      </w:tr>
      <w:tr w14:paraId="6622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66" w:type="dxa"/>
            <w:vMerge w:val="continue"/>
            <w:tcBorders>
              <w:left w:val="single" w:color="auto" w:sz="4" w:space="0"/>
              <w:right w:val="single" w:color="auto" w:sz="4" w:space="0"/>
            </w:tcBorders>
            <w:vAlign w:val="center"/>
          </w:tcPr>
          <w:p w14:paraId="6CB0C54A">
            <w:pPr>
              <w:adjustRightInd w:val="0"/>
              <w:snapToGrid w:val="0"/>
              <w:spacing w:line="360" w:lineRule="auto"/>
              <w:jc w:val="center"/>
              <w:textAlignment w:val="baseline"/>
              <w:rPr>
                <w:rFonts w:hint="eastAsia" w:ascii="宋体" w:hAnsi="宋体" w:cs="宋体"/>
                <w:bCs/>
                <w:color w:val="auto"/>
                <w:sz w:val="24"/>
                <w:highlight w:val="none"/>
              </w:rPr>
            </w:pPr>
          </w:p>
        </w:tc>
        <w:tc>
          <w:tcPr>
            <w:tcW w:w="992" w:type="dxa"/>
            <w:vMerge w:val="continue"/>
            <w:tcBorders>
              <w:left w:val="single" w:color="auto" w:sz="4" w:space="0"/>
              <w:right w:val="single" w:color="auto" w:sz="4" w:space="0"/>
            </w:tcBorders>
            <w:vAlign w:val="center"/>
          </w:tcPr>
          <w:p w14:paraId="05FD936B">
            <w:pPr>
              <w:adjustRightInd w:val="0"/>
              <w:snapToGrid w:val="0"/>
              <w:spacing w:line="360" w:lineRule="auto"/>
              <w:jc w:val="center"/>
              <w:textAlignment w:val="baseline"/>
              <w:rPr>
                <w:rFonts w:hint="eastAsia" w:ascii="宋体" w:hAnsi="宋体" w:cs="宋体"/>
                <w:bCs/>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F4F84F">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业绩</w:t>
            </w:r>
            <w:r>
              <w:rPr>
                <w:rFonts w:hint="eastAsia" w:ascii="宋体" w:hAnsi="宋体" w:cs="宋体"/>
                <w:color w:val="auto"/>
                <w:sz w:val="24"/>
                <w:highlight w:val="none"/>
                <w:lang w:val="en-US" w:eastAsia="zh-CN"/>
              </w:rPr>
              <w:t>信誉</w:t>
            </w:r>
            <w:r>
              <w:rPr>
                <w:rFonts w:hint="eastAsia" w:ascii="宋体" w:hAnsi="宋体" w:eastAsia="宋体" w:cs="宋体"/>
                <w:color w:val="auto"/>
                <w:sz w:val="24"/>
                <w:highlight w:val="none"/>
              </w:rPr>
              <w:t>分（</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分）</w:t>
            </w:r>
          </w:p>
        </w:tc>
        <w:tc>
          <w:tcPr>
            <w:tcW w:w="6986" w:type="dxa"/>
            <w:tcBorders>
              <w:top w:val="single" w:color="auto" w:sz="4" w:space="0"/>
              <w:left w:val="single" w:color="auto" w:sz="4" w:space="0"/>
              <w:bottom w:val="single" w:color="auto" w:sz="4" w:space="0"/>
              <w:right w:val="single" w:color="auto" w:sz="4" w:space="0"/>
            </w:tcBorders>
            <w:shd w:val="clear" w:color="auto" w:fill="auto"/>
            <w:vAlign w:val="top"/>
          </w:tcPr>
          <w:p w14:paraId="5F1A8FEE">
            <w:pPr>
              <w:numPr>
                <w:ilvl w:val="0"/>
                <w:numId w:val="0"/>
              </w:num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sz w:val="24"/>
                <w:highlight w:val="none"/>
                <w:lang w:val="en-US" w:eastAsia="zh-CN"/>
              </w:rPr>
              <w:t>供应商为三级综合甲等医院的得4分；三级专科甲等医院的得3分；三级乙等资质医院（综合二甲或专科三乙）的得2分；二级甲等资质医院（综合二甲或专科二甲）和其他相应等级的得1分；满分4分。</w:t>
            </w:r>
            <w:r>
              <w:rPr>
                <w:rFonts w:hint="eastAsia" w:ascii="宋体" w:hAnsi="宋体" w:cs="宋体"/>
                <w:b/>
                <w:bCs/>
                <w:color w:val="auto"/>
                <w:sz w:val="24"/>
                <w:highlight w:val="none"/>
                <w:lang w:val="en-US" w:eastAsia="zh-CN"/>
              </w:rPr>
              <w:t>（响应文件中提供相关的证明材料复印件）</w:t>
            </w:r>
          </w:p>
          <w:p w14:paraId="03D7E60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lang w:val="en-US" w:eastAsia="zh-CN"/>
              </w:rPr>
              <w:t>自</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年1月以来具有同类项目业绩的，</w:t>
            </w:r>
            <w:r>
              <w:rPr>
                <w:rFonts w:hint="eastAsia" w:ascii="宋体" w:hAnsi="宋体" w:cs="宋体"/>
                <w:color w:val="auto"/>
                <w:sz w:val="24"/>
                <w:highlight w:val="none"/>
                <w:lang w:val="en-US" w:eastAsia="zh-CN"/>
              </w:rPr>
              <w:t>每个得1分，</w:t>
            </w:r>
            <w:r>
              <w:rPr>
                <w:rFonts w:hint="eastAsia" w:ascii="宋体" w:hAnsi="宋体" w:eastAsia="宋体" w:cs="宋体"/>
                <w:color w:val="auto"/>
                <w:sz w:val="24"/>
                <w:highlight w:val="none"/>
              </w:rPr>
              <w:t>满分</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p w14:paraId="318AFD3A">
            <w:pPr>
              <w:numPr>
                <w:ilvl w:val="0"/>
                <w:numId w:val="0"/>
              </w:num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3、通过ISO15189实验室质量体系认证，得1分。满分1分。</w:t>
            </w:r>
            <w:r>
              <w:rPr>
                <w:rFonts w:hint="eastAsia" w:ascii="宋体" w:hAnsi="宋体" w:cs="宋体"/>
                <w:b/>
                <w:bCs/>
                <w:color w:val="auto"/>
                <w:sz w:val="24"/>
                <w:highlight w:val="none"/>
                <w:lang w:val="en-US" w:eastAsia="zh-CN"/>
              </w:rPr>
              <w:t>（响应文件中提供相关的证明材料复印件）</w:t>
            </w:r>
          </w:p>
          <w:p w14:paraId="579C20FA">
            <w:pPr>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lang w:val="en-US" w:eastAsia="zh-CN"/>
              </w:rPr>
              <w:t>注：</w:t>
            </w:r>
            <w:r>
              <w:rPr>
                <w:rFonts w:hint="eastAsia" w:ascii="宋体" w:hAnsi="宋体" w:eastAsia="宋体" w:cs="宋体"/>
                <w:b/>
                <w:bCs/>
                <w:color w:val="auto"/>
                <w:sz w:val="24"/>
                <w:highlight w:val="none"/>
                <w:lang w:eastAsia="zh-CN"/>
              </w:rPr>
              <w:t>磋商响应文件中需</w:t>
            </w:r>
            <w:r>
              <w:rPr>
                <w:rFonts w:hint="eastAsia" w:ascii="宋体" w:hAnsi="宋体" w:eastAsia="宋体" w:cs="宋体"/>
                <w:b/>
                <w:bCs/>
                <w:color w:val="auto"/>
                <w:sz w:val="24"/>
                <w:highlight w:val="none"/>
              </w:rPr>
              <w:t>提供</w:t>
            </w:r>
            <w:r>
              <w:rPr>
                <w:rFonts w:hint="eastAsia" w:ascii="宋体" w:hAnsi="宋体" w:eastAsia="宋体" w:cs="宋体"/>
                <w:b/>
                <w:bCs/>
                <w:color w:val="auto"/>
                <w:sz w:val="24"/>
                <w:highlight w:val="none"/>
                <w:lang w:eastAsia="zh-CN"/>
              </w:rPr>
              <w:t>中标（成交）通知书或</w:t>
            </w:r>
            <w:r>
              <w:rPr>
                <w:rFonts w:hint="eastAsia" w:ascii="宋体" w:hAnsi="宋体" w:eastAsia="宋体" w:cs="宋体"/>
                <w:b/>
                <w:bCs/>
                <w:color w:val="auto"/>
                <w:sz w:val="24"/>
                <w:highlight w:val="none"/>
              </w:rPr>
              <w:t>合同复印件</w:t>
            </w:r>
            <w:r>
              <w:rPr>
                <w:rFonts w:hint="eastAsia" w:ascii="宋体" w:hAnsi="宋体" w:eastAsia="宋体" w:cs="宋体"/>
                <w:b/>
                <w:bCs/>
                <w:color w:val="auto"/>
                <w:sz w:val="24"/>
                <w:highlight w:val="none"/>
                <w:lang w:eastAsia="zh-CN"/>
              </w:rPr>
              <w:t>等相关证明材料并加章公章</w:t>
            </w:r>
            <w:r>
              <w:rPr>
                <w:rFonts w:hint="eastAsia" w:ascii="宋体" w:hAnsi="宋体" w:eastAsia="宋体" w:cs="宋体"/>
                <w:b/>
                <w:bCs/>
                <w:color w:val="auto"/>
                <w:sz w:val="24"/>
                <w:highlight w:val="none"/>
              </w:rPr>
              <w:t>，原件备查</w:t>
            </w:r>
            <w:r>
              <w:rPr>
                <w:rFonts w:hint="eastAsia" w:ascii="宋体" w:hAnsi="宋体" w:cs="宋体"/>
                <w:b/>
                <w:bCs/>
                <w:color w:val="auto"/>
                <w:sz w:val="24"/>
                <w:highlight w:val="none"/>
                <w:lang w:eastAsia="zh-CN"/>
              </w:rPr>
              <w:t>。</w:t>
            </w:r>
          </w:p>
        </w:tc>
      </w:tr>
      <w:tr w14:paraId="7167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42948A9F">
            <w:pPr>
              <w:snapToGrid w:val="0"/>
              <w:spacing w:line="360" w:lineRule="auto"/>
              <w:rPr>
                <w:rFonts w:ascii="宋体" w:hAnsi="宋体" w:cs="宋体"/>
                <w:bCs/>
                <w:color w:val="auto"/>
                <w:sz w:val="24"/>
                <w:highlight w:val="none"/>
              </w:rPr>
            </w:pPr>
            <w:r>
              <w:rPr>
                <w:rFonts w:hint="eastAsia" w:ascii="宋体" w:hAnsi="宋体" w:cs="宋体"/>
                <w:b/>
                <w:color w:val="auto"/>
                <w:sz w:val="24"/>
                <w:highlight w:val="none"/>
              </w:rPr>
              <w:t xml:space="preserve">总得分=1+2+3  </w:t>
            </w:r>
          </w:p>
        </w:tc>
      </w:tr>
    </w:tbl>
    <w:p w14:paraId="648DD0EF">
      <w:pPr>
        <w:pStyle w:val="11"/>
        <w:ind w:firstLine="420"/>
        <w:rPr>
          <w:color w:val="auto"/>
          <w:highlight w:val="none"/>
        </w:rPr>
      </w:pPr>
    </w:p>
    <w:p w14:paraId="159ABB39">
      <w:pPr>
        <w:spacing w:line="360" w:lineRule="auto"/>
        <w:ind w:firstLine="480" w:firstLineChars="200"/>
        <w:rPr>
          <w:rFonts w:ascii="宋体" w:hAnsi="宋体" w:cs="宋体"/>
          <w:snapToGrid w:val="0"/>
          <w:color w:val="auto"/>
          <w:kern w:val="0"/>
          <w:sz w:val="24"/>
          <w:highlight w:val="none"/>
        </w:rPr>
      </w:pPr>
      <w:r>
        <w:rPr>
          <w:rFonts w:hint="eastAsia" w:ascii="宋体" w:hAnsi="宋体" w:cs="宋体"/>
          <w:bCs/>
          <w:color w:val="auto"/>
          <w:sz w:val="24"/>
          <w:highlight w:val="none"/>
        </w:rPr>
        <w:t>7.由磋商小组根据综合评分情况，按照评审得分由高到低顺序推荐3名以上成交候选供应商，并编写评审报告。符合本章第2.7、3.7、4.3条情形的，可以推荐2家成交候选供应商。评审得分相同的，按照最后报价（不计算价格折扣）由低到高的顺序推荐。评审得分且最后报价（不计算价格折扣）相同的，按照技术指标优劣顺序推荐。</w:t>
      </w:r>
    </w:p>
    <w:p w14:paraId="264C1E1C">
      <w:pPr>
        <w:spacing w:line="360" w:lineRule="auto"/>
        <w:ind w:firstLine="480" w:firstLineChars="200"/>
        <w:rPr>
          <w:rFonts w:ascii="宋体" w:hAnsi="宋体" w:cs="宋体"/>
          <w:color w:val="auto"/>
          <w:sz w:val="24"/>
          <w:highlight w:val="none"/>
        </w:rPr>
      </w:pPr>
    </w:p>
    <w:p w14:paraId="29419183">
      <w:pPr>
        <w:rPr>
          <w:color w:val="auto"/>
          <w:highlight w:val="none"/>
        </w:rPr>
      </w:pPr>
    </w:p>
    <w:p w14:paraId="083DABA9">
      <w:pPr>
        <w:rPr>
          <w:color w:val="auto"/>
          <w:highlight w:val="none"/>
        </w:rPr>
      </w:pPr>
    </w:p>
    <w:p w14:paraId="3FF48862">
      <w:pPr>
        <w:rPr>
          <w:color w:val="auto"/>
          <w:highlight w:val="none"/>
        </w:rPr>
      </w:pPr>
    </w:p>
    <w:p w14:paraId="10B337AD">
      <w:pPr>
        <w:rPr>
          <w:color w:val="auto"/>
          <w:highlight w:val="none"/>
        </w:rPr>
      </w:pPr>
    </w:p>
    <w:p w14:paraId="11A000B3">
      <w:pPr>
        <w:rPr>
          <w:color w:val="auto"/>
          <w:highlight w:val="none"/>
        </w:rPr>
      </w:pPr>
    </w:p>
    <w:p w14:paraId="0E8A2BED">
      <w:pPr>
        <w:rPr>
          <w:color w:val="auto"/>
          <w:highlight w:val="none"/>
        </w:rPr>
      </w:pPr>
    </w:p>
    <w:p w14:paraId="0663ECF4">
      <w:pPr>
        <w:rPr>
          <w:color w:val="auto"/>
          <w:highlight w:val="none"/>
        </w:rPr>
      </w:pPr>
    </w:p>
    <w:p w14:paraId="5ECF05B3">
      <w:pPr>
        <w:rPr>
          <w:rFonts w:ascii="宋体" w:hAnsi="宋体" w:cs="宋体"/>
          <w:color w:val="auto"/>
          <w:highlight w:val="none"/>
        </w:rPr>
      </w:pPr>
    </w:p>
    <w:p w14:paraId="536E4EAC">
      <w:pPr>
        <w:rPr>
          <w:rFonts w:ascii="宋体" w:hAnsi="宋体" w:cs="宋体"/>
          <w:color w:val="auto"/>
          <w:highlight w:val="none"/>
        </w:rPr>
      </w:pPr>
    </w:p>
    <w:p w14:paraId="685EC7FE">
      <w:pPr>
        <w:rPr>
          <w:rFonts w:ascii="宋体" w:hAnsi="宋体" w:cs="宋体"/>
          <w:color w:val="auto"/>
          <w:highlight w:val="none"/>
        </w:rPr>
      </w:pPr>
    </w:p>
    <w:p w14:paraId="4A774A71">
      <w:pPr>
        <w:rPr>
          <w:rFonts w:ascii="宋体" w:hAnsi="宋体" w:cs="宋体"/>
          <w:color w:val="auto"/>
          <w:highlight w:val="none"/>
        </w:rPr>
      </w:pPr>
    </w:p>
    <w:p w14:paraId="5CC19A5E">
      <w:pPr>
        <w:rPr>
          <w:rFonts w:ascii="宋体" w:hAnsi="宋体" w:cs="宋体"/>
          <w:color w:val="auto"/>
          <w:highlight w:val="none"/>
        </w:rPr>
      </w:pPr>
    </w:p>
    <w:p w14:paraId="63CE329E">
      <w:pPr>
        <w:rPr>
          <w:rFonts w:ascii="宋体" w:hAnsi="宋体" w:cs="宋体"/>
          <w:color w:val="auto"/>
          <w:highlight w:val="none"/>
        </w:rPr>
      </w:pPr>
    </w:p>
    <w:p w14:paraId="095F6494">
      <w:pPr>
        <w:rPr>
          <w:rFonts w:ascii="宋体" w:hAnsi="宋体" w:cs="宋体"/>
          <w:color w:val="auto"/>
          <w:highlight w:val="none"/>
        </w:rPr>
      </w:pPr>
    </w:p>
    <w:p w14:paraId="59E12EC5">
      <w:pPr>
        <w:rPr>
          <w:rFonts w:ascii="宋体" w:hAnsi="宋体" w:cs="宋体"/>
          <w:color w:val="auto"/>
          <w:highlight w:val="none"/>
        </w:rPr>
      </w:pPr>
    </w:p>
    <w:p w14:paraId="5891C199">
      <w:pPr>
        <w:rPr>
          <w:rFonts w:ascii="宋体" w:hAnsi="宋体" w:cs="宋体"/>
          <w:color w:val="auto"/>
          <w:highlight w:val="none"/>
        </w:rPr>
      </w:pPr>
    </w:p>
    <w:p w14:paraId="13CF0FBA">
      <w:pPr>
        <w:pStyle w:val="2"/>
        <w:jc w:val="center"/>
        <w:rPr>
          <w:rFonts w:ascii="宋体" w:hAnsi="宋体" w:cs="宋体"/>
          <w:color w:val="auto"/>
          <w:highlight w:val="none"/>
        </w:rPr>
      </w:pPr>
      <w:bookmarkStart w:id="39" w:name="_Toc74323460"/>
      <w:r>
        <w:rPr>
          <w:rFonts w:hint="eastAsia" w:ascii="宋体" w:hAnsi="宋体" w:cs="宋体"/>
          <w:color w:val="auto"/>
          <w:highlight w:val="none"/>
        </w:rPr>
        <w:t>第五章 响应文件格式</w:t>
      </w:r>
      <w:bookmarkEnd w:id="39"/>
    </w:p>
    <w:p w14:paraId="583DDCE4">
      <w:pPr>
        <w:spacing w:line="240" w:lineRule="atLeast"/>
        <w:rPr>
          <w:rFonts w:ascii="宋体" w:hAnsi="宋体" w:cs="宋体"/>
          <w:b/>
          <w:color w:val="auto"/>
          <w:sz w:val="32"/>
          <w:szCs w:val="32"/>
          <w:highlight w:val="none"/>
        </w:rPr>
      </w:pPr>
    </w:p>
    <w:p w14:paraId="3DEF9733">
      <w:pPr>
        <w:spacing w:line="240" w:lineRule="atLeast"/>
        <w:rPr>
          <w:rFonts w:ascii="宋体" w:hAnsi="宋体" w:cs="宋体"/>
          <w:bCs/>
          <w:color w:val="auto"/>
          <w:sz w:val="32"/>
          <w:szCs w:val="32"/>
          <w:highlight w:val="none"/>
        </w:rPr>
      </w:pPr>
    </w:p>
    <w:p w14:paraId="0FE98A0A">
      <w:pPr>
        <w:jc w:val="center"/>
        <w:rPr>
          <w:rFonts w:ascii="宋体" w:hAnsi="宋体" w:cs="宋体"/>
          <w:b/>
          <w:color w:val="auto"/>
          <w:sz w:val="32"/>
          <w:szCs w:val="32"/>
          <w:highlight w:val="none"/>
        </w:rPr>
      </w:pPr>
      <w:bookmarkStart w:id="40" w:name="_Toc71365925"/>
      <w:bookmarkStart w:id="41" w:name="_Toc31723070"/>
      <w:bookmarkStart w:id="42" w:name="_Toc35611438"/>
      <w:bookmarkStart w:id="43" w:name="_Toc31728084"/>
      <w:bookmarkStart w:id="44" w:name="_Toc35611516"/>
      <w:bookmarkStart w:id="45" w:name="_Toc44229899"/>
      <w:r>
        <w:rPr>
          <w:rFonts w:hint="eastAsia" w:ascii="宋体" w:hAnsi="宋体" w:cs="宋体"/>
          <w:b/>
          <w:color w:val="auto"/>
          <w:sz w:val="32"/>
          <w:szCs w:val="32"/>
          <w:highlight w:val="none"/>
        </w:rPr>
        <w:t>一、资格证明文件格式</w:t>
      </w:r>
      <w:bookmarkEnd w:id="40"/>
      <w:bookmarkEnd w:id="41"/>
      <w:bookmarkEnd w:id="42"/>
      <w:bookmarkEnd w:id="43"/>
      <w:bookmarkEnd w:id="44"/>
      <w:bookmarkEnd w:id="45"/>
    </w:p>
    <w:p w14:paraId="0986591C">
      <w:pPr>
        <w:snapToGrid w:val="0"/>
        <w:spacing w:before="120" w:beforeLines="50" w:after="50" w:line="360" w:lineRule="auto"/>
        <w:jc w:val="center"/>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3FD94B0B">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737168A3">
      <w:pPr>
        <w:snapToGrid w:val="0"/>
        <w:spacing w:before="120" w:beforeLines="50" w:after="50"/>
        <w:rPr>
          <w:rFonts w:ascii="宋体" w:hAnsi="宋体" w:cs="宋体"/>
          <w:color w:val="auto"/>
          <w:sz w:val="24"/>
          <w:szCs w:val="20"/>
          <w:highlight w:val="none"/>
        </w:rPr>
      </w:pPr>
    </w:p>
    <w:p w14:paraId="3EC7D4FF">
      <w:pPr>
        <w:snapToGrid w:val="0"/>
        <w:spacing w:before="120"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1A8367D5">
      <w:pPr>
        <w:snapToGrid w:val="0"/>
        <w:spacing w:before="120" w:beforeLines="50" w:after="50"/>
        <w:jc w:val="center"/>
        <w:rPr>
          <w:rFonts w:ascii="宋体" w:hAnsi="宋体" w:cs="宋体"/>
          <w:bCs/>
          <w:color w:val="auto"/>
          <w:sz w:val="44"/>
          <w:szCs w:val="44"/>
          <w:highlight w:val="none"/>
        </w:rPr>
      </w:pPr>
    </w:p>
    <w:p w14:paraId="58980703">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73AFF8EA">
      <w:pPr>
        <w:snapToGrid w:val="0"/>
        <w:spacing w:before="120" w:beforeLines="50" w:after="50"/>
        <w:rPr>
          <w:rFonts w:ascii="宋体" w:hAnsi="宋体" w:cs="宋体"/>
          <w:bCs/>
          <w:color w:val="auto"/>
          <w:sz w:val="24"/>
          <w:szCs w:val="20"/>
          <w:highlight w:val="none"/>
        </w:rPr>
      </w:pPr>
    </w:p>
    <w:p w14:paraId="0E6558F7">
      <w:pPr>
        <w:snapToGrid w:val="0"/>
        <w:spacing w:before="120" w:beforeLines="50" w:after="50"/>
        <w:rPr>
          <w:rFonts w:ascii="宋体" w:hAnsi="宋体" w:cs="宋体"/>
          <w:bCs/>
          <w:color w:val="auto"/>
          <w:sz w:val="22"/>
          <w:szCs w:val="18"/>
          <w:highlight w:val="none"/>
        </w:rPr>
      </w:pPr>
    </w:p>
    <w:p w14:paraId="484B2B62">
      <w:pPr>
        <w:snapToGrid w:val="0"/>
        <w:spacing w:before="120" w:beforeLines="50" w:after="50"/>
        <w:rPr>
          <w:rFonts w:ascii="宋体" w:hAnsi="宋体" w:cs="宋体"/>
          <w:bCs/>
          <w:color w:val="auto"/>
          <w:sz w:val="22"/>
          <w:szCs w:val="18"/>
          <w:highlight w:val="none"/>
        </w:rPr>
      </w:pPr>
    </w:p>
    <w:p w14:paraId="764D0D66">
      <w:pPr>
        <w:snapToGrid w:val="0"/>
        <w:spacing w:before="120"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154050D3">
      <w:pPr>
        <w:snapToGrid w:val="0"/>
        <w:spacing w:before="120"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164381C2">
      <w:pPr>
        <w:snapToGrid w:val="0"/>
        <w:spacing w:before="120"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所竞分标：</w:t>
      </w:r>
    </w:p>
    <w:p w14:paraId="08CD61C2">
      <w:pPr>
        <w:pStyle w:val="6"/>
        <w:snapToGrid w:val="0"/>
        <w:spacing w:before="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15D64372">
      <w:pPr>
        <w:pStyle w:val="6"/>
        <w:snapToGrid w:val="0"/>
        <w:spacing w:before="50" w:after="50"/>
        <w:ind w:firstLine="630" w:firstLineChars="225"/>
        <w:rPr>
          <w:rFonts w:ascii="宋体" w:hAnsi="宋体" w:cs="宋体"/>
          <w:bCs/>
          <w:color w:val="auto"/>
          <w:sz w:val="28"/>
          <w:szCs w:val="28"/>
          <w:highlight w:val="none"/>
        </w:rPr>
      </w:pPr>
    </w:p>
    <w:p w14:paraId="4EC95B0D">
      <w:pPr>
        <w:pStyle w:val="6"/>
        <w:snapToGrid w:val="0"/>
        <w:spacing w:before="50" w:after="50"/>
        <w:ind w:firstLine="630" w:firstLineChars="225"/>
        <w:rPr>
          <w:rFonts w:ascii="宋体" w:hAnsi="宋体" w:cs="宋体"/>
          <w:bCs/>
          <w:color w:val="auto"/>
          <w:sz w:val="28"/>
          <w:szCs w:val="28"/>
          <w:highlight w:val="none"/>
        </w:rPr>
      </w:pPr>
    </w:p>
    <w:p w14:paraId="485C9EFA">
      <w:pPr>
        <w:pStyle w:val="6"/>
        <w:snapToGrid w:val="0"/>
        <w:spacing w:before="50" w:after="50"/>
        <w:ind w:firstLine="1120" w:firstLineChars="400"/>
        <w:rPr>
          <w:rFonts w:ascii="宋体" w:hAnsi="宋体" w:cs="宋体"/>
          <w:bCs/>
          <w:color w:val="auto"/>
          <w:sz w:val="28"/>
          <w:szCs w:val="28"/>
          <w:highlight w:val="none"/>
        </w:rPr>
      </w:pPr>
    </w:p>
    <w:p w14:paraId="3FA24F54">
      <w:pPr>
        <w:snapToGrid w:val="0"/>
        <w:spacing w:before="120" w:beforeLines="50" w:after="5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787C6182">
      <w:pPr>
        <w:snapToGrid w:val="0"/>
        <w:spacing w:before="120" w:beforeLines="50" w:after="50"/>
        <w:ind w:left="142"/>
        <w:jc w:val="left"/>
        <w:rPr>
          <w:rFonts w:ascii="宋体" w:hAnsi="宋体" w:cs="宋体"/>
          <w:b/>
          <w:bCs/>
          <w:color w:val="auto"/>
          <w:sz w:val="32"/>
          <w:szCs w:val="32"/>
          <w:highlight w:val="none"/>
        </w:rPr>
      </w:pPr>
      <w:r>
        <w:rPr>
          <w:rFonts w:hint="eastAsia" w:ascii="宋体" w:hAnsi="宋体" w:cs="宋体"/>
          <w:color w:val="auto"/>
          <w:sz w:val="22"/>
          <w:szCs w:val="22"/>
          <w:highlight w:val="none"/>
        </w:rPr>
        <w:br w:type="page"/>
      </w:r>
      <w:r>
        <w:rPr>
          <w:rFonts w:hint="eastAsia" w:ascii="宋体" w:hAnsi="宋体" w:cs="宋体"/>
          <w:b/>
          <w:bCs/>
          <w:color w:val="auto"/>
          <w:sz w:val="32"/>
          <w:szCs w:val="32"/>
          <w:highlight w:val="none"/>
        </w:rPr>
        <w:t>2.资格证明文件目录</w:t>
      </w:r>
    </w:p>
    <w:p w14:paraId="289AE66D">
      <w:pPr>
        <w:snapToGrid w:val="0"/>
        <w:spacing w:before="120" w:beforeLines="50" w:after="50" w:line="360" w:lineRule="auto"/>
        <w:ind w:firstLine="645"/>
        <w:rPr>
          <w:rFonts w:ascii="宋体" w:hAnsi="宋体" w:cs="宋体"/>
          <w:color w:val="auto"/>
          <w:sz w:val="28"/>
          <w:szCs w:val="28"/>
          <w:highlight w:val="none"/>
        </w:rPr>
      </w:pPr>
      <w:r>
        <w:rPr>
          <w:rFonts w:hint="eastAsia" w:ascii="宋体" w:hAnsi="宋体" w:cs="宋体"/>
          <w:color w:val="auto"/>
          <w:sz w:val="28"/>
          <w:szCs w:val="28"/>
          <w:highlight w:val="none"/>
        </w:rPr>
        <w:t>根据磋商文件规定及供应商提供的材料自行编写目录（部分格式后附）。</w:t>
      </w:r>
    </w:p>
    <w:p w14:paraId="2F844666">
      <w:pPr>
        <w:snapToGrid w:val="0"/>
        <w:spacing w:before="120" w:beforeLines="50" w:after="50"/>
        <w:rPr>
          <w:rFonts w:ascii="宋体" w:hAnsi="宋体" w:cs="宋体"/>
          <w:color w:val="auto"/>
          <w:szCs w:val="21"/>
          <w:highlight w:val="none"/>
        </w:rPr>
      </w:pPr>
      <w:r>
        <w:rPr>
          <w:rFonts w:hint="eastAsia" w:ascii="宋体" w:hAnsi="宋体" w:cs="宋体"/>
          <w:color w:val="auto"/>
          <w:sz w:val="22"/>
          <w:szCs w:val="18"/>
          <w:highlight w:val="none"/>
        </w:rPr>
        <w:t xml:space="preserve"> </w:t>
      </w:r>
    </w:p>
    <w:p w14:paraId="0D0F97CB">
      <w:pPr>
        <w:spacing w:line="300" w:lineRule="auto"/>
        <w:rPr>
          <w:rFonts w:ascii="宋体" w:hAnsi="宋体" w:cs="宋体"/>
          <w:color w:val="auto"/>
          <w:szCs w:val="21"/>
          <w:highlight w:val="none"/>
        </w:rPr>
      </w:pPr>
    </w:p>
    <w:p w14:paraId="5611496F">
      <w:pPr>
        <w:spacing w:line="300" w:lineRule="auto"/>
        <w:rPr>
          <w:rFonts w:ascii="宋体" w:hAnsi="宋体" w:cs="宋体"/>
          <w:color w:val="auto"/>
          <w:szCs w:val="21"/>
          <w:highlight w:val="none"/>
        </w:rPr>
      </w:pPr>
    </w:p>
    <w:p w14:paraId="2010EBE8">
      <w:pPr>
        <w:spacing w:line="300" w:lineRule="auto"/>
        <w:rPr>
          <w:rFonts w:ascii="宋体" w:hAnsi="宋体" w:cs="宋体"/>
          <w:color w:val="auto"/>
          <w:szCs w:val="21"/>
          <w:highlight w:val="none"/>
        </w:rPr>
      </w:pPr>
    </w:p>
    <w:p w14:paraId="6B8C1ECC">
      <w:pPr>
        <w:spacing w:line="300" w:lineRule="auto"/>
        <w:rPr>
          <w:rFonts w:ascii="宋体" w:hAnsi="宋体" w:cs="宋体"/>
          <w:color w:val="auto"/>
          <w:szCs w:val="21"/>
          <w:highlight w:val="none"/>
        </w:rPr>
      </w:pPr>
    </w:p>
    <w:p w14:paraId="71EEEFF5">
      <w:pPr>
        <w:spacing w:line="300" w:lineRule="auto"/>
        <w:rPr>
          <w:rFonts w:ascii="宋体" w:hAnsi="宋体" w:cs="宋体"/>
          <w:color w:val="auto"/>
          <w:szCs w:val="21"/>
          <w:highlight w:val="none"/>
        </w:rPr>
      </w:pPr>
    </w:p>
    <w:p w14:paraId="4B9AD5DD">
      <w:pPr>
        <w:spacing w:line="300" w:lineRule="auto"/>
        <w:rPr>
          <w:rFonts w:ascii="宋体" w:hAnsi="宋体" w:cs="宋体"/>
          <w:color w:val="auto"/>
          <w:szCs w:val="21"/>
          <w:highlight w:val="none"/>
        </w:rPr>
      </w:pPr>
    </w:p>
    <w:p w14:paraId="7C66BE54">
      <w:pPr>
        <w:jc w:val="center"/>
        <w:rPr>
          <w:rFonts w:ascii="宋体" w:hAnsi="宋体" w:cs="宋体"/>
          <w:b/>
          <w:color w:val="auto"/>
          <w:sz w:val="32"/>
          <w:szCs w:val="32"/>
          <w:highlight w:val="none"/>
        </w:rPr>
      </w:pPr>
      <w:r>
        <w:rPr>
          <w:rFonts w:hint="eastAsia" w:ascii="宋体" w:hAnsi="宋体" w:cs="宋体"/>
          <w:color w:val="auto"/>
          <w:szCs w:val="21"/>
          <w:highlight w:val="none"/>
        </w:rPr>
        <w:br w:type="page"/>
      </w:r>
    </w:p>
    <w:p w14:paraId="7EA3AF02">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571D1699">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（一）供应商</w:t>
      </w:r>
      <w:r>
        <w:rPr>
          <w:rFonts w:hint="eastAsia" w:ascii="宋体" w:hAnsi="宋体" w:cs="宋体"/>
          <w:b/>
          <w:color w:val="auto"/>
          <w:kern w:val="0"/>
          <w:sz w:val="32"/>
          <w:szCs w:val="32"/>
          <w:highlight w:val="none"/>
        </w:rPr>
        <w:t>直接控股股东信息表</w:t>
      </w:r>
    </w:p>
    <w:p w14:paraId="66ABFDAD">
      <w:pPr>
        <w:snapToGrid w:val="0"/>
        <w:spacing w:before="120" w:beforeLines="50" w:after="50"/>
        <w:jc w:val="center"/>
        <w:rPr>
          <w:rFonts w:ascii="宋体" w:hAnsi="宋体" w:cs="宋体"/>
          <w:b/>
          <w:color w:val="auto"/>
          <w:sz w:val="24"/>
          <w:highlight w:val="none"/>
        </w:rPr>
      </w:pPr>
    </w:p>
    <w:p w14:paraId="0E1408F9">
      <w:pPr>
        <w:spacing w:line="360" w:lineRule="auto"/>
        <w:contextualSpacing/>
        <w:jc w:val="center"/>
        <w:rPr>
          <w:rFonts w:ascii="宋体" w:hAnsi="宋体" w:cs="宋体"/>
          <w:b/>
          <w:color w:val="auto"/>
          <w:sz w:val="24"/>
          <w:highlight w:val="none"/>
        </w:rPr>
      </w:pPr>
    </w:p>
    <w:tbl>
      <w:tblPr>
        <w:tblStyle w:val="27"/>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589A9603">
        <w:tblPrEx>
          <w:shd w:val="clear" w:color="auto" w:fill="FBFBFB"/>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720DE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565F7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CD314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40DC7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77422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2EFD71A">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CEC2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1FE1F3">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A75655">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156E52">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22B5AF">
            <w:pPr>
              <w:widowControl/>
              <w:spacing w:line="360" w:lineRule="auto"/>
              <w:contextualSpacing/>
              <w:jc w:val="center"/>
              <w:rPr>
                <w:rFonts w:ascii="宋体" w:hAnsi="宋体" w:cs="宋体"/>
                <w:color w:val="auto"/>
                <w:kern w:val="0"/>
                <w:sz w:val="24"/>
                <w:highlight w:val="none"/>
              </w:rPr>
            </w:pPr>
          </w:p>
        </w:tc>
      </w:tr>
      <w:tr w14:paraId="0F52AD1D">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6E101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1F2B2C">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F313E1">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9653B9">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26D8B2">
            <w:pPr>
              <w:widowControl/>
              <w:spacing w:line="360" w:lineRule="auto"/>
              <w:contextualSpacing/>
              <w:jc w:val="center"/>
              <w:rPr>
                <w:rFonts w:ascii="宋体" w:hAnsi="宋体" w:cs="宋体"/>
                <w:color w:val="auto"/>
                <w:kern w:val="0"/>
                <w:sz w:val="24"/>
                <w:highlight w:val="none"/>
              </w:rPr>
            </w:pPr>
          </w:p>
        </w:tc>
      </w:tr>
      <w:tr w14:paraId="00C6C0C4">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C39F6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1CA84C">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7FF604">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4BFB69">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B2989B">
            <w:pPr>
              <w:widowControl/>
              <w:spacing w:line="360" w:lineRule="auto"/>
              <w:contextualSpacing/>
              <w:jc w:val="center"/>
              <w:rPr>
                <w:rFonts w:ascii="宋体" w:hAnsi="宋体" w:cs="宋体"/>
                <w:color w:val="auto"/>
                <w:kern w:val="0"/>
                <w:sz w:val="24"/>
                <w:highlight w:val="none"/>
              </w:rPr>
            </w:pPr>
          </w:p>
        </w:tc>
      </w:tr>
    </w:tbl>
    <w:p w14:paraId="29911B0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1EFBA3B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F293BD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70AEF9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160E173B">
      <w:pPr>
        <w:snapToGrid w:val="0"/>
        <w:spacing w:line="360" w:lineRule="auto"/>
        <w:jc w:val="left"/>
        <w:rPr>
          <w:rFonts w:ascii="宋体" w:hAnsi="宋体" w:cs="宋体"/>
          <w:color w:val="auto"/>
          <w:sz w:val="24"/>
          <w:highlight w:val="none"/>
        </w:rPr>
      </w:pPr>
    </w:p>
    <w:p w14:paraId="0924CF93">
      <w:pPr>
        <w:snapToGrid w:val="0"/>
        <w:spacing w:line="360" w:lineRule="auto"/>
        <w:jc w:val="left"/>
        <w:rPr>
          <w:rFonts w:ascii="宋体" w:hAnsi="宋体" w:cs="宋体"/>
          <w:color w:val="auto"/>
          <w:sz w:val="24"/>
          <w:highlight w:val="none"/>
        </w:rPr>
      </w:pPr>
    </w:p>
    <w:p w14:paraId="5B0DA42E">
      <w:pPr>
        <w:snapToGrid w:val="0"/>
        <w:spacing w:line="360" w:lineRule="auto"/>
        <w:jc w:val="left"/>
        <w:rPr>
          <w:rFonts w:ascii="宋体" w:hAnsi="宋体" w:cs="宋体"/>
          <w:color w:val="auto"/>
          <w:sz w:val="24"/>
          <w:highlight w:val="none"/>
        </w:rPr>
      </w:pPr>
    </w:p>
    <w:p w14:paraId="3007FB1F">
      <w:pPr>
        <w:snapToGrid w:val="0"/>
        <w:spacing w:before="120" w:beforeLines="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7F226284">
      <w:pPr>
        <w:snapToGrid w:val="0"/>
        <w:spacing w:before="120" w:beforeLines="50" w:after="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供应商（盖公章 ）：</w:t>
      </w:r>
      <w:r>
        <w:rPr>
          <w:rFonts w:hint="eastAsia" w:ascii="宋体" w:hAnsi="宋体" w:cs="宋体"/>
          <w:color w:val="auto"/>
          <w:sz w:val="24"/>
          <w:highlight w:val="none"/>
          <w:u w:val="single"/>
        </w:rPr>
        <w:t xml:space="preserve">                           </w:t>
      </w:r>
    </w:p>
    <w:p w14:paraId="05C06EFD">
      <w:pPr>
        <w:snapToGrid w:val="0"/>
        <w:spacing w:before="120" w:beforeLines="50" w:after="50" w:line="360" w:lineRule="auto"/>
        <w:ind w:right="480" w:firstLine="5280" w:firstLineChars="2200"/>
        <w:rPr>
          <w:rFonts w:ascii="宋体" w:hAnsi="宋体" w:cs="宋体"/>
          <w:color w:val="auto"/>
          <w:sz w:val="28"/>
          <w:szCs w:val="28"/>
          <w:highlight w:val="none"/>
        </w:rPr>
      </w:pPr>
      <w:r>
        <w:rPr>
          <w:rFonts w:hint="eastAsia" w:ascii="宋体" w:hAnsi="宋体" w:cs="宋体"/>
          <w:color w:val="auto"/>
          <w:sz w:val="24"/>
          <w:highlight w:val="none"/>
        </w:rPr>
        <w:t>年    月    日</w:t>
      </w:r>
    </w:p>
    <w:p w14:paraId="53D47A43">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275CD2DB">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（二）供应商直接管理关系信息表</w:t>
      </w:r>
    </w:p>
    <w:p w14:paraId="5B82DBFF">
      <w:pPr>
        <w:snapToGrid w:val="0"/>
        <w:spacing w:line="360" w:lineRule="auto"/>
        <w:jc w:val="center"/>
        <w:rPr>
          <w:rFonts w:ascii="宋体" w:hAnsi="宋体" w:cs="宋体"/>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858724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E66C7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A17D6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C3445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4077F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CD2B77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35CC7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7F813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9DEDFE">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46AE0F">
            <w:pPr>
              <w:widowControl/>
              <w:spacing w:line="360" w:lineRule="auto"/>
              <w:contextualSpacing/>
              <w:jc w:val="center"/>
              <w:rPr>
                <w:rFonts w:ascii="宋体" w:hAnsi="宋体" w:cs="宋体"/>
                <w:color w:val="auto"/>
                <w:kern w:val="0"/>
                <w:sz w:val="24"/>
                <w:highlight w:val="none"/>
              </w:rPr>
            </w:pPr>
          </w:p>
        </w:tc>
      </w:tr>
      <w:tr w14:paraId="58AB1FA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ED7D5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E6391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4BFB9">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9075DB">
            <w:pPr>
              <w:widowControl/>
              <w:spacing w:line="360" w:lineRule="auto"/>
              <w:contextualSpacing/>
              <w:jc w:val="center"/>
              <w:rPr>
                <w:rFonts w:ascii="宋体" w:hAnsi="宋体" w:cs="宋体"/>
                <w:color w:val="auto"/>
                <w:kern w:val="0"/>
                <w:sz w:val="24"/>
                <w:highlight w:val="none"/>
              </w:rPr>
            </w:pPr>
          </w:p>
        </w:tc>
      </w:tr>
      <w:tr w14:paraId="1A86823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DA02D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33961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90D4F8">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15618D">
            <w:pPr>
              <w:widowControl/>
              <w:spacing w:line="360" w:lineRule="auto"/>
              <w:contextualSpacing/>
              <w:jc w:val="center"/>
              <w:rPr>
                <w:rFonts w:ascii="宋体" w:hAnsi="宋体" w:cs="宋体"/>
                <w:color w:val="auto"/>
                <w:kern w:val="0"/>
                <w:sz w:val="24"/>
                <w:highlight w:val="none"/>
              </w:rPr>
            </w:pPr>
          </w:p>
        </w:tc>
      </w:tr>
      <w:tr w14:paraId="5B94B3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F7601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21A03E">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3673B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F2E000">
            <w:pPr>
              <w:widowControl/>
              <w:spacing w:line="360" w:lineRule="auto"/>
              <w:contextualSpacing/>
              <w:jc w:val="center"/>
              <w:rPr>
                <w:rFonts w:ascii="宋体" w:hAnsi="宋体" w:cs="宋体"/>
                <w:color w:val="auto"/>
                <w:kern w:val="0"/>
                <w:sz w:val="24"/>
                <w:highlight w:val="none"/>
              </w:rPr>
            </w:pPr>
          </w:p>
        </w:tc>
      </w:tr>
    </w:tbl>
    <w:p w14:paraId="50FAEAE6">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78BB660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43F44B8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09F0612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5EF3DB45">
      <w:pPr>
        <w:spacing w:line="360" w:lineRule="auto"/>
        <w:contextualSpacing/>
        <w:jc w:val="left"/>
        <w:rPr>
          <w:rFonts w:ascii="宋体" w:hAnsi="宋体" w:cs="宋体"/>
          <w:color w:val="auto"/>
          <w:sz w:val="24"/>
          <w:highlight w:val="none"/>
        </w:rPr>
      </w:pPr>
    </w:p>
    <w:p w14:paraId="4CCA8CF7">
      <w:pPr>
        <w:spacing w:line="360" w:lineRule="auto"/>
        <w:contextualSpacing/>
        <w:jc w:val="left"/>
        <w:rPr>
          <w:rFonts w:ascii="宋体" w:hAnsi="宋体" w:cs="宋体"/>
          <w:color w:val="auto"/>
          <w:sz w:val="24"/>
          <w:highlight w:val="none"/>
        </w:rPr>
      </w:pPr>
    </w:p>
    <w:p w14:paraId="19ACA24B">
      <w:pPr>
        <w:spacing w:line="360" w:lineRule="auto"/>
        <w:contextualSpacing/>
        <w:jc w:val="left"/>
        <w:rPr>
          <w:rFonts w:ascii="宋体" w:hAnsi="宋体" w:cs="宋体"/>
          <w:color w:val="auto"/>
          <w:sz w:val="24"/>
          <w:highlight w:val="none"/>
        </w:rPr>
      </w:pPr>
    </w:p>
    <w:p w14:paraId="77AE7559">
      <w:pPr>
        <w:spacing w:line="360" w:lineRule="auto"/>
        <w:contextualSpacing/>
        <w:jc w:val="left"/>
        <w:rPr>
          <w:rFonts w:ascii="宋体" w:hAnsi="宋体" w:cs="宋体"/>
          <w:color w:val="auto"/>
          <w:sz w:val="24"/>
          <w:highlight w:val="none"/>
        </w:rPr>
      </w:pPr>
    </w:p>
    <w:p w14:paraId="67AAB075">
      <w:pPr>
        <w:spacing w:line="360" w:lineRule="auto"/>
        <w:contextualSpacing/>
        <w:jc w:val="left"/>
        <w:rPr>
          <w:rFonts w:ascii="宋体" w:hAnsi="宋体" w:cs="宋体"/>
          <w:color w:val="auto"/>
          <w:sz w:val="24"/>
          <w:highlight w:val="none"/>
        </w:rPr>
      </w:pPr>
    </w:p>
    <w:p w14:paraId="25964268">
      <w:pPr>
        <w:spacing w:line="360" w:lineRule="auto"/>
        <w:contextualSpacing/>
        <w:jc w:val="left"/>
        <w:rPr>
          <w:rFonts w:ascii="宋体" w:hAnsi="宋体" w:cs="宋体"/>
          <w:color w:val="auto"/>
          <w:sz w:val="24"/>
          <w:highlight w:val="none"/>
        </w:rPr>
      </w:pPr>
    </w:p>
    <w:p w14:paraId="3F35CE09">
      <w:pPr>
        <w:spacing w:line="360" w:lineRule="auto"/>
        <w:ind w:right="480" w:firstLine="3360" w:firstLineChars="1400"/>
        <w:contextualSpacing/>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53953D87">
      <w:pPr>
        <w:spacing w:line="360" w:lineRule="auto"/>
        <w:ind w:right="480"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6F68404B">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年    月    日</w:t>
      </w:r>
    </w:p>
    <w:p w14:paraId="76681F75">
      <w:pPr>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5370C69B">
      <w:pPr>
        <w:spacing w:line="320" w:lineRule="exact"/>
        <w:jc w:val="center"/>
        <w:rPr>
          <w:rFonts w:ascii="宋体" w:hAnsi="宋体" w:cs="宋体"/>
          <w:color w:val="auto"/>
          <w:sz w:val="24"/>
          <w:szCs w:val="20"/>
          <w:highlight w:val="none"/>
        </w:rPr>
      </w:pPr>
    </w:p>
    <w:p w14:paraId="05AC605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46D858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2D503F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4068DB8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28266E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3B4C48C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8E9EAA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38248F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1A41F5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3614070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69AFA8A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FFC9AF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EC3630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C189E0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17709C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FBF892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9D27DF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C7B811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4B11B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9329BA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89D76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2DB9EFD">
      <w:pPr>
        <w:pStyle w:val="15"/>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AB85970">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37249C3">
      <w:pPr>
        <w:pStyle w:val="13"/>
        <w:tabs>
          <w:tab w:val="left" w:pos="939"/>
        </w:tabs>
        <w:spacing w:line="360" w:lineRule="auto"/>
        <w:ind w:left="0" w:leftChars="0"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13AA973A">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2C5612A">
      <w:pPr>
        <w:pStyle w:val="13"/>
        <w:tabs>
          <w:tab w:val="left" w:pos="939"/>
        </w:tabs>
        <w:spacing w:line="360" w:lineRule="auto"/>
        <w:ind w:left="0" w:leftChars="0"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3FB44D88">
      <w:pPr>
        <w:pStyle w:val="13"/>
        <w:tabs>
          <w:tab w:val="left" w:pos="939"/>
        </w:tabs>
        <w:spacing w:line="360" w:lineRule="auto"/>
        <w:ind w:left="0" w:leftChars="0" w:firstLine="482" w:firstLineChars="200"/>
        <w:rPr>
          <w:rFonts w:ascii="宋体" w:hAnsi="宋体" w:cs="宋体"/>
          <w:b/>
          <w:color w:val="auto"/>
          <w:sz w:val="24"/>
          <w:highlight w:val="none"/>
        </w:rPr>
      </w:pPr>
      <w:r>
        <w:rPr>
          <w:rFonts w:hint="eastAsia" w:ascii="宋体" w:hAnsi="宋体" w:cs="宋体"/>
          <w:b/>
          <w:color w:val="auto"/>
          <w:sz w:val="24"/>
          <w:highlight w:val="none"/>
        </w:rPr>
        <w:t>注：如为联合体竞标，盖章处须加盖联合体各方公章并由联合体各方法定代表人签署，否则其响应文件按无效响应处理。</w:t>
      </w:r>
    </w:p>
    <w:p w14:paraId="2F7FB9BF">
      <w:pPr>
        <w:pStyle w:val="13"/>
        <w:tabs>
          <w:tab w:val="left" w:pos="939"/>
        </w:tabs>
        <w:spacing w:line="360" w:lineRule="auto"/>
        <w:ind w:left="0" w:leftChars="0" w:firstLine="480" w:firstLineChars="200"/>
        <w:rPr>
          <w:rFonts w:ascii="宋体" w:hAnsi="宋体" w:cs="宋体"/>
          <w:color w:val="auto"/>
          <w:sz w:val="24"/>
          <w:highlight w:val="none"/>
        </w:rPr>
      </w:pPr>
    </w:p>
    <w:p w14:paraId="346A8265">
      <w:pPr>
        <w:spacing w:line="360" w:lineRule="auto"/>
        <w:ind w:firstLine="4320" w:firstLineChars="1800"/>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w:t>
      </w:r>
      <w:r>
        <w:rPr>
          <w:rFonts w:hint="eastAsia" w:ascii="宋体" w:hAnsi="宋体" w:cs="宋体"/>
          <w:color w:val="auto"/>
          <w:sz w:val="24"/>
          <w:highlight w:val="none"/>
          <w:u w:val="single"/>
        </w:rPr>
        <w:t xml:space="preserve">                </w:t>
      </w:r>
    </w:p>
    <w:p w14:paraId="2337B302">
      <w:pPr>
        <w:spacing w:line="360" w:lineRule="auto"/>
        <w:ind w:firstLine="240" w:firstLineChars="10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供应商（盖公章）：</w:t>
      </w:r>
      <w:r>
        <w:rPr>
          <w:rFonts w:hint="eastAsia" w:ascii="宋体" w:hAnsi="宋体" w:cs="宋体"/>
          <w:color w:val="auto"/>
          <w:sz w:val="24"/>
          <w:highlight w:val="none"/>
          <w:u w:val="single"/>
        </w:rPr>
        <w:t xml:space="preserve">                           </w:t>
      </w:r>
    </w:p>
    <w:p w14:paraId="757C89C0">
      <w:pPr>
        <w:spacing w:line="360" w:lineRule="auto"/>
        <w:ind w:firstLine="240" w:firstLineChars="1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5C79A279">
      <w:pPr>
        <w:pStyle w:val="6"/>
        <w:overflowPunct w:val="0"/>
        <w:spacing w:line="360" w:lineRule="auto"/>
        <w:ind w:firstLine="0"/>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联合体竞标协议书</w:t>
      </w:r>
    </w:p>
    <w:p w14:paraId="2E502352">
      <w:pPr>
        <w:pStyle w:val="6"/>
        <w:overflowPunct w:val="0"/>
        <w:spacing w:line="360" w:lineRule="auto"/>
        <w:ind w:firstLine="0"/>
        <w:rPr>
          <w:rFonts w:ascii="宋体" w:hAnsi="宋体" w:cs="宋体"/>
          <w:color w:val="auto"/>
          <w:sz w:val="24"/>
          <w:szCs w:val="24"/>
          <w:highlight w:val="none"/>
        </w:rPr>
      </w:pPr>
    </w:p>
    <w:p w14:paraId="4FD94204">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（项目名称）采购项目竞标。现就联合体竞标事宜订立如下协议。</w:t>
      </w:r>
    </w:p>
    <w:p w14:paraId="247E85FE">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601A7579">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4A125AB5">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276D453A">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C06BD5F">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协议书自所有成员单位法定代表人（单位负责人）或者其委托代理人签字或者盖单位章之日起生效，合同履行完毕后自动失效。</w:t>
      </w:r>
    </w:p>
    <w:p w14:paraId="0F6374AB">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份，联合体成员和采购人各执一份。</w:t>
      </w:r>
    </w:p>
    <w:p w14:paraId="651CDED4">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注：本协议书由法定代表人（单位负责人）签字的，应附法定代表人（单位负责人）身份证明书；由委托代理人签字的，应附联合体协议签订授权委托书（格式自拟）。</w:t>
      </w:r>
    </w:p>
    <w:p w14:paraId="3FB59897">
      <w:pPr>
        <w:pStyle w:val="6"/>
        <w:overflowPunct w:val="0"/>
        <w:spacing w:line="360" w:lineRule="auto"/>
        <w:ind w:firstLine="420" w:firstLineChars="175"/>
        <w:contextualSpacing/>
        <w:rPr>
          <w:rFonts w:ascii="宋体" w:hAnsi="宋体" w:cs="宋体"/>
          <w:color w:val="auto"/>
          <w:sz w:val="24"/>
          <w:szCs w:val="24"/>
          <w:highlight w:val="none"/>
        </w:rPr>
      </w:pPr>
    </w:p>
    <w:p w14:paraId="339EECA1">
      <w:pPr>
        <w:pStyle w:val="6"/>
        <w:overflowPunct w:val="0"/>
        <w:spacing w:line="360" w:lineRule="auto"/>
        <w:ind w:firstLine="420" w:firstLineChars="175"/>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联合体牵头人名称（盖公章）：</w:t>
      </w:r>
    </w:p>
    <w:p w14:paraId="3A33DA90">
      <w:pPr>
        <w:pStyle w:val="6"/>
        <w:overflowPunct w:val="0"/>
        <w:spacing w:line="360" w:lineRule="auto"/>
        <w:ind w:firstLine="420" w:firstLineChars="175"/>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法定代表人（单位负责人）或者其委托代理人（签字）：</w:t>
      </w:r>
    </w:p>
    <w:p w14:paraId="1D900A1E">
      <w:pPr>
        <w:pStyle w:val="6"/>
        <w:overflowPunct w:val="0"/>
        <w:spacing w:line="360" w:lineRule="auto"/>
        <w:ind w:firstLine="420" w:firstLineChars="175"/>
        <w:contextualSpacing/>
        <w:rPr>
          <w:rFonts w:ascii="宋体" w:hAnsi="宋体" w:cs="宋体"/>
          <w:color w:val="auto"/>
          <w:sz w:val="24"/>
          <w:szCs w:val="24"/>
          <w:highlight w:val="none"/>
        </w:rPr>
      </w:pPr>
    </w:p>
    <w:p w14:paraId="2CA7A0AA">
      <w:pPr>
        <w:pStyle w:val="6"/>
        <w:overflowPunct w:val="0"/>
        <w:spacing w:line="360" w:lineRule="auto"/>
        <w:ind w:firstLine="420" w:firstLineChars="175"/>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联合体成员名称（盖公章）：</w:t>
      </w:r>
    </w:p>
    <w:p w14:paraId="72B61D52">
      <w:pPr>
        <w:pStyle w:val="6"/>
        <w:overflowPunct w:val="0"/>
        <w:spacing w:line="360" w:lineRule="auto"/>
        <w:ind w:firstLine="420" w:firstLineChars="175"/>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法定代表人（单位负责人）或者其委托代理人（签字）：</w:t>
      </w:r>
    </w:p>
    <w:p w14:paraId="55FE5494">
      <w:pPr>
        <w:pStyle w:val="6"/>
        <w:overflowPunct w:val="0"/>
        <w:spacing w:line="360" w:lineRule="auto"/>
        <w:ind w:firstLine="420" w:firstLineChars="175"/>
        <w:contextualSpacing/>
        <w:rPr>
          <w:rFonts w:ascii="宋体" w:hAnsi="宋体" w:cs="宋体"/>
          <w:color w:val="auto"/>
          <w:sz w:val="24"/>
          <w:szCs w:val="24"/>
          <w:highlight w:val="none"/>
        </w:rPr>
      </w:pPr>
    </w:p>
    <w:p w14:paraId="6D87C6BD">
      <w:pPr>
        <w:pStyle w:val="6"/>
        <w:overflowPunct w:val="0"/>
        <w:spacing w:line="360" w:lineRule="auto"/>
        <w:ind w:firstLine="420" w:firstLineChars="175"/>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联合体成员名称（盖公章）：</w:t>
      </w:r>
    </w:p>
    <w:p w14:paraId="32916079">
      <w:pPr>
        <w:pStyle w:val="6"/>
        <w:overflowPunct w:val="0"/>
        <w:spacing w:line="360" w:lineRule="auto"/>
        <w:ind w:firstLine="420" w:firstLineChars="175"/>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法定代表人（单位负责人）或者其委托代理人（签字）：</w:t>
      </w:r>
    </w:p>
    <w:p w14:paraId="61BBFEA6">
      <w:pPr>
        <w:pStyle w:val="6"/>
        <w:overflowPunct w:val="0"/>
        <w:spacing w:line="360" w:lineRule="auto"/>
        <w:ind w:firstLine="420" w:firstLineChars="175"/>
        <w:contextualSpacing/>
        <w:rPr>
          <w:rFonts w:ascii="宋体" w:hAnsi="宋体" w:cs="宋体"/>
          <w:color w:val="auto"/>
          <w:sz w:val="24"/>
          <w:szCs w:val="24"/>
          <w:highlight w:val="none"/>
        </w:rPr>
      </w:pPr>
      <w:r>
        <w:rPr>
          <w:rFonts w:hint="eastAsia" w:ascii="宋体" w:hAnsi="宋体" w:cs="宋体"/>
          <w:color w:val="auto"/>
          <w:sz w:val="24"/>
          <w:szCs w:val="24"/>
          <w:highlight w:val="none"/>
        </w:rPr>
        <w:t>……</w:t>
      </w:r>
    </w:p>
    <w:p w14:paraId="3E9B829F">
      <w:pPr>
        <w:spacing w:line="360" w:lineRule="auto"/>
        <w:ind w:right="480" w:firstLine="240" w:firstLineChars="1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日</w:t>
      </w:r>
    </w:p>
    <w:p w14:paraId="6DD51437">
      <w:pPr>
        <w:spacing w:line="520" w:lineRule="exact"/>
        <w:jc w:val="center"/>
        <w:rPr>
          <w:rFonts w:ascii="宋体" w:hAnsi="宋体" w:cs="宋体"/>
          <w:b/>
          <w:color w:val="auto"/>
          <w:sz w:val="32"/>
          <w:szCs w:val="32"/>
          <w:highlight w:val="none"/>
        </w:rPr>
      </w:pPr>
      <w:r>
        <w:rPr>
          <w:rFonts w:hint="eastAsia" w:ascii="宋体" w:hAnsi="宋体" w:cs="宋体"/>
          <w:color w:val="auto"/>
          <w:sz w:val="24"/>
          <w:highlight w:val="none"/>
        </w:rPr>
        <w:br w:type="page"/>
      </w:r>
      <w:bookmarkStart w:id="46" w:name="_Toc71365926"/>
      <w:r>
        <w:rPr>
          <w:rFonts w:hint="eastAsia" w:ascii="宋体" w:hAnsi="宋体" w:cs="宋体"/>
          <w:b/>
          <w:color w:val="auto"/>
          <w:sz w:val="32"/>
          <w:szCs w:val="32"/>
          <w:highlight w:val="none"/>
        </w:rPr>
        <w:t>中小企业声明函（服务）</w:t>
      </w:r>
      <w:bookmarkEnd w:id="46"/>
    </w:p>
    <w:p w14:paraId="4A0C7445">
      <w:pPr>
        <w:spacing w:before="2" w:line="500" w:lineRule="exact"/>
        <w:ind w:firstLine="708" w:firstLineChars="294"/>
        <w:rPr>
          <w:rFonts w:ascii="宋体" w:hAnsi="宋体" w:cs="宋体"/>
          <w:b/>
          <w:bCs/>
          <w:color w:val="auto"/>
          <w:sz w:val="24"/>
          <w:highlight w:val="none"/>
        </w:rPr>
      </w:pPr>
    </w:p>
    <w:p w14:paraId="5B968033">
      <w:pPr>
        <w:pStyle w:val="11"/>
        <w:spacing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6D8E60A0">
      <w:pPr>
        <w:tabs>
          <w:tab w:val="left" w:pos="1384"/>
          <w:tab w:val="left" w:pos="4562"/>
          <w:tab w:val="left" w:pos="6803"/>
        </w:tabs>
        <w:spacing w:before="13" w:line="50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0EBEB647">
      <w:pPr>
        <w:tabs>
          <w:tab w:val="left" w:pos="1065"/>
          <w:tab w:val="left" w:pos="4262"/>
          <w:tab w:val="left" w:pos="6477"/>
        </w:tabs>
        <w:spacing w:before="20" w:line="500" w:lineRule="exact"/>
        <w:ind w:right="84" w:firstLine="772" w:firstLineChars="322"/>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4F35C4C">
      <w:pPr>
        <w:pStyle w:val="11"/>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 xml:space="preserve">…… </w:t>
      </w:r>
    </w:p>
    <w:p w14:paraId="34E1D6DA">
      <w:pPr>
        <w:pStyle w:val="11"/>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E58B728">
      <w:pPr>
        <w:pStyle w:val="11"/>
        <w:spacing w:before="25"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7F90213">
      <w:pPr>
        <w:pStyle w:val="11"/>
        <w:spacing w:before="56" w:line="500" w:lineRule="exact"/>
        <w:ind w:right="1808" w:firstLine="705" w:firstLineChars="294"/>
        <w:rPr>
          <w:rFonts w:ascii="宋体" w:hAnsi="宋体" w:cs="宋体"/>
          <w:color w:val="auto"/>
          <w:sz w:val="24"/>
          <w:highlight w:val="none"/>
        </w:rPr>
      </w:pPr>
    </w:p>
    <w:p w14:paraId="4885EE04">
      <w:pPr>
        <w:pStyle w:val="11"/>
        <w:spacing w:before="56" w:line="500" w:lineRule="exact"/>
        <w:ind w:right="650" w:firstLine="5625" w:firstLineChars="2344"/>
        <w:rPr>
          <w:rFonts w:ascii="宋体" w:hAnsi="宋体" w:cs="宋体"/>
          <w:color w:val="auto"/>
          <w:sz w:val="24"/>
          <w:highlight w:val="none"/>
        </w:rPr>
      </w:pPr>
      <w:r>
        <w:rPr>
          <w:rFonts w:hint="eastAsia" w:ascii="宋体" w:hAnsi="宋体" w:cs="宋体"/>
          <w:color w:val="auto"/>
          <w:sz w:val="24"/>
          <w:highlight w:val="none"/>
        </w:rPr>
        <w:t xml:space="preserve">企业名称（章）： </w:t>
      </w:r>
    </w:p>
    <w:p w14:paraId="2FE9FC2F">
      <w:pPr>
        <w:pStyle w:val="11"/>
        <w:spacing w:before="56" w:line="500" w:lineRule="exact"/>
        <w:ind w:right="1808" w:firstLine="5625" w:firstLineChars="2344"/>
        <w:rPr>
          <w:rFonts w:ascii="宋体" w:hAnsi="宋体" w:cs="宋体"/>
          <w:color w:val="auto"/>
          <w:sz w:val="24"/>
          <w:highlight w:val="none"/>
        </w:rPr>
      </w:pPr>
      <w:r>
        <w:rPr>
          <w:rFonts w:hint="eastAsia" w:ascii="宋体" w:hAnsi="宋体" w:cs="宋体"/>
          <w:color w:val="auto"/>
          <w:sz w:val="24"/>
          <w:highlight w:val="none"/>
        </w:rPr>
        <w:t>日 期：</w:t>
      </w:r>
    </w:p>
    <w:p w14:paraId="34E5A06E">
      <w:pPr>
        <w:spacing w:line="520" w:lineRule="exact"/>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4CC01AE">
      <w:pPr>
        <w:spacing w:line="360" w:lineRule="auto"/>
        <w:rPr>
          <w:rFonts w:ascii="宋体" w:hAnsi="宋体" w:cs="宋体"/>
          <w:color w:val="auto"/>
          <w:szCs w:val="21"/>
          <w:highlight w:val="none"/>
        </w:rPr>
      </w:pPr>
    </w:p>
    <w:p w14:paraId="4F5F410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残疾人福利性单位声明函</w:t>
      </w:r>
    </w:p>
    <w:p w14:paraId="24AD1DA2">
      <w:pPr>
        <w:spacing w:line="360" w:lineRule="auto"/>
        <w:contextualSpacing/>
        <w:rPr>
          <w:rFonts w:ascii="宋体" w:hAnsi="宋体" w:cs="宋体"/>
          <w:color w:val="auto"/>
          <w:sz w:val="32"/>
          <w:szCs w:val="32"/>
          <w:highlight w:val="none"/>
        </w:rPr>
      </w:pPr>
    </w:p>
    <w:p w14:paraId="3718150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7898D6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EA55E72">
      <w:pPr>
        <w:spacing w:line="360" w:lineRule="auto"/>
        <w:contextualSpacing/>
        <w:rPr>
          <w:rFonts w:ascii="宋体" w:hAnsi="宋体" w:cs="宋体"/>
          <w:color w:val="auto"/>
          <w:sz w:val="24"/>
          <w:highlight w:val="none"/>
        </w:rPr>
      </w:pPr>
    </w:p>
    <w:p w14:paraId="140357E4">
      <w:pPr>
        <w:spacing w:line="360" w:lineRule="auto"/>
        <w:contextualSpacing/>
        <w:rPr>
          <w:rFonts w:ascii="宋体" w:hAnsi="宋体" w:cs="宋体"/>
          <w:color w:val="auto"/>
          <w:sz w:val="24"/>
          <w:highlight w:val="none"/>
        </w:rPr>
      </w:pPr>
    </w:p>
    <w:p w14:paraId="47A0DD05">
      <w:pPr>
        <w:spacing w:line="360" w:lineRule="auto"/>
        <w:contextualSpacing/>
        <w:rPr>
          <w:rFonts w:ascii="宋体" w:hAnsi="宋体" w:cs="宋体"/>
          <w:color w:val="auto"/>
          <w:sz w:val="24"/>
          <w:highlight w:val="none"/>
        </w:rPr>
      </w:pPr>
    </w:p>
    <w:p w14:paraId="6C8239C7">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单位名称（盖章）：</w:t>
      </w:r>
    </w:p>
    <w:p w14:paraId="2F0BCF62">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41381764">
      <w:pPr>
        <w:spacing w:line="360" w:lineRule="auto"/>
        <w:contextualSpacing/>
        <w:rPr>
          <w:rFonts w:ascii="宋体" w:hAnsi="宋体" w:cs="宋体"/>
          <w:color w:val="auto"/>
          <w:sz w:val="24"/>
          <w:highlight w:val="none"/>
        </w:rPr>
      </w:pPr>
    </w:p>
    <w:p w14:paraId="1DE83920">
      <w:pPr>
        <w:spacing w:line="360" w:lineRule="auto"/>
        <w:contextualSpacing/>
        <w:rPr>
          <w:rFonts w:ascii="宋体" w:hAnsi="宋体" w:cs="宋体"/>
          <w:color w:val="auto"/>
          <w:sz w:val="24"/>
          <w:highlight w:val="none"/>
        </w:rPr>
      </w:pPr>
    </w:p>
    <w:p w14:paraId="3587A9A5">
      <w:pPr>
        <w:spacing w:line="360" w:lineRule="auto"/>
        <w:contextualSpacing/>
        <w:rPr>
          <w:rFonts w:ascii="宋体" w:hAnsi="宋体" w:cs="宋体"/>
          <w:color w:val="auto"/>
          <w:sz w:val="24"/>
          <w:highlight w:val="none"/>
        </w:rPr>
      </w:pPr>
    </w:p>
    <w:p w14:paraId="4C78162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C0F52E1">
      <w:pPr>
        <w:snapToGrid w:val="0"/>
        <w:spacing w:before="120" w:beforeLines="50" w:after="50" w:line="360" w:lineRule="auto"/>
        <w:ind w:right="480"/>
        <w:rPr>
          <w:rFonts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2D040577">
      <w:pPr>
        <w:snapToGrid w:val="0"/>
        <w:spacing w:before="120"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15B444A4">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081B1DA6">
      <w:pPr>
        <w:snapToGrid w:val="0"/>
        <w:spacing w:before="120" w:beforeLines="50" w:after="50"/>
        <w:rPr>
          <w:rFonts w:ascii="宋体" w:hAnsi="宋体" w:cs="宋体"/>
          <w:color w:val="auto"/>
          <w:sz w:val="24"/>
          <w:szCs w:val="20"/>
          <w:highlight w:val="none"/>
        </w:rPr>
      </w:pPr>
    </w:p>
    <w:p w14:paraId="3FA4AC3C">
      <w:pPr>
        <w:snapToGrid w:val="0"/>
        <w:spacing w:before="120"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1840E170">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  价  商  务  技  术  文  件</w:t>
      </w:r>
    </w:p>
    <w:p w14:paraId="1B456684">
      <w:pPr>
        <w:snapToGrid w:val="0"/>
        <w:spacing w:before="120" w:beforeLines="50" w:after="50"/>
        <w:rPr>
          <w:rFonts w:ascii="宋体" w:hAnsi="宋体" w:cs="宋体"/>
          <w:bCs/>
          <w:color w:val="auto"/>
          <w:sz w:val="24"/>
          <w:szCs w:val="20"/>
          <w:highlight w:val="none"/>
        </w:rPr>
      </w:pPr>
    </w:p>
    <w:p w14:paraId="66391908">
      <w:pPr>
        <w:snapToGrid w:val="0"/>
        <w:spacing w:before="120" w:beforeLines="50" w:after="50"/>
        <w:rPr>
          <w:rFonts w:ascii="宋体" w:hAnsi="宋体" w:cs="宋体"/>
          <w:bCs/>
          <w:color w:val="auto"/>
          <w:sz w:val="24"/>
          <w:szCs w:val="20"/>
          <w:highlight w:val="none"/>
        </w:rPr>
      </w:pPr>
    </w:p>
    <w:p w14:paraId="2D27DB14">
      <w:pPr>
        <w:snapToGrid w:val="0"/>
        <w:spacing w:before="120" w:beforeLines="50" w:after="50"/>
        <w:ind w:firstLine="2100" w:firstLineChars="875"/>
        <w:rPr>
          <w:rFonts w:ascii="宋体" w:hAnsi="宋体" w:cs="宋体"/>
          <w:bCs/>
          <w:color w:val="auto"/>
          <w:sz w:val="24"/>
          <w:szCs w:val="20"/>
          <w:highlight w:val="none"/>
        </w:rPr>
      </w:pPr>
    </w:p>
    <w:p w14:paraId="5518E503">
      <w:pPr>
        <w:snapToGrid w:val="0"/>
        <w:spacing w:before="120" w:beforeLines="50" w:after="50"/>
        <w:ind w:firstLine="2100" w:firstLineChars="875"/>
        <w:rPr>
          <w:rFonts w:ascii="宋体" w:hAnsi="宋体" w:cs="宋体"/>
          <w:bCs/>
          <w:color w:val="auto"/>
          <w:sz w:val="24"/>
          <w:szCs w:val="20"/>
          <w:highlight w:val="none"/>
        </w:rPr>
      </w:pPr>
    </w:p>
    <w:p w14:paraId="518ED9C1">
      <w:pPr>
        <w:snapToGrid w:val="0"/>
        <w:spacing w:before="120" w:beforeLines="50" w:after="50"/>
        <w:ind w:firstLine="2100" w:firstLineChars="875"/>
        <w:rPr>
          <w:rFonts w:ascii="宋体" w:hAnsi="宋体" w:cs="宋体"/>
          <w:bCs/>
          <w:color w:val="auto"/>
          <w:sz w:val="24"/>
          <w:szCs w:val="20"/>
          <w:highlight w:val="none"/>
        </w:rPr>
      </w:pPr>
    </w:p>
    <w:p w14:paraId="588DE6F3">
      <w:pPr>
        <w:snapToGrid w:val="0"/>
        <w:spacing w:before="120"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8496427">
      <w:pPr>
        <w:snapToGrid w:val="0"/>
        <w:spacing w:before="120" w:beforeLines="50" w:after="50"/>
        <w:ind w:firstLine="2800" w:firstLineChars="875"/>
        <w:rPr>
          <w:rFonts w:ascii="宋体" w:hAnsi="宋体" w:cs="宋体"/>
          <w:bCs/>
          <w:color w:val="auto"/>
          <w:sz w:val="32"/>
          <w:szCs w:val="32"/>
          <w:highlight w:val="none"/>
        </w:rPr>
      </w:pPr>
    </w:p>
    <w:p w14:paraId="72D8E018">
      <w:pPr>
        <w:snapToGrid w:val="0"/>
        <w:spacing w:before="120"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A513BB1">
      <w:pPr>
        <w:snapToGrid w:val="0"/>
        <w:spacing w:before="120"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9AC3906">
      <w:pPr>
        <w:snapToGrid w:val="0"/>
        <w:spacing w:before="120"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所竞分标：</w:t>
      </w:r>
    </w:p>
    <w:p w14:paraId="5CB59D68">
      <w:pPr>
        <w:snapToGrid w:val="0"/>
        <w:spacing w:before="120" w:beforeLines="50" w:after="50"/>
        <w:ind w:firstLine="2800" w:firstLineChars="875"/>
        <w:rPr>
          <w:rFonts w:ascii="宋体" w:hAnsi="宋体" w:cs="宋体"/>
          <w:bCs/>
          <w:color w:val="auto"/>
          <w:sz w:val="32"/>
          <w:szCs w:val="32"/>
          <w:highlight w:val="none"/>
        </w:rPr>
      </w:pPr>
    </w:p>
    <w:p w14:paraId="2D8251A7">
      <w:pPr>
        <w:pStyle w:val="6"/>
        <w:snapToGrid w:val="0"/>
        <w:spacing w:before="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A38A456">
      <w:pPr>
        <w:pStyle w:val="6"/>
        <w:snapToGrid w:val="0"/>
        <w:spacing w:before="50" w:after="50"/>
        <w:ind w:firstLine="2800" w:firstLineChars="875"/>
        <w:rPr>
          <w:rFonts w:ascii="宋体" w:hAnsi="宋体" w:cs="宋体"/>
          <w:bCs/>
          <w:color w:val="auto"/>
          <w:sz w:val="32"/>
          <w:szCs w:val="32"/>
          <w:highlight w:val="none"/>
        </w:rPr>
      </w:pPr>
    </w:p>
    <w:p w14:paraId="2CC933EE">
      <w:pPr>
        <w:pStyle w:val="6"/>
        <w:snapToGrid w:val="0"/>
        <w:spacing w:before="50" w:after="50"/>
        <w:ind w:firstLine="720" w:firstLineChars="225"/>
        <w:rPr>
          <w:rFonts w:ascii="宋体" w:hAnsi="宋体" w:cs="宋体"/>
          <w:bCs/>
          <w:color w:val="auto"/>
          <w:sz w:val="32"/>
          <w:szCs w:val="32"/>
          <w:highlight w:val="none"/>
        </w:rPr>
      </w:pPr>
    </w:p>
    <w:p w14:paraId="4F295C75">
      <w:pPr>
        <w:pStyle w:val="6"/>
        <w:snapToGrid w:val="0"/>
        <w:spacing w:before="50" w:after="50"/>
        <w:ind w:firstLine="1280" w:firstLineChars="400"/>
        <w:rPr>
          <w:rFonts w:ascii="宋体" w:hAnsi="宋体" w:cs="宋体"/>
          <w:bCs/>
          <w:color w:val="auto"/>
          <w:sz w:val="32"/>
          <w:szCs w:val="32"/>
          <w:highlight w:val="none"/>
        </w:rPr>
      </w:pPr>
    </w:p>
    <w:p w14:paraId="1525E42C">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EED1A26">
      <w:pPr>
        <w:snapToGrid w:val="0"/>
        <w:spacing w:before="120"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7EC353D5">
      <w:pPr>
        <w:snapToGrid w:val="0"/>
        <w:spacing w:before="120"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029B18C1">
      <w:pPr>
        <w:spacing w:line="400" w:lineRule="exact"/>
        <w:rPr>
          <w:rFonts w:ascii="宋体" w:hAnsi="宋体" w:cs="宋体"/>
          <w:color w:val="auto"/>
          <w:sz w:val="32"/>
          <w:szCs w:val="32"/>
          <w:highlight w:val="none"/>
        </w:rPr>
      </w:pPr>
    </w:p>
    <w:p w14:paraId="5CE91D54">
      <w:pPr>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3AC340EA">
      <w:pPr>
        <w:spacing w:line="360" w:lineRule="auto"/>
        <w:ind w:firstLine="640" w:firstLineChars="200"/>
        <w:contextualSpacing/>
        <w:rPr>
          <w:rFonts w:ascii="宋体" w:hAnsi="宋体" w:cs="宋体"/>
          <w:color w:val="auto"/>
          <w:sz w:val="32"/>
          <w:szCs w:val="32"/>
          <w:highlight w:val="none"/>
        </w:rPr>
      </w:pPr>
    </w:p>
    <w:p w14:paraId="4C6526CF">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2F78585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7E036C6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3E41346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0AEABD7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6D203B6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A095C0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009E6607">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500C362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ABB104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25983C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74D7396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0102B8D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2324AA6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2BD999B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21CCFC1F">
      <w:pPr>
        <w:spacing w:line="360" w:lineRule="auto"/>
        <w:ind w:firstLine="480" w:firstLineChars="200"/>
        <w:contextualSpacing/>
        <w:rPr>
          <w:rFonts w:ascii="宋体" w:hAnsi="宋体" w:cs="宋体"/>
          <w:color w:val="auto"/>
          <w:sz w:val="24"/>
          <w:highlight w:val="none"/>
        </w:rPr>
      </w:pPr>
    </w:p>
    <w:p w14:paraId="183D5E07">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6EC719E0">
      <w:pPr>
        <w:spacing w:line="360" w:lineRule="auto"/>
        <w:contextualSpacing/>
        <w:rPr>
          <w:rFonts w:ascii="宋体" w:hAnsi="宋体" w:cs="宋体"/>
          <w:color w:val="auto"/>
          <w:sz w:val="24"/>
          <w:highlight w:val="none"/>
        </w:rPr>
      </w:pPr>
    </w:p>
    <w:p w14:paraId="630120CF">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供应商（盖公章）：</w:t>
      </w:r>
    </w:p>
    <w:p w14:paraId="6FD72D2A">
      <w:pPr>
        <w:spacing w:line="360" w:lineRule="auto"/>
        <w:ind w:firstLine="480" w:firstLineChars="2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7BA8E37">
      <w:pPr>
        <w:jc w:val="center"/>
        <w:rPr>
          <w:rFonts w:ascii="宋体" w:hAnsi="宋体" w:cs="宋体"/>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竞  标  报  价  表</w:t>
      </w:r>
    </w:p>
    <w:p w14:paraId="31D4082C">
      <w:pPr>
        <w:spacing w:line="440" w:lineRule="exact"/>
        <w:jc w:val="center"/>
        <w:rPr>
          <w:rFonts w:ascii="宋体" w:hAnsi="宋体" w:cs="宋体"/>
          <w:bCs/>
          <w:color w:val="auto"/>
          <w:sz w:val="32"/>
          <w:szCs w:val="32"/>
          <w:highlight w:val="none"/>
        </w:rPr>
      </w:pPr>
    </w:p>
    <w:p w14:paraId="4FE79A3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9E91FAE">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分标（如有）：</w:t>
      </w:r>
      <w:r>
        <w:rPr>
          <w:rFonts w:hint="eastAsia" w:ascii="宋体" w:hAnsi="宋体" w:cs="宋体"/>
          <w:color w:val="auto"/>
          <w:sz w:val="24"/>
          <w:highlight w:val="none"/>
          <w:u w:val="single"/>
        </w:rPr>
        <w:t xml:space="preserve">                                         </w:t>
      </w:r>
    </w:p>
    <w:p w14:paraId="3521924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7"/>
        <w:tblW w:w="959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183"/>
        <w:gridCol w:w="1193"/>
        <w:gridCol w:w="1216"/>
        <w:gridCol w:w="1811"/>
        <w:gridCol w:w="2607"/>
        <w:gridCol w:w="946"/>
      </w:tblGrid>
      <w:tr w14:paraId="78CF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right"/>
        </w:trPr>
        <w:tc>
          <w:tcPr>
            <w:tcW w:w="635" w:type="dxa"/>
            <w:tcBorders>
              <w:top w:val="single" w:color="auto" w:sz="4" w:space="0"/>
              <w:left w:val="single" w:color="auto" w:sz="4" w:space="0"/>
              <w:bottom w:val="single" w:color="auto" w:sz="4" w:space="0"/>
              <w:right w:val="single" w:color="auto" w:sz="4" w:space="0"/>
            </w:tcBorders>
            <w:vAlign w:val="center"/>
          </w:tcPr>
          <w:p w14:paraId="3D669E28">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83" w:type="dxa"/>
            <w:tcBorders>
              <w:top w:val="single" w:color="auto" w:sz="4" w:space="0"/>
              <w:left w:val="single" w:color="auto" w:sz="4" w:space="0"/>
              <w:bottom w:val="single" w:color="auto" w:sz="4" w:space="0"/>
              <w:right w:val="single" w:color="auto" w:sz="4" w:space="0"/>
            </w:tcBorders>
            <w:vAlign w:val="center"/>
          </w:tcPr>
          <w:p w14:paraId="640890A4">
            <w:pPr>
              <w:spacing w:line="360" w:lineRule="auto"/>
              <w:contextualSpacing/>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服务名称</w:t>
            </w:r>
          </w:p>
        </w:tc>
        <w:tc>
          <w:tcPr>
            <w:tcW w:w="1193" w:type="dxa"/>
            <w:tcBorders>
              <w:top w:val="single" w:color="auto" w:sz="4" w:space="0"/>
              <w:left w:val="single" w:color="auto" w:sz="4" w:space="0"/>
              <w:bottom w:val="single" w:color="auto" w:sz="4" w:space="0"/>
              <w:right w:val="single" w:color="auto" w:sz="4" w:space="0"/>
            </w:tcBorders>
            <w:vAlign w:val="center"/>
          </w:tcPr>
          <w:p w14:paraId="1F245497">
            <w:pPr>
              <w:spacing w:line="360" w:lineRule="auto"/>
              <w:contextualSpacing/>
              <w:jc w:val="center"/>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暂定数量（人）</w:t>
            </w:r>
            <w:r>
              <w:rPr>
                <w:rFonts w:hint="eastAsia" w:ascii="宋体" w:hAnsi="宋体" w:cs="宋体"/>
                <w:color w:val="auto"/>
                <w:sz w:val="24"/>
                <w:highlight w:val="none"/>
              </w:rPr>
              <w:t>①</w:t>
            </w:r>
          </w:p>
        </w:tc>
        <w:tc>
          <w:tcPr>
            <w:tcW w:w="1216" w:type="dxa"/>
            <w:tcBorders>
              <w:top w:val="single" w:color="auto" w:sz="4" w:space="0"/>
              <w:left w:val="single" w:color="auto" w:sz="4" w:space="0"/>
              <w:bottom w:val="single" w:color="auto" w:sz="4" w:space="0"/>
              <w:right w:val="single" w:color="auto" w:sz="4" w:space="0"/>
            </w:tcBorders>
            <w:vAlign w:val="center"/>
          </w:tcPr>
          <w:p w14:paraId="6E74F0ED">
            <w:pPr>
              <w:spacing w:line="360" w:lineRule="auto"/>
              <w:contextualSpacing/>
              <w:jc w:val="center"/>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单价（元/人）</w:t>
            </w:r>
            <w:r>
              <w:rPr>
                <w:rFonts w:hint="eastAsia" w:ascii="宋体" w:hAnsi="宋体" w:cs="宋体"/>
                <w:color w:val="auto"/>
                <w:sz w:val="24"/>
                <w:highlight w:val="none"/>
              </w:rPr>
              <w:t>②</w:t>
            </w:r>
          </w:p>
        </w:tc>
        <w:tc>
          <w:tcPr>
            <w:tcW w:w="1811" w:type="dxa"/>
            <w:tcBorders>
              <w:top w:val="single" w:color="auto" w:sz="4" w:space="0"/>
              <w:left w:val="single" w:color="auto" w:sz="4" w:space="0"/>
              <w:bottom w:val="single" w:color="auto" w:sz="4" w:space="0"/>
              <w:right w:val="single" w:color="auto" w:sz="4" w:space="0"/>
            </w:tcBorders>
            <w:vAlign w:val="center"/>
          </w:tcPr>
          <w:p w14:paraId="2836129A">
            <w:pPr>
              <w:spacing w:line="360" w:lineRule="auto"/>
              <w:contextualSpacing/>
              <w:jc w:val="center"/>
              <w:rPr>
                <w:rFonts w:hint="default"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单价最高限价（元/</w:t>
            </w:r>
            <w:r>
              <w:rPr>
                <w:rFonts w:hint="eastAsia" w:ascii="宋体" w:hAnsi="宋体" w:cs="宋体"/>
                <w:color w:val="auto"/>
                <w:sz w:val="24"/>
                <w:highlight w:val="none"/>
                <w:lang w:val="en-US" w:eastAsia="zh-CN"/>
              </w:rPr>
              <w:t>人</w:t>
            </w:r>
            <w:r>
              <w:rPr>
                <w:rFonts w:hint="default" w:ascii="宋体" w:hAnsi="宋体" w:eastAsia="宋体" w:cs="宋体"/>
                <w:color w:val="auto"/>
                <w:sz w:val="24"/>
                <w:highlight w:val="none"/>
                <w:lang w:val="en-US" w:eastAsia="zh-CN"/>
              </w:rPr>
              <w:t>）</w:t>
            </w:r>
          </w:p>
        </w:tc>
        <w:tc>
          <w:tcPr>
            <w:tcW w:w="2607" w:type="dxa"/>
            <w:tcBorders>
              <w:top w:val="single" w:color="auto" w:sz="4" w:space="0"/>
              <w:left w:val="single" w:color="auto" w:sz="4" w:space="0"/>
              <w:bottom w:val="single" w:color="auto" w:sz="4" w:space="0"/>
              <w:right w:val="single" w:color="auto" w:sz="4" w:space="0"/>
            </w:tcBorders>
            <w:vAlign w:val="center"/>
          </w:tcPr>
          <w:p w14:paraId="43C52FA0">
            <w:pPr>
              <w:spacing w:line="360" w:lineRule="auto"/>
              <w:contextualSpacing/>
              <w:jc w:val="center"/>
              <w:rPr>
                <w:rFonts w:hint="default" w:ascii="宋体" w:hAnsi="宋体" w:cs="宋体"/>
                <w:color w:val="auto"/>
                <w:sz w:val="24"/>
                <w:highlight w:val="none"/>
                <w:lang w:val="en-US" w:eastAsia="zh-CN"/>
              </w:rPr>
            </w:pPr>
            <w:r>
              <w:rPr>
                <w:rFonts w:hint="eastAsia" w:ascii="宋体" w:hAnsi="宋体" w:cs="宋体"/>
                <w:color w:val="auto"/>
                <w:sz w:val="24"/>
                <w:highlight w:val="none"/>
              </w:rPr>
              <w:t>③</w:t>
            </w:r>
            <w:r>
              <w:rPr>
                <w:rFonts w:hint="default" w:ascii="宋体" w:hAnsi="宋体" w:cs="宋体"/>
                <w:color w:val="auto"/>
                <w:sz w:val="24"/>
                <w:highlight w:val="none"/>
                <w:lang w:val="en-US" w:eastAsia="zh-CN"/>
              </w:rPr>
              <w:t>预计</w:t>
            </w:r>
          </w:p>
          <w:p w14:paraId="602F5DC8">
            <w:pPr>
              <w:spacing w:line="360" w:lineRule="auto"/>
              <w:contextualSpacing/>
              <w:jc w:val="center"/>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服务费用（元）</w:t>
            </w:r>
          </w:p>
          <w:p w14:paraId="1E5A15AC">
            <w:pPr>
              <w:spacing w:line="360" w:lineRule="auto"/>
              <w:contextualSpacing/>
              <w:jc w:val="center"/>
              <w:rPr>
                <w:rFonts w:hint="default" w:ascii="宋体" w:hAnsi="宋体" w:eastAsia="宋体" w:cs="宋体"/>
                <w:color w:val="auto"/>
                <w:sz w:val="24"/>
                <w:highlight w:val="none"/>
                <w:lang w:val="en-US" w:eastAsia="zh-CN"/>
              </w:rPr>
            </w:pPr>
            <w:r>
              <w:rPr>
                <w:rFonts w:hint="default" w:ascii="宋体" w:hAnsi="宋体" w:cs="宋体"/>
                <w:color w:val="auto"/>
                <w:sz w:val="24"/>
                <w:highlight w:val="none"/>
                <w:lang w:val="en-US" w:eastAsia="zh-CN"/>
              </w:rPr>
              <w:t>=</w:t>
            </w:r>
            <w:r>
              <w:rPr>
                <w:rFonts w:hint="eastAsia" w:ascii="宋体" w:hAnsi="宋体" w:cs="宋体"/>
                <w:color w:val="auto"/>
                <w:sz w:val="24"/>
                <w:highlight w:val="none"/>
              </w:rPr>
              <w:t>①</w:t>
            </w:r>
            <w:r>
              <w:rPr>
                <w:rFonts w:hint="default" w:ascii="宋体" w:hAnsi="宋体" w:cs="宋体"/>
                <w:color w:val="auto"/>
                <w:sz w:val="24"/>
                <w:highlight w:val="none"/>
                <w:lang w:val="en-US" w:eastAsia="zh-CN"/>
              </w:rPr>
              <w:t>暂定数量×</w:t>
            </w:r>
            <w:r>
              <w:rPr>
                <w:rFonts w:hint="eastAsia" w:ascii="宋体" w:hAnsi="宋体" w:cs="宋体"/>
                <w:color w:val="auto"/>
                <w:sz w:val="24"/>
                <w:highlight w:val="none"/>
              </w:rPr>
              <w:t>②</w:t>
            </w:r>
            <w:r>
              <w:rPr>
                <w:rFonts w:hint="default" w:ascii="宋体" w:hAnsi="宋体" w:cs="宋体"/>
                <w:color w:val="auto"/>
                <w:sz w:val="24"/>
                <w:highlight w:val="none"/>
                <w:lang w:val="en-US" w:eastAsia="zh-CN"/>
              </w:rPr>
              <w:t>单价</w:t>
            </w:r>
          </w:p>
        </w:tc>
        <w:tc>
          <w:tcPr>
            <w:tcW w:w="946" w:type="dxa"/>
            <w:tcBorders>
              <w:top w:val="single" w:color="auto" w:sz="4" w:space="0"/>
              <w:left w:val="single" w:color="auto" w:sz="4" w:space="0"/>
              <w:bottom w:val="single" w:color="auto" w:sz="4" w:space="0"/>
              <w:right w:val="single" w:color="auto" w:sz="4" w:space="0"/>
            </w:tcBorders>
            <w:vAlign w:val="center"/>
          </w:tcPr>
          <w:p w14:paraId="3F97B88D">
            <w:pPr>
              <w:spacing w:line="360" w:lineRule="auto"/>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备注</w:t>
            </w:r>
          </w:p>
        </w:tc>
      </w:tr>
      <w:tr w14:paraId="13CC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right"/>
        </w:trPr>
        <w:tc>
          <w:tcPr>
            <w:tcW w:w="635" w:type="dxa"/>
            <w:tcBorders>
              <w:top w:val="single" w:color="auto" w:sz="4" w:space="0"/>
              <w:left w:val="single" w:color="auto" w:sz="4" w:space="0"/>
              <w:bottom w:val="single" w:color="auto" w:sz="4" w:space="0"/>
              <w:right w:val="single" w:color="auto" w:sz="4" w:space="0"/>
            </w:tcBorders>
            <w:vAlign w:val="center"/>
          </w:tcPr>
          <w:p w14:paraId="61550F44">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390A3B80">
            <w:pPr>
              <w:spacing w:line="38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2025年教职工健康体检服务采购</w:t>
            </w:r>
          </w:p>
        </w:tc>
        <w:tc>
          <w:tcPr>
            <w:tcW w:w="1193" w:type="dxa"/>
            <w:tcBorders>
              <w:top w:val="single" w:color="auto" w:sz="4" w:space="0"/>
              <w:left w:val="single" w:color="auto" w:sz="4" w:space="0"/>
              <w:bottom w:val="single" w:color="auto" w:sz="4" w:space="0"/>
              <w:right w:val="single" w:color="auto" w:sz="4" w:space="0"/>
            </w:tcBorders>
            <w:vAlign w:val="center"/>
          </w:tcPr>
          <w:p w14:paraId="3B0F6E12">
            <w:pPr>
              <w:snapToGri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2786</w:t>
            </w:r>
          </w:p>
        </w:tc>
        <w:tc>
          <w:tcPr>
            <w:tcW w:w="1216" w:type="dxa"/>
            <w:tcBorders>
              <w:top w:val="single" w:color="auto" w:sz="4" w:space="0"/>
              <w:left w:val="single" w:color="auto" w:sz="4" w:space="0"/>
              <w:bottom w:val="single" w:color="auto" w:sz="4" w:space="0"/>
              <w:right w:val="single" w:color="auto" w:sz="4" w:space="0"/>
            </w:tcBorders>
            <w:vAlign w:val="center"/>
          </w:tcPr>
          <w:p w14:paraId="7A01CD35">
            <w:pPr>
              <w:snapToGrid w:val="0"/>
              <w:jc w:val="center"/>
              <w:rPr>
                <w:rFonts w:hint="default" w:ascii="宋体" w:hAnsi="宋体" w:eastAsia="宋体" w:cs="宋体"/>
                <w:color w:val="auto"/>
                <w:sz w:val="24"/>
                <w:highlight w:val="none"/>
                <w:lang w:val="en-US" w:eastAsia="zh-CN"/>
              </w:rPr>
            </w:pPr>
          </w:p>
        </w:tc>
        <w:tc>
          <w:tcPr>
            <w:tcW w:w="1811" w:type="dxa"/>
            <w:tcBorders>
              <w:top w:val="single" w:color="auto" w:sz="4" w:space="0"/>
              <w:left w:val="single" w:color="auto" w:sz="4" w:space="0"/>
              <w:bottom w:val="single" w:color="auto" w:sz="4" w:space="0"/>
              <w:right w:val="single" w:color="auto" w:sz="4" w:space="0"/>
            </w:tcBorders>
            <w:vAlign w:val="center"/>
          </w:tcPr>
          <w:p w14:paraId="5E26812F">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790</w:t>
            </w:r>
          </w:p>
        </w:tc>
        <w:tc>
          <w:tcPr>
            <w:tcW w:w="2607" w:type="dxa"/>
            <w:tcBorders>
              <w:top w:val="single" w:color="auto" w:sz="4" w:space="0"/>
              <w:left w:val="single" w:color="auto" w:sz="4" w:space="0"/>
              <w:bottom w:val="single" w:color="auto" w:sz="4" w:space="0"/>
              <w:right w:val="single" w:color="auto" w:sz="4" w:space="0"/>
            </w:tcBorders>
            <w:vAlign w:val="center"/>
          </w:tcPr>
          <w:p w14:paraId="3F18EDAF">
            <w:pPr>
              <w:spacing w:line="360" w:lineRule="auto"/>
              <w:contextualSpacing/>
              <w:jc w:val="center"/>
              <w:rPr>
                <w:rFonts w:ascii="宋体" w:hAnsi="宋体" w:cs="宋体"/>
                <w:color w:val="auto"/>
                <w:sz w:val="24"/>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C174718">
            <w:pPr>
              <w:spacing w:line="360" w:lineRule="auto"/>
              <w:contextualSpacing/>
              <w:jc w:val="center"/>
              <w:rPr>
                <w:rFonts w:ascii="宋体" w:hAnsi="宋体" w:cs="宋体"/>
                <w:color w:val="auto"/>
                <w:sz w:val="24"/>
                <w:highlight w:val="none"/>
              </w:rPr>
            </w:pPr>
          </w:p>
        </w:tc>
      </w:tr>
      <w:tr w14:paraId="6FAD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right"/>
        </w:trPr>
        <w:tc>
          <w:tcPr>
            <w:tcW w:w="9591" w:type="dxa"/>
            <w:gridSpan w:val="7"/>
            <w:tcBorders>
              <w:top w:val="single" w:color="auto" w:sz="4" w:space="0"/>
              <w:left w:val="single" w:color="auto" w:sz="4" w:space="0"/>
              <w:bottom w:val="single" w:color="auto" w:sz="4" w:space="0"/>
              <w:right w:val="single" w:color="auto" w:sz="4" w:space="0"/>
            </w:tcBorders>
            <w:vAlign w:val="center"/>
          </w:tcPr>
          <w:p w14:paraId="0A53D4BD">
            <w:pPr>
              <w:spacing w:line="360" w:lineRule="auto"/>
              <w:contextualSpacing/>
              <w:rPr>
                <w:rFonts w:ascii="宋体" w:hAnsi="宋体" w:cs="宋体"/>
                <w:color w:val="auto"/>
                <w:sz w:val="24"/>
                <w:highlight w:val="none"/>
              </w:rPr>
            </w:pPr>
            <w:r>
              <w:rPr>
                <w:rFonts w:hint="eastAsia" w:ascii="宋体" w:hAnsi="宋体" w:cs="宋体"/>
                <w:color w:val="auto"/>
                <w:sz w:val="24"/>
                <w:highlight w:val="none"/>
                <w:lang w:val="en-US" w:eastAsia="zh-CN"/>
              </w:rPr>
              <w:t>磋商总报价：</w:t>
            </w:r>
            <w:r>
              <w:rPr>
                <w:rFonts w:hint="eastAsia" w:ascii="宋体" w:hAnsi="宋体" w:cs="宋体"/>
                <w:color w:val="auto"/>
                <w:sz w:val="24"/>
                <w:highlight w:val="none"/>
              </w:rPr>
              <w:t>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010F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right"/>
        </w:trPr>
        <w:tc>
          <w:tcPr>
            <w:tcW w:w="9591" w:type="dxa"/>
            <w:gridSpan w:val="7"/>
            <w:tcBorders>
              <w:top w:val="single" w:color="auto" w:sz="4" w:space="0"/>
              <w:left w:val="single" w:color="auto" w:sz="4" w:space="0"/>
              <w:bottom w:val="single" w:color="auto" w:sz="4" w:space="0"/>
              <w:right w:val="single" w:color="auto" w:sz="4" w:space="0"/>
            </w:tcBorders>
            <w:vAlign w:val="center"/>
          </w:tcPr>
          <w:p w14:paraId="7F13257C">
            <w:pPr>
              <w:tabs>
                <w:tab w:val="left" w:pos="3855"/>
              </w:tabs>
              <w:snapToGrid w:val="0"/>
              <w:spacing w:before="0" w:after="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47F3CDA3">
            <w:pPr>
              <w:tabs>
                <w:tab w:val="left" w:pos="3855"/>
              </w:tabs>
              <w:snapToGrid w:val="0"/>
              <w:spacing w:before="0" w:after="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1、单价最高限价为</w:t>
            </w:r>
            <w:r>
              <w:rPr>
                <w:rFonts w:hint="eastAsia" w:ascii="宋体" w:hAnsi="宋体" w:cs="宋体"/>
                <w:b/>
                <w:bCs/>
                <w:color w:val="auto"/>
                <w:sz w:val="24"/>
                <w:szCs w:val="24"/>
                <w:highlight w:val="none"/>
                <w:lang w:val="en-US" w:eastAsia="zh-CN"/>
              </w:rPr>
              <w:t>790</w:t>
            </w:r>
            <w:r>
              <w:rPr>
                <w:rFonts w:hint="eastAsia" w:ascii="宋体" w:hAnsi="宋体" w:eastAsia="宋体" w:cs="宋体"/>
                <w:b/>
                <w:bCs/>
                <w:color w:val="auto"/>
                <w:sz w:val="24"/>
                <w:szCs w:val="24"/>
                <w:highlight w:val="none"/>
              </w:rPr>
              <w:t>元/</w:t>
            </w:r>
            <w:r>
              <w:rPr>
                <w:rFonts w:hint="eastAsia" w:ascii="宋体" w:hAnsi="宋体" w:cs="宋体"/>
                <w:b/>
                <w:bCs/>
                <w:color w:val="auto"/>
                <w:sz w:val="24"/>
                <w:szCs w:val="24"/>
                <w:highlight w:val="none"/>
                <w:lang w:val="en-US" w:eastAsia="zh-CN"/>
              </w:rPr>
              <w:t>人</w:t>
            </w:r>
            <w:r>
              <w:rPr>
                <w:rFonts w:hint="eastAsia" w:ascii="宋体" w:hAnsi="宋体" w:eastAsia="宋体" w:cs="宋体"/>
                <w:b/>
                <w:bCs/>
                <w:color w:val="auto"/>
                <w:sz w:val="24"/>
                <w:szCs w:val="24"/>
                <w:highlight w:val="none"/>
              </w:rPr>
              <w:t>，供应商报价不能超过单价最高限价，否则磋商无效。</w:t>
            </w:r>
          </w:p>
          <w:p w14:paraId="38AB0728">
            <w:pPr>
              <w:tabs>
                <w:tab w:val="left" w:pos="3855"/>
              </w:tabs>
              <w:snapToGrid w:val="0"/>
              <w:spacing w:line="360" w:lineRule="auto"/>
              <w:jc w:val="left"/>
              <w:rPr>
                <w:rFonts w:hint="default" w:eastAsia="宋体"/>
                <w:color w:val="auto"/>
                <w:sz w:val="24"/>
                <w:highlight w:val="none"/>
                <w:lang w:val="en-US" w:eastAsia="zh-CN"/>
              </w:rPr>
            </w:pPr>
            <w:r>
              <w:rPr>
                <w:rFonts w:hint="eastAsia" w:ascii="宋体" w:hAnsi="宋体" w:eastAsia="宋体" w:cs="宋体"/>
                <w:b/>
                <w:bCs/>
                <w:color w:val="auto"/>
                <w:sz w:val="24"/>
                <w:szCs w:val="24"/>
                <w:highlight w:val="none"/>
              </w:rPr>
              <w:t>2、上述</w:t>
            </w:r>
            <w:r>
              <w:rPr>
                <w:rFonts w:hint="eastAsia" w:ascii="宋体" w:hAnsi="宋体" w:cs="宋体"/>
                <w:b/>
                <w:bCs/>
                <w:color w:val="auto"/>
                <w:sz w:val="24"/>
                <w:szCs w:val="24"/>
                <w:highlight w:val="none"/>
                <w:lang w:val="en-US" w:eastAsia="zh-CN"/>
              </w:rPr>
              <w:t>体检人员数量</w:t>
            </w:r>
            <w:r>
              <w:rPr>
                <w:rFonts w:hint="eastAsia" w:ascii="宋体" w:hAnsi="宋体" w:eastAsia="宋体" w:cs="宋体"/>
                <w:b/>
                <w:bCs/>
                <w:color w:val="auto"/>
                <w:sz w:val="24"/>
                <w:szCs w:val="24"/>
                <w:highlight w:val="none"/>
              </w:rPr>
              <w:t>为预估数量，供应商按预估</w:t>
            </w:r>
            <w:r>
              <w:rPr>
                <w:rFonts w:hint="eastAsia" w:ascii="宋体" w:hAnsi="宋体" w:cs="宋体"/>
                <w:b/>
                <w:bCs/>
                <w:color w:val="auto"/>
                <w:sz w:val="24"/>
                <w:szCs w:val="24"/>
                <w:highlight w:val="none"/>
                <w:lang w:val="en-US" w:eastAsia="zh-CN"/>
              </w:rPr>
              <w:t>数量</w:t>
            </w:r>
            <w:r>
              <w:rPr>
                <w:rFonts w:hint="eastAsia" w:ascii="宋体" w:hAnsi="宋体" w:eastAsia="宋体" w:cs="宋体"/>
                <w:b/>
                <w:bCs/>
                <w:color w:val="auto"/>
                <w:sz w:val="24"/>
                <w:szCs w:val="24"/>
                <w:highlight w:val="none"/>
              </w:rPr>
              <w:t>报价，结算时按实际</w:t>
            </w:r>
            <w:r>
              <w:rPr>
                <w:rFonts w:hint="eastAsia" w:ascii="宋体" w:hAnsi="宋体" w:cs="宋体"/>
                <w:b/>
                <w:bCs/>
                <w:color w:val="auto"/>
                <w:sz w:val="24"/>
                <w:szCs w:val="24"/>
                <w:highlight w:val="none"/>
                <w:lang w:val="en-US" w:eastAsia="zh-CN"/>
              </w:rPr>
              <w:t>数量</w:t>
            </w:r>
            <w:r>
              <w:rPr>
                <w:rFonts w:hint="eastAsia" w:ascii="宋体" w:hAnsi="宋体" w:eastAsia="宋体" w:cs="宋体"/>
                <w:b/>
                <w:bCs/>
                <w:color w:val="auto"/>
                <w:sz w:val="24"/>
                <w:szCs w:val="24"/>
                <w:highlight w:val="none"/>
              </w:rPr>
              <w:t>结算。</w:t>
            </w:r>
          </w:p>
        </w:tc>
      </w:tr>
    </w:tbl>
    <w:p w14:paraId="5AC14264">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266B308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1.供应商的报价表必须加盖供应商公章并由法定代表人或者委托代理人签字，</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1CB04AD9">
      <w:pPr>
        <w:spacing w:line="360" w:lineRule="auto"/>
        <w:ind w:firstLine="480" w:firstLineChars="200"/>
        <w:contextualSpacing/>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报价一经涂改，应在涂改处加盖供应商公章或者由法定代表人或者委托代理人签字或者盖章</w:t>
      </w:r>
      <w:r>
        <w:rPr>
          <w:rFonts w:hint="eastAsia" w:ascii="宋体" w:hAnsi="宋体" w:cs="宋体"/>
          <w:b/>
          <w:color w:val="auto"/>
          <w:sz w:val="24"/>
          <w:highlight w:val="none"/>
        </w:rPr>
        <w:t>，否则其响应文件按无效响应处理。</w:t>
      </w:r>
    </w:p>
    <w:p w14:paraId="4A0F23C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否则其响应文件按无效响应处理。（采购人可根据项目情况自行修改是否需要联合体各方签字盖章）。</w:t>
      </w:r>
    </w:p>
    <w:p w14:paraId="7626F21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4.如为联合体竞标，盖章处须加盖联合体各方公章，</w:t>
      </w:r>
      <w:bookmarkStart w:id="47" w:name="_Hlk65851776"/>
      <w:r>
        <w:rPr>
          <w:rFonts w:hint="eastAsia" w:ascii="宋体" w:hAnsi="宋体" w:cs="宋体"/>
          <w:b/>
          <w:color w:val="auto"/>
          <w:sz w:val="24"/>
          <w:highlight w:val="none"/>
        </w:rPr>
        <w:t>否则其响应文件按无效响应处理。</w:t>
      </w:r>
      <w:bookmarkEnd w:id="47"/>
      <w:r>
        <w:rPr>
          <w:rFonts w:hint="eastAsia" w:ascii="宋体" w:hAnsi="宋体" w:cs="宋体"/>
          <w:b/>
          <w:color w:val="auto"/>
          <w:sz w:val="24"/>
          <w:highlight w:val="none"/>
        </w:rPr>
        <w:t>（采购人可根据项目情况自行修改是否需要联合体各方签字盖章）。</w:t>
      </w:r>
    </w:p>
    <w:p w14:paraId="72C4D9FC">
      <w:pPr>
        <w:spacing w:line="360" w:lineRule="auto"/>
        <w:ind w:firstLine="480" w:firstLineChars="200"/>
        <w:contextualSpacing/>
        <w:rPr>
          <w:rFonts w:hint="eastAsia" w:ascii="宋体" w:hAnsi="宋体" w:cs="宋体"/>
          <w:b/>
          <w:color w:val="auto"/>
          <w:spacing w:val="-6"/>
          <w:sz w:val="24"/>
          <w:highlight w:val="none"/>
        </w:rPr>
      </w:pPr>
      <w:r>
        <w:rPr>
          <w:rFonts w:hint="eastAsia" w:ascii="宋体" w:hAnsi="宋体" w:cs="宋体"/>
          <w:color w:val="auto"/>
          <w:sz w:val="24"/>
          <w:highlight w:val="none"/>
        </w:rPr>
        <w:t>5.</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否则其响应文件按无效响应处理。</w:t>
      </w:r>
    </w:p>
    <w:p w14:paraId="46DC3714">
      <w:pPr>
        <w:spacing w:line="360" w:lineRule="auto"/>
        <w:ind w:right="-817" w:rightChars="-389"/>
        <w:contextualSpacing/>
        <w:rPr>
          <w:rFonts w:ascii="宋体" w:hAnsi="宋体" w:cs="宋体"/>
          <w:color w:val="auto"/>
          <w:sz w:val="24"/>
          <w:highlight w:val="none"/>
        </w:rPr>
      </w:pPr>
    </w:p>
    <w:p w14:paraId="1D7ABE91">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7E62EF0B">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供应商（盖公章）：      </w:t>
      </w:r>
    </w:p>
    <w:p w14:paraId="05BD0B45">
      <w:pPr>
        <w:spacing w:line="360" w:lineRule="auto"/>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   年   月   日</w:t>
      </w:r>
    </w:p>
    <w:p w14:paraId="4BF526B7">
      <w:pPr>
        <w:spacing w:before="240" w:beforeLines="100" w:after="120" w:afterLines="50"/>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Cs/>
          <w:color w:val="auto"/>
          <w:sz w:val="44"/>
          <w:szCs w:val="44"/>
          <w:highlight w:val="none"/>
        </w:rPr>
        <w:t>法定代表人身份证明</w:t>
      </w:r>
    </w:p>
    <w:p w14:paraId="0535E6D1">
      <w:pPr>
        <w:spacing w:line="360" w:lineRule="auto"/>
        <w:ind w:left="540"/>
        <w:contextualSpacing/>
        <w:rPr>
          <w:rFonts w:ascii="宋体" w:hAnsi="宋体" w:cs="宋体"/>
          <w:color w:val="auto"/>
          <w:sz w:val="32"/>
          <w:szCs w:val="32"/>
          <w:highlight w:val="none"/>
        </w:rPr>
      </w:pPr>
    </w:p>
    <w:p w14:paraId="3F4AD17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61E4F96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4AA5282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5B585155">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AE5C22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6E9E2D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4946552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7A5EC93C">
      <w:pPr>
        <w:spacing w:line="360" w:lineRule="auto"/>
        <w:ind w:left="540"/>
        <w:contextualSpacing/>
        <w:rPr>
          <w:rFonts w:ascii="宋体" w:hAnsi="宋体" w:cs="宋体"/>
          <w:color w:val="auto"/>
          <w:sz w:val="24"/>
          <w:highlight w:val="none"/>
        </w:rPr>
      </w:pPr>
    </w:p>
    <w:p w14:paraId="3561A030">
      <w:pPr>
        <w:spacing w:line="360" w:lineRule="auto"/>
        <w:ind w:left="540"/>
        <w:contextualSpacing/>
        <w:rPr>
          <w:rFonts w:ascii="宋体" w:hAnsi="宋体" w:cs="宋体"/>
          <w:color w:val="auto"/>
          <w:sz w:val="24"/>
          <w:highlight w:val="none"/>
        </w:rPr>
      </w:pPr>
    </w:p>
    <w:p w14:paraId="249AC8F5">
      <w:pPr>
        <w:spacing w:line="360" w:lineRule="auto"/>
        <w:ind w:left="540"/>
        <w:contextualSpacing/>
        <w:rPr>
          <w:rFonts w:ascii="宋体" w:hAnsi="宋体" w:cs="宋体"/>
          <w:color w:val="auto"/>
          <w:sz w:val="24"/>
          <w:highlight w:val="none"/>
        </w:rPr>
      </w:pPr>
    </w:p>
    <w:p w14:paraId="05FC07D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AD04C84">
      <w:pPr>
        <w:spacing w:line="360" w:lineRule="auto"/>
        <w:ind w:left="540"/>
        <w:contextualSpacing/>
        <w:rPr>
          <w:rFonts w:ascii="宋体" w:hAnsi="宋体" w:cs="宋体"/>
          <w:color w:val="auto"/>
          <w:sz w:val="24"/>
          <w:highlight w:val="none"/>
        </w:rPr>
      </w:pPr>
    </w:p>
    <w:p w14:paraId="77EE00AD">
      <w:pPr>
        <w:spacing w:line="360" w:lineRule="auto"/>
        <w:ind w:left="540"/>
        <w:contextualSpacing/>
        <w:jc w:val="right"/>
        <w:rPr>
          <w:rFonts w:ascii="宋体" w:hAnsi="宋体" w:cs="宋体"/>
          <w:color w:val="auto"/>
          <w:sz w:val="24"/>
          <w:highlight w:val="none"/>
        </w:rPr>
      </w:pPr>
      <w:r>
        <w:rPr>
          <w:rFonts w:hint="eastAsia" w:ascii="宋体" w:hAnsi="宋体" w:cs="宋体"/>
          <w:color w:val="auto"/>
          <w:sz w:val="24"/>
          <w:highlight w:val="none"/>
        </w:rPr>
        <w:t>供应商（盖公章）：</w:t>
      </w:r>
    </w:p>
    <w:p w14:paraId="06A37F31">
      <w:pPr>
        <w:pStyle w:val="20"/>
        <w:rPr>
          <w:rFonts w:ascii="宋体" w:hAnsi="宋体" w:cs="宋体"/>
          <w:color w:val="auto"/>
          <w:highlight w:val="none"/>
        </w:rPr>
      </w:pPr>
    </w:p>
    <w:p w14:paraId="2FC591A9">
      <w:pPr>
        <w:spacing w:line="360" w:lineRule="auto"/>
        <w:ind w:firstLine="4080" w:firstLineChars="1700"/>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97A64F4">
      <w:pPr>
        <w:spacing w:line="360" w:lineRule="auto"/>
        <w:contextualSpacing/>
        <w:jc w:val="center"/>
        <w:rPr>
          <w:rFonts w:ascii="宋体" w:hAnsi="宋体" w:cs="宋体"/>
          <w:b/>
          <w:color w:val="auto"/>
          <w:sz w:val="24"/>
          <w:highlight w:val="none"/>
        </w:rPr>
      </w:pPr>
    </w:p>
    <w:p w14:paraId="39761E3F">
      <w:pPr>
        <w:spacing w:line="360" w:lineRule="auto"/>
        <w:contextualSpacing/>
        <w:jc w:val="left"/>
        <w:rPr>
          <w:rFonts w:ascii="宋体" w:hAnsi="宋体" w:cs="宋体"/>
          <w:color w:val="auto"/>
          <w:sz w:val="24"/>
          <w:highlight w:val="none"/>
        </w:rPr>
      </w:pPr>
    </w:p>
    <w:p w14:paraId="260B3C5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422268DB">
      <w:pPr>
        <w:adjustRightInd w:val="0"/>
        <w:snapToGrid w:val="0"/>
        <w:spacing w:line="300" w:lineRule="auto"/>
        <w:jc w:val="left"/>
        <w:rPr>
          <w:rFonts w:ascii="宋体" w:hAnsi="宋体" w:cs="宋体"/>
          <w:b/>
          <w:color w:val="auto"/>
          <w:szCs w:val="21"/>
          <w:highlight w:val="none"/>
        </w:rPr>
      </w:pPr>
    </w:p>
    <w:p w14:paraId="48C32C68">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5C5B6AED">
      <w:pPr>
        <w:jc w:val="center"/>
        <w:rPr>
          <w:rFonts w:ascii="宋体" w:hAnsi="宋体" w:cs="宋体"/>
          <w:color w:val="auto"/>
          <w:sz w:val="44"/>
          <w:szCs w:val="44"/>
          <w:highlight w:val="none"/>
        </w:rPr>
      </w:pPr>
      <w:bookmarkStart w:id="48" w:name="_Hlk65853643"/>
      <w:r>
        <w:rPr>
          <w:rFonts w:hint="eastAsia" w:ascii="宋体" w:hAnsi="宋体" w:cs="宋体"/>
          <w:color w:val="auto"/>
          <w:sz w:val="44"/>
          <w:szCs w:val="44"/>
          <w:highlight w:val="none"/>
        </w:rPr>
        <w:t>授权委托书</w:t>
      </w:r>
    </w:p>
    <w:p w14:paraId="7B04DD74">
      <w:pPr>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73DD0CF6">
      <w:pPr>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00466DB7">
      <w:pPr>
        <w:spacing w:line="520" w:lineRule="exact"/>
        <w:rPr>
          <w:rFonts w:ascii="宋体" w:hAnsi="宋体" w:cs="宋体"/>
          <w:color w:val="auto"/>
          <w:sz w:val="32"/>
          <w:szCs w:val="32"/>
          <w:highlight w:val="none"/>
        </w:rPr>
      </w:pPr>
    </w:p>
    <w:p w14:paraId="5FDE91F0">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ADAB6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07CDCCE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CB733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8565B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A6DEC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0CC77804">
      <w:pPr>
        <w:spacing w:line="360" w:lineRule="auto"/>
        <w:rPr>
          <w:rFonts w:ascii="宋体" w:hAnsi="宋体" w:cs="宋体"/>
          <w:color w:val="auto"/>
          <w:sz w:val="24"/>
          <w:highlight w:val="none"/>
        </w:rPr>
      </w:pPr>
    </w:p>
    <w:p w14:paraId="2E43BED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法定代表人（签字或者盖章）：                    </w:t>
      </w:r>
    </w:p>
    <w:p w14:paraId="5CD292B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36AC42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900A19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供应商（盖公章）：                      </w:t>
      </w:r>
    </w:p>
    <w:p w14:paraId="7B26262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51FB853C">
      <w:pPr>
        <w:spacing w:line="360" w:lineRule="auto"/>
        <w:rPr>
          <w:rFonts w:ascii="宋体" w:hAnsi="宋体" w:cs="宋体"/>
          <w:color w:val="auto"/>
          <w:sz w:val="24"/>
          <w:highlight w:val="none"/>
        </w:rPr>
      </w:pPr>
    </w:p>
    <w:p w14:paraId="5BBA7F5D">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5B6CA03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bookmarkStart w:id="49" w:name="_Hlk65853109"/>
      <w:bookmarkStart w:id="50" w:name="_Hlk65853542"/>
      <w:r>
        <w:rPr>
          <w:rFonts w:hint="eastAsia" w:ascii="宋体" w:hAnsi="宋体" w:cs="宋体"/>
          <w:color w:val="auto"/>
          <w:sz w:val="24"/>
          <w:highlight w:val="none"/>
        </w:rPr>
        <w:t>法人、其他组织竞标时“我方”是指“我单位”，自然人竞标时“我方”是指“本人”。</w:t>
      </w:r>
      <w:bookmarkEnd w:id="49"/>
    </w:p>
    <w:bookmarkEnd w:id="50"/>
    <w:p w14:paraId="178E0733">
      <w:pPr>
        <w:spacing w:line="360" w:lineRule="auto"/>
        <w:ind w:firstLine="420" w:firstLineChars="200"/>
        <w:jc w:val="left"/>
        <w:rPr>
          <w:rFonts w:ascii="宋体" w:hAnsi="宋体" w:cs="宋体"/>
          <w:color w:val="auto"/>
          <w:szCs w:val="21"/>
          <w:highlight w:val="none"/>
        </w:rPr>
      </w:pPr>
    </w:p>
    <w:p w14:paraId="532AD1B8">
      <w:pPr>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w:t>
      </w:r>
    </w:p>
    <w:p w14:paraId="3C596904">
      <w:pPr>
        <w:jc w:val="center"/>
        <w:rPr>
          <w:rFonts w:ascii="宋体" w:hAnsi="宋体" w:cs="宋体"/>
          <w:color w:val="auto"/>
          <w:sz w:val="32"/>
          <w:szCs w:val="32"/>
          <w:highlight w:val="none"/>
        </w:rPr>
      </w:pPr>
      <w:r>
        <w:rPr>
          <w:rFonts w:hint="eastAsia" w:ascii="宋体" w:hAnsi="宋体" w:cs="宋体"/>
          <w:color w:val="auto"/>
          <w:sz w:val="32"/>
          <w:szCs w:val="32"/>
          <w:highlight w:val="none"/>
        </w:rPr>
        <w:t>（联合体竞标格式）</w:t>
      </w:r>
    </w:p>
    <w:p w14:paraId="1BAC36C1">
      <w:pPr>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5F73E987">
      <w:pPr>
        <w:spacing w:line="500" w:lineRule="exact"/>
        <w:jc w:val="center"/>
        <w:rPr>
          <w:rFonts w:ascii="宋体" w:hAnsi="宋体" w:cs="宋体"/>
          <w:color w:val="auto"/>
          <w:sz w:val="44"/>
          <w:szCs w:val="44"/>
          <w:highlight w:val="none"/>
        </w:rPr>
      </w:pPr>
    </w:p>
    <w:p w14:paraId="03427268">
      <w:pPr>
        <w:spacing w:line="500" w:lineRule="exact"/>
        <w:jc w:val="center"/>
        <w:rPr>
          <w:rFonts w:ascii="宋体" w:hAnsi="宋体" w:cs="宋体"/>
          <w:color w:val="auto"/>
          <w:sz w:val="32"/>
          <w:szCs w:val="32"/>
          <w:highlight w:val="none"/>
        </w:rPr>
      </w:pPr>
    </w:p>
    <w:p w14:paraId="29EFDE0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197E59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79643F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E69FA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AAF350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附：法定代表人身份证明及委托代理人有效身份证正反面复印件</w:t>
      </w:r>
    </w:p>
    <w:p w14:paraId="783C1F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牵头人法定代表人（签字或者盖章）：</w:t>
      </w:r>
    </w:p>
    <w:p w14:paraId="55EF7E06">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牵头人（盖公章）：</w:t>
      </w:r>
    </w:p>
    <w:p w14:paraId="4AFEF385">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63267CB1">
      <w:pPr>
        <w:spacing w:line="360" w:lineRule="auto"/>
        <w:rPr>
          <w:rFonts w:ascii="宋体" w:hAnsi="宋体" w:cs="宋体"/>
          <w:color w:val="auto"/>
          <w:sz w:val="24"/>
          <w:highlight w:val="none"/>
        </w:rPr>
      </w:pPr>
    </w:p>
    <w:p w14:paraId="060668F8">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2B8EF241">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2B165851">
      <w:pPr>
        <w:spacing w:line="360" w:lineRule="auto"/>
        <w:rPr>
          <w:rFonts w:ascii="宋体" w:hAnsi="宋体" w:cs="宋体"/>
          <w:color w:val="auto"/>
          <w:sz w:val="24"/>
          <w:highlight w:val="none"/>
        </w:rPr>
      </w:pPr>
    </w:p>
    <w:p w14:paraId="3E820602">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214BDDC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5B1A7AC9">
      <w:pPr>
        <w:spacing w:line="360" w:lineRule="auto"/>
        <w:ind w:firstLine="480" w:firstLineChars="200"/>
        <w:jc w:val="left"/>
        <w:rPr>
          <w:rFonts w:ascii="宋体" w:hAnsi="宋体" w:cs="宋体"/>
          <w:color w:val="auto"/>
          <w:spacing w:val="-11"/>
          <w:sz w:val="24"/>
          <w:highlight w:val="none"/>
        </w:rPr>
      </w:pPr>
      <w:r>
        <w:rPr>
          <w:rFonts w:hint="eastAsia" w:ascii="宋体" w:hAnsi="宋体" w:cs="宋体"/>
          <w:color w:val="auto"/>
          <w:sz w:val="24"/>
          <w:highlight w:val="none"/>
        </w:rPr>
        <w:t>3.</w:t>
      </w:r>
      <w:r>
        <w:rPr>
          <w:rFonts w:hint="eastAsia" w:ascii="宋体" w:hAnsi="宋体" w:cs="宋体"/>
          <w:color w:val="auto"/>
          <w:spacing w:val="-11"/>
          <w:sz w:val="24"/>
          <w:highlight w:val="none"/>
        </w:rPr>
        <w:t>法人、其他组织竞标时“我方”是指“我单位”，自然人竞标时“我方”是指“本人”。</w:t>
      </w:r>
    </w:p>
    <w:bookmarkEnd w:id="48"/>
    <w:p w14:paraId="72037A5A">
      <w:pPr>
        <w:jc w:val="center"/>
        <w:rPr>
          <w:rFonts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Cs/>
          <w:color w:val="auto"/>
          <w:sz w:val="44"/>
          <w:szCs w:val="44"/>
          <w:highlight w:val="none"/>
        </w:rPr>
        <w:t>商务要求偏离表（格式）</w:t>
      </w:r>
    </w:p>
    <w:p w14:paraId="6A3D522A">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（注：按采购需求具体条款修改）</w:t>
      </w:r>
    </w:p>
    <w:p w14:paraId="76103B4E">
      <w:pPr>
        <w:spacing w:line="360" w:lineRule="auto"/>
        <w:contextualSpacing/>
        <w:jc w:val="left"/>
        <w:rPr>
          <w:rFonts w:ascii="宋体" w:hAnsi="宋体" w:cs="宋体"/>
          <w:color w:val="auto"/>
          <w:sz w:val="24"/>
          <w:highlight w:val="none"/>
        </w:rPr>
      </w:pPr>
    </w:p>
    <w:p w14:paraId="055CD22B">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568E5ED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70AD84E2">
      <w:pPr>
        <w:spacing w:line="360" w:lineRule="auto"/>
        <w:contextualSpacing/>
        <w:rPr>
          <w:rFonts w:hAnsi="宋体" w:cs="宋体"/>
          <w:color w:val="auto"/>
          <w:sz w:val="24"/>
          <w:highlight w:val="non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p w14:paraId="4F5D3B8F">
      <w:pPr>
        <w:spacing w:line="360" w:lineRule="auto"/>
        <w:contextualSpacing/>
        <w:jc w:val="left"/>
        <w:rPr>
          <w:rFonts w:ascii="宋体" w:hAnsi="宋体" w:cs="宋体"/>
          <w:color w:val="auto"/>
          <w:sz w:val="24"/>
          <w:highlight w:val="none"/>
          <w:u w:val="single"/>
        </w:rPr>
      </w:pPr>
    </w:p>
    <w:tbl>
      <w:tblPr>
        <w:tblStyle w:val="27"/>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35360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3A4CFC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9654DFB">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125D2E0D">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1CF0E7D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27B6D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0D828713">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400E7761">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902E157">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D99CAE4">
            <w:pPr>
              <w:spacing w:line="360" w:lineRule="auto"/>
              <w:contextualSpacing/>
              <w:jc w:val="center"/>
              <w:rPr>
                <w:rFonts w:ascii="宋体" w:hAnsi="宋体" w:cs="宋体"/>
                <w:color w:val="auto"/>
                <w:sz w:val="24"/>
                <w:highlight w:val="none"/>
              </w:rPr>
            </w:pPr>
          </w:p>
        </w:tc>
      </w:tr>
      <w:tr w14:paraId="0965D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4198ADEA">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5F0C7EC0">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55B1D4B">
            <w:pPr>
              <w:spacing w:line="360" w:lineRule="auto"/>
              <w:ind w:left="43"/>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FBF76F2">
            <w:pPr>
              <w:spacing w:line="360" w:lineRule="auto"/>
              <w:ind w:left="43"/>
              <w:contextualSpacing/>
              <w:jc w:val="center"/>
              <w:rPr>
                <w:rFonts w:ascii="宋体" w:hAnsi="宋体" w:cs="宋体"/>
                <w:color w:val="auto"/>
                <w:sz w:val="24"/>
                <w:highlight w:val="none"/>
              </w:rPr>
            </w:pPr>
          </w:p>
        </w:tc>
      </w:tr>
      <w:tr w14:paraId="55036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5AE3003">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1EDC5E14">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28BEEA2">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2BFDE7A">
            <w:pPr>
              <w:spacing w:line="360" w:lineRule="auto"/>
              <w:contextualSpacing/>
              <w:jc w:val="center"/>
              <w:rPr>
                <w:rFonts w:ascii="宋体" w:hAnsi="宋体" w:cs="宋体"/>
                <w:color w:val="auto"/>
                <w:sz w:val="24"/>
                <w:highlight w:val="none"/>
              </w:rPr>
            </w:pPr>
          </w:p>
        </w:tc>
      </w:tr>
    </w:tbl>
    <w:p w14:paraId="26F78B3D">
      <w:pPr>
        <w:pStyle w:val="10"/>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78D8876B">
      <w:pPr>
        <w:pStyle w:val="10"/>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说明：应对照磋商文件“第三章 采购需求”中的商务要求逐条作出明确响应，并作出偏离说明。</w:t>
      </w:r>
    </w:p>
    <w:p w14:paraId="0CDFE4C4">
      <w:pPr>
        <w:spacing w:line="360" w:lineRule="auto"/>
        <w:contextualSpacing/>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5A8F0E20">
      <w:pPr>
        <w:spacing w:line="360" w:lineRule="auto"/>
        <w:ind w:right="-817" w:rightChars="-389"/>
        <w:contextualSpacing/>
        <w:rPr>
          <w:rFonts w:ascii="宋体" w:hAnsi="宋体" w:cs="宋体"/>
          <w:color w:val="auto"/>
          <w:sz w:val="24"/>
          <w:highlight w:val="none"/>
        </w:rPr>
      </w:pPr>
    </w:p>
    <w:p w14:paraId="0DEF657A">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2754A484">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供应商（盖公章）：      </w:t>
      </w:r>
    </w:p>
    <w:p w14:paraId="20642C0E">
      <w:pPr>
        <w:spacing w:line="360" w:lineRule="auto"/>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   年   月   日</w:t>
      </w:r>
    </w:p>
    <w:p w14:paraId="7B40DB27">
      <w:pPr>
        <w:adjustRightInd w:val="0"/>
        <w:snapToGrid w:val="0"/>
        <w:spacing w:line="520" w:lineRule="exact"/>
        <w:ind w:firstLine="7040" w:firstLineChars="1600"/>
        <w:jc w:val="center"/>
        <w:rPr>
          <w:rFonts w:ascii="宋体" w:hAnsi="宋体" w:cs="宋体"/>
          <w:bCs/>
          <w:color w:val="auto"/>
          <w:sz w:val="44"/>
          <w:szCs w:val="44"/>
          <w:highlight w:val="none"/>
        </w:rPr>
      </w:pPr>
    </w:p>
    <w:p w14:paraId="1AE04311">
      <w:pPr>
        <w:adjustRightInd w:val="0"/>
        <w:snapToGrid w:val="0"/>
        <w:spacing w:line="520" w:lineRule="exact"/>
        <w:ind w:firstLine="7040" w:firstLineChars="1600"/>
        <w:jc w:val="center"/>
        <w:rPr>
          <w:rFonts w:ascii="宋体" w:hAnsi="宋体" w:cs="宋体"/>
          <w:bCs/>
          <w:color w:val="auto"/>
          <w:sz w:val="44"/>
          <w:szCs w:val="44"/>
          <w:highlight w:val="none"/>
        </w:rPr>
      </w:pPr>
    </w:p>
    <w:p w14:paraId="168AA7D1">
      <w:pPr>
        <w:adjustRightInd w:val="0"/>
        <w:snapToGrid w:val="0"/>
        <w:spacing w:line="520" w:lineRule="exact"/>
        <w:ind w:firstLine="7040" w:firstLineChars="1600"/>
        <w:jc w:val="center"/>
        <w:rPr>
          <w:rFonts w:ascii="宋体" w:hAnsi="宋体" w:cs="宋体"/>
          <w:bCs/>
          <w:color w:val="auto"/>
          <w:sz w:val="44"/>
          <w:szCs w:val="44"/>
          <w:highlight w:val="none"/>
        </w:rPr>
      </w:pPr>
    </w:p>
    <w:p w14:paraId="5C266046">
      <w:pPr>
        <w:adjustRightInd w:val="0"/>
        <w:snapToGrid w:val="0"/>
        <w:spacing w:line="520" w:lineRule="exact"/>
        <w:ind w:firstLine="7040" w:firstLineChars="1600"/>
        <w:jc w:val="center"/>
        <w:rPr>
          <w:rFonts w:ascii="宋体" w:hAnsi="宋体" w:cs="宋体"/>
          <w:bCs/>
          <w:color w:val="auto"/>
          <w:sz w:val="44"/>
          <w:szCs w:val="44"/>
          <w:highlight w:val="none"/>
        </w:rPr>
      </w:pPr>
    </w:p>
    <w:p w14:paraId="1094E962">
      <w:pPr>
        <w:adjustRightInd w:val="0"/>
        <w:snapToGrid w:val="0"/>
        <w:spacing w:line="520" w:lineRule="exact"/>
        <w:rPr>
          <w:rFonts w:ascii="宋体" w:hAnsi="宋体" w:cs="宋体"/>
          <w:color w:val="auto"/>
          <w:szCs w:val="21"/>
          <w:highlight w:val="none"/>
          <w:u w:val="single"/>
        </w:rPr>
      </w:pPr>
    </w:p>
    <w:p w14:paraId="1596C67E">
      <w:pPr>
        <w:adjustRightInd w:val="0"/>
        <w:snapToGrid w:val="0"/>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技术要求偏离表（格式）</w:t>
      </w:r>
    </w:p>
    <w:p w14:paraId="004C80A8">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（注：按采购需求具体条款修改）</w:t>
      </w:r>
    </w:p>
    <w:p w14:paraId="2D7B7077">
      <w:pPr>
        <w:spacing w:line="520" w:lineRule="exact"/>
        <w:rPr>
          <w:rFonts w:ascii="宋体" w:hAnsi="宋体" w:cs="宋体"/>
          <w:color w:val="auto"/>
          <w:sz w:val="32"/>
          <w:szCs w:val="32"/>
          <w:highlight w:val="none"/>
        </w:rPr>
      </w:pPr>
    </w:p>
    <w:p w14:paraId="5103FA52">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6414AD6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5EC2000E">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54D66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7FEB00F8">
            <w:pPr>
              <w:pStyle w:val="12"/>
              <w:spacing w:line="360" w:lineRule="auto"/>
              <w:ind w:firstLine="0" w:firstLineChars="0"/>
              <w:contextualSpacing/>
              <w:jc w:val="center"/>
              <w:rPr>
                <w:rFonts w:ascii="宋体" w:hAnsi="宋体" w:eastAsia="宋体" w:cs="宋体"/>
                <w:color w:val="auto"/>
                <w:kern w:val="2"/>
                <w:sz w:val="24"/>
                <w:szCs w:val="24"/>
                <w:highlight w:val="none"/>
              </w:rPr>
            </w:pPr>
            <w:bookmarkStart w:id="51" w:name="_Toc383699906"/>
            <w:bookmarkStart w:id="52" w:name="_Toc254970729"/>
            <w:bookmarkStart w:id="53" w:name="_Toc301781611"/>
            <w:bookmarkStart w:id="54" w:name="_Toc295404981"/>
            <w:bookmarkStart w:id="55" w:name="_Toc173066401"/>
            <w:bookmarkStart w:id="56" w:name="_Toc297193185"/>
            <w:bookmarkStart w:id="57" w:name="_Toc373333689"/>
            <w:bookmarkStart w:id="58" w:name="_Toc173211900"/>
            <w:bookmarkStart w:id="59" w:name="_Toc254970588"/>
            <w:r>
              <w:rPr>
                <w:rFonts w:hint="eastAsia" w:ascii="宋体" w:hAnsi="宋体" w:eastAsia="宋体" w:cs="宋体"/>
                <w:color w:val="auto"/>
                <w:kern w:val="2"/>
                <w:sz w:val="24"/>
                <w:szCs w:val="24"/>
                <w:highlight w:val="none"/>
              </w:rPr>
              <w:t>序号</w:t>
            </w:r>
            <w:bookmarkEnd w:id="51"/>
            <w:bookmarkEnd w:id="52"/>
            <w:bookmarkEnd w:id="53"/>
            <w:bookmarkEnd w:id="54"/>
            <w:bookmarkEnd w:id="55"/>
            <w:bookmarkEnd w:id="56"/>
            <w:bookmarkEnd w:id="57"/>
            <w:bookmarkEnd w:id="58"/>
            <w:bookmarkEnd w:id="59"/>
          </w:p>
        </w:tc>
        <w:tc>
          <w:tcPr>
            <w:tcW w:w="992" w:type="dxa"/>
            <w:tcBorders>
              <w:right w:val="single" w:color="auto" w:sz="4" w:space="0"/>
            </w:tcBorders>
            <w:vAlign w:val="center"/>
          </w:tcPr>
          <w:p w14:paraId="05FED961">
            <w:pPr>
              <w:pStyle w:val="12"/>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3292" w:type="dxa"/>
            <w:tcBorders>
              <w:left w:val="single" w:color="auto" w:sz="4" w:space="0"/>
            </w:tcBorders>
            <w:vAlign w:val="center"/>
          </w:tcPr>
          <w:p w14:paraId="1C1346CE">
            <w:pPr>
              <w:pStyle w:val="12"/>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磋商文件技术要求</w:t>
            </w:r>
          </w:p>
        </w:tc>
        <w:tc>
          <w:tcPr>
            <w:tcW w:w="2963" w:type="dxa"/>
            <w:vAlign w:val="center"/>
          </w:tcPr>
          <w:p w14:paraId="5073F0F1">
            <w:pPr>
              <w:pStyle w:val="12"/>
              <w:spacing w:line="360" w:lineRule="auto"/>
              <w:ind w:firstLine="0" w:firstLineChars="0"/>
              <w:contextualSpacing/>
              <w:jc w:val="center"/>
              <w:rPr>
                <w:rFonts w:ascii="宋体" w:hAnsi="宋体" w:eastAsia="宋体" w:cs="宋体"/>
                <w:color w:val="auto"/>
                <w:kern w:val="2"/>
                <w:sz w:val="24"/>
                <w:szCs w:val="24"/>
                <w:highlight w:val="none"/>
              </w:rPr>
            </w:pPr>
            <w:bookmarkStart w:id="60" w:name="_Toc301781613"/>
            <w:bookmarkStart w:id="61" w:name="_Toc383699908"/>
            <w:bookmarkStart w:id="62" w:name="_Toc295404983"/>
            <w:bookmarkStart w:id="63" w:name="_Toc173066403"/>
            <w:bookmarkStart w:id="64" w:name="_Toc254970731"/>
            <w:bookmarkStart w:id="65" w:name="_Toc254970590"/>
            <w:bookmarkStart w:id="66" w:name="_Toc373333691"/>
            <w:bookmarkStart w:id="67" w:name="_Toc173211902"/>
            <w:bookmarkStart w:id="68" w:name="_Toc297193187"/>
            <w:r>
              <w:rPr>
                <w:rFonts w:hint="eastAsia" w:ascii="宋体" w:hAnsi="宋体" w:eastAsia="宋体" w:cs="宋体"/>
                <w:color w:val="auto"/>
                <w:kern w:val="2"/>
                <w:sz w:val="24"/>
                <w:szCs w:val="24"/>
                <w:highlight w:val="none"/>
              </w:rPr>
              <w:t>竞标响应</w:t>
            </w:r>
            <w:bookmarkEnd w:id="60"/>
            <w:bookmarkEnd w:id="61"/>
            <w:bookmarkEnd w:id="62"/>
            <w:bookmarkEnd w:id="63"/>
            <w:bookmarkEnd w:id="64"/>
            <w:bookmarkEnd w:id="65"/>
            <w:bookmarkEnd w:id="66"/>
            <w:bookmarkEnd w:id="67"/>
            <w:bookmarkEnd w:id="68"/>
          </w:p>
        </w:tc>
        <w:tc>
          <w:tcPr>
            <w:tcW w:w="1616" w:type="dxa"/>
            <w:vAlign w:val="center"/>
          </w:tcPr>
          <w:p w14:paraId="2596A832">
            <w:pPr>
              <w:pStyle w:val="12"/>
              <w:spacing w:line="360" w:lineRule="auto"/>
              <w:ind w:firstLine="0" w:firstLineChars="0"/>
              <w:contextualSpacing/>
              <w:jc w:val="center"/>
              <w:rPr>
                <w:rFonts w:ascii="宋体" w:hAnsi="宋体" w:eastAsia="宋体" w:cs="宋体"/>
                <w:color w:val="auto"/>
                <w:kern w:val="2"/>
                <w:sz w:val="24"/>
                <w:szCs w:val="24"/>
                <w:highlight w:val="none"/>
              </w:rPr>
            </w:pPr>
            <w:bookmarkStart w:id="69" w:name="_Toc373333692"/>
            <w:bookmarkStart w:id="70" w:name="_Toc254970591"/>
            <w:bookmarkStart w:id="71" w:name="_Toc295404984"/>
            <w:bookmarkStart w:id="72" w:name="_Toc173211903"/>
            <w:bookmarkStart w:id="73" w:name="_Toc254970732"/>
            <w:bookmarkStart w:id="74" w:name="_Toc173066404"/>
            <w:bookmarkStart w:id="75" w:name="_Toc383699909"/>
            <w:bookmarkStart w:id="76" w:name="_Toc297193188"/>
            <w:bookmarkStart w:id="77" w:name="_Toc301781614"/>
            <w:r>
              <w:rPr>
                <w:rFonts w:hint="eastAsia" w:ascii="宋体" w:hAnsi="宋体" w:eastAsia="宋体" w:cs="宋体"/>
                <w:color w:val="auto"/>
                <w:kern w:val="2"/>
                <w:sz w:val="24"/>
                <w:szCs w:val="24"/>
                <w:highlight w:val="none"/>
              </w:rPr>
              <w:t>偏离</w:t>
            </w:r>
            <w:bookmarkEnd w:id="69"/>
            <w:bookmarkEnd w:id="70"/>
            <w:bookmarkEnd w:id="71"/>
            <w:bookmarkEnd w:id="72"/>
            <w:bookmarkEnd w:id="73"/>
            <w:bookmarkEnd w:id="74"/>
            <w:bookmarkEnd w:id="75"/>
            <w:bookmarkEnd w:id="76"/>
            <w:bookmarkEnd w:id="77"/>
            <w:bookmarkStart w:id="78" w:name="_Toc383699910"/>
            <w:bookmarkStart w:id="79" w:name="_Toc295404985"/>
            <w:bookmarkStart w:id="80" w:name="_Toc173066405"/>
            <w:bookmarkStart w:id="81" w:name="_Toc254970592"/>
            <w:bookmarkStart w:id="82" w:name="_Toc301781615"/>
            <w:bookmarkStart w:id="83" w:name="_Toc254970733"/>
            <w:bookmarkStart w:id="84" w:name="_Toc373333693"/>
            <w:bookmarkStart w:id="85" w:name="_Toc173211904"/>
            <w:bookmarkStart w:id="86" w:name="_Toc297193189"/>
            <w:r>
              <w:rPr>
                <w:rFonts w:hint="eastAsia" w:ascii="宋体" w:hAnsi="宋体" w:eastAsia="宋体" w:cs="宋体"/>
                <w:color w:val="auto"/>
                <w:kern w:val="2"/>
                <w:sz w:val="24"/>
                <w:szCs w:val="24"/>
                <w:highlight w:val="none"/>
              </w:rPr>
              <w:t>说明</w:t>
            </w:r>
            <w:bookmarkEnd w:id="78"/>
            <w:bookmarkEnd w:id="79"/>
            <w:bookmarkEnd w:id="80"/>
            <w:bookmarkEnd w:id="81"/>
            <w:bookmarkEnd w:id="82"/>
            <w:bookmarkEnd w:id="83"/>
            <w:bookmarkEnd w:id="84"/>
            <w:bookmarkEnd w:id="85"/>
            <w:bookmarkEnd w:id="86"/>
          </w:p>
        </w:tc>
      </w:tr>
      <w:tr w14:paraId="3344DE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39437179">
            <w:pPr>
              <w:pStyle w:val="12"/>
              <w:spacing w:line="360" w:lineRule="auto"/>
              <w:ind w:firstLine="0" w:firstLineChars="0"/>
              <w:contextualSpacing/>
              <w:jc w:val="center"/>
              <w:rPr>
                <w:rFonts w:ascii="宋体" w:hAnsi="宋体" w:eastAsia="宋体" w:cs="宋体"/>
                <w:color w:val="auto"/>
                <w:kern w:val="2"/>
                <w:sz w:val="24"/>
                <w:szCs w:val="24"/>
                <w:highlight w:val="none"/>
              </w:rPr>
            </w:pPr>
            <w:bookmarkStart w:id="87" w:name="_Toc301781616"/>
            <w:bookmarkStart w:id="88" w:name="_Toc173066406"/>
            <w:bookmarkStart w:id="89" w:name="_Toc373333694"/>
            <w:bookmarkStart w:id="90" w:name="_Toc254970734"/>
            <w:bookmarkStart w:id="91" w:name="_Toc254970593"/>
            <w:bookmarkStart w:id="92" w:name="_Toc173211905"/>
            <w:bookmarkStart w:id="93" w:name="_Toc297193190"/>
            <w:bookmarkStart w:id="94" w:name="_Toc383699911"/>
            <w:bookmarkStart w:id="95" w:name="_Toc295404986"/>
            <w:r>
              <w:rPr>
                <w:rFonts w:hint="eastAsia" w:ascii="宋体" w:hAnsi="宋体" w:eastAsia="宋体" w:cs="宋体"/>
                <w:color w:val="auto"/>
                <w:kern w:val="2"/>
                <w:sz w:val="24"/>
                <w:szCs w:val="24"/>
                <w:highlight w:val="none"/>
              </w:rPr>
              <w:t>1</w:t>
            </w:r>
            <w:bookmarkEnd w:id="87"/>
            <w:bookmarkEnd w:id="88"/>
            <w:bookmarkEnd w:id="89"/>
            <w:bookmarkEnd w:id="90"/>
            <w:bookmarkEnd w:id="91"/>
            <w:bookmarkEnd w:id="92"/>
            <w:bookmarkEnd w:id="93"/>
            <w:bookmarkEnd w:id="94"/>
            <w:bookmarkEnd w:id="95"/>
          </w:p>
        </w:tc>
        <w:tc>
          <w:tcPr>
            <w:tcW w:w="992" w:type="dxa"/>
            <w:tcBorders>
              <w:right w:val="single" w:color="auto" w:sz="4" w:space="0"/>
            </w:tcBorders>
            <w:vAlign w:val="center"/>
          </w:tcPr>
          <w:p w14:paraId="172C750C">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15C3E40A">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2256B557">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7E736BBE">
            <w:pPr>
              <w:pStyle w:val="12"/>
              <w:spacing w:line="360" w:lineRule="auto"/>
              <w:ind w:firstLine="0" w:firstLineChars="0"/>
              <w:contextualSpacing/>
              <w:jc w:val="center"/>
              <w:rPr>
                <w:rFonts w:ascii="宋体" w:hAnsi="宋体" w:eastAsia="宋体" w:cs="宋体"/>
                <w:color w:val="auto"/>
                <w:kern w:val="2"/>
                <w:sz w:val="24"/>
                <w:szCs w:val="24"/>
                <w:highlight w:val="none"/>
              </w:rPr>
            </w:pPr>
          </w:p>
        </w:tc>
      </w:tr>
      <w:tr w14:paraId="7D98E4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687967F">
            <w:pPr>
              <w:pStyle w:val="12"/>
              <w:spacing w:line="360" w:lineRule="auto"/>
              <w:ind w:firstLine="0" w:firstLineChars="0"/>
              <w:contextualSpacing/>
              <w:jc w:val="center"/>
              <w:rPr>
                <w:rFonts w:ascii="宋体" w:hAnsi="宋体" w:eastAsia="宋体" w:cs="宋体"/>
                <w:color w:val="auto"/>
                <w:kern w:val="2"/>
                <w:sz w:val="24"/>
                <w:szCs w:val="24"/>
                <w:highlight w:val="none"/>
              </w:rPr>
            </w:pPr>
            <w:bookmarkStart w:id="96" w:name="_Toc301781617"/>
            <w:bookmarkStart w:id="97" w:name="_Toc173211906"/>
            <w:bookmarkStart w:id="98" w:name="_Toc254970735"/>
            <w:bookmarkStart w:id="99" w:name="_Toc295404987"/>
            <w:bookmarkStart w:id="100" w:name="_Toc383699912"/>
            <w:bookmarkStart w:id="101" w:name="_Toc373333695"/>
            <w:bookmarkStart w:id="102" w:name="_Toc297193191"/>
            <w:bookmarkStart w:id="103" w:name="_Toc254970594"/>
            <w:bookmarkStart w:id="104" w:name="_Toc173066407"/>
            <w:r>
              <w:rPr>
                <w:rFonts w:hint="eastAsia" w:ascii="宋体" w:hAnsi="宋体" w:eastAsia="宋体" w:cs="宋体"/>
                <w:color w:val="auto"/>
                <w:kern w:val="2"/>
                <w:sz w:val="24"/>
                <w:szCs w:val="24"/>
                <w:highlight w:val="none"/>
              </w:rPr>
              <w:t>2</w:t>
            </w:r>
            <w:bookmarkEnd w:id="96"/>
            <w:bookmarkEnd w:id="97"/>
            <w:bookmarkEnd w:id="98"/>
            <w:bookmarkEnd w:id="99"/>
            <w:bookmarkEnd w:id="100"/>
            <w:bookmarkEnd w:id="101"/>
            <w:bookmarkEnd w:id="102"/>
            <w:bookmarkEnd w:id="103"/>
            <w:bookmarkEnd w:id="104"/>
          </w:p>
        </w:tc>
        <w:tc>
          <w:tcPr>
            <w:tcW w:w="992" w:type="dxa"/>
            <w:tcBorders>
              <w:right w:val="single" w:color="auto" w:sz="4" w:space="0"/>
            </w:tcBorders>
            <w:vAlign w:val="center"/>
          </w:tcPr>
          <w:p w14:paraId="51AB7F30">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6CB3C797">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00F13F86">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70377879">
            <w:pPr>
              <w:pStyle w:val="12"/>
              <w:spacing w:line="360" w:lineRule="auto"/>
              <w:ind w:firstLine="0" w:firstLineChars="0"/>
              <w:contextualSpacing/>
              <w:jc w:val="center"/>
              <w:rPr>
                <w:rFonts w:ascii="宋体" w:hAnsi="宋体" w:eastAsia="宋体" w:cs="宋体"/>
                <w:color w:val="auto"/>
                <w:kern w:val="2"/>
                <w:sz w:val="24"/>
                <w:szCs w:val="24"/>
                <w:highlight w:val="none"/>
              </w:rPr>
            </w:pPr>
          </w:p>
        </w:tc>
      </w:tr>
      <w:tr w14:paraId="3E7302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8DA5879">
            <w:pPr>
              <w:pStyle w:val="12"/>
              <w:spacing w:line="360" w:lineRule="auto"/>
              <w:ind w:firstLine="0" w:firstLineChars="0"/>
              <w:contextualSpacing/>
              <w:jc w:val="center"/>
              <w:rPr>
                <w:rFonts w:ascii="宋体" w:hAnsi="宋体" w:eastAsia="宋体" w:cs="宋体"/>
                <w:color w:val="auto"/>
                <w:kern w:val="2"/>
                <w:sz w:val="24"/>
                <w:szCs w:val="24"/>
                <w:highlight w:val="none"/>
              </w:rPr>
            </w:pPr>
            <w:bookmarkStart w:id="105" w:name="_Toc301781618"/>
            <w:bookmarkStart w:id="106" w:name="_Toc254970595"/>
            <w:bookmarkStart w:id="107" w:name="_Toc295404988"/>
            <w:bookmarkStart w:id="108" w:name="_Toc373333696"/>
            <w:bookmarkStart w:id="109" w:name="_Toc254970736"/>
            <w:bookmarkStart w:id="110" w:name="_Toc297193192"/>
            <w:bookmarkStart w:id="111" w:name="_Toc173211907"/>
            <w:bookmarkStart w:id="112" w:name="_Toc383699913"/>
            <w:bookmarkStart w:id="113" w:name="_Toc173066408"/>
            <w:r>
              <w:rPr>
                <w:rFonts w:hint="eastAsia" w:ascii="宋体" w:hAnsi="宋体" w:eastAsia="宋体" w:cs="宋体"/>
                <w:color w:val="auto"/>
                <w:kern w:val="2"/>
                <w:sz w:val="24"/>
                <w:szCs w:val="24"/>
                <w:highlight w:val="none"/>
              </w:rPr>
              <w:t>3</w:t>
            </w:r>
            <w:bookmarkEnd w:id="105"/>
            <w:bookmarkEnd w:id="106"/>
            <w:bookmarkEnd w:id="107"/>
            <w:bookmarkEnd w:id="108"/>
            <w:bookmarkEnd w:id="109"/>
            <w:bookmarkEnd w:id="110"/>
            <w:bookmarkEnd w:id="111"/>
            <w:bookmarkEnd w:id="112"/>
            <w:bookmarkEnd w:id="113"/>
          </w:p>
        </w:tc>
        <w:tc>
          <w:tcPr>
            <w:tcW w:w="992" w:type="dxa"/>
            <w:tcBorders>
              <w:right w:val="single" w:color="auto" w:sz="4" w:space="0"/>
            </w:tcBorders>
            <w:vAlign w:val="center"/>
          </w:tcPr>
          <w:p w14:paraId="33960F39">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26097523">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60867F64">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675A2E3C">
            <w:pPr>
              <w:pStyle w:val="12"/>
              <w:spacing w:line="360" w:lineRule="auto"/>
              <w:ind w:firstLine="0" w:firstLineChars="0"/>
              <w:contextualSpacing/>
              <w:jc w:val="center"/>
              <w:rPr>
                <w:rFonts w:ascii="宋体" w:hAnsi="宋体" w:eastAsia="宋体" w:cs="宋体"/>
                <w:color w:val="auto"/>
                <w:kern w:val="2"/>
                <w:sz w:val="24"/>
                <w:szCs w:val="24"/>
                <w:highlight w:val="none"/>
              </w:rPr>
            </w:pPr>
          </w:p>
        </w:tc>
      </w:tr>
      <w:tr w14:paraId="7077C6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74CD82B">
            <w:pPr>
              <w:pStyle w:val="12"/>
              <w:spacing w:line="360" w:lineRule="auto"/>
              <w:ind w:firstLine="0" w:firstLineChars="0"/>
              <w:contextualSpacing/>
              <w:jc w:val="center"/>
              <w:rPr>
                <w:rFonts w:ascii="宋体" w:hAnsi="宋体" w:eastAsia="宋体" w:cs="宋体"/>
                <w:color w:val="auto"/>
                <w:kern w:val="2"/>
                <w:sz w:val="24"/>
                <w:szCs w:val="24"/>
                <w:highlight w:val="none"/>
              </w:rPr>
            </w:pPr>
            <w:bookmarkStart w:id="114" w:name="_Toc297193193"/>
            <w:bookmarkStart w:id="115" w:name="_Toc254970737"/>
            <w:bookmarkStart w:id="116" w:name="_Toc254970596"/>
            <w:bookmarkStart w:id="117" w:name="_Toc173066409"/>
            <w:bookmarkStart w:id="118" w:name="_Toc295404989"/>
            <w:bookmarkStart w:id="119" w:name="_Toc373333697"/>
            <w:bookmarkStart w:id="120" w:name="_Toc301781619"/>
            <w:bookmarkStart w:id="121" w:name="_Toc173211908"/>
            <w:bookmarkStart w:id="122" w:name="_Toc383699914"/>
            <w:r>
              <w:rPr>
                <w:rFonts w:hint="eastAsia" w:ascii="宋体" w:hAnsi="宋体" w:eastAsia="宋体" w:cs="宋体"/>
                <w:color w:val="auto"/>
                <w:kern w:val="2"/>
                <w:sz w:val="24"/>
                <w:szCs w:val="24"/>
                <w:highlight w:val="none"/>
              </w:rPr>
              <w:t>4</w:t>
            </w:r>
            <w:bookmarkEnd w:id="114"/>
            <w:bookmarkEnd w:id="115"/>
            <w:bookmarkEnd w:id="116"/>
            <w:bookmarkEnd w:id="117"/>
            <w:bookmarkEnd w:id="118"/>
            <w:bookmarkEnd w:id="119"/>
            <w:bookmarkEnd w:id="120"/>
            <w:bookmarkEnd w:id="121"/>
            <w:bookmarkEnd w:id="122"/>
          </w:p>
        </w:tc>
        <w:tc>
          <w:tcPr>
            <w:tcW w:w="992" w:type="dxa"/>
            <w:tcBorders>
              <w:right w:val="single" w:color="auto" w:sz="4" w:space="0"/>
            </w:tcBorders>
            <w:vAlign w:val="center"/>
          </w:tcPr>
          <w:p w14:paraId="2A700C7C">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1A07DAE6">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2D8CA2FD">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5DA22BC1">
            <w:pPr>
              <w:pStyle w:val="12"/>
              <w:spacing w:line="360" w:lineRule="auto"/>
              <w:ind w:firstLine="0" w:firstLineChars="0"/>
              <w:contextualSpacing/>
              <w:jc w:val="center"/>
              <w:rPr>
                <w:rFonts w:ascii="宋体" w:hAnsi="宋体" w:eastAsia="宋体" w:cs="宋体"/>
                <w:color w:val="auto"/>
                <w:kern w:val="2"/>
                <w:sz w:val="24"/>
                <w:szCs w:val="24"/>
                <w:highlight w:val="none"/>
              </w:rPr>
            </w:pPr>
          </w:p>
        </w:tc>
      </w:tr>
      <w:tr w14:paraId="19503A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572D739A">
            <w:pPr>
              <w:pStyle w:val="12"/>
              <w:spacing w:line="360" w:lineRule="auto"/>
              <w:ind w:firstLine="0" w:firstLineChars="0"/>
              <w:contextualSpacing/>
              <w:jc w:val="center"/>
              <w:rPr>
                <w:rFonts w:ascii="宋体" w:hAnsi="宋体" w:eastAsia="宋体" w:cs="宋体"/>
                <w:color w:val="auto"/>
                <w:kern w:val="2"/>
                <w:sz w:val="24"/>
                <w:szCs w:val="24"/>
                <w:highlight w:val="none"/>
              </w:rPr>
            </w:pPr>
            <w:bookmarkStart w:id="123" w:name="_Toc297193194"/>
            <w:bookmarkStart w:id="124" w:name="_Toc173211909"/>
            <w:bookmarkStart w:id="125" w:name="_Toc295404990"/>
            <w:bookmarkStart w:id="126" w:name="_Toc373333698"/>
            <w:bookmarkStart w:id="127" w:name="_Toc173066410"/>
            <w:bookmarkStart w:id="128" w:name="_Toc254970597"/>
            <w:bookmarkStart w:id="129" w:name="_Toc383699915"/>
            <w:bookmarkStart w:id="130" w:name="_Toc301781620"/>
            <w:bookmarkStart w:id="131" w:name="_Toc254970738"/>
            <w:r>
              <w:rPr>
                <w:rFonts w:hint="eastAsia" w:ascii="宋体" w:hAnsi="宋体" w:eastAsia="宋体" w:cs="宋体"/>
                <w:color w:val="auto"/>
                <w:kern w:val="2"/>
                <w:sz w:val="24"/>
                <w:szCs w:val="24"/>
                <w:highlight w:val="none"/>
              </w:rPr>
              <w:t>5</w:t>
            </w:r>
            <w:bookmarkEnd w:id="123"/>
            <w:bookmarkEnd w:id="124"/>
            <w:bookmarkEnd w:id="125"/>
            <w:bookmarkEnd w:id="126"/>
            <w:bookmarkEnd w:id="127"/>
            <w:bookmarkEnd w:id="128"/>
            <w:bookmarkEnd w:id="129"/>
            <w:bookmarkEnd w:id="130"/>
            <w:bookmarkEnd w:id="131"/>
          </w:p>
        </w:tc>
        <w:tc>
          <w:tcPr>
            <w:tcW w:w="992" w:type="dxa"/>
            <w:tcBorders>
              <w:right w:val="single" w:color="auto" w:sz="4" w:space="0"/>
            </w:tcBorders>
            <w:vAlign w:val="center"/>
          </w:tcPr>
          <w:p w14:paraId="2E568F34">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37F6094A">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597FCEA3">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17171752">
            <w:pPr>
              <w:pStyle w:val="12"/>
              <w:spacing w:line="360" w:lineRule="auto"/>
              <w:ind w:firstLine="0" w:firstLineChars="0"/>
              <w:contextualSpacing/>
              <w:jc w:val="center"/>
              <w:rPr>
                <w:rFonts w:ascii="宋体" w:hAnsi="宋体" w:eastAsia="宋体" w:cs="宋体"/>
                <w:color w:val="auto"/>
                <w:kern w:val="2"/>
                <w:sz w:val="24"/>
                <w:szCs w:val="24"/>
                <w:highlight w:val="none"/>
              </w:rPr>
            </w:pPr>
          </w:p>
        </w:tc>
      </w:tr>
      <w:tr w14:paraId="72B560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72BEA541">
            <w:pPr>
              <w:pStyle w:val="12"/>
              <w:spacing w:line="360" w:lineRule="auto"/>
              <w:ind w:firstLine="0" w:firstLineChars="0"/>
              <w:contextualSpacing/>
              <w:jc w:val="center"/>
              <w:rPr>
                <w:rFonts w:ascii="宋体" w:hAnsi="宋体" w:eastAsia="宋体" w:cs="宋体"/>
                <w:color w:val="auto"/>
                <w:kern w:val="2"/>
                <w:sz w:val="24"/>
                <w:szCs w:val="24"/>
                <w:highlight w:val="none"/>
              </w:rPr>
            </w:pPr>
            <w:bookmarkStart w:id="132" w:name="_Toc373333699"/>
            <w:bookmarkStart w:id="133" w:name="_Toc301781621"/>
            <w:bookmarkStart w:id="134" w:name="_Toc295404991"/>
            <w:bookmarkStart w:id="135" w:name="_Toc254970743"/>
            <w:bookmarkStart w:id="136" w:name="_Toc173211914"/>
            <w:bookmarkStart w:id="137" w:name="_Toc173066415"/>
            <w:bookmarkStart w:id="138" w:name="_Toc383699916"/>
            <w:bookmarkStart w:id="139" w:name="_Toc254970602"/>
            <w:bookmarkStart w:id="140" w:name="_Toc297193195"/>
            <w:r>
              <w:rPr>
                <w:rFonts w:hint="eastAsia" w:ascii="宋体" w:hAnsi="宋体" w:eastAsia="宋体" w:cs="宋体"/>
                <w:color w:val="auto"/>
                <w:kern w:val="2"/>
                <w:sz w:val="24"/>
                <w:szCs w:val="24"/>
                <w:highlight w:val="none"/>
              </w:rPr>
              <w:t>…</w:t>
            </w:r>
            <w:bookmarkEnd w:id="132"/>
            <w:bookmarkEnd w:id="133"/>
            <w:bookmarkEnd w:id="134"/>
            <w:bookmarkEnd w:id="135"/>
            <w:bookmarkEnd w:id="136"/>
            <w:bookmarkEnd w:id="137"/>
            <w:bookmarkEnd w:id="138"/>
            <w:bookmarkEnd w:id="139"/>
            <w:bookmarkEnd w:id="140"/>
          </w:p>
        </w:tc>
        <w:tc>
          <w:tcPr>
            <w:tcW w:w="992" w:type="dxa"/>
            <w:tcBorders>
              <w:right w:val="single" w:color="auto" w:sz="4" w:space="0"/>
            </w:tcBorders>
            <w:vAlign w:val="center"/>
          </w:tcPr>
          <w:p w14:paraId="37D02048">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79598A1F">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2EA322CD">
            <w:pPr>
              <w:pStyle w:val="12"/>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tcBorders>
              <w:right w:val="single" w:color="auto" w:sz="4" w:space="0"/>
            </w:tcBorders>
            <w:vAlign w:val="center"/>
          </w:tcPr>
          <w:p w14:paraId="7DDB2CC3">
            <w:pPr>
              <w:pStyle w:val="12"/>
              <w:spacing w:line="360" w:lineRule="auto"/>
              <w:ind w:firstLine="0" w:firstLineChars="0"/>
              <w:contextualSpacing/>
              <w:jc w:val="center"/>
              <w:rPr>
                <w:rFonts w:ascii="宋体" w:hAnsi="宋体" w:eastAsia="宋体" w:cs="宋体"/>
                <w:color w:val="auto"/>
                <w:kern w:val="2"/>
                <w:sz w:val="24"/>
                <w:szCs w:val="24"/>
                <w:highlight w:val="none"/>
              </w:rPr>
            </w:pPr>
          </w:p>
        </w:tc>
      </w:tr>
    </w:tbl>
    <w:p w14:paraId="31747ACE">
      <w:pPr>
        <w:adjustRightInd w:val="0"/>
        <w:spacing w:line="360" w:lineRule="auto"/>
        <w:contextualSpacing/>
        <w:rPr>
          <w:rFonts w:ascii="宋体" w:hAnsi="宋体" w:cs="宋体"/>
          <w:color w:val="auto"/>
          <w:sz w:val="24"/>
          <w:highlight w:val="none"/>
        </w:rPr>
      </w:pPr>
    </w:p>
    <w:p w14:paraId="36D45641">
      <w:pPr>
        <w:pStyle w:val="12"/>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A349770">
      <w:pPr>
        <w:pStyle w:val="12"/>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采购需求”中的技术要求逐条作出明确响应，并作出偏离说明。</w:t>
      </w:r>
    </w:p>
    <w:p w14:paraId="3FB7B00B">
      <w:pPr>
        <w:pStyle w:val="12"/>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413DD4D6">
      <w:pPr>
        <w:spacing w:line="360" w:lineRule="auto"/>
        <w:ind w:right="-817" w:rightChars="-389"/>
        <w:contextualSpacing/>
        <w:rPr>
          <w:rFonts w:ascii="宋体" w:hAnsi="宋体" w:cs="宋体"/>
          <w:color w:val="auto"/>
          <w:sz w:val="24"/>
          <w:highlight w:val="none"/>
        </w:rPr>
      </w:pPr>
    </w:p>
    <w:p w14:paraId="4FFC1E49">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439468A1">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供应商（盖公章）：      </w:t>
      </w:r>
    </w:p>
    <w:p w14:paraId="5EA889A4">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2F7B83DD">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7F6E5C7D">
      <w:pPr>
        <w:snapToGrid w:val="0"/>
        <w:spacing w:before="120" w:beforeLines="50" w:after="50"/>
        <w:ind w:left="142"/>
        <w:jc w:val="left"/>
        <w:rPr>
          <w:rFonts w:ascii="宋体" w:hAnsi="宋体" w:cs="宋体"/>
          <w:b/>
          <w:color w:val="auto"/>
          <w:sz w:val="24"/>
          <w:highlight w:val="none"/>
        </w:rPr>
      </w:pPr>
    </w:p>
    <w:p w14:paraId="723C6138">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762FE312">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39885AA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55B954D5">
      <w:pPr>
        <w:pStyle w:val="15"/>
        <w:spacing w:line="360" w:lineRule="auto"/>
        <w:contextualSpacing/>
        <w:rPr>
          <w:rFonts w:hAnsi="宋体" w:cs="宋体"/>
          <w:color w:val="auto"/>
          <w:sz w:val="24"/>
          <w:szCs w:val="24"/>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087F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32288CE8">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94" w:type="dxa"/>
            <w:vAlign w:val="center"/>
          </w:tcPr>
          <w:p w14:paraId="358DA887">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907" w:type="dxa"/>
            <w:vAlign w:val="center"/>
          </w:tcPr>
          <w:p w14:paraId="536E1D8B">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592" w:type="dxa"/>
            <w:vAlign w:val="center"/>
          </w:tcPr>
          <w:p w14:paraId="2FE432A2">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903" w:type="dxa"/>
            <w:vAlign w:val="center"/>
          </w:tcPr>
          <w:p w14:paraId="41FDCE75">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BA1338B">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066" w:type="dxa"/>
            <w:vAlign w:val="center"/>
          </w:tcPr>
          <w:p w14:paraId="5373C5CD">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38CA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37DCFF0B">
            <w:pPr>
              <w:spacing w:line="360" w:lineRule="auto"/>
              <w:contextualSpacing/>
              <w:jc w:val="center"/>
              <w:rPr>
                <w:rFonts w:ascii="宋体" w:hAnsi="宋体" w:cs="宋体"/>
                <w:color w:val="auto"/>
                <w:sz w:val="24"/>
                <w:szCs w:val="20"/>
                <w:highlight w:val="none"/>
              </w:rPr>
            </w:pPr>
          </w:p>
        </w:tc>
        <w:tc>
          <w:tcPr>
            <w:tcW w:w="794" w:type="dxa"/>
            <w:vAlign w:val="center"/>
          </w:tcPr>
          <w:p w14:paraId="7D93F518">
            <w:pPr>
              <w:spacing w:line="360" w:lineRule="auto"/>
              <w:contextualSpacing/>
              <w:jc w:val="center"/>
              <w:rPr>
                <w:rFonts w:ascii="宋体" w:hAnsi="宋体" w:cs="宋体"/>
                <w:color w:val="auto"/>
                <w:sz w:val="24"/>
                <w:szCs w:val="20"/>
                <w:highlight w:val="none"/>
              </w:rPr>
            </w:pPr>
          </w:p>
        </w:tc>
        <w:tc>
          <w:tcPr>
            <w:tcW w:w="1907" w:type="dxa"/>
            <w:vAlign w:val="center"/>
          </w:tcPr>
          <w:p w14:paraId="3187CF40">
            <w:pPr>
              <w:spacing w:line="360" w:lineRule="auto"/>
              <w:contextualSpacing/>
              <w:jc w:val="center"/>
              <w:rPr>
                <w:rFonts w:ascii="宋体" w:hAnsi="宋体" w:cs="宋体"/>
                <w:color w:val="auto"/>
                <w:sz w:val="24"/>
                <w:szCs w:val="20"/>
                <w:highlight w:val="none"/>
              </w:rPr>
            </w:pPr>
          </w:p>
        </w:tc>
        <w:tc>
          <w:tcPr>
            <w:tcW w:w="1592" w:type="dxa"/>
            <w:vAlign w:val="center"/>
          </w:tcPr>
          <w:p w14:paraId="2CF5D0AD">
            <w:pPr>
              <w:spacing w:line="360" w:lineRule="auto"/>
              <w:contextualSpacing/>
              <w:jc w:val="center"/>
              <w:rPr>
                <w:rFonts w:ascii="宋体" w:hAnsi="宋体" w:cs="宋体"/>
                <w:color w:val="auto"/>
                <w:sz w:val="24"/>
                <w:szCs w:val="20"/>
                <w:highlight w:val="none"/>
              </w:rPr>
            </w:pPr>
          </w:p>
        </w:tc>
        <w:tc>
          <w:tcPr>
            <w:tcW w:w="1903" w:type="dxa"/>
            <w:vAlign w:val="center"/>
          </w:tcPr>
          <w:p w14:paraId="18703FF9">
            <w:pPr>
              <w:spacing w:line="360" w:lineRule="auto"/>
              <w:contextualSpacing/>
              <w:jc w:val="center"/>
              <w:rPr>
                <w:rFonts w:ascii="宋体" w:hAnsi="宋体" w:cs="宋体"/>
                <w:color w:val="auto"/>
                <w:sz w:val="24"/>
                <w:szCs w:val="20"/>
                <w:highlight w:val="none"/>
              </w:rPr>
            </w:pPr>
          </w:p>
        </w:tc>
        <w:tc>
          <w:tcPr>
            <w:tcW w:w="2066" w:type="dxa"/>
            <w:vAlign w:val="center"/>
          </w:tcPr>
          <w:p w14:paraId="6D014DB7">
            <w:pPr>
              <w:spacing w:line="360" w:lineRule="auto"/>
              <w:contextualSpacing/>
              <w:jc w:val="center"/>
              <w:rPr>
                <w:rFonts w:ascii="宋体" w:hAnsi="宋体" w:cs="宋体"/>
                <w:color w:val="auto"/>
                <w:sz w:val="24"/>
                <w:szCs w:val="20"/>
                <w:highlight w:val="none"/>
              </w:rPr>
            </w:pPr>
          </w:p>
        </w:tc>
      </w:tr>
      <w:tr w14:paraId="1BB1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598C5E89">
            <w:pPr>
              <w:spacing w:line="360" w:lineRule="auto"/>
              <w:contextualSpacing/>
              <w:jc w:val="center"/>
              <w:rPr>
                <w:rFonts w:ascii="宋体" w:hAnsi="宋体" w:cs="宋体"/>
                <w:color w:val="auto"/>
                <w:sz w:val="24"/>
                <w:szCs w:val="20"/>
                <w:highlight w:val="none"/>
              </w:rPr>
            </w:pPr>
          </w:p>
        </w:tc>
        <w:tc>
          <w:tcPr>
            <w:tcW w:w="794" w:type="dxa"/>
            <w:vAlign w:val="center"/>
          </w:tcPr>
          <w:p w14:paraId="6825AB3A">
            <w:pPr>
              <w:spacing w:line="360" w:lineRule="auto"/>
              <w:contextualSpacing/>
              <w:jc w:val="center"/>
              <w:rPr>
                <w:rFonts w:ascii="宋体" w:hAnsi="宋体" w:cs="宋体"/>
                <w:color w:val="auto"/>
                <w:sz w:val="24"/>
                <w:szCs w:val="20"/>
                <w:highlight w:val="none"/>
              </w:rPr>
            </w:pPr>
          </w:p>
        </w:tc>
        <w:tc>
          <w:tcPr>
            <w:tcW w:w="1907" w:type="dxa"/>
            <w:vAlign w:val="center"/>
          </w:tcPr>
          <w:p w14:paraId="76735CB1">
            <w:pPr>
              <w:spacing w:line="360" w:lineRule="auto"/>
              <w:contextualSpacing/>
              <w:jc w:val="center"/>
              <w:rPr>
                <w:rFonts w:ascii="宋体" w:hAnsi="宋体" w:cs="宋体"/>
                <w:color w:val="auto"/>
                <w:sz w:val="24"/>
                <w:szCs w:val="20"/>
                <w:highlight w:val="none"/>
              </w:rPr>
            </w:pPr>
          </w:p>
        </w:tc>
        <w:tc>
          <w:tcPr>
            <w:tcW w:w="1592" w:type="dxa"/>
            <w:vAlign w:val="center"/>
          </w:tcPr>
          <w:p w14:paraId="29CA8398">
            <w:pPr>
              <w:spacing w:line="360" w:lineRule="auto"/>
              <w:contextualSpacing/>
              <w:jc w:val="center"/>
              <w:rPr>
                <w:rFonts w:ascii="宋体" w:hAnsi="宋体" w:cs="宋体"/>
                <w:color w:val="auto"/>
                <w:sz w:val="24"/>
                <w:szCs w:val="20"/>
                <w:highlight w:val="none"/>
              </w:rPr>
            </w:pPr>
          </w:p>
        </w:tc>
        <w:tc>
          <w:tcPr>
            <w:tcW w:w="1903" w:type="dxa"/>
            <w:vAlign w:val="center"/>
          </w:tcPr>
          <w:p w14:paraId="3269C894">
            <w:pPr>
              <w:spacing w:line="360" w:lineRule="auto"/>
              <w:contextualSpacing/>
              <w:jc w:val="center"/>
              <w:rPr>
                <w:rFonts w:ascii="宋体" w:hAnsi="宋体" w:cs="宋体"/>
                <w:color w:val="auto"/>
                <w:sz w:val="24"/>
                <w:szCs w:val="20"/>
                <w:highlight w:val="none"/>
              </w:rPr>
            </w:pPr>
          </w:p>
        </w:tc>
        <w:tc>
          <w:tcPr>
            <w:tcW w:w="2066" w:type="dxa"/>
            <w:vAlign w:val="center"/>
          </w:tcPr>
          <w:p w14:paraId="72B3FB45">
            <w:pPr>
              <w:spacing w:line="360" w:lineRule="auto"/>
              <w:contextualSpacing/>
              <w:jc w:val="center"/>
              <w:rPr>
                <w:rFonts w:ascii="宋体" w:hAnsi="宋体" w:cs="宋体"/>
                <w:color w:val="auto"/>
                <w:sz w:val="24"/>
                <w:szCs w:val="20"/>
                <w:highlight w:val="none"/>
              </w:rPr>
            </w:pPr>
          </w:p>
        </w:tc>
      </w:tr>
      <w:tr w14:paraId="3CCB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64101CC9">
            <w:pPr>
              <w:spacing w:line="360" w:lineRule="auto"/>
              <w:contextualSpacing/>
              <w:jc w:val="center"/>
              <w:rPr>
                <w:rFonts w:ascii="宋体" w:hAnsi="宋体" w:cs="宋体"/>
                <w:color w:val="auto"/>
                <w:sz w:val="24"/>
                <w:szCs w:val="20"/>
                <w:highlight w:val="none"/>
              </w:rPr>
            </w:pPr>
          </w:p>
        </w:tc>
        <w:tc>
          <w:tcPr>
            <w:tcW w:w="794" w:type="dxa"/>
            <w:vAlign w:val="center"/>
          </w:tcPr>
          <w:p w14:paraId="094F762A">
            <w:pPr>
              <w:spacing w:line="360" w:lineRule="auto"/>
              <w:contextualSpacing/>
              <w:jc w:val="center"/>
              <w:rPr>
                <w:rFonts w:ascii="宋体" w:hAnsi="宋体" w:cs="宋体"/>
                <w:color w:val="auto"/>
                <w:sz w:val="24"/>
                <w:szCs w:val="20"/>
                <w:highlight w:val="none"/>
              </w:rPr>
            </w:pPr>
          </w:p>
        </w:tc>
        <w:tc>
          <w:tcPr>
            <w:tcW w:w="1907" w:type="dxa"/>
            <w:vAlign w:val="center"/>
          </w:tcPr>
          <w:p w14:paraId="31BD1B8B">
            <w:pPr>
              <w:spacing w:line="360" w:lineRule="auto"/>
              <w:contextualSpacing/>
              <w:jc w:val="center"/>
              <w:rPr>
                <w:rFonts w:ascii="宋体" w:hAnsi="宋体" w:cs="宋体"/>
                <w:color w:val="auto"/>
                <w:sz w:val="24"/>
                <w:szCs w:val="20"/>
                <w:highlight w:val="none"/>
              </w:rPr>
            </w:pPr>
          </w:p>
        </w:tc>
        <w:tc>
          <w:tcPr>
            <w:tcW w:w="1592" w:type="dxa"/>
            <w:vAlign w:val="center"/>
          </w:tcPr>
          <w:p w14:paraId="4945D530">
            <w:pPr>
              <w:spacing w:line="360" w:lineRule="auto"/>
              <w:contextualSpacing/>
              <w:jc w:val="center"/>
              <w:rPr>
                <w:rFonts w:ascii="宋体" w:hAnsi="宋体" w:cs="宋体"/>
                <w:color w:val="auto"/>
                <w:sz w:val="24"/>
                <w:szCs w:val="20"/>
                <w:highlight w:val="none"/>
              </w:rPr>
            </w:pPr>
          </w:p>
        </w:tc>
        <w:tc>
          <w:tcPr>
            <w:tcW w:w="1903" w:type="dxa"/>
            <w:vAlign w:val="center"/>
          </w:tcPr>
          <w:p w14:paraId="674E1330">
            <w:pPr>
              <w:spacing w:line="360" w:lineRule="auto"/>
              <w:contextualSpacing/>
              <w:jc w:val="center"/>
              <w:rPr>
                <w:rFonts w:ascii="宋体" w:hAnsi="宋体" w:cs="宋体"/>
                <w:color w:val="auto"/>
                <w:sz w:val="24"/>
                <w:szCs w:val="20"/>
                <w:highlight w:val="none"/>
              </w:rPr>
            </w:pPr>
          </w:p>
        </w:tc>
        <w:tc>
          <w:tcPr>
            <w:tcW w:w="2066" w:type="dxa"/>
            <w:vAlign w:val="center"/>
          </w:tcPr>
          <w:p w14:paraId="55E87BC7">
            <w:pPr>
              <w:spacing w:line="360" w:lineRule="auto"/>
              <w:contextualSpacing/>
              <w:jc w:val="center"/>
              <w:rPr>
                <w:rFonts w:ascii="宋体" w:hAnsi="宋体" w:cs="宋体"/>
                <w:color w:val="auto"/>
                <w:sz w:val="24"/>
                <w:szCs w:val="20"/>
                <w:highlight w:val="none"/>
              </w:rPr>
            </w:pPr>
          </w:p>
        </w:tc>
      </w:tr>
    </w:tbl>
    <w:p w14:paraId="1260459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103B2DA8">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1.在填写时，如本表格不适合供应商的实际情况，可根据本表格式自行制表填写。</w:t>
      </w:r>
    </w:p>
    <w:p w14:paraId="69E756B5">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2.供应商应当附本表所列证书的复印件并加盖供应商公章。</w:t>
      </w:r>
    </w:p>
    <w:p w14:paraId="1A883098">
      <w:pPr>
        <w:spacing w:line="360" w:lineRule="auto"/>
        <w:contextualSpacing/>
        <w:rPr>
          <w:rFonts w:hint="eastAsia" w:ascii="宋体" w:hAnsi="宋体" w:cs="宋体"/>
          <w:color w:val="auto"/>
          <w:sz w:val="24"/>
          <w:highlight w:val="none"/>
        </w:rPr>
      </w:pPr>
    </w:p>
    <w:p w14:paraId="0709901A">
      <w:pPr>
        <w:spacing w:line="360" w:lineRule="auto"/>
        <w:contextualSpacing/>
        <w:rPr>
          <w:rFonts w:hint="eastAsia" w:ascii="宋体" w:hAnsi="宋体" w:cs="宋体"/>
          <w:color w:val="auto"/>
          <w:sz w:val="24"/>
          <w:highlight w:val="none"/>
        </w:rPr>
      </w:pPr>
    </w:p>
    <w:p w14:paraId="3E408F17">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11E3E7B7">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供应商（盖公章）：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46F56E3C">
      <w:pPr>
        <w:snapToGrid w:val="0"/>
        <w:spacing w:before="50" w:after="120" w:afterLines="50"/>
        <w:jc w:val="left"/>
        <w:rPr>
          <w:rFonts w:ascii="宋体" w:hAnsi="宋体" w:cs="宋体"/>
          <w:color w:val="auto"/>
          <w:sz w:val="24"/>
          <w:szCs w:val="20"/>
          <w:highlight w:val="none"/>
        </w:rPr>
      </w:pPr>
    </w:p>
    <w:p w14:paraId="1757785F">
      <w:pPr>
        <w:snapToGrid w:val="0"/>
        <w:spacing w:before="50" w:after="50" w:line="360" w:lineRule="auto"/>
        <w:ind w:right="-817" w:rightChars="-389" w:firstLine="5461" w:firstLineChars="1700"/>
        <w:rPr>
          <w:rFonts w:ascii="宋体" w:hAnsi="宋体" w:cs="宋体"/>
          <w:b/>
          <w:color w:val="auto"/>
          <w:sz w:val="32"/>
          <w:szCs w:val="32"/>
          <w:highlight w:val="none"/>
        </w:rPr>
      </w:pPr>
    </w:p>
    <w:p w14:paraId="06FB3291">
      <w:pPr>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65B581A1">
      <w:pPr>
        <w:spacing w:line="360" w:lineRule="auto"/>
        <w:jc w:val="center"/>
        <w:rPr>
          <w:rFonts w:ascii="宋体" w:hAnsi="宋体" w:cs="宋体"/>
          <w:b/>
          <w:bCs/>
          <w:color w:val="auto"/>
          <w:sz w:val="32"/>
          <w:szCs w:val="32"/>
          <w:highlight w:val="none"/>
        </w:rPr>
      </w:pPr>
      <w:r>
        <w:rPr>
          <w:rFonts w:hint="eastAsia" w:ascii="宋体" w:hAnsi="宋体" w:cs="宋体"/>
          <w:color w:val="auto"/>
          <w:sz w:val="44"/>
          <w:szCs w:val="44"/>
          <w:highlight w:val="none"/>
        </w:rPr>
        <w:t>质疑函</w:t>
      </w:r>
      <w:r>
        <w:rPr>
          <w:rFonts w:hint="eastAsia" w:ascii="宋体" w:hAnsi="宋体" w:cs="宋体"/>
          <w:color w:val="auto"/>
          <w:sz w:val="28"/>
          <w:szCs w:val="28"/>
          <w:highlight w:val="none"/>
        </w:rPr>
        <w:t>（格式）</w:t>
      </w:r>
    </w:p>
    <w:p w14:paraId="60C224BC">
      <w:pPr>
        <w:pStyle w:val="15"/>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E9785B6">
      <w:pPr>
        <w:pStyle w:val="15"/>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98732FD">
      <w:pPr>
        <w:pStyle w:val="15"/>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423FA5E">
      <w:pPr>
        <w:pStyle w:val="15"/>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8188BAC">
      <w:pPr>
        <w:pStyle w:val="15"/>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431C3ECD">
      <w:pPr>
        <w:pStyle w:val="15"/>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20F3F33">
      <w:pPr>
        <w:pStyle w:val="15"/>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02ABF44">
      <w:pPr>
        <w:pStyle w:val="15"/>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4661A51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54B88F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03C2DF5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207E08F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04D63CE1">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31B6DE11">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0E0E8F5">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315C1A2B">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36F614C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03D2110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73099C1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CC5569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6F2DA62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51694A40">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0275BD5">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41AC62B7">
      <w:pPr>
        <w:pStyle w:val="15"/>
        <w:spacing w:line="360" w:lineRule="auto"/>
        <w:ind w:left="25" w:leftChars="12" w:firstLine="352" w:firstLineChars="147"/>
        <w:contextualSpacing/>
        <w:rPr>
          <w:rFonts w:hAnsi="宋体" w:cs="宋体"/>
          <w:color w:val="auto"/>
          <w:sz w:val="24"/>
          <w:szCs w:val="24"/>
          <w:highlight w:val="none"/>
        </w:rPr>
      </w:pPr>
    </w:p>
    <w:p w14:paraId="3A0FB8A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732CFEDF">
      <w:pPr>
        <w:pStyle w:val="15"/>
        <w:spacing w:line="360" w:lineRule="auto"/>
        <w:ind w:firstLine="480" w:firstLineChars="200"/>
        <w:contextualSpacing/>
        <w:rPr>
          <w:rFonts w:hAnsi="宋体" w:cs="宋体"/>
          <w:b/>
          <w:color w:val="auto"/>
          <w:sz w:val="24"/>
          <w:szCs w:val="24"/>
          <w:highlight w:val="none"/>
        </w:rPr>
      </w:pPr>
      <w:r>
        <w:rPr>
          <w:rFonts w:hint="eastAsia" w:hAnsi="宋体" w:cs="宋体"/>
          <w:color w:val="auto"/>
          <w:sz w:val="24"/>
          <w:szCs w:val="24"/>
          <w:highlight w:val="none"/>
        </w:rPr>
        <w:t>日期：</w:t>
      </w:r>
    </w:p>
    <w:p w14:paraId="5C622DF0">
      <w:pPr>
        <w:pStyle w:val="15"/>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37D9E7D6">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1B5254C5">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465E067">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008ADE72">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E5B7B03">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F75C653">
      <w:pPr>
        <w:pStyle w:val="15"/>
        <w:snapToGrid w:val="0"/>
        <w:rPr>
          <w:rFonts w:hAnsi="宋体" w:cs="宋体"/>
          <w:b/>
          <w:color w:val="auto"/>
          <w:sz w:val="24"/>
          <w:szCs w:val="24"/>
          <w:highlight w:val="none"/>
        </w:rPr>
      </w:pPr>
    </w:p>
    <w:p w14:paraId="5E6AE572">
      <w:pPr>
        <w:rPr>
          <w:rFonts w:ascii="宋体" w:hAnsi="宋体" w:cs="宋体"/>
          <w:color w:val="auto"/>
          <w:sz w:val="32"/>
          <w:szCs w:val="40"/>
          <w:highlight w:val="none"/>
        </w:rPr>
      </w:pPr>
    </w:p>
    <w:p w14:paraId="46657D49">
      <w:pPr>
        <w:rPr>
          <w:rFonts w:ascii="宋体" w:hAnsi="宋体" w:cs="宋体"/>
          <w:color w:val="auto"/>
          <w:sz w:val="32"/>
          <w:szCs w:val="40"/>
          <w:highlight w:val="none"/>
        </w:rPr>
      </w:pPr>
    </w:p>
    <w:p w14:paraId="523E383F">
      <w:pPr>
        <w:rPr>
          <w:rFonts w:ascii="宋体" w:hAnsi="宋体" w:cs="宋体"/>
          <w:color w:val="auto"/>
          <w:sz w:val="32"/>
          <w:szCs w:val="40"/>
          <w:highlight w:val="none"/>
        </w:rPr>
      </w:pPr>
    </w:p>
    <w:p w14:paraId="44176D35">
      <w:pPr>
        <w:rPr>
          <w:rFonts w:ascii="宋体" w:hAnsi="宋体" w:cs="宋体"/>
          <w:color w:val="auto"/>
          <w:sz w:val="32"/>
          <w:szCs w:val="40"/>
          <w:highlight w:val="none"/>
        </w:rPr>
      </w:pPr>
    </w:p>
    <w:p w14:paraId="7B520AC3">
      <w:pPr>
        <w:rPr>
          <w:rFonts w:ascii="宋体" w:hAnsi="宋体" w:cs="宋体"/>
          <w:color w:val="auto"/>
          <w:sz w:val="32"/>
          <w:szCs w:val="40"/>
          <w:highlight w:val="none"/>
        </w:rPr>
      </w:pPr>
    </w:p>
    <w:p w14:paraId="14A282D1">
      <w:pPr>
        <w:rPr>
          <w:rFonts w:ascii="宋体" w:hAnsi="宋体" w:cs="宋体"/>
          <w:color w:val="auto"/>
          <w:sz w:val="32"/>
          <w:szCs w:val="40"/>
          <w:highlight w:val="none"/>
        </w:rPr>
      </w:pPr>
    </w:p>
    <w:p w14:paraId="081AE67C">
      <w:pPr>
        <w:rPr>
          <w:rFonts w:ascii="宋体" w:hAnsi="宋体" w:cs="宋体"/>
          <w:color w:val="auto"/>
          <w:sz w:val="32"/>
          <w:szCs w:val="40"/>
          <w:highlight w:val="none"/>
        </w:rPr>
      </w:pPr>
    </w:p>
    <w:p w14:paraId="663E1472">
      <w:pPr>
        <w:rPr>
          <w:rFonts w:ascii="宋体" w:hAnsi="宋体" w:cs="宋体"/>
          <w:color w:val="auto"/>
          <w:sz w:val="32"/>
          <w:szCs w:val="40"/>
          <w:highlight w:val="none"/>
        </w:rPr>
      </w:pPr>
    </w:p>
    <w:p w14:paraId="7EAAA68A">
      <w:pPr>
        <w:rPr>
          <w:rFonts w:ascii="宋体" w:hAnsi="宋体" w:cs="宋体"/>
          <w:color w:val="auto"/>
          <w:sz w:val="32"/>
          <w:szCs w:val="40"/>
          <w:highlight w:val="none"/>
        </w:rPr>
      </w:pPr>
    </w:p>
    <w:p w14:paraId="3ADFA152">
      <w:pPr>
        <w:rPr>
          <w:rFonts w:ascii="宋体" w:hAnsi="宋体" w:cs="宋体"/>
          <w:color w:val="auto"/>
          <w:sz w:val="32"/>
          <w:szCs w:val="40"/>
          <w:highlight w:val="none"/>
        </w:rPr>
      </w:pPr>
    </w:p>
    <w:p w14:paraId="1E1ACF57">
      <w:pPr>
        <w:rPr>
          <w:rFonts w:ascii="宋体" w:hAnsi="宋体" w:cs="宋体"/>
          <w:color w:val="auto"/>
          <w:sz w:val="32"/>
          <w:szCs w:val="40"/>
          <w:highlight w:val="none"/>
        </w:rPr>
      </w:pPr>
    </w:p>
    <w:p w14:paraId="0048ED85">
      <w:pPr>
        <w:rPr>
          <w:rFonts w:ascii="宋体" w:hAnsi="宋体" w:cs="宋体"/>
          <w:color w:val="auto"/>
          <w:sz w:val="32"/>
          <w:szCs w:val="40"/>
          <w:highlight w:val="none"/>
        </w:rPr>
      </w:pPr>
    </w:p>
    <w:p w14:paraId="17142000">
      <w:pPr>
        <w:rPr>
          <w:rFonts w:ascii="宋体" w:hAnsi="宋体" w:cs="宋体"/>
          <w:color w:val="auto"/>
          <w:sz w:val="32"/>
          <w:szCs w:val="40"/>
          <w:highlight w:val="none"/>
        </w:rPr>
      </w:pPr>
    </w:p>
    <w:p w14:paraId="7880AAA3">
      <w:pPr>
        <w:rPr>
          <w:rFonts w:ascii="宋体" w:hAnsi="宋体" w:cs="宋体"/>
          <w:color w:val="auto"/>
          <w:sz w:val="32"/>
          <w:szCs w:val="40"/>
          <w:highlight w:val="none"/>
        </w:rPr>
      </w:pPr>
    </w:p>
    <w:p w14:paraId="4608BA8F">
      <w:pPr>
        <w:spacing w:line="360" w:lineRule="auto"/>
        <w:jc w:val="center"/>
        <w:rPr>
          <w:rFonts w:ascii="宋体" w:hAnsi="宋体" w:cs="宋体"/>
          <w:color w:val="auto"/>
          <w:sz w:val="2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投诉书</w:t>
      </w:r>
      <w:r>
        <w:rPr>
          <w:rFonts w:hint="eastAsia" w:ascii="宋体" w:hAnsi="宋体" w:cs="宋体"/>
          <w:color w:val="auto"/>
          <w:sz w:val="28"/>
          <w:szCs w:val="28"/>
          <w:highlight w:val="none"/>
        </w:rPr>
        <w:t>（格式）</w:t>
      </w:r>
    </w:p>
    <w:p w14:paraId="7FB4633F">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6C2D84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921054F">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760FDB">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217AE5EF">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7A53DEF">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55DFBD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5965D3FF">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099B2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4F6F98C1">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4FE406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9AA81BC">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DCE8116">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07105877">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1C8D76D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94E0B7B">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3B461695">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82CC9EC">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052EA998">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310C53B">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038BB4A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129C3F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63E4712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竞争性磋商文件公告：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323BF5B3">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37BA2198">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1ADDBC2">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141C318D">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0721B8C">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8C1E6EA">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7869A86">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1AD96259">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243F4B1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6498C92">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06E5BABD">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129BD46">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DFBF7E4">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37A7991D">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25CB3BA2">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ED4EA12">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F9BBB10">
      <w:pPr>
        <w:pStyle w:val="15"/>
        <w:spacing w:line="360" w:lineRule="auto"/>
        <w:ind w:left="25" w:leftChars="12" w:firstLine="352" w:firstLineChars="147"/>
        <w:rPr>
          <w:rFonts w:hAnsi="宋体" w:cs="宋体"/>
          <w:color w:val="auto"/>
          <w:sz w:val="24"/>
          <w:szCs w:val="24"/>
          <w:highlight w:val="none"/>
        </w:rPr>
      </w:pPr>
    </w:p>
    <w:p w14:paraId="58CC27B4">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4038BE7C">
      <w:pPr>
        <w:pStyle w:val="15"/>
        <w:spacing w:line="360" w:lineRule="auto"/>
        <w:ind w:left="25" w:leftChars="12" w:firstLine="352" w:firstLineChars="147"/>
        <w:rPr>
          <w:rFonts w:hAnsi="宋体" w:cs="宋体"/>
          <w:color w:val="auto"/>
          <w:sz w:val="24"/>
          <w:szCs w:val="24"/>
          <w:highlight w:val="none"/>
        </w:rPr>
      </w:pPr>
    </w:p>
    <w:p w14:paraId="6B848958">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2EC41EA2">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 xml:space="preserve">                                                                                 </w:t>
      </w:r>
    </w:p>
    <w:p w14:paraId="44D6C7EB">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22668823">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21EA36FE">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AC5F39">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5A1424E7">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29969807">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2034B0E">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565587FE">
      <w:pPr>
        <w:pStyle w:val="15"/>
        <w:spacing w:line="360" w:lineRule="auto"/>
        <w:ind w:left="25" w:leftChars="12" w:firstLine="352" w:firstLineChars="147"/>
        <w:rPr>
          <w:rFonts w:hAnsi="宋体" w:cs="宋体"/>
          <w:color w:val="auto"/>
          <w:sz w:val="24"/>
          <w:szCs w:val="24"/>
          <w:highlight w:val="none"/>
        </w:rPr>
      </w:pPr>
      <w:bookmarkStart w:id="141" w:name="_Toc74323461"/>
    </w:p>
    <w:p w14:paraId="14E6A45E">
      <w:pPr>
        <w:rPr>
          <w:color w:val="auto"/>
          <w:highlight w:val="none"/>
        </w:rPr>
      </w:pPr>
    </w:p>
    <w:p w14:paraId="277C4D24">
      <w:pPr>
        <w:pStyle w:val="2"/>
        <w:spacing w:before="0" w:after="0" w:line="460" w:lineRule="exact"/>
        <w:jc w:val="center"/>
        <w:rPr>
          <w:rFonts w:ascii="宋体" w:hAnsi="宋体" w:cs="宋体"/>
          <w:color w:val="auto"/>
          <w:highlight w:val="none"/>
        </w:rPr>
      </w:pPr>
      <w:r>
        <w:rPr>
          <w:rFonts w:hint="eastAsia" w:ascii="宋体" w:hAnsi="宋体" w:cs="宋体"/>
          <w:color w:val="auto"/>
          <w:highlight w:val="none"/>
        </w:rPr>
        <w:t xml:space="preserve">第六章 </w:t>
      </w:r>
      <w:bookmarkEnd w:id="141"/>
      <w:r>
        <w:rPr>
          <w:rFonts w:hint="eastAsia" w:ascii="宋体" w:hAnsi="宋体" w:cs="宋体"/>
          <w:color w:val="auto"/>
          <w:highlight w:val="none"/>
        </w:rPr>
        <w:t>合同文本</w:t>
      </w:r>
    </w:p>
    <w:p w14:paraId="499E1847">
      <w:pPr>
        <w:spacing w:line="460" w:lineRule="exact"/>
        <w:rPr>
          <w:rFonts w:ascii="宋体" w:hAnsi="宋体" w:cs="宋体"/>
          <w:b/>
          <w:color w:val="auto"/>
          <w:sz w:val="24"/>
          <w:highlight w:val="none"/>
        </w:rPr>
      </w:pPr>
    </w:p>
    <w:p w14:paraId="6F8F0A5B">
      <w:pPr>
        <w:spacing w:line="460" w:lineRule="exact"/>
        <w:rPr>
          <w:rFonts w:ascii="宋体" w:hAnsi="宋体" w:cs="宋体"/>
          <w:color w:val="auto"/>
          <w:sz w:val="24"/>
          <w:highlight w:val="none"/>
        </w:rPr>
      </w:pPr>
      <w:r>
        <w:rPr>
          <w:rFonts w:hint="eastAsia" w:ascii="宋体" w:hAnsi="宋体" w:cs="宋体"/>
          <w:color w:val="auto"/>
          <w:sz w:val="24"/>
          <w:highlight w:val="none"/>
        </w:rPr>
        <w:t>采购计划号：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合同编号：</w:t>
      </w:r>
      <w:r>
        <w:rPr>
          <w:rFonts w:hint="eastAsia" w:ascii="宋体" w:hAnsi="宋体" w:cs="宋体"/>
          <w:color w:val="auto"/>
          <w:sz w:val="24"/>
          <w:highlight w:val="none"/>
          <w:u w:val="single"/>
        </w:rPr>
        <w:t xml:space="preserve">          </w:t>
      </w:r>
    </w:p>
    <w:p w14:paraId="463AD515">
      <w:pPr>
        <w:spacing w:line="460" w:lineRule="exact"/>
        <w:rPr>
          <w:rFonts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8B9B1F4">
      <w:pPr>
        <w:spacing w:line="460" w:lineRule="exact"/>
        <w:rPr>
          <w:rFonts w:ascii="宋体" w:hAnsi="宋体" w:cs="宋体"/>
          <w:color w:val="auto"/>
          <w:sz w:val="24"/>
          <w:highlight w:val="none"/>
          <w:u w:val="single"/>
        </w:rPr>
      </w:pP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FE8F60A">
      <w:pPr>
        <w:spacing w:line="460" w:lineRule="exact"/>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8A53C6F">
      <w:pPr>
        <w:spacing w:line="460" w:lineRule="exact"/>
        <w:rPr>
          <w:rFonts w:ascii="宋体" w:hAnsi="宋体" w:cs="宋体"/>
          <w:color w:val="auto"/>
          <w:sz w:val="24"/>
          <w:highlight w:val="none"/>
          <w:u w:val="single"/>
        </w:rPr>
      </w:pPr>
      <w:r>
        <w:rPr>
          <w:rFonts w:hint="eastAsia" w:ascii="宋体" w:hAnsi="宋体" w:cs="宋体"/>
          <w:color w:val="auto"/>
          <w:sz w:val="24"/>
          <w:highlight w:val="none"/>
        </w:rPr>
        <w:t>签订地点：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签订时间：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w:t>
      </w:r>
    </w:p>
    <w:p w14:paraId="7E4B3A56">
      <w:pPr>
        <w:spacing w:line="460" w:lineRule="exact"/>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本合同为中小企业预留合同：</w:t>
      </w:r>
      <w:r>
        <w:rPr>
          <w:rFonts w:hint="eastAsia" w:ascii="宋体" w:hAnsi="宋体" w:cs="宋体"/>
          <w:color w:val="auto"/>
          <w:sz w:val="24"/>
          <w:highlight w:val="none"/>
          <w:u w:val="single"/>
          <w:lang w:val="en-US" w:eastAsia="zh-CN"/>
        </w:rPr>
        <w:t xml:space="preserve">      </w:t>
      </w:r>
    </w:p>
    <w:p w14:paraId="74969487">
      <w:pPr>
        <w:pStyle w:val="11"/>
        <w:rPr>
          <w:rFonts w:hint="default"/>
          <w:color w:val="auto"/>
          <w:highlight w:val="none"/>
          <w:lang w:val="en-US" w:eastAsia="zh-CN"/>
        </w:rPr>
      </w:pPr>
    </w:p>
    <w:p w14:paraId="2803F74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根据《中华人民共和国政府采购法》《中华人民共和国民法典》等法律、法规规定，按照磋商文件规定条款和乙方响应文件及其承诺，甲乙双方签订本合同。</w:t>
      </w:r>
    </w:p>
    <w:p w14:paraId="2605C689">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第一条　合同标的</w:t>
      </w:r>
    </w:p>
    <w:p w14:paraId="40808B6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1、项目一览表</w:t>
      </w:r>
    </w:p>
    <w:tbl>
      <w:tblPr>
        <w:tblStyle w:val="27"/>
        <w:tblW w:w="828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66"/>
        <w:gridCol w:w="2497"/>
        <w:gridCol w:w="1127"/>
        <w:gridCol w:w="1555"/>
        <w:gridCol w:w="1511"/>
      </w:tblGrid>
      <w:tr w14:paraId="603B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25" w:type="dxa"/>
            <w:tcBorders>
              <w:top w:val="single" w:color="auto" w:sz="4" w:space="0"/>
              <w:left w:val="single" w:color="auto" w:sz="4" w:space="0"/>
              <w:bottom w:val="single" w:color="auto" w:sz="4" w:space="0"/>
              <w:right w:val="single" w:color="auto" w:sz="4" w:space="0"/>
            </w:tcBorders>
            <w:vAlign w:val="center"/>
          </w:tcPr>
          <w:p w14:paraId="253298BF">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66" w:type="dxa"/>
            <w:tcBorders>
              <w:top w:val="single" w:color="auto" w:sz="4" w:space="0"/>
              <w:left w:val="single" w:color="auto" w:sz="4" w:space="0"/>
              <w:bottom w:val="single" w:color="auto" w:sz="4" w:space="0"/>
              <w:right w:val="single" w:color="auto" w:sz="4" w:space="0"/>
            </w:tcBorders>
            <w:vAlign w:val="center"/>
          </w:tcPr>
          <w:p w14:paraId="2A7F2266">
            <w:pPr>
              <w:spacing w:line="460" w:lineRule="exact"/>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服务名称</w:t>
            </w:r>
          </w:p>
        </w:tc>
        <w:tc>
          <w:tcPr>
            <w:tcW w:w="2497" w:type="dxa"/>
            <w:tcBorders>
              <w:top w:val="single" w:color="auto" w:sz="4" w:space="0"/>
              <w:left w:val="single" w:color="auto" w:sz="4" w:space="0"/>
              <w:bottom w:val="single" w:color="auto" w:sz="4" w:space="0"/>
              <w:right w:val="single" w:color="auto" w:sz="4" w:space="0"/>
            </w:tcBorders>
            <w:vAlign w:val="center"/>
          </w:tcPr>
          <w:p w14:paraId="7E567C04">
            <w:pPr>
              <w:spacing w:line="460" w:lineRule="exact"/>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服务内容</w:t>
            </w:r>
          </w:p>
        </w:tc>
        <w:tc>
          <w:tcPr>
            <w:tcW w:w="1127" w:type="dxa"/>
            <w:tcBorders>
              <w:top w:val="single" w:color="auto" w:sz="4" w:space="0"/>
              <w:left w:val="single" w:color="auto" w:sz="4" w:space="0"/>
              <w:bottom w:val="single" w:color="auto" w:sz="4" w:space="0"/>
              <w:right w:val="single" w:color="auto" w:sz="4" w:space="0"/>
            </w:tcBorders>
            <w:vAlign w:val="center"/>
          </w:tcPr>
          <w:p w14:paraId="0F3A6116">
            <w:pPr>
              <w:spacing w:line="460" w:lineRule="exact"/>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val="en-US" w:eastAsia="zh-CN"/>
              </w:rPr>
              <w:t>暂定</w:t>
            </w:r>
            <w:r>
              <w:rPr>
                <w:rFonts w:hint="eastAsia" w:ascii="宋体" w:hAnsi="宋体" w:cs="宋体"/>
                <w:b/>
                <w:color w:val="auto"/>
                <w:sz w:val="24"/>
                <w:highlight w:val="none"/>
              </w:rPr>
              <w:t>数量</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人</w:t>
            </w:r>
            <w:r>
              <w:rPr>
                <w:rFonts w:hint="eastAsia" w:ascii="宋体" w:hAnsi="宋体" w:cs="宋体"/>
                <w:b/>
                <w:color w:val="auto"/>
                <w:sz w:val="24"/>
                <w:highlight w:val="none"/>
                <w:lang w:eastAsia="zh-CN"/>
              </w:rPr>
              <w:t>）</w:t>
            </w:r>
          </w:p>
        </w:tc>
        <w:tc>
          <w:tcPr>
            <w:tcW w:w="1555" w:type="dxa"/>
            <w:tcBorders>
              <w:top w:val="single" w:color="auto" w:sz="4" w:space="0"/>
              <w:left w:val="single" w:color="auto" w:sz="4" w:space="0"/>
              <w:bottom w:val="single" w:color="auto" w:sz="4" w:space="0"/>
              <w:right w:val="single" w:color="auto" w:sz="4" w:space="0"/>
            </w:tcBorders>
            <w:vAlign w:val="center"/>
          </w:tcPr>
          <w:p w14:paraId="783D7AFD">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单价</w:t>
            </w:r>
          </w:p>
          <w:p w14:paraId="3E15F716">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元/人</w:t>
            </w:r>
            <w:r>
              <w:rPr>
                <w:rFonts w:hint="eastAsia" w:ascii="宋体" w:hAnsi="宋体" w:cs="宋体"/>
                <w:b/>
                <w:color w:val="auto"/>
                <w:sz w:val="24"/>
                <w:highlight w:val="none"/>
              </w:rPr>
              <w:t>）</w:t>
            </w:r>
          </w:p>
        </w:tc>
        <w:tc>
          <w:tcPr>
            <w:tcW w:w="1511" w:type="dxa"/>
            <w:tcBorders>
              <w:top w:val="single" w:color="auto" w:sz="4" w:space="0"/>
              <w:left w:val="single" w:color="auto" w:sz="4" w:space="0"/>
              <w:bottom w:val="single" w:color="auto" w:sz="4" w:space="0"/>
              <w:right w:val="single" w:color="auto" w:sz="4" w:space="0"/>
            </w:tcBorders>
            <w:vAlign w:val="center"/>
          </w:tcPr>
          <w:p w14:paraId="3EC35A89">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lang w:val="en-US" w:eastAsia="zh-CN"/>
              </w:rPr>
              <w:t>合计（元）</w:t>
            </w:r>
          </w:p>
        </w:tc>
      </w:tr>
      <w:tr w14:paraId="14E2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25" w:type="dxa"/>
            <w:tcBorders>
              <w:top w:val="single" w:color="auto" w:sz="4" w:space="0"/>
              <w:left w:val="single" w:color="auto" w:sz="4" w:space="0"/>
              <w:bottom w:val="single" w:color="auto" w:sz="4" w:space="0"/>
              <w:right w:val="single" w:color="auto" w:sz="4" w:space="0"/>
            </w:tcBorders>
            <w:vAlign w:val="center"/>
          </w:tcPr>
          <w:p w14:paraId="10BDDAC0">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66" w:type="dxa"/>
            <w:tcBorders>
              <w:top w:val="single" w:color="auto" w:sz="4" w:space="0"/>
              <w:left w:val="single" w:color="auto" w:sz="4" w:space="0"/>
              <w:bottom w:val="single" w:color="auto" w:sz="4" w:space="0"/>
              <w:right w:val="single" w:color="auto" w:sz="4" w:space="0"/>
            </w:tcBorders>
            <w:vAlign w:val="center"/>
          </w:tcPr>
          <w:p w14:paraId="6670784C">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年教职工健康体检服务采购</w:t>
            </w:r>
          </w:p>
        </w:tc>
        <w:tc>
          <w:tcPr>
            <w:tcW w:w="2497" w:type="dxa"/>
            <w:tcBorders>
              <w:top w:val="single" w:color="auto" w:sz="4" w:space="0"/>
              <w:left w:val="single" w:color="auto" w:sz="4" w:space="0"/>
              <w:bottom w:val="single" w:color="auto" w:sz="4" w:space="0"/>
              <w:right w:val="single" w:color="auto" w:sz="4" w:space="0"/>
            </w:tcBorders>
            <w:vAlign w:val="center"/>
          </w:tcPr>
          <w:p w14:paraId="4C13A0AA">
            <w:pPr>
              <w:spacing w:line="460" w:lineRule="exact"/>
              <w:jc w:val="left"/>
              <w:rPr>
                <w:rFonts w:hint="default" w:ascii="宋体" w:hAnsi="宋体" w:eastAsia="宋体" w:cs="宋体"/>
                <w:color w:val="auto"/>
                <w:sz w:val="24"/>
                <w:highlight w:val="none"/>
                <w:lang w:val="en-US" w:eastAsia="zh-CN"/>
              </w:rPr>
            </w:pPr>
          </w:p>
        </w:tc>
        <w:tc>
          <w:tcPr>
            <w:tcW w:w="1127" w:type="dxa"/>
            <w:tcBorders>
              <w:top w:val="single" w:color="auto" w:sz="4" w:space="0"/>
              <w:left w:val="single" w:color="auto" w:sz="4" w:space="0"/>
              <w:bottom w:val="single" w:color="auto" w:sz="4" w:space="0"/>
              <w:right w:val="single" w:color="auto" w:sz="4" w:space="0"/>
            </w:tcBorders>
            <w:vAlign w:val="center"/>
          </w:tcPr>
          <w:p w14:paraId="57F64054">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2786</w:t>
            </w:r>
          </w:p>
        </w:tc>
        <w:tc>
          <w:tcPr>
            <w:tcW w:w="1555" w:type="dxa"/>
            <w:tcBorders>
              <w:top w:val="single" w:color="auto" w:sz="4" w:space="0"/>
              <w:left w:val="single" w:color="auto" w:sz="4" w:space="0"/>
              <w:bottom w:val="single" w:color="auto" w:sz="4" w:space="0"/>
              <w:right w:val="single" w:color="auto" w:sz="4" w:space="0"/>
            </w:tcBorders>
            <w:vAlign w:val="center"/>
          </w:tcPr>
          <w:p w14:paraId="6901BA4B">
            <w:pPr>
              <w:spacing w:line="460" w:lineRule="exact"/>
              <w:jc w:val="center"/>
              <w:rPr>
                <w:rFonts w:ascii="宋体" w:hAnsi="宋体" w:cs="宋体"/>
                <w:color w:val="auto"/>
                <w:sz w:val="24"/>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23435305">
            <w:pPr>
              <w:spacing w:line="460" w:lineRule="exact"/>
              <w:jc w:val="center"/>
              <w:rPr>
                <w:rFonts w:ascii="宋体" w:hAnsi="宋体" w:cs="宋体"/>
                <w:color w:val="auto"/>
                <w:sz w:val="24"/>
                <w:highlight w:val="none"/>
              </w:rPr>
            </w:pPr>
          </w:p>
        </w:tc>
      </w:tr>
      <w:tr w14:paraId="348F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8281" w:type="dxa"/>
            <w:gridSpan w:val="6"/>
            <w:tcBorders>
              <w:top w:val="single" w:color="auto" w:sz="4" w:space="0"/>
              <w:left w:val="single" w:color="auto" w:sz="4" w:space="0"/>
              <w:bottom w:val="single" w:color="auto" w:sz="4" w:space="0"/>
              <w:right w:val="single" w:color="auto" w:sz="4" w:space="0"/>
            </w:tcBorders>
            <w:vAlign w:val="center"/>
          </w:tcPr>
          <w:p w14:paraId="4FCE763B">
            <w:pPr>
              <w:spacing w:line="460" w:lineRule="exact"/>
              <w:jc w:val="left"/>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lang w:val="en-US" w:eastAsia="zh-CN"/>
              </w:rPr>
              <w:t>人民币合计金额大写：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bl>
    <w:p w14:paraId="2178A84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次报价为服务期内按要求完成服务的全部价格，投标报价单价包含体检、化验、材料（如设备、体检表格、消耗性材料等）、医疗垃圾管理及处置、体检结果分析、与本项目服务业务有关一切费用和政策性文件规定及合同包含的所有风险、责任等全部费用。</w:t>
      </w:r>
    </w:p>
    <w:p w14:paraId="323E647D">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第二条　质量保证</w:t>
      </w:r>
    </w:p>
    <w:p w14:paraId="4D927687">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6527CAB3">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第三条　权利保证</w:t>
      </w:r>
    </w:p>
    <w:p w14:paraId="03A7398E">
      <w:pPr>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1、甲方根据工作需要，可为乙方开展服务提供相关资料。</w:t>
      </w:r>
    </w:p>
    <w:p w14:paraId="7468E029">
      <w:pPr>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2、乙方应按规定时间提供服务。</w:t>
      </w:r>
    </w:p>
    <w:p w14:paraId="1287610D">
      <w:pPr>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3、乙方应保证所提供的服务不会侵犯任何第三方的专利权、著作权或其他权利。</w:t>
      </w:r>
    </w:p>
    <w:p w14:paraId="03DB268B">
      <w:pPr>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4、乙方应按</w:t>
      </w:r>
      <w:r>
        <w:rPr>
          <w:rFonts w:hint="eastAsia" w:ascii="宋体" w:hAnsi="宋体" w:cs="宋体"/>
          <w:color w:val="auto"/>
          <w:sz w:val="24"/>
          <w:highlight w:val="none"/>
          <w:lang w:val="en-US" w:eastAsia="zh-CN"/>
        </w:rPr>
        <w:t>磋商</w:t>
      </w:r>
      <w:r>
        <w:rPr>
          <w:rFonts w:ascii="宋体" w:hAnsi="宋体" w:cs="宋体"/>
          <w:color w:val="auto"/>
          <w:sz w:val="24"/>
          <w:highlight w:val="none"/>
        </w:rPr>
        <w:t>文件、</w:t>
      </w:r>
      <w:r>
        <w:rPr>
          <w:rFonts w:hint="eastAsia" w:ascii="宋体" w:hAnsi="宋体" w:cs="宋体"/>
          <w:color w:val="auto"/>
          <w:sz w:val="24"/>
          <w:highlight w:val="none"/>
          <w:lang w:val="en-US" w:eastAsia="zh-CN"/>
        </w:rPr>
        <w:t>响应</w:t>
      </w:r>
      <w:r>
        <w:rPr>
          <w:rFonts w:ascii="宋体" w:hAnsi="宋体" w:cs="宋体"/>
          <w:color w:val="auto"/>
          <w:sz w:val="24"/>
          <w:highlight w:val="none"/>
        </w:rPr>
        <w:t>文件规定的时间向甲方提供服务的有关技术资料。</w:t>
      </w:r>
    </w:p>
    <w:p w14:paraId="4E22DFE1">
      <w:pPr>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5、没有甲方事先书面同意，乙方不得将由甲方提供的有关合同或任何合同条文、样品或资料提供给与履行本合同无关的任何其他人。即使向履行本合同有关的人员提供，也应注意保密并限于履行合同的必需范围。</w:t>
      </w:r>
    </w:p>
    <w:p w14:paraId="2BAE4B33">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第四条　交付和验收</w:t>
      </w:r>
    </w:p>
    <w:p w14:paraId="3AE57589">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1、合同履行期限：自合同签订之日起</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年内完成202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教职工体检工作。</w:t>
      </w:r>
    </w:p>
    <w:p w14:paraId="0CF17E2C">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2.体检时间：202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年体检一次。签订合同后，以</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出具的书面通知为准，</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接到</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出具书面通知后30天内完成体检服务。</w:t>
      </w:r>
    </w:p>
    <w:p w14:paraId="19BFCCB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3.体检地点：教职工健康体检的场所设置在体检机构的体检中心内。</w:t>
      </w:r>
    </w:p>
    <w:p w14:paraId="3216F87D">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2、乙方应按响应文件的承诺向甲方提供相应的服务，并提供所服务内容的相关技术资料。</w:t>
      </w:r>
    </w:p>
    <w:p w14:paraId="2B9C497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3、乙方提供不符合响应文件和本合同规定的服务成果，甲方有权拒绝接受。</w:t>
      </w:r>
    </w:p>
    <w:p w14:paraId="13CF3A1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完成服务后应及时书面通知甲方进行验收，甲方应在收到通知后七个工作日内进行验收，逾期不开始验收的，乙方可视同验收合格。验收合格后由甲乙双方签署验收单并加盖甲方公章，甲乙双方各执一份。</w:t>
      </w:r>
    </w:p>
    <w:p w14:paraId="5962426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5、甲乙双方应按照《广西壮族自治区政府采购项目履约验收管理办法》、双方合同、响应文件验收。</w:t>
      </w:r>
    </w:p>
    <w:p w14:paraId="5C23EE7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4B0F726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7、甲方验收时以书面形式提出异议的，乙方应自收到甲方书面异议后五个工作日内及时予以解决，否则甲方有权不出具服务验收合格单。</w:t>
      </w:r>
    </w:p>
    <w:p w14:paraId="3D95E611">
      <w:pPr>
        <w:snapToGrid w:val="0"/>
        <w:spacing w:line="460" w:lineRule="exact"/>
        <w:ind w:firstLine="482" w:firstLineChars="200"/>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第五条  服务</w:t>
      </w:r>
      <w:r>
        <w:rPr>
          <w:rFonts w:hint="eastAsia" w:ascii="宋体" w:hAnsi="宋体" w:cs="宋体"/>
          <w:b/>
          <w:color w:val="auto"/>
          <w:sz w:val="24"/>
          <w:highlight w:val="none"/>
          <w:lang w:val="en-US" w:eastAsia="zh-CN"/>
        </w:rPr>
        <w:t>要求</w:t>
      </w:r>
    </w:p>
    <w:p w14:paraId="08C4AAE5">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1、乙方应按照国家有关法律法规以及</w:t>
      </w:r>
      <w:r>
        <w:rPr>
          <w:rFonts w:hint="eastAsia" w:ascii="宋体" w:hAnsi="宋体" w:cs="宋体"/>
          <w:b w:val="0"/>
          <w:bCs/>
          <w:color w:val="auto"/>
          <w:sz w:val="24"/>
          <w:highlight w:val="none"/>
          <w:lang w:val="en-US" w:eastAsia="zh-CN"/>
        </w:rPr>
        <w:t>磋商</w:t>
      </w:r>
      <w:r>
        <w:rPr>
          <w:rFonts w:hint="eastAsia" w:ascii="宋体" w:hAnsi="宋体" w:cs="宋体"/>
          <w:b w:val="0"/>
          <w:bCs/>
          <w:color w:val="auto"/>
          <w:sz w:val="24"/>
          <w:highlight w:val="none"/>
        </w:rPr>
        <w:t>文件和本合同所附的</w:t>
      </w:r>
      <w:r>
        <w:rPr>
          <w:rFonts w:hint="eastAsia" w:ascii="宋体" w:hAnsi="宋体" w:cs="宋体"/>
          <w:b w:val="0"/>
          <w:bCs/>
          <w:color w:val="auto"/>
          <w:sz w:val="24"/>
          <w:highlight w:val="none"/>
          <w:lang w:val="en-US" w:eastAsia="zh-CN"/>
        </w:rPr>
        <w:t>竞</w:t>
      </w:r>
      <w:r>
        <w:rPr>
          <w:rFonts w:hint="eastAsia" w:ascii="宋体" w:hAnsi="宋体" w:cs="宋体"/>
          <w:b w:val="0"/>
          <w:bCs/>
          <w:color w:val="auto"/>
          <w:sz w:val="24"/>
          <w:highlight w:val="none"/>
        </w:rPr>
        <w:t>标文件内容，为甲方提供服务。</w:t>
      </w:r>
    </w:p>
    <w:p w14:paraId="79227DC3">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2、乙方提供不符合</w:t>
      </w:r>
      <w:r>
        <w:rPr>
          <w:rFonts w:hint="eastAsia" w:ascii="宋体" w:hAnsi="宋体" w:cs="宋体"/>
          <w:b w:val="0"/>
          <w:bCs/>
          <w:color w:val="auto"/>
          <w:sz w:val="24"/>
          <w:highlight w:val="none"/>
          <w:lang w:val="en-US" w:eastAsia="zh-CN"/>
        </w:rPr>
        <w:t>磋商</w:t>
      </w:r>
      <w:r>
        <w:rPr>
          <w:rFonts w:hint="eastAsia" w:ascii="宋体" w:hAnsi="宋体" w:cs="宋体"/>
          <w:b w:val="0"/>
          <w:bCs/>
          <w:color w:val="auto"/>
          <w:sz w:val="24"/>
          <w:highlight w:val="none"/>
        </w:rPr>
        <w:t>文件、</w:t>
      </w:r>
      <w:r>
        <w:rPr>
          <w:rFonts w:hint="eastAsia" w:ascii="宋体" w:hAnsi="宋体" w:cs="宋体"/>
          <w:b w:val="0"/>
          <w:bCs/>
          <w:color w:val="auto"/>
          <w:sz w:val="24"/>
          <w:highlight w:val="none"/>
          <w:lang w:val="en-US" w:eastAsia="zh-CN"/>
        </w:rPr>
        <w:t>竞</w:t>
      </w:r>
      <w:r>
        <w:rPr>
          <w:rFonts w:hint="eastAsia" w:ascii="宋体" w:hAnsi="宋体" w:cs="宋体"/>
          <w:b w:val="0"/>
          <w:bCs/>
          <w:color w:val="auto"/>
          <w:sz w:val="24"/>
          <w:highlight w:val="none"/>
        </w:rPr>
        <w:t>标文件和本合同规定的服务成果，甲方有权拒绝接受。</w:t>
      </w:r>
    </w:p>
    <w:p w14:paraId="48C214B6">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第六条　付款方式：</w:t>
      </w:r>
    </w:p>
    <w:p w14:paraId="23E0E079">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本项目按实际结算，</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次</w:t>
      </w:r>
      <w:r>
        <w:rPr>
          <w:rFonts w:hint="eastAsia" w:ascii="宋体" w:hAnsi="宋体" w:cs="宋体"/>
          <w:color w:val="auto"/>
          <w:sz w:val="24"/>
          <w:highlight w:val="none"/>
          <w:lang w:val="en-US" w:eastAsia="zh-CN"/>
        </w:rPr>
        <w:t>性付款</w:t>
      </w:r>
      <w:r>
        <w:rPr>
          <w:rFonts w:hint="eastAsia" w:ascii="宋体" w:hAnsi="宋体" w:cs="宋体"/>
          <w:color w:val="auto"/>
          <w:sz w:val="24"/>
          <w:highlight w:val="none"/>
        </w:rPr>
        <w:t>。</w:t>
      </w:r>
    </w:p>
    <w:p w14:paraId="6ED93966">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2、乙方</w:t>
      </w:r>
      <w:r>
        <w:rPr>
          <w:rFonts w:hint="eastAsia" w:ascii="宋体" w:hAnsi="宋体" w:cs="宋体"/>
          <w:color w:val="auto"/>
          <w:sz w:val="24"/>
          <w:highlight w:val="none"/>
        </w:rPr>
        <w:t>完成健康体检并向</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指定部门提交相关健康体检报告及统计汇总材料，</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人事处与</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核对已参加体检人数及体检项目无问题后，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财务按当年实际体检人数乘以</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单价进行结算，若当年有违约金、赔偿金等扣款，则按合同约定扣除该部分服务费后再支付给</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w:t>
      </w:r>
    </w:p>
    <w:p w14:paraId="162E340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lang w:val="en-US" w:eastAsia="zh-CN"/>
        </w:rPr>
        <w:t>3、乙方</w:t>
      </w:r>
      <w:r>
        <w:rPr>
          <w:rFonts w:hint="eastAsia" w:ascii="宋体" w:hAnsi="宋体" w:cs="宋体"/>
          <w:color w:val="auto"/>
          <w:sz w:val="24"/>
          <w:highlight w:val="none"/>
        </w:rPr>
        <w:t>需在付款前开具正式发票给</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w:t>
      </w:r>
    </w:p>
    <w:p w14:paraId="6C2A93BA">
      <w:pPr>
        <w:snapToGrid w:val="0"/>
        <w:spacing w:line="400" w:lineRule="exact"/>
        <w:ind w:left="-61" w:firstLine="514"/>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 xml:space="preserve"> </w:t>
      </w:r>
      <w:r>
        <w:rPr>
          <w:rFonts w:hint="eastAsia" w:ascii="宋体" w:hAnsi="宋体" w:cs="宋体"/>
          <w:b/>
          <w:bCs w:val="0"/>
          <w:color w:val="auto"/>
          <w:sz w:val="24"/>
          <w:highlight w:val="none"/>
        </w:rPr>
        <w:t>第七条</w:t>
      </w:r>
      <w:r>
        <w:rPr>
          <w:rFonts w:hint="eastAsia" w:ascii="宋体" w:hAnsi="宋体" w:cs="宋体"/>
          <w:b/>
          <w:bCs w:val="0"/>
          <w:color w:val="auto"/>
          <w:sz w:val="24"/>
          <w:highlight w:val="none"/>
          <w:u w:val="none"/>
          <w:lang w:val="en-US" w:eastAsia="zh-CN"/>
        </w:rPr>
        <w:t xml:space="preserve"> 履约保证金</w:t>
      </w:r>
    </w:p>
    <w:p w14:paraId="4DE93D74">
      <w:pPr>
        <w:keepNext w:val="0"/>
        <w:keepLines w:val="0"/>
        <w:pageBreakBefore w:val="0"/>
        <w:widowControl w:val="0"/>
        <w:kinsoku/>
        <w:wordWrap/>
        <w:overflowPunct/>
        <w:topLinePunct w:val="0"/>
        <w:autoSpaceDE/>
        <w:autoSpaceDN/>
        <w:bidi w:val="0"/>
        <w:adjustRightInd/>
        <w:snapToGrid w:val="0"/>
        <w:spacing w:line="460" w:lineRule="exact"/>
        <w:ind w:left="-62" w:firstLine="516"/>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 xml:space="preserve"> 在合同签订后五个工作日内，乙方按本合同合计金额    %（如乙方为中小企业按2%）比例向甲方提交履约保证金（即大写：                  小写：                ）。履约保证金账户：</w:t>
      </w:r>
    </w:p>
    <w:p w14:paraId="67944C39">
      <w:pPr>
        <w:keepNext w:val="0"/>
        <w:keepLines w:val="0"/>
        <w:pageBreakBefore w:val="0"/>
        <w:widowControl w:val="0"/>
        <w:kinsoku/>
        <w:wordWrap/>
        <w:overflowPunct/>
        <w:topLinePunct w:val="0"/>
        <w:autoSpaceDE/>
        <w:autoSpaceDN/>
        <w:bidi w:val="0"/>
        <w:adjustRightInd/>
        <w:snapToGrid w:val="0"/>
        <w:spacing w:line="460" w:lineRule="exact"/>
        <w:ind w:left="-62" w:firstLine="516"/>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开户名称：广西民族大学</w:t>
      </w:r>
    </w:p>
    <w:p w14:paraId="61C6A1EE">
      <w:pPr>
        <w:keepNext w:val="0"/>
        <w:keepLines w:val="0"/>
        <w:pageBreakBefore w:val="0"/>
        <w:widowControl w:val="0"/>
        <w:kinsoku/>
        <w:wordWrap/>
        <w:overflowPunct/>
        <w:topLinePunct w:val="0"/>
        <w:autoSpaceDE/>
        <w:autoSpaceDN/>
        <w:bidi w:val="0"/>
        <w:adjustRightInd/>
        <w:snapToGrid w:val="0"/>
        <w:spacing w:line="460" w:lineRule="exact"/>
        <w:ind w:left="-62" w:firstLine="516"/>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开户银行：工行广西南宁市西乡塘支行</w:t>
      </w:r>
    </w:p>
    <w:p w14:paraId="7CF67D19">
      <w:pPr>
        <w:keepNext w:val="0"/>
        <w:keepLines w:val="0"/>
        <w:pageBreakBefore w:val="0"/>
        <w:widowControl w:val="0"/>
        <w:kinsoku/>
        <w:wordWrap/>
        <w:overflowPunct/>
        <w:topLinePunct w:val="0"/>
        <w:autoSpaceDE/>
        <w:autoSpaceDN/>
        <w:bidi w:val="0"/>
        <w:adjustRightInd/>
        <w:snapToGrid w:val="0"/>
        <w:spacing w:line="460" w:lineRule="exact"/>
        <w:ind w:left="-62" w:firstLine="516"/>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银行账号：2102 1113 0924 9010 118</w:t>
      </w:r>
    </w:p>
    <w:p w14:paraId="63497378">
      <w:pPr>
        <w:keepNext w:val="0"/>
        <w:keepLines w:val="0"/>
        <w:pageBreakBefore w:val="0"/>
        <w:widowControl w:val="0"/>
        <w:kinsoku/>
        <w:wordWrap/>
        <w:overflowPunct/>
        <w:topLinePunct w:val="0"/>
        <w:autoSpaceDE/>
        <w:autoSpaceDN/>
        <w:bidi w:val="0"/>
        <w:adjustRightInd/>
        <w:snapToGrid w:val="0"/>
        <w:spacing w:line="460" w:lineRule="exact"/>
        <w:ind w:left="-62" w:firstLine="516"/>
        <w:textAlignment w:val="auto"/>
        <w:rPr>
          <w:rFonts w:hint="default" w:ascii="宋体" w:hAnsi="宋体" w:cs="宋体"/>
          <w:color w:val="auto"/>
          <w:sz w:val="24"/>
          <w:highlight w:val="none"/>
          <w:u w:val="none"/>
          <w:lang w:val="en-US" w:eastAsia="zh-CN"/>
        </w:rPr>
      </w:pPr>
      <w:r>
        <w:rPr>
          <w:rFonts w:hint="default" w:ascii="宋体" w:hAnsi="宋体" w:cs="宋体"/>
          <w:color w:val="auto"/>
          <w:sz w:val="24"/>
          <w:highlight w:val="none"/>
          <w:u w:val="none"/>
          <w:lang w:val="en-US" w:eastAsia="zh-CN"/>
        </w:rPr>
        <w:t>履约保证金转账时请备注：202</w:t>
      </w:r>
      <w:r>
        <w:rPr>
          <w:rFonts w:hint="eastAsia" w:ascii="宋体" w:hAnsi="宋体" w:cs="宋体"/>
          <w:color w:val="auto"/>
          <w:sz w:val="24"/>
          <w:highlight w:val="none"/>
          <w:u w:val="none"/>
          <w:lang w:val="en-US" w:eastAsia="zh-CN"/>
        </w:rPr>
        <w:t>5</w:t>
      </w:r>
      <w:r>
        <w:rPr>
          <w:rFonts w:hint="default" w:ascii="宋体" w:hAnsi="宋体" w:cs="宋体"/>
          <w:color w:val="auto"/>
          <w:sz w:val="24"/>
          <w:highlight w:val="none"/>
          <w:u w:val="none"/>
          <w:lang w:val="en-US" w:eastAsia="zh-CN"/>
        </w:rPr>
        <w:t>年教职工健康体检服务采购履约金。</w:t>
      </w:r>
    </w:p>
    <w:p w14:paraId="1FDB1807">
      <w:pPr>
        <w:keepNext w:val="0"/>
        <w:keepLines w:val="0"/>
        <w:pageBreakBefore w:val="0"/>
        <w:widowControl w:val="0"/>
        <w:kinsoku/>
        <w:wordWrap/>
        <w:overflowPunct/>
        <w:topLinePunct w:val="0"/>
        <w:autoSpaceDE/>
        <w:autoSpaceDN/>
        <w:bidi w:val="0"/>
        <w:adjustRightInd/>
        <w:snapToGrid w:val="0"/>
        <w:spacing w:line="460" w:lineRule="exact"/>
        <w:ind w:left="-62" w:firstLine="516"/>
        <w:textAlignment w:val="auto"/>
        <w:rPr>
          <w:rFonts w:hint="default" w:ascii="宋体" w:hAnsi="宋体" w:cs="宋体"/>
          <w:color w:val="auto"/>
          <w:sz w:val="24"/>
          <w:highlight w:val="none"/>
          <w:u w:val="none"/>
          <w:lang w:val="en-US" w:eastAsia="zh-CN"/>
        </w:rPr>
      </w:pPr>
      <w:r>
        <w:rPr>
          <w:rFonts w:hint="default" w:ascii="宋体" w:hAnsi="宋体" w:cs="宋体"/>
          <w:color w:val="auto"/>
          <w:sz w:val="24"/>
          <w:highlight w:val="none"/>
          <w:u w:val="none"/>
          <w:lang w:val="en-US" w:eastAsia="zh-CN"/>
        </w:rPr>
        <w:t>甲方在项目验收合格后，五个工作日内无息退还履约保证金。下列情况因履约保证金不 能退还或另行处理，所产生的后果由乙方负责：</w:t>
      </w:r>
    </w:p>
    <w:p w14:paraId="36A12B9C">
      <w:pPr>
        <w:keepNext w:val="0"/>
        <w:keepLines w:val="0"/>
        <w:pageBreakBefore w:val="0"/>
        <w:widowControl w:val="0"/>
        <w:kinsoku/>
        <w:wordWrap/>
        <w:overflowPunct/>
        <w:topLinePunct w:val="0"/>
        <w:autoSpaceDE/>
        <w:autoSpaceDN/>
        <w:bidi w:val="0"/>
        <w:adjustRightInd/>
        <w:snapToGrid w:val="0"/>
        <w:spacing w:line="460" w:lineRule="exact"/>
        <w:ind w:left="-62" w:firstLine="516"/>
        <w:textAlignment w:val="auto"/>
        <w:rPr>
          <w:rFonts w:hint="default" w:ascii="宋体" w:hAnsi="宋体" w:cs="宋体"/>
          <w:color w:val="auto"/>
          <w:sz w:val="24"/>
          <w:highlight w:val="none"/>
          <w:u w:val="none"/>
          <w:lang w:val="en-US" w:eastAsia="zh-CN"/>
        </w:rPr>
      </w:pPr>
      <w:r>
        <w:rPr>
          <w:rFonts w:hint="default" w:ascii="宋体" w:hAnsi="宋体" w:cs="宋体"/>
          <w:color w:val="auto"/>
          <w:sz w:val="24"/>
          <w:highlight w:val="none"/>
          <w:u w:val="none"/>
          <w:lang w:val="en-US" w:eastAsia="zh-CN"/>
        </w:rPr>
        <w:t>⑴在项目验收合格后，乙方未提交退还履约保证金申请，经甲方通知乙方（合同指定联系人:          ,联系电话：        ）后五个工作日内，乙方不提出退还申请的，乙方变更单位名称、联系方式等不及时告知甲方并提供相关变更材料，造成甲方无法通知乙方的，视乙方自动放弃领回履约保证金权利，甲方有权对履约保证金进行另外处置。</w:t>
      </w:r>
    </w:p>
    <w:p w14:paraId="02F6B626">
      <w:pPr>
        <w:keepNext w:val="0"/>
        <w:keepLines w:val="0"/>
        <w:pageBreakBefore w:val="0"/>
        <w:widowControl w:val="0"/>
        <w:kinsoku/>
        <w:wordWrap/>
        <w:overflowPunct/>
        <w:topLinePunct w:val="0"/>
        <w:autoSpaceDE/>
        <w:autoSpaceDN/>
        <w:bidi w:val="0"/>
        <w:adjustRightInd/>
        <w:snapToGrid w:val="0"/>
        <w:spacing w:line="460" w:lineRule="exact"/>
        <w:ind w:left="-62" w:firstLine="516"/>
        <w:textAlignment w:val="auto"/>
        <w:rPr>
          <w:rFonts w:hint="default" w:eastAsia="宋体"/>
          <w:bCs/>
          <w:color w:val="auto"/>
          <w:highlight w:val="none"/>
          <w:lang w:val="en-US" w:eastAsia="zh-CN"/>
        </w:rPr>
      </w:pPr>
      <w:r>
        <w:rPr>
          <w:rFonts w:hint="default" w:ascii="宋体" w:hAnsi="宋体" w:cs="宋体"/>
          <w:color w:val="auto"/>
          <w:sz w:val="24"/>
          <w:highlight w:val="none"/>
          <w:u w:val="none"/>
          <w:lang w:val="en-US" w:eastAsia="zh-CN"/>
        </w:rPr>
        <w:t>⑵其他因乙方原因导致履约保证金无法按时退回的情形。</w:t>
      </w:r>
    </w:p>
    <w:p w14:paraId="15F349B0">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条  税费</w:t>
      </w:r>
    </w:p>
    <w:p w14:paraId="41EB067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w:t>
      </w:r>
    </w:p>
    <w:p w14:paraId="689DC6D7">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条　违约责任</w:t>
      </w:r>
    </w:p>
    <w:p w14:paraId="44A27727">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1、除不可抗力原因外，乙方没有按照合同约定的时间提供服务的，甲方可要求乙方支付违约金。每逾期一天按合同金额的万分之五支付违约金，该违约金累计不超过合同金额的10%。                                  </w:t>
      </w:r>
    </w:p>
    <w:p w14:paraId="4F3E088D">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2、乙方提供的服务如侵犯了第三方合法权益而引发的任何纠纷或者诉讼，均由乙方负责交涉并承担全部责任。</w:t>
      </w:r>
    </w:p>
    <w:p w14:paraId="516333C8">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3、甲方延期付款的，每逾期一天向乙方偿付逾期款额万分之五违约金，但违约金累计不得超过延期款额5%。</w:t>
      </w:r>
    </w:p>
    <w:p w14:paraId="4732FD27">
      <w:pPr>
        <w:widowControl/>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乙方不得将项目全部或部分进行转包、分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p w14:paraId="7305055A">
      <w:pPr>
        <w:widowControl/>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5、乙方支付的违约金不足以弥补甲方损失的，应承担赔偿责任，甲方有权继续向乙方追偿。</w:t>
      </w:r>
    </w:p>
    <w:p w14:paraId="1DCDB714">
      <w:pPr>
        <w:widowControl/>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本合同所称的甲方经济损失或者甲方损失，包括甲方遭受的全部直接经济损失及为此支出的合理费用（包括不限于为此支出的调查费、诉讼费、保全费、律师费、差旅费等）。乙方应支付给甲方的违约金或赔偿金，甲方有权从任何应支付未支付给乙方的款项中直接抵扣。</w:t>
      </w:r>
    </w:p>
    <w:p w14:paraId="49727639">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rPr>
        <w:t>条  不可抗力事件处理</w:t>
      </w:r>
    </w:p>
    <w:p w14:paraId="490C1B3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14:paraId="53DF221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2、不可抗力事件发生后，应立即通知对方，并寄送有关权威机构出具的证明。</w:t>
      </w:r>
    </w:p>
    <w:p w14:paraId="56F4349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0E5370FB">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一</w:t>
      </w:r>
      <w:r>
        <w:rPr>
          <w:rFonts w:hint="eastAsia" w:ascii="宋体" w:hAnsi="宋体" w:cs="宋体"/>
          <w:b/>
          <w:color w:val="auto"/>
          <w:sz w:val="24"/>
          <w:highlight w:val="none"/>
        </w:rPr>
        <w:t>条  合同争议解决</w:t>
      </w:r>
    </w:p>
    <w:p w14:paraId="704BC22F">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1、因服务质量问题发生争议的，应邀请国家认可的质量检测机构进行鉴定。服务符合标准的，鉴定费由甲方承担；服务不符合标准的，鉴定费由乙方承担。</w:t>
      </w:r>
    </w:p>
    <w:p w14:paraId="06CA6713">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2、因履行本合同引起的或者与本合同有关的争议，甲乙双方应首先通过友好协商解决，如果协商不能解决，可向甲方所在地有管辖权的人民法院提起诉讼。</w:t>
      </w:r>
    </w:p>
    <w:p w14:paraId="57942D00">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3、诉讼期间，本合同继续履行。</w:t>
      </w:r>
    </w:p>
    <w:p w14:paraId="431617D7">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rPr>
        <w:t>条  合同生效及其它</w:t>
      </w:r>
    </w:p>
    <w:p w14:paraId="39A9507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1、合同经双方法定代表人或者授权代表签字并加盖单位公章后生效（委托代理人签字的需后附授权委托书，格式自拟）。</w:t>
      </w:r>
    </w:p>
    <w:p w14:paraId="6AA1C4B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2、合同执行中涉及采购资金和采购内容修改或者补充的，须经财政部门审批，并签书面补充协议报财政部门备案，方可作为主合同不可分割的一部分。</w:t>
      </w:r>
    </w:p>
    <w:p w14:paraId="2816B68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3、本合同未尽事宜，遵照《中华人民共和国民法典》有关条文执行。</w:t>
      </w:r>
    </w:p>
    <w:p w14:paraId="7299BA2F">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条　合同的变更、终止与转让</w:t>
      </w:r>
    </w:p>
    <w:p w14:paraId="0B6E8B2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0750682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2、乙方不得擅自转让其应履行的合同义务。</w:t>
      </w:r>
    </w:p>
    <w:p w14:paraId="401CE212">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条　签订本合同依据</w:t>
      </w:r>
    </w:p>
    <w:p w14:paraId="0AED32E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1、成交通知书</w:t>
      </w:r>
    </w:p>
    <w:p w14:paraId="7255D22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2、采购需求</w:t>
      </w:r>
    </w:p>
    <w:p w14:paraId="4F88714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3、竞标声明</w:t>
      </w:r>
    </w:p>
    <w:p w14:paraId="0C1D4F9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4、竞标报价表和最终报价表</w:t>
      </w:r>
    </w:p>
    <w:p w14:paraId="63CD38C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5、技术要求偏离表</w:t>
      </w:r>
    </w:p>
    <w:p w14:paraId="381B0EA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6、商务要求偏离表</w:t>
      </w:r>
    </w:p>
    <w:p w14:paraId="01DA3D8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7、响应文件中的其他相关文件。</w:t>
      </w:r>
    </w:p>
    <w:p w14:paraId="26486FE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8、上述合同文件互相补充和解释。如果合同文件之间存在矛盾或者不一致之处，以上述文件的排列顺序在先者为准。</w:t>
      </w:r>
    </w:p>
    <w:p w14:paraId="68E03FA5">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条　</w:t>
      </w:r>
      <w:r>
        <w:rPr>
          <w:rFonts w:hint="eastAsia" w:ascii="宋体" w:hAnsi="宋体" w:cs="宋体"/>
          <w:color w:val="auto"/>
          <w:sz w:val="24"/>
          <w:highlight w:val="none"/>
        </w:rPr>
        <w:t>本合同一式</w:t>
      </w:r>
      <w:r>
        <w:rPr>
          <w:rFonts w:hint="eastAsia" w:ascii="宋体" w:hAnsi="宋体" w:cs="宋体"/>
          <w:color w:val="auto"/>
          <w:sz w:val="24"/>
          <w:highlight w:val="none"/>
          <w:lang w:eastAsia="zh-CN"/>
        </w:rPr>
        <w:t>陆</w:t>
      </w:r>
      <w:r>
        <w:rPr>
          <w:rFonts w:hint="eastAsia" w:ascii="宋体" w:hAnsi="宋体" w:cs="宋体"/>
          <w:color w:val="auto"/>
          <w:sz w:val="24"/>
          <w:highlight w:val="none"/>
        </w:rPr>
        <w:t>份，具有同等法律效力，甲乙双方各贰份，采购代理机构</w:t>
      </w:r>
      <w:r>
        <w:rPr>
          <w:rFonts w:hint="eastAsia" w:ascii="宋体" w:hAnsi="宋体" w:cs="宋体"/>
          <w:color w:val="auto"/>
          <w:sz w:val="24"/>
          <w:highlight w:val="none"/>
          <w:lang w:eastAsia="zh-CN"/>
        </w:rPr>
        <w:t>贰</w:t>
      </w:r>
      <w:r>
        <w:rPr>
          <w:rFonts w:hint="eastAsia" w:ascii="宋体" w:hAnsi="宋体" w:cs="宋体"/>
          <w:color w:val="auto"/>
          <w:sz w:val="24"/>
          <w:highlight w:val="none"/>
        </w:rPr>
        <w:t>份（可根据需要另增加）。</w:t>
      </w:r>
    </w:p>
    <w:p w14:paraId="7A1DEAE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本合同甲乙双方签字盖章后生效，本合同自签订之日起2个工作日内，甲方应当将采购合同在广西壮族自治区财政厅指定的媒体上公告。</w:t>
      </w:r>
    </w:p>
    <w:tbl>
      <w:tblPr>
        <w:tblStyle w:val="27"/>
        <w:tblpPr w:leftFromText="180" w:rightFromText="180" w:vertAnchor="text" w:horzAnchor="margin" w:tblpXSpec="center" w:tblpY="21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9"/>
        <w:gridCol w:w="4570"/>
      </w:tblGrid>
      <w:tr w14:paraId="2892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569" w:type="dxa"/>
            <w:tcBorders>
              <w:top w:val="single" w:color="auto" w:sz="4" w:space="0"/>
              <w:left w:val="single" w:color="auto" w:sz="4" w:space="0"/>
              <w:bottom w:val="single" w:color="auto" w:sz="4" w:space="0"/>
              <w:right w:val="single" w:color="auto" w:sz="4" w:space="0"/>
            </w:tcBorders>
            <w:vAlign w:val="center"/>
          </w:tcPr>
          <w:p w14:paraId="5160404C">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甲方：（章）</w:t>
            </w:r>
          </w:p>
          <w:p w14:paraId="27E347B7">
            <w:pPr>
              <w:pStyle w:val="77"/>
              <w:spacing w:line="460" w:lineRule="exact"/>
              <w:ind w:firstLine="480"/>
              <w:rPr>
                <w:rFonts w:ascii="宋体" w:hAnsi="宋体" w:cs="宋体"/>
                <w:color w:val="auto"/>
                <w:sz w:val="24"/>
                <w:szCs w:val="24"/>
                <w:highlight w:val="none"/>
              </w:rPr>
            </w:pPr>
          </w:p>
          <w:p w14:paraId="6C35F1C6">
            <w:pPr>
              <w:snapToGrid w:val="0"/>
              <w:spacing w:line="460" w:lineRule="exact"/>
              <w:ind w:firstLine="1080" w:firstLineChars="450"/>
              <w:jc w:val="right"/>
              <w:rPr>
                <w:rFonts w:ascii="宋体" w:hAnsi="宋体" w:cs="宋体"/>
                <w:color w:val="auto"/>
                <w:sz w:val="24"/>
                <w:highlight w:val="none"/>
              </w:rPr>
            </w:pPr>
            <w:r>
              <w:rPr>
                <w:rFonts w:hint="eastAsia" w:ascii="宋体" w:hAnsi="宋体" w:cs="宋体"/>
                <w:color w:val="auto"/>
                <w:sz w:val="24"/>
                <w:highlight w:val="none"/>
              </w:rPr>
              <w:t>年   月   日</w:t>
            </w:r>
          </w:p>
        </w:tc>
        <w:tc>
          <w:tcPr>
            <w:tcW w:w="4570" w:type="dxa"/>
            <w:tcBorders>
              <w:top w:val="single" w:color="auto" w:sz="4" w:space="0"/>
              <w:left w:val="single" w:color="auto" w:sz="4" w:space="0"/>
              <w:bottom w:val="single" w:color="auto" w:sz="4" w:space="0"/>
              <w:right w:val="single" w:color="auto" w:sz="4" w:space="0"/>
            </w:tcBorders>
            <w:vAlign w:val="center"/>
          </w:tcPr>
          <w:p w14:paraId="4A7BD366">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 xml:space="preserve">乙方：（章）       </w:t>
            </w:r>
          </w:p>
          <w:p w14:paraId="01ACBA14">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 xml:space="preserve">  </w:t>
            </w:r>
          </w:p>
          <w:p w14:paraId="292BF0F3">
            <w:pPr>
              <w:snapToGrid w:val="0"/>
              <w:spacing w:line="460" w:lineRule="exact"/>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27CF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569" w:type="dxa"/>
            <w:tcBorders>
              <w:top w:val="single" w:color="auto" w:sz="4" w:space="0"/>
              <w:left w:val="single" w:color="auto" w:sz="4" w:space="0"/>
              <w:bottom w:val="single" w:color="auto" w:sz="4" w:space="0"/>
              <w:right w:val="single" w:color="auto" w:sz="4" w:space="0"/>
            </w:tcBorders>
            <w:vAlign w:val="center"/>
          </w:tcPr>
          <w:p w14:paraId="269EF3BA">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 xml:space="preserve">单位地址： </w:t>
            </w:r>
          </w:p>
        </w:tc>
        <w:tc>
          <w:tcPr>
            <w:tcW w:w="4570" w:type="dxa"/>
            <w:tcBorders>
              <w:top w:val="single" w:color="auto" w:sz="4" w:space="0"/>
              <w:left w:val="single" w:color="auto" w:sz="4" w:space="0"/>
              <w:bottom w:val="single" w:color="auto" w:sz="4" w:space="0"/>
              <w:right w:val="single" w:color="auto" w:sz="4" w:space="0"/>
            </w:tcBorders>
            <w:vAlign w:val="center"/>
          </w:tcPr>
          <w:p w14:paraId="2D640093">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 xml:space="preserve">单位地址： </w:t>
            </w:r>
          </w:p>
        </w:tc>
      </w:tr>
      <w:tr w14:paraId="0BFF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69" w:type="dxa"/>
            <w:tcBorders>
              <w:top w:val="single" w:color="auto" w:sz="4" w:space="0"/>
              <w:left w:val="single" w:color="auto" w:sz="4" w:space="0"/>
              <w:bottom w:val="single" w:color="auto" w:sz="4" w:space="0"/>
              <w:right w:val="single" w:color="auto" w:sz="4" w:space="0"/>
            </w:tcBorders>
            <w:vAlign w:val="center"/>
          </w:tcPr>
          <w:p w14:paraId="3BC482C2">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w:t>
            </w:r>
          </w:p>
          <w:p w14:paraId="4A0F4019">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或委托代理人：</w:t>
            </w:r>
          </w:p>
        </w:tc>
        <w:tc>
          <w:tcPr>
            <w:tcW w:w="4570" w:type="dxa"/>
            <w:tcBorders>
              <w:top w:val="single" w:color="auto" w:sz="4" w:space="0"/>
              <w:left w:val="single" w:color="auto" w:sz="4" w:space="0"/>
              <w:bottom w:val="single" w:color="auto" w:sz="4" w:space="0"/>
              <w:right w:val="single" w:color="auto" w:sz="4" w:space="0"/>
            </w:tcBorders>
            <w:vAlign w:val="center"/>
          </w:tcPr>
          <w:p w14:paraId="65E89EE1">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w:t>
            </w:r>
          </w:p>
          <w:p w14:paraId="25E576A5">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或委托代理人：</w:t>
            </w:r>
          </w:p>
        </w:tc>
      </w:tr>
      <w:tr w14:paraId="7AE0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0F437AC6">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电话：</w:t>
            </w:r>
          </w:p>
        </w:tc>
        <w:tc>
          <w:tcPr>
            <w:tcW w:w="4570" w:type="dxa"/>
            <w:tcBorders>
              <w:top w:val="single" w:color="auto" w:sz="4" w:space="0"/>
              <w:left w:val="single" w:color="auto" w:sz="4" w:space="0"/>
              <w:bottom w:val="single" w:color="auto" w:sz="4" w:space="0"/>
              <w:right w:val="single" w:color="auto" w:sz="4" w:space="0"/>
            </w:tcBorders>
            <w:vAlign w:val="center"/>
          </w:tcPr>
          <w:p w14:paraId="76F878BE">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电话：</w:t>
            </w:r>
          </w:p>
        </w:tc>
      </w:tr>
      <w:tr w14:paraId="2376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240415AC">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 xml:space="preserve">开户银行： </w:t>
            </w:r>
          </w:p>
        </w:tc>
        <w:tc>
          <w:tcPr>
            <w:tcW w:w="4570" w:type="dxa"/>
            <w:tcBorders>
              <w:top w:val="single" w:color="auto" w:sz="4" w:space="0"/>
              <w:left w:val="single" w:color="auto" w:sz="4" w:space="0"/>
              <w:bottom w:val="single" w:color="auto" w:sz="4" w:space="0"/>
              <w:right w:val="single" w:color="auto" w:sz="4" w:space="0"/>
            </w:tcBorders>
            <w:vAlign w:val="center"/>
          </w:tcPr>
          <w:p w14:paraId="068FA91A">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 xml:space="preserve">开户银行： </w:t>
            </w:r>
          </w:p>
        </w:tc>
      </w:tr>
      <w:tr w14:paraId="245E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7F4B82E5">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账号：</w:t>
            </w:r>
          </w:p>
        </w:tc>
        <w:tc>
          <w:tcPr>
            <w:tcW w:w="4570" w:type="dxa"/>
            <w:tcBorders>
              <w:top w:val="single" w:color="auto" w:sz="4" w:space="0"/>
              <w:left w:val="single" w:color="auto" w:sz="4" w:space="0"/>
              <w:bottom w:val="single" w:color="auto" w:sz="4" w:space="0"/>
              <w:right w:val="single" w:color="auto" w:sz="4" w:space="0"/>
            </w:tcBorders>
            <w:vAlign w:val="center"/>
          </w:tcPr>
          <w:p w14:paraId="0FEAC350">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账号：</w:t>
            </w:r>
          </w:p>
        </w:tc>
      </w:tr>
      <w:tr w14:paraId="15B6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4569" w:type="dxa"/>
            <w:tcBorders>
              <w:top w:val="single" w:color="auto" w:sz="4" w:space="0"/>
              <w:left w:val="single" w:color="auto" w:sz="4" w:space="0"/>
              <w:bottom w:val="single" w:color="auto" w:sz="4" w:space="0"/>
              <w:right w:val="single" w:color="auto" w:sz="4" w:space="0"/>
            </w:tcBorders>
            <w:vAlign w:val="center"/>
          </w:tcPr>
          <w:p w14:paraId="0039256B">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邮政编码：</w:t>
            </w:r>
          </w:p>
        </w:tc>
        <w:tc>
          <w:tcPr>
            <w:tcW w:w="4570" w:type="dxa"/>
            <w:tcBorders>
              <w:top w:val="single" w:color="auto" w:sz="4" w:space="0"/>
              <w:left w:val="single" w:color="auto" w:sz="4" w:space="0"/>
              <w:bottom w:val="single" w:color="auto" w:sz="4" w:space="0"/>
              <w:right w:val="single" w:color="auto" w:sz="4" w:space="0"/>
            </w:tcBorders>
            <w:vAlign w:val="center"/>
          </w:tcPr>
          <w:p w14:paraId="45BD9FAF">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邮政编码：</w:t>
            </w:r>
          </w:p>
        </w:tc>
      </w:tr>
    </w:tbl>
    <w:p w14:paraId="0D8CF3BC">
      <w:pPr>
        <w:rPr>
          <w:color w:val="auto"/>
          <w:highlight w:val="none"/>
        </w:rPr>
      </w:pPr>
    </w:p>
    <w:p w14:paraId="391121B8">
      <w:pPr>
        <w:spacing w:line="360" w:lineRule="auto"/>
        <w:jc w:val="center"/>
        <w:rPr>
          <w:rFonts w:hAnsi="宋体"/>
          <w:b/>
          <w:color w:val="auto"/>
          <w:highlight w:val="none"/>
        </w:rPr>
      </w:pPr>
    </w:p>
    <w:sectPr>
      <w:headerReference r:id="rId8" w:type="first"/>
      <w:headerReference r:id="rId6" w:type="default"/>
      <w:footerReference r:id="rId9" w:type="default"/>
      <w:headerReference r:id="rId7" w:type="even"/>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77E9">
    <w:pPr>
      <w:pStyle w:val="18"/>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FB76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2FB76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62045">
    <w:pPr>
      <w:pStyle w:val="18"/>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24640">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F24640">
                    <w:pPr>
                      <w:pStyle w:val="1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D7E21">
    <w:pPr>
      <w:pStyle w:val="18"/>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49737">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F349737">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607A">
    <w:r>
      <w:pict>
        <v:shape id="_x0000_s2049" o:spid="_x0000_s2049" o:spt="136" type="#_x0000_t136" style="position:absolute;left:0pt;margin-left:-58pt;margin-top:61pt;height:12pt;width:116pt;rotation:-2621440f;z-index:25170841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0" o:spid="_x0000_s2050" o:spt="136" type="#_x0000_t136" style="position:absolute;left:0pt;margin-left:-58pt;margin-top:268pt;height:12pt;width:116pt;rotation:-2621440f;z-index:25170944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1" o:spid="_x0000_s2051" o:spt="136" type="#_x0000_t136" style="position:absolute;left:0pt;margin-left:-58pt;margin-top:470pt;height:12pt;width:116pt;rotation:-2621440f;z-index:25171046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2" o:spid="_x0000_s2052" o:spt="136" type="#_x0000_t136" style="position:absolute;left:0pt;margin-left:-58pt;margin-top:662pt;height:12pt;width:116pt;rotation:-2621440f;z-index:25171148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3" o:spid="_x0000_s2053" o:spt="136" type="#_x0000_t136" style="position:absolute;left:0pt;margin-left:146pt;margin-top:67pt;height:12pt;width:116pt;rotation:-2621440f;z-index:25171251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4" o:spid="_x0000_s2054" o:spt="136" type="#_x0000_t136" style="position:absolute;left:0pt;margin-left:146pt;margin-top:260pt;height:12pt;width:116pt;rotation:-2621440f;z-index:25171353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5" o:spid="_x0000_s2055" o:spt="136" type="#_x0000_t136" style="position:absolute;left:0pt;margin-left:146pt;margin-top:464pt;height:12pt;width:116pt;rotation:-2621440f;z-index:25171456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6" o:spid="_x0000_s2056" o:spt="136" type="#_x0000_t136" style="position:absolute;left:0pt;margin-left:146pt;margin-top:657pt;height:12pt;width:116pt;rotation:-2621440f;z-index:25171558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7" o:spid="_x0000_s2057" o:spt="136" type="#_x0000_t136" style="position:absolute;left:0pt;margin-left:345pt;margin-top:62pt;height:12pt;width:116pt;rotation:-2621440f;z-index:25171660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8" o:spid="_x0000_s2058" o:spt="136" type="#_x0000_t136" style="position:absolute;left:0pt;margin-left:345pt;margin-top:266pt;height:12pt;width:116pt;rotation:-2621440f;z-index:25171763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9" o:spid="_x0000_s2059" o:spt="136" type="#_x0000_t136" style="position:absolute;left:0pt;margin-left:345pt;margin-top:468pt;height:12pt;width:116pt;rotation:-2621440f;z-index:25171865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60" o:spid="_x0000_s2060" o:spt="136" type="#_x0000_t136" style="position:absolute;left:0pt;margin-left:345pt;margin-top:669pt;height:12pt;width:116pt;rotation:-2621440f;z-index:25171968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61" o:spid="_x0000_s2061" o:spt="136" type="#_x0000_t136" style="position:absolute;left:0pt;margin-left:543pt;margin-top:60pt;height:12pt;width:116pt;rotation:-2621440f;z-index:25172070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62" o:spid="_x0000_s2062" o:spt="136" type="#_x0000_t136" style="position:absolute;left:0pt;margin-left:543pt;margin-top:259pt;height:12pt;width:116pt;rotation:-2621440f;z-index:25172172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63" o:spid="_x0000_s2063" o:spt="136" type="#_x0000_t136" style="position:absolute;left:0pt;margin-left:543pt;margin-top:469pt;height:12pt;width:116pt;rotation:-2621440f;z-index:25172275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64" o:spid="_x0000_s2064" o:spt="136" type="#_x0000_t136" style="position:absolute;left:0pt;margin-left:543pt;margin-top:666pt;height:12pt;width:116pt;rotation:-2621440f;z-index:25172377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p>
  <w:p w14:paraId="3E8D62DA">
    <w:r>
      <w:pict>
        <v:shape id="_x0000_s2065" o:spid="_x0000_s2065" o:spt="136" type="#_x0000_t136" style="position:absolute;left:0pt;margin-left:-46pt;margin-top:60pt;height:12pt;width:116pt;rotation:-2621440f;z-index:25165926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66" o:spid="_x0000_s2066" o:spt="136" type="#_x0000_t136" style="position:absolute;left:0pt;margin-left:-46pt;margin-top:263pt;height:12pt;width:116pt;rotation:-2621440f;z-index:25166028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67" o:spid="_x0000_s2067" o:spt="136" type="#_x0000_t136" style="position:absolute;left:0pt;margin-left:-46pt;margin-top:460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68" o:spid="_x0000_s2068" o:spt="136" type="#_x0000_t136" style="position:absolute;left:0pt;margin-left:-46pt;margin-top:657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69" o:spid="_x0000_s2069" o:spt="136" type="#_x0000_t136" style="position:absolute;left:0pt;margin-left:153pt;margin-top:55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0" o:spid="_x0000_s2070" o:spt="136" type="#_x0000_t136" style="position:absolute;left:0pt;margin-left:153pt;margin-top:256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1" o:spid="_x0000_s2071" o:spt="136" type="#_x0000_t136" style="position:absolute;left:0pt;margin-left:153pt;margin-top:459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2" o:spid="_x0000_s2072" o:spt="136" type="#_x0000_t136" style="position:absolute;left:0pt;margin-left:153pt;margin-top:665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3" o:spid="_x0000_s2073" o:spt="136" type="#_x0000_t136" style="position:absolute;left:0pt;margin-left:351pt;margin-top:65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4" o:spid="_x0000_s2074" o:spt="136" type="#_x0000_t136" style="position:absolute;left:0pt;margin-left:351pt;margin-top:258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5" o:spid="_x0000_s2075" o:spt="136" type="#_x0000_t136" style="position:absolute;left:0pt;margin-left:351pt;margin-top:458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6" o:spid="_x0000_s2076" o:spt="136" type="#_x0000_t136" style="position:absolute;left:0pt;margin-left:351pt;margin-top:663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7" o:spid="_x0000_s2077" o:spt="136" type="#_x0000_t136" style="position:absolute;left:0pt;margin-left:552pt;margin-top:64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8" o:spid="_x0000_s2078" o:spt="136" type="#_x0000_t136" style="position:absolute;left:0pt;margin-left:552pt;margin-top:270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9" o:spid="_x0000_s2079" o:spt="136" type="#_x0000_t136" style="position:absolute;left:0pt;margin-left:552pt;margin-top:459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80" o:spid="_x0000_s2080" o:spt="136" type="#_x0000_t136" style="position:absolute;left:0pt;margin-left:552pt;margin-top:662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95FD">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C57A4">
    <w:r>
      <w:pict>
        <v:shape id="_x0000_s2147" o:spid="_x0000_s2147" o:spt="136" type="#_x0000_t136" style="position:absolute;left:0pt;margin-left:-58pt;margin-top:61pt;height:12pt;width:116pt;rotation:-2621440f;z-index:25174118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48" o:spid="_x0000_s2148" o:spt="136" type="#_x0000_t136" style="position:absolute;left:0pt;margin-left:-58pt;margin-top:268pt;height:12pt;width:116pt;rotation:-2621440f;z-index:25174220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49" o:spid="_x0000_s2149" o:spt="136" type="#_x0000_t136" style="position:absolute;left:0pt;margin-left:-58pt;margin-top:470pt;height:12pt;width:116pt;rotation:-2621440f;z-index:25174323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0" o:spid="_x0000_s2150" o:spt="136" type="#_x0000_t136" style="position:absolute;left:0pt;margin-left:-58pt;margin-top:662pt;height:12pt;width:116pt;rotation:-2621440f;z-index:25174425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1" o:spid="_x0000_s2151" o:spt="136" type="#_x0000_t136" style="position:absolute;left:0pt;margin-left:146pt;margin-top:67pt;height:12pt;width:116pt;rotation:-2621440f;z-index:25174528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2" o:spid="_x0000_s2152" o:spt="136" type="#_x0000_t136" style="position:absolute;left:0pt;margin-left:146pt;margin-top:260pt;height:12pt;width:116pt;rotation:-2621440f;z-index:25174630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3" o:spid="_x0000_s2153" o:spt="136" type="#_x0000_t136" style="position:absolute;left:0pt;margin-left:146pt;margin-top:464pt;height:12pt;width:116pt;rotation:-2621440f;z-index:25174732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4" o:spid="_x0000_s2154" o:spt="136" type="#_x0000_t136" style="position:absolute;left:0pt;margin-left:146pt;margin-top:657pt;height:12pt;width:116pt;rotation:-2621440f;z-index:25174835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5" o:spid="_x0000_s2155" o:spt="136" type="#_x0000_t136" style="position:absolute;left:0pt;margin-left:345pt;margin-top:62pt;height:12pt;width:116pt;rotation:-2621440f;z-index:25174937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6" o:spid="_x0000_s2156" o:spt="136" type="#_x0000_t136" style="position:absolute;left:0pt;margin-left:345pt;margin-top:266pt;height:12pt;width:116pt;rotation:-2621440f;z-index:25175040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7" o:spid="_x0000_s2157" o:spt="136" type="#_x0000_t136" style="position:absolute;left:0pt;margin-left:345pt;margin-top:468pt;height:12pt;width:116pt;rotation:-2621440f;z-index:25175142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8" o:spid="_x0000_s2158" o:spt="136" type="#_x0000_t136" style="position:absolute;left:0pt;margin-left:345pt;margin-top:669pt;height:12pt;width:116pt;rotation:-2621440f;z-index:25175244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9" o:spid="_x0000_s2159" o:spt="136" type="#_x0000_t136" style="position:absolute;left:0pt;margin-left:543pt;margin-top:60pt;height:12pt;width:116pt;rotation:-2621440f;z-index:25175347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60" o:spid="_x0000_s2160" o:spt="136" type="#_x0000_t136" style="position:absolute;left:0pt;margin-left:543pt;margin-top:259pt;height:12pt;width:116pt;rotation:-2621440f;z-index:25175449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61" o:spid="_x0000_s2161" o:spt="136" type="#_x0000_t136" style="position:absolute;left:0pt;margin-left:543pt;margin-top:469pt;height:12pt;width:116pt;rotation:-2621440f;z-index:25175552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62" o:spid="_x0000_s2162" o:spt="136" type="#_x0000_t136" style="position:absolute;left:0pt;margin-left:543pt;margin-top:666pt;height:12pt;width:116pt;rotation:-2621440f;z-index:25175654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p>
  <w:p w14:paraId="5F50456D">
    <w:r>
      <w:pict>
        <v:shape id="_x0000_s2163" o:spid="_x0000_s2163" o:spt="136" type="#_x0000_t136" style="position:absolute;left:0pt;margin-left:-46pt;margin-top:60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4" o:spid="_x0000_s2164" o:spt="136" type="#_x0000_t136" style="position:absolute;left:0pt;margin-left:-46pt;margin-top:263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5" o:spid="_x0000_s2165" o:spt="136" type="#_x0000_t136" style="position:absolute;left:0pt;margin-left:-46pt;margin-top:460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6" o:spid="_x0000_s2166" o:spt="136" type="#_x0000_t136" style="position:absolute;left:0pt;margin-left:-46pt;margin-top:657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7" o:spid="_x0000_s2167" o:spt="136" type="#_x0000_t136" style="position:absolute;left:0pt;margin-left:153pt;margin-top:55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8" o:spid="_x0000_s2168" o:spt="136" type="#_x0000_t136" style="position:absolute;left:0pt;margin-left:153pt;margin-top:256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9" o:spid="_x0000_s2169" o:spt="136" type="#_x0000_t136" style="position:absolute;left:0pt;margin-left:153pt;margin-top:459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0" o:spid="_x0000_s2170" o:spt="136" type="#_x0000_t136" style="position:absolute;left:0pt;margin-left:153pt;margin-top:665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1" o:spid="_x0000_s2171" o:spt="136" type="#_x0000_t136" style="position:absolute;left:0pt;margin-left:351pt;margin-top:65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2" o:spid="_x0000_s2172" o:spt="136" type="#_x0000_t136" style="position:absolute;left:0pt;margin-left:351pt;margin-top:258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3" o:spid="_x0000_s2173" o:spt="136" type="#_x0000_t136" style="position:absolute;left:0pt;margin-left:351pt;margin-top:458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4" o:spid="_x0000_s2174" o:spt="136" type="#_x0000_t136" style="position:absolute;left:0pt;margin-left:351pt;margin-top:663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5" o:spid="_x0000_s2175" o:spt="136" type="#_x0000_t136" style="position:absolute;left:0pt;margin-left:552pt;margin-top:64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6" o:spid="_x0000_s2176" o:spt="136" type="#_x0000_t136" style="position:absolute;left:0pt;margin-left:552pt;margin-top:270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7" o:spid="_x0000_s2177" o:spt="136" type="#_x0000_t136" style="position:absolute;left:0pt;margin-left:552pt;margin-top:459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8" o:spid="_x0000_s2178" o:spt="136" type="#_x0000_t136" style="position:absolute;left:0pt;margin-left:552pt;margin-top:662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55B15">
    <w:r>
      <w:pict>
        <v:shape id="_x0000_s2212" o:spid="_x0000_s2212" o:spt="136" type="#_x0000_t136" style="position:absolute;left:0pt;margin-left:-58pt;margin-top:61pt;height:12pt;width:116pt;rotation:-2621440f;z-index:25172480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3" o:spid="_x0000_s2213" o:spt="136" type="#_x0000_t136" style="position:absolute;left:0pt;margin-left:-58pt;margin-top:268pt;height:12pt;width:116pt;rotation:-2621440f;z-index:25172582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4" o:spid="_x0000_s2214" o:spt="136" type="#_x0000_t136" style="position:absolute;left:0pt;margin-left:-58pt;margin-top:470pt;height:12pt;width:116pt;rotation:-2621440f;z-index:25172684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5" o:spid="_x0000_s2215" o:spt="136" type="#_x0000_t136" style="position:absolute;left:0pt;margin-left:-58pt;margin-top:662pt;height:12pt;width:116pt;rotation:-2621440f;z-index:25172787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6" o:spid="_x0000_s2216" o:spt="136" type="#_x0000_t136" style="position:absolute;left:0pt;margin-left:146pt;margin-top:67pt;height:12pt;width:116pt;rotation:-2621440f;z-index:25172889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7" o:spid="_x0000_s2217" o:spt="136" type="#_x0000_t136" style="position:absolute;left:0pt;margin-left:146pt;margin-top:260pt;height:12pt;width:116pt;rotation:-2621440f;z-index:25172992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8" o:spid="_x0000_s2218" o:spt="136" type="#_x0000_t136" style="position:absolute;left:0pt;margin-left:146pt;margin-top:464pt;height:12pt;width:116pt;rotation:-2621440f;z-index:25173094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9" o:spid="_x0000_s2219" o:spt="136" type="#_x0000_t136" style="position:absolute;left:0pt;margin-left:146pt;margin-top:657pt;height:12pt;width:116pt;rotation:-2621440f;z-index:25173196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0" o:spid="_x0000_s2220" o:spt="136" type="#_x0000_t136" style="position:absolute;left:0pt;margin-left:345pt;margin-top:62pt;height:12pt;width:116pt;rotation:-2621440f;z-index:25173299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1" o:spid="_x0000_s2221" o:spt="136" type="#_x0000_t136" style="position:absolute;left:0pt;margin-left:345pt;margin-top:266pt;height:12pt;width:116pt;rotation:-2621440f;z-index:25173401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2" o:spid="_x0000_s2222" o:spt="136" type="#_x0000_t136" style="position:absolute;left:0pt;margin-left:345pt;margin-top:468pt;height:12pt;width:116pt;rotation:-2621440f;z-index:25173504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3" o:spid="_x0000_s2223" o:spt="136" type="#_x0000_t136" style="position:absolute;left:0pt;margin-left:345pt;margin-top:669pt;height:12pt;width:116pt;rotation:-2621440f;z-index:25173606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4" o:spid="_x0000_s2224" o:spt="136" type="#_x0000_t136" style="position:absolute;left:0pt;margin-left:543pt;margin-top:60pt;height:12pt;width:116pt;rotation:-2621440f;z-index:25173708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5" o:spid="_x0000_s2225" o:spt="136" type="#_x0000_t136" style="position:absolute;left:0pt;margin-left:543pt;margin-top:259pt;height:12pt;width:116pt;rotation:-2621440f;z-index:25173811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6" o:spid="_x0000_s2226" o:spt="136" type="#_x0000_t136" style="position:absolute;left:0pt;margin-left:543pt;margin-top:469pt;height:12pt;width:116pt;rotation:-2621440f;z-index:25173913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7" o:spid="_x0000_s2227" o:spt="136" type="#_x0000_t136" style="position:absolute;left:0pt;margin-left:543pt;margin-top:666pt;height:12pt;width:116pt;rotation:-2621440f;z-index:25174016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p>
  <w:p w14:paraId="5CD4E881">
    <w:r>
      <w:pict>
        <v:shape id="_x0000_s2228" o:spid="_x0000_s2228" o:spt="136" type="#_x0000_t136" style="position:absolute;left:0pt;margin-left:-46pt;margin-top:60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29" o:spid="_x0000_s2229" o:spt="136" type="#_x0000_t136" style="position:absolute;left:0pt;margin-left:-46pt;margin-top:263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0" o:spid="_x0000_s2230" o:spt="136" type="#_x0000_t136" style="position:absolute;left:0pt;margin-left:-46pt;margin-top:460pt;height:12pt;width:116pt;rotation:-2621440f;z-index:25169408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1" o:spid="_x0000_s2231" o:spt="136" type="#_x0000_t136" style="position:absolute;left:0pt;margin-left:-46pt;margin-top:657pt;height:12pt;width:116pt;rotation:-2621440f;z-index:25169510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2" o:spid="_x0000_s2232" o:spt="136" type="#_x0000_t136" style="position:absolute;left:0pt;margin-left:153pt;margin-top:55pt;height:12pt;width:116pt;rotation:-2621440f;z-index:25169612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3" o:spid="_x0000_s2233" o:spt="136" type="#_x0000_t136" style="position:absolute;left:0pt;margin-left:153pt;margin-top:256pt;height:12pt;width:116pt;rotation:-2621440f;z-index:25169715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4" o:spid="_x0000_s2234" o:spt="136" type="#_x0000_t136" style="position:absolute;left:0pt;margin-left:153pt;margin-top:459pt;height:12pt;width:116pt;rotation:-2621440f;z-index:25169817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5" o:spid="_x0000_s2235" o:spt="136" type="#_x0000_t136" style="position:absolute;left:0pt;margin-left:153pt;margin-top:665pt;height:12pt;width:116pt;rotation:-2621440f;z-index:25169920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6" o:spid="_x0000_s2236" o:spt="136" type="#_x0000_t136" style="position:absolute;left:0pt;margin-left:351pt;margin-top:65pt;height:12pt;width:116pt;rotation:-2621440f;z-index:25170022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7" o:spid="_x0000_s2237" o:spt="136" type="#_x0000_t136" style="position:absolute;left:0pt;margin-left:351pt;margin-top:258pt;height:12pt;width:116pt;rotation:-2621440f;z-index:25170124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8" o:spid="_x0000_s2238" o:spt="136" type="#_x0000_t136" style="position:absolute;left:0pt;margin-left:351pt;margin-top:458pt;height:12pt;width:116pt;rotation:-2621440f;z-index:25170227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9" o:spid="_x0000_s2239" o:spt="136" type="#_x0000_t136" style="position:absolute;left:0pt;margin-left:351pt;margin-top:663pt;height:12pt;width:116pt;rotation:-2621440f;z-index:25170329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40" o:spid="_x0000_s2240" o:spt="136" type="#_x0000_t136" style="position:absolute;left:0pt;margin-left:552pt;margin-top:64pt;height:12pt;width:116pt;rotation:-2621440f;z-index:25170432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41" o:spid="_x0000_s2241" o:spt="136" type="#_x0000_t136" style="position:absolute;left:0pt;margin-left:552pt;margin-top:270pt;height:12pt;width:116pt;rotation:-2621440f;z-index:25170534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42" o:spid="_x0000_s2242" o:spt="136" type="#_x0000_t136" style="position:absolute;left:0pt;margin-left:552pt;margin-top:459pt;height:12pt;width:116pt;rotation:-2621440f;z-index:25170636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43" o:spid="_x0000_s2243" o:spt="136" type="#_x0000_t136" style="position:absolute;left:0pt;margin-left:552pt;margin-top:662pt;height:12pt;width:116pt;rotation:-2621440f;z-index:25170739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72008"/>
    <w:multiLevelType w:val="singleLevel"/>
    <w:tmpl w:val="C557200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NjgyNjU2OWM5ZThjNWU4MGI3MGZjOWExMDhjMT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6A6"/>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55D3"/>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B48"/>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1B1"/>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DF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2C23"/>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C1F"/>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D72"/>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21C"/>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B9B"/>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07E"/>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5D52"/>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40D7"/>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AF3D99"/>
    <w:rsid w:val="02511F9D"/>
    <w:rsid w:val="029664DC"/>
    <w:rsid w:val="02CB5CAD"/>
    <w:rsid w:val="02D2560D"/>
    <w:rsid w:val="035C6DF3"/>
    <w:rsid w:val="036F6B27"/>
    <w:rsid w:val="03A314B8"/>
    <w:rsid w:val="03D82B98"/>
    <w:rsid w:val="03F83E8B"/>
    <w:rsid w:val="042E1971"/>
    <w:rsid w:val="053715F5"/>
    <w:rsid w:val="05C56868"/>
    <w:rsid w:val="05F41565"/>
    <w:rsid w:val="061008EC"/>
    <w:rsid w:val="066761DB"/>
    <w:rsid w:val="066E5A76"/>
    <w:rsid w:val="06DC7F6D"/>
    <w:rsid w:val="07967DB8"/>
    <w:rsid w:val="07B46835"/>
    <w:rsid w:val="07B72767"/>
    <w:rsid w:val="07BE3CBC"/>
    <w:rsid w:val="08077E72"/>
    <w:rsid w:val="085A5FF7"/>
    <w:rsid w:val="08882DD0"/>
    <w:rsid w:val="08CB21FA"/>
    <w:rsid w:val="0951583B"/>
    <w:rsid w:val="09781919"/>
    <w:rsid w:val="09BD6B8A"/>
    <w:rsid w:val="09CC2AAC"/>
    <w:rsid w:val="09D26E76"/>
    <w:rsid w:val="0A652D3E"/>
    <w:rsid w:val="0AF7154E"/>
    <w:rsid w:val="0B326F2A"/>
    <w:rsid w:val="0B5331D2"/>
    <w:rsid w:val="0C0F44AC"/>
    <w:rsid w:val="0C116B1F"/>
    <w:rsid w:val="0C1E2888"/>
    <w:rsid w:val="0C6C00A7"/>
    <w:rsid w:val="0C92213C"/>
    <w:rsid w:val="0CBE467B"/>
    <w:rsid w:val="0CD87848"/>
    <w:rsid w:val="0D84032B"/>
    <w:rsid w:val="0DF35C2F"/>
    <w:rsid w:val="0E065CB2"/>
    <w:rsid w:val="0F2A74C4"/>
    <w:rsid w:val="0F663BD2"/>
    <w:rsid w:val="0FA12ADD"/>
    <w:rsid w:val="10194FCD"/>
    <w:rsid w:val="10A27F31"/>
    <w:rsid w:val="10A741DE"/>
    <w:rsid w:val="11927058"/>
    <w:rsid w:val="11F50B3F"/>
    <w:rsid w:val="124073E4"/>
    <w:rsid w:val="12A762DD"/>
    <w:rsid w:val="136C4E31"/>
    <w:rsid w:val="13704664"/>
    <w:rsid w:val="13AF4F03"/>
    <w:rsid w:val="13B65094"/>
    <w:rsid w:val="1430533B"/>
    <w:rsid w:val="145F4995"/>
    <w:rsid w:val="146F7D60"/>
    <w:rsid w:val="14736E66"/>
    <w:rsid w:val="147F458F"/>
    <w:rsid w:val="14D958EC"/>
    <w:rsid w:val="1534169A"/>
    <w:rsid w:val="15BE749A"/>
    <w:rsid w:val="15C03E03"/>
    <w:rsid w:val="16292C68"/>
    <w:rsid w:val="162A25EB"/>
    <w:rsid w:val="16900E36"/>
    <w:rsid w:val="16FD2A55"/>
    <w:rsid w:val="17067C1A"/>
    <w:rsid w:val="171952CF"/>
    <w:rsid w:val="17366761"/>
    <w:rsid w:val="177C01F0"/>
    <w:rsid w:val="179E57D5"/>
    <w:rsid w:val="17CE6630"/>
    <w:rsid w:val="17F51899"/>
    <w:rsid w:val="1840063A"/>
    <w:rsid w:val="18C97E48"/>
    <w:rsid w:val="19F62DF9"/>
    <w:rsid w:val="1A177F21"/>
    <w:rsid w:val="1A4268EB"/>
    <w:rsid w:val="1A716E2C"/>
    <w:rsid w:val="1AFF0AFE"/>
    <w:rsid w:val="1AFF27BC"/>
    <w:rsid w:val="1B4F19F8"/>
    <w:rsid w:val="1BCA303C"/>
    <w:rsid w:val="1C1F62F9"/>
    <w:rsid w:val="1C226F03"/>
    <w:rsid w:val="1CD15858"/>
    <w:rsid w:val="1E1B192D"/>
    <w:rsid w:val="1ECC44FA"/>
    <w:rsid w:val="1EE14925"/>
    <w:rsid w:val="1F063325"/>
    <w:rsid w:val="1FAF1996"/>
    <w:rsid w:val="1FB2208D"/>
    <w:rsid w:val="1FBC5DF5"/>
    <w:rsid w:val="1FF90588"/>
    <w:rsid w:val="1FFA55A0"/>
    <w:rsid w:val="201F2A36"/>
    <w:rsid w:val="20C3623F"/>
    <w:rsid w:val="21781212"/>
    <w:rsid w:val="21B83F86"/>
    <w:rsid w:val="221178A8"/>
    <w:rsid w:val="221213CF"/>
    <w:rsid w:val="22327A92"/>
    <w:rsid w:val="231D53A2"/>
    <w:rsid w:val="232A616E"/>
    <w:rsid w:val="236D5383"/>
    <w:rsid w:val="238C0BD7"/>
    <w:rsid w:val="23B7504C"/>
    <w:rsid w:val="244D0366"/>
    <w:rsid w:val="24571307"/>
    <w:rsid w:val="25110A2A"/>
    <w:rsid w:val="252C7877"/>
    <w:rsid w:val="256C0944"/>
    <w:rsid w:val="25EB4D45"/>
    <w:rsid w:val="26075CE6"/>
    <w:rsid w:val="26446DE3"/>
    <w:rsid w:val="269669E7"/>
    <w:rsid w:val="26AC3A6A"/>
    <w:rsid w:val="26D7699F"/>
    <w:rsid w:val="276D6E26"/>
    <w:rsid w:val="278C73F8"/>
    <w:rsid w:val="29A547A1"/>
    <w:rsid w:val="2A5306A1"/>
    <w:rsid w:val="2B042BBD"/>
    <w:rsid w:val="2B1775F6"/>
    <w:rsid w:val="2B2142FB"/>
    <w:rsid w:val="2B230073"/>
    <w:rsid w:val="2B774624"/>
    <w:rsid w:val="2BC56928"/>
    <w:rsid w:val="2BDF5ECF"/>
    <w:rsid w:val="2BFD6B16"/>
    <w:rsid w:val="2BFF0CFA"/>
    <w:rsid w:val="2C6D0F6C"/>
    <w:rsid w:val="2C7A72BE"/>
    <w:rsid w:val="2C9A7D75"/>
    <w:rsid w:val="2CB82A3D"/>
    <w:rsid w:val="2CC17412"/>
    <w:rsid w:val="2CDF1038"/>
    <w:rsid w:val="2CE720C7"/>
    <w:rsid w:val="2E322E4D"/>
    <w:rsid w:val="2E9313F6"/>
    <w:rsid w:val="2E94345C"/>
    <w:rsid w:val="2E9976CE"/>
    <w:rsid w:val="2F401D3C"/>
    <w:rsid w:val="2F5B24E1"/>
    <w:rsid w:val="2FA95C88"/>
    <w:rsid w:val="2FB7522E"/>
    <w:rsid w:val="30064402"/>
    <w:rsid w:val="3041370F"/>
    <w:rsid w:val="312B50A3"/>
    <w:rsid w:val="31BB32E3"/>
    <w:rsid w:val="32453A27"/>
    <w:rsid w:val="3263064A"/>
    <w:rsid w:val="32A43132"/>
    <w:rsid w:val="32AC0C06"/>
    <w:rsid w:val="33344EF5"/>
    <w:rsid w:val="33426F5E"/>
    <w:rsid w:val="33770F5C"/>
    <w:rsid w:val="339A4C4A"/>
    <w:rsid w:val="339F04B3"/>
    <w:rsid w:val="33D023DB"/>
    <w:rsid w:val="34056568"/>
    <w:rsid w:val="3492284C"/>
    <w:rsid w:val="35285E97"/>
    <w:rsid w:val="3537750C"/>
    <w:rsid w:val="3537798C"/>
    <w:rsid w:val="35C13FC9"/>
    <w:rsid w:val="364257B6"/>
    <w:rsid w:val="36905A6D"/>
    <w:rsid w:val="36B7770B"/>
    <w:rsid w:val="377A101B"/>
    <w:rsid w:val="37CD51AB"/>
    <w:rsid w:val="37EA5922"/>
    <w:rsid w:val="380D5234"/>
    <w:rsid w:val="38276B93"/>
    <w:rsid w:val="3836588A"/>
    <w:rsid w:val="386E39DB"/>
    <w:rsid w:val="38925AB8"/>
    <w:rsid w:val="38A50319"/>
    <w:rsid w:val="38AC3431"/>
    <w:rsid w:val="3902351F"/>
    <w:rsid w:val="392F2E16"/>
    <w:rsid w:val="39E00529"/>
    <w:rsid w:val="3A0B64A7"/>
    <w:rsid w:val="3A574DDA"/>
    <w:rsid w:val="3A771C78"/>
    <w:rsid w:val="3A773F37"/>
    <w:rsid w:val="3A887EF3"/>
    <w:rsid w:val="3AD3075A"/>
    <w:rsid w:val="3AF74C02"/>
    <w:rsid w:val="3BD553B9"/>
    <w:rsid w:val="3BE562F4"/>
    <w:rsid w:val="3C0059A5"/>
    <w:rsid w:val="3C134E78"/>
    <w:rsid w:val="3C731C72"/>
    <w:rsid w:val="3CF52FBB"/>
    <w:rsid w:val="3D976CCF"/>
    <w:rsid w:val="3DEC7285"/>
    <w:rsid w:val="3DF6345D"/>
    <w:rsid w:val="3E2B5515"/>
    <w:rsid w:val="3E4D4F28"/>
    <w:rsid w:val="3E587BDC"/>
    <w:rsid w:val="3EE13701"/>
    <w:rsid w:val="3F1A4BB3"/>
    <w:rsid w:val="3FC6557A"/>
    <w:rsid w:val="40192BA6"/>
    <w:rsid w:val="40FA3915"/>
    <w:rsid w:val="4119390D"/>
    <w:rsid w:val="41766EA9"/>
    <w:rsid w:val="42550A18"/>
    <w:rsid w:val="429D496A"/>
    <w:rsid w:val="42EE1C30"/>
    <w:rsid w:val="42F473A1"/>
    <w:rsid w:val="435E6B9E"/>
    <w:rsid w:val="4394194E"/>
    <w:rsid w:val="43F952B8"/>
    <w:rsid w:val="441E62C0"/>
    <w:rsid w:val="44315157"/>
    <w:rsid w:val="45325D14"/>
    <w:rsid w:val="45811C7C"/>
    <w:rsid w:val="45906116"/>
    <w:rsid w:val="468B3EFB"/>
    <w:rsid w:val="470A6193"/>
    <w:rsid w:val="47385210"/>
    <w:rsid w:val="47C36A0E"/>
    <w:rsid w:val="47DC4F5C"/>
    <w:rsid w:val="481B6721"/>
    <w:rsid w:val="4839282C"/>
    <w:rsid w:val="4868431C"/>
    <w:rsid w:val="48833278"/>
    <w:rsid w:val="48B40671"/>
    <w:rsid w:val="499B5738"/>
    <w:rsid w:val="499F244D"/>
    <w:rsid w:val="4A392F86"/>
    <w:rsid w:val="4A973F3F"/>
    <w:rsid w:val="4A9F5D06"/>
    <w:rsid w:val="4AE271AB"/>
    <w:rsid w:val="4AF96BC7"/>
    <w:rsid w:val="4AFF7B18"/>
    <w:rsid w:val="4B5856BF"/>
    <w:rsid w:val="4B5A416B"/>
    <w:rsid w:val="4B862A85"/>
    <w:rsid w:val="4BAC7A99"/>
    <w:rsid w:val="4BF93A49"/>
    <w:rsid w:val="4C0A46E6"/>
    <w:rsid w:val="4C6F0F12"/>
    <w:rsid w:val="4C9E5354"/>
    <w:rsid w:val="4CA46F39"/>
    <w:rsid w:val="4CEF36E2"/>
    <w:rsid w:val="4CEF4DC5"/>
    <w:rsid w:val="4DF55447"/>
    <w:rsid w:val="4E257655"/>
    <w:rsid w:val="4E8E7871"/>
    <w:rsid w:val="4F372380"/>
    <w:rsid w:val="4F372FFB"/>
    <w:rsid w:val="4FFF1124"/>
    <w:rsid w:val="5025116D"/>
    <w:rsid w:val="505449F5"/>
    <w:rsid w:val="50971363"/>
    <w:rsid w:val="5150244A"/>
    <w:rsid w:val="51595CED"/>
    <w:rsid w:val="51CE2237"/>
    <w:rsid w:val="52395ECD"/>
    <w:rsid w:val="5251446A"/>
    <w:rsid w:val="52846E06"/>
    <w:rsid w:val="52C10D75"/>
    <w:rsid w:val="52E934E7"/>
    <w:rsid w:val="53C27FF8"/>
    <w:rsid w:val="545B4DA0"/>
    <w:rsid w:val="549E1A80"/>
    <w:rsid w:val="54C658F4"/>
    <w:rsid w:val="550C4BD7"/>
    <w:rsid w:val="554C1D56"/>
    <w:rsid w:val="55572986"/>
    <w:rsid w:val="557911B1"/>
    <w:rsid w:val="55C062DD"/>
    <w:rsid w:val="563D3E2F"/>
    <w:rsid w:val="564C33B8"/>
    <w:rsid w:val="565340FA"/>
    <w:rsid w:val="56F854A5"/>
    <w:rsid w:val="5723343E"/>
    <w:rsid w:val="573D7EAB"/>
    <w:rsid w:val="589E2AFA"/>
    <w:rsid w:val="59D81EA5"/>
    <w:rsid w:val="5A2F2CC8"/>
    <w:rsid w:val="5A6564FB"/>
    <w:rsid w:val="5A761C3D"/>
    <w:rsid w:val="5AA55081"/>
    <w:rsid w:val="5B3A60E4"/>
    <w:rsid w:val="5B404885"/>
    <w:rsid w:val="5BA26962"/>
    <w:rsid w:val="5BE14DCE"/>
    <w:rsid w:val="5C10702D"/>
    <w:rsid w:val="5C152601"/>
    <w:rsid w:val="5C591F03"/>
    <w:rsid w:val="5C8A1B2F"/>
    <w:rsid w:val="5CD16FAA"/>
    <w:rsid w:val="5D1A6C78"/>
    <w:rsid w:val="5D914004"/>
    <w:rsid w:val="5E0C49D7"/>
    <w:rsid w:val="5E8F77AE"/>
    <w:rsid w:val="5EA54320"/>
    <w:rsid w:val="5F561B72"/>
    <w:rsid w:val="5FE026AD"/>
    <w:rsid w:val="606007BB"/>
    <w:rsid w:val="60A725D1"/>
    <w:rsid w:val="60AC7F66"/>
    <w:rsid w:val="61761FA3"/>
    <w:rsid w:val="61BF10D9"/>
    <w:rsid w:val="61DA3D4C"/>
    <w:rsid w:val="62625486"/>
    <w:rsid w:val="62AC22DC"/>
    <w:rsid w:val="637833E8"/>
    <w:rsid w:val="63F26259"/>
    <w:rsid w:val="64BE613B"/>
    <w:rsid w:val="64E45EF7"/>
    <w:rsid w:val="64F26296"/>
    <w:rsid w:val="65B955DF"/>
    <w:rsid w:val="65BC6B1F"/>
    <w:rsid w:val="66822D09"/>
    <w:rsid w:val="6691014E"/>
    <w:rsid w:val="66A90A16"/>
    <w:rsid w:val="66C87CCE"/>
    <w:rsid w:val="677435B2"/>
    <w:rsid w:val="67AF4CB3"/>
    <w:rsid w:val="67EF75F1"/>
    <w:rsid w:val="68DC4DE2"/>
    <w:rsid w:val="69124F16"/>
    <w:rsid w:val="694A5205"/>
    <w:rsid w:val="695452C0"/>
    <w:rsid w:val="69924F2A"/>
    <w:rsid w:val="69947C75"/>
    <w:rsid w:val="69BA1AB4"/>
    <w:rsid w:val="69CD5C14"/>
    <w:rsid w:val="69CF0D33"/>
    <w:rsid w:val="69E07812"/>
    <w:rsid w:val="6A901303"/>
    <w:rsid w:val="6A935974"/>
    <w:rsid w:val="6A9927D9"/>
    <w:rsid w:val="6AD74A57"/>
    <w:rsid w:val="6B9946B3"/>
    <w:rsid w:val="6BAF0496"/>
    <w:rsid w:val="6C662189"/>
    <w:rsid w:val="6C7007C7"/>
    <w:rsid w:val="6C8F6662"/>
    <w:rsid w:val="6C904861"/>
    <w:rsid w:val="6D415B5B"/>
    <w:rsid w:val="6DBE4E1A"/>
    <w:rsid w:val="6DE1535E"/>
    <w:rsid w:val="6DE76850"/>
    <w:rsid w:val="6DE9247B"/>
    <w:rsid w:val="6DF23978"/>
    <w:rsid w:val="6FB20BD4"/>
    <w:rsid w:val="6FB650F7"/>
    <w:rsid w:val="6FB6638D"/>
    <w:rsid w:val="6FBA59BE"/>
    <w:rsid w:val="70296B3E"/>
    <w:rsid w:val="70611204"/>
    <w:rsid w:val="71233EF6"/>
    <w:rsid w:val="722F0678"/>
    <w:rsid w:val="72404633"/>
    <w:rsid w:val="73445350"/>
    <w:rsid w:val="737F588E"/>
    <w:rsid w:val="7395275D"/>
    <w:rsid w:val="73B40E35"/>
    <w:rsid w:val="744B2FD3"/>
    <w:rsid w:val="74CD183F"/>
    <w:rsid w:val="74FA2C30"/>
    <w:rsid w:val="751704C4"/>
    <w:rsid w:val="75263FB5"/>
    <w:rsid w:val="754D5C4B"/>
    <w:rsid w:val="75F61BD9"/>
    <w:rsid w:val="76320737"/>
    <w:rsid w:val="76363828"/>
    <w:rsid w:val="76966F18"/>
    <w:rsid w:val="76BE1FCB"/>
    <w:rsid w:val="76C240A7"/>
    <w:rsid w:val="76EE1B46"/>
    <w:rsid w:val="775246B7"/>
    <w:rsid w:val="77BF2228"/>
    <w:rsid w:val="781E69D1"/>
    <w:rsid w:val="78511348"/>
    <w:rsid w:val="79B24069"/>
    <w:rsid w:val="7A263B6B"/>
    <w:rsid w:val="7A283066"/>
    <w:rsid w:val="7AF46346"/>
    <w:rsid w:val="7B0F5EBF"/>
    <w:rsid w:val="7B130FB9"/>
    <w:rsid w:val="7BC03652"/>
    <w:rsid w:val="7BF64EDE"/>
    <w:rsid w:val="7C2335FE"/>
    <w:rsid w:val="7C400C1E"/>
    <w:rsid w:val="7CF00A44"/>
    <w:rsid w:val="7DD11708"/>
    <w:rsid w:val="7DDC7906"/>
    <w:rsid w:val="7EBD579E"/>
    <w:rsid w:val="7EC167BD"/>
    <w:rsid w:val="7F111831"/>
    <w:rsid w:val="7F231565"/>
    <w:rsid w:val="7F272D9E"/>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9"/>
    <w:qFormat/>
    <w:uiPriority w:val="9"/>
    <w:pPr>
      <w:keepNext/>
      <w:keepLines/>
      <w:spacing w:before="260" w:after="260" w:line="416" w:lineRule="auto"/>
      <w:outlineLvl w:val="2"/>
    </w:pPr>
    <w:rPr>
      <w:b/>
      <w:bCs/>
      <w:sz w:val="32"/>
      <w:szCs w:val="32"/>
    </w:rPr>
  </w:style>
  <w:style w:type="paragraph" w:styleId="5">
    <w:name w:val="heading 5"/>
    <w:basedOn w:val="1"/>
    <w:next w:val="6"/>
    <w:link w:val="40"/>
    <w:qFormat/>
    <w:uiPriority w:val="9"/>
    <w:pPr>
      <w:keepNext/>
      <w:keepLines/>
      <w:spacing w:before="280" w:after="290" w:line="376" w:lineRule="auto"/>
      <w:outlineLvl w:val="4"/>
    </w:pPr>
    <w:rPr>
      <w:b/>
      <w:bCs/>
      <w:sz w:val="28"/>
      <w:szCs w:val="28"/>
    </w:rPr>
  </w:style>
  <w:style w:type="paragraph" w:styleId="7">
    <w:name w:val="heading 8"/>
    <w:basedOn w:val="1"/>
    <w:next w:val="1"/>
    <w:link w:val="41"/>
    <w:qFormat/>
    <w:uiPriority w:val="9"/>
    <w:pPr>
      <w:keepNext/>
      <w:keepLines/>
      <w:spacing w:before="240" w:after="64" w:line="320" w:lineRule="auto"/>
      <w:outlineLvl w:val="7"/>
    </w:pPr>
    <w:rPr>
      <w:rFonts w:ascii="等线 Light" w:hAnsi="等线 Light" w:eastAsia="等线 Light"/>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9">
    <w:name w:val="annotation text"/>
    <w:basedOn w:val="1"/>
    <w:link w:val="42"/>
    <w:qFormat/>
    <w:uiPriority w:val="0"/>
    <w:pPr>
      <w:jc w:val="left"/>
    </w:pPr>
  </w:style>
  <w:style w:type="paragraph" w:styleId="10">
    <w:name w:val="Body Text 3"/>
    <w:basedOn w:val="1"/>
    <w:link w:val="43"/>
    <w:unhideWhenUsed/>
    <w:qFormat/>
    <w:uiPriority w:val="99"/>
    <w:pPr>
      <w:spacing w:after="120"/>
    </w:pPr>
    <w:rPr>
      <w:sz w:val="16"/>
      <w:szCs w:val="16"/>
    </w:rPr>
  </w:style>
  <w:style w:type="paragraph" w:styleId="11">
    <w:name w:val="Body Text"/>
    <w:basedOn w:val="1"/>
    <w:link w:val="44"/>
    <w:unhideWhenUsed/>
    <w:qFormat/>
    <w:uiPriority w:val="0"/>
    <w:pPr>
      <w:spacing w:after="120"/>
    </w:pPr>
  </w:style>
  <w:style w:type="paragraph" w:styleId="12">
    <w:name w:val="Body Text Indent"/>
    <w:basedOn w:val="1"/>
    <w:link w:val="45"/>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Plain Text"/>
    <w:basedOn w:val="1"/>
    <w:link w:val="46"/>
    <w:qFormat/>
    <w:uiPriority w:val="0"/>
    <w:rPr>
      <w:rFonts w:ascii="宋体" w:hAnsi="Courier New"/>
      <w:kern w:val="0"/>
      <w:sz w:val="20"/>
      <w:szCs w:val="21"/>
    </w:rPr>
  </w:style>
  <w:style w:type="paragraph" w:styleId="16">
    <w:name w:val="Date"/>
    <w:basedOn w:val="1"/>
    <w:next w:val="1"/>
    <w:link w:val="47"/>
    <w:unhideWhenUsed/>
    <w:qFormat/>
    <w:uiPriority w:val="99"/>
    <w:pPr>
      <w:ind w:left="100" w:leftChars="2500"/>
    </w:pPr>
  </w:style>
  <w:style w:type="paragraph" w:styleId="17">
    <w:name w:val="Balloon Text"/>
    <w:basedOn w:val="1"/>
    <w:semiHidden/>
    <w:qFormat/>
    <w:uiPriority w:val="0"/>
    <w:rPr>
      <w:sz w:val="18"/>
      <w:szCs w:val="18"/>
    </w:rPr>
  </w:style>
  <w:style w:type="paragraph" w:styleId="18">
    <w:name w:val="footer"/>
    <w:basedOn w:val="1"/>
    <w:link w:val="48"/>
    <w:unhideWhenUsed/>
    <w:qFormat/>
    <w:uiPriority w:val="99"/>
    <w:pPr>
      <w:tabs>
        <w:tab w:val="center" w:pos="4153"/>
        <w:tab w:val="right" w:pos="8306"/>
      </w:tabs>
      <w:snapToGrid w:val="0"/>
      <w:jc w:val="left"/>
    </w:pPr>
    <w:rPr>
      <w:kern w:val="0"/>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unhideWhenUsed/>
    <w:qFormat/>
    <w:uiPriority w:val="99"/>
    <w:rPr>
      <w:rFonts w:ascii="Calibri" w:hAnsi="Calibri"/>
      <w:kern w:val="0"/>
      <w:sz w:val="24"/>
    </w:rPr>
  </w:style>
  <w:style w:type="paragraph" w:styleId="25">
    <w:name w:val="Title"/>
    <w:basedOn w:val="1"/>
    <w:next w:val="1"/>
    <w:qFormat/>
    <w:uiPriority w:val="0"/>
    <w:pPr>
      <w:spacing w:before="240" w:after="60"/>
      <w:jc w:val="center"/>
      <w:outlineLvl w:val="0"/>
    </w:pPr>
    <w:rPr>
      <w:rFonts w:ascii="Arial" w:hAnsi="Arial" w:cs="Arial"/>
      <w:b/>
      <w:bCs/>
      <w:sz w:val="32"/>
      <w:szCs w:val="32"/>
    </w:rPr>
  </w:style>
  <w:style w:type="paragraph" w:styleId="26">
    <w:name w:val="annotation subject"/>
    <w:basedOn w:val="9"/>
    <w:next w:val="9"/>
    <w:link w:val="50"/>
    <w:qFormat/>
    <w:uiPriority w:val="99"/>
    <w:rPr>
      <w:b/>
      <w:bCs/>
    </w:rPr>
  </w:style>
  <w:style w:type="table" w:styleId="28">
    <w:name w:val="Table Grid"/>
    <w:basedOn w:val="2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endnote reference"/>
    <w:unhideWhenUsed/>
    <w:qFormat/>
    <w:uiPriority w:val="99"/>
    <w:rPr>
      <w:vertAlign w:val="superscript"/>
    </w:rPr>
  </w:style>
  <w:style w:type="character" w:styleId="31">
    <w:name w:val="page number"/>
    <w:basedOn w:val="29"/>
    <w:qFormat/>
    <w:uiPriority w:val="0"/>
  </w:style>
  <w:style w:type="character" w:styleId="32">
    <w:name w:val="FollowedHyperlink"/>
    <w:unhideWhenUsed/>
    <w:qFormat/>
    <w:uiPriority w:val="99"/>
    <w:rPr>
      <w:color w:val="800080"/>
      <w:u w:val="single"/>
    </w:rPr>
  </w:style>
  <w:style w:type="character" w:styleId="33">
    <w:name w:val="Hyperlink"/>
    <w:unhideWhenUsed/>
    <w:qFormat/>
    <w:uiPriority w:val="99"/>
    <w:rPr>
      <w:color w:val="0000FF"/>
      <w:u w:val="single"/>
    </w:rPr>
  </w:style>
  <w:style w:type="character" w:styleId="34">
    <w:name w:val="annotation reference"/>
    <w:qFormat/>
    <w:uiPriority w:val="99"/>
    <w:rPr>
      <w:sz w:val="21"/>
      <w:szCs w:val="21"/>
    </w:rPr>
  </w:style>
  <w:style w:type="paragraph" w:customStyle="1" w:styleId="3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Title1"/>
    <w:basedOn w:val="1"/>
    <w:next w:val="1"/>
    <w:qFormat/>
    <w:uiPriority w:val="99"/>
    <w:pPr>
      <w:jc w:val="center"/>
      <w:outlineLvl w:val="0"/>
    </w:pPr>
    <w:rPr>
      <w:rFonts w:ascii="Calibri Light" w:hAnsi="Calibri Light"/>
      <w:b/>
    </w:rPr>
  </w:style>
  <w:style w:type="character" w:customStyle="1" w:styleId="37">
    <w:name w:val="标题 1 字符"/>
    <w:link w:val="2"/>
    <w:autoRedefine/>
    <w:qFormat/>
    <w:uiPriority w:val="9"/>
    <w:rPr>
      <w:b/>
      <w:bCs/>
      <w:kern w:val="44"/>
      <w:sz w:val="44"/>
      <w:szCs w:val="44"/>
    </w:rPr>
  </w:style>
  <w:style w:type="character" w:customStyle="1" w:styleId="38">
    <w:name w:val="标题 2 字符"/>
    <w:link w:val="3"/>
    <w:autoRedefine/>
    <w:qFormat/>
    <w:uiPriority w:val="9"/>
    <w:rPr>
      <w:rFonts w:ascii="Cambria" w:hAnsi="Cambria" w:eastAsia="宋体" w:cs="Times New Roman"/>
      <w:b/>
      <w:bCs/>
      <w:kern w:val="2"/>
      <w:sz w:val="32"/>
      <w:szCs w:val="32"/>
    </w:rPr>
  </w:style>
  <w:style w:type="character" w:customStyle="1" w:styleId="39">
    <w:name w:val="标题 3 字符"/>
    <w:link w:val="4"/>
    <w:autoRedefine/>
    <w:semiHidden/>
    <w:qFormat/>
    <w:uiPriority w:val="9"/>
    <w:rPr>
      <w:b/>
      <w:bCs/>
      <w:kern w:val="2"/>
      <w:sz w:val="32"/>
      <w:szCs w:val="32"/>
    </w:rPr>
  </w:style>
  <w:style w:type="character" w:customStyle="1" w:styleId="40">
    <w:name w:val="标题 5 字符"/>
    <w:link w:val="5"/>
    <w:autoRedefine/>
    <w:qFormat/>
    <w:uiPriority w:val="9"/>
    <w:rPr>
      <w:rFonts w:ascii="Times New Roman" w:hAnsi="Times New Roman"/>
      <w:b/>
      <w:bCs/>
      <w:kern w:val="2"/>
      <w:sz w:val="28"/>
      <w:szCs w:val="28"/>
    </w:rPr>
  </w:style>
  <w:style w:type="character" w:customStyle="1" w:styleId="41">
    <w:name w:val="标题 8 字符"/>
    <w:link w:val="7"/>
    <w:autoRedefine/>
    <w:semiHidden/>
    <w:qFormat/>
    <w:uiPriority w:val="9"/>
    <w:rPr>
      <w:rFonts w:ascii="等线 Light" w:hAnsi="等线 Light" w:eastAsia="等线 Light" w:cs="Times New Roman"/>
      <w:kern w:val="2"/>
      <w:sz w:val="24"/>
      <w:szCs w:val="24"/>
    </w:rPr>
  </w:style>
  <w:style w:type="character" w:customStyle="1" w:styleId="42">
    <w:name w:val="批注文字 字符2"/>
    <w:link w:val="9"/>
    <w:autoRedefine/>
    <w:qFormat/>
    <w:uiPriority w:val="0"/>
    <w:rPr>
      <w:rFonts w:ascii="Times New Roman" w:hAnsi="Times New Roman"/>
      <w:kern w:val="2"/>
      <w:sz w:val="21"/>
      <w:szCs w:val="24"/>
    </w:rPr>
  </w:style>
  <w:style w:type="character" w:customStyle="1" w:styleId="43">
    <w:name w:val="正文文本 3 字符"/>
    <w:link w:val="10"/>
    <w:autoRedefine/>
    <w:semiHidden/>
    <w:qFormat/>
    <w:uiPriority w:val="99"/>
    <w:rPr>
      <w:kern w:val="2"/>
      <w:sz w:val="16"/>
      <w:szCs w:val="16"/>
    </w:rPr>
  </w:style>
  <w:style w:type="character" w:customStyle="1" w:styleId="44">
    <w:name w:val="正文文本 字符1"/>
    <w:link w:val="11"/>
    <w:autoRedefine/>
    <w:qFormat/>
    <w:uiPriority w:val="0"/>
    <w:rPr>
      <w:rFonts w:ascii="Times New Roman" w:hAnsi="Times New Roman"/>
      <w:kern w:val="2"/>
      <w:sz w:val="21"/>
      <w:szCs w:val="24"/>
    </w:rPr>
  </w:style>
  <w:style w:type="character" w:customStyle="1" w:styleId="45">
    <w:name w:val="正文文本缩进 字符"/>
    <w:link w:val="12"/>
    <w:autoRedefine/>
    <w:qFormat/>
    <w:uiPriority w:val="0"/>
    <w:rPr>
      <w:rFonts w:ascii="仿宋_GB2312" w:hAnsi="Times New Roman" w:eastAsia="仿宋_GB2312" w:cs="Times New Roman"/>
      <w:sz w:val="32"/>
      <w:szCs w:val="20"/>
    </w:rPr>
  </w:style>
  <w:style w:type="character" w:customStyle="1" w:styleId="46">
    <w:name w:val="纯文本 字符3"/>
    <w:link w:val="15"/>
    <w:autoRedefine/>
    <w:qFormat/>
    <w:uiPriority w:val="0"/>
    <w:rPr>
      <w:rFonts w:ascii="宋体" w:hAnsi="Courier New" w:eastAsia="宋体" w:cs="Courier New"/>
      <w:szCs w:val="21"/>
    </w:rPr>
  </w:style>
  <w:style w:type="character" w:customStyle="1" w:styleId="47">
    <w:name w:val="日期 字符"/>
    <w:link w:val="16"/>
    <w:autoRedefine/>
    <w:semiHidden/>
    <w:qFormat/>
    <w:uiPriority w:val="99"/>
    <w:rPr>
      <w:rFonts w:ascii="Times New Roman" w:hAnsi="Times New Roman"/>
      <w:kern w:val="2"/>
      <w:sz w:val="21"/>
      <w:szCs w:val="24"/>
    </w:rPr>
  </w:style>
  <w:style w:type="character" w:customStyle="1" w:styleId="48">
    <w:name w:val="页脚 字符"/>
    <w:link w:val="18"/>
    <w:autoRedefine/>
    <w:qFormat/>
    <w:uiPriority w:val="99"/>
    <w:rPr>
      <w:sz w:val="18"/>
      <w:szCs w:val="18"/>
    </w:rPr>
  </w:style>
  <w:style w:type="character" w:customStyle="1" w:styleId="49">
    <w:name w:val="页眉 字符"/>
    <w:link w:val="19"/>
    <w:autoRedefine/>
    <w:qFormat/>
    <w:uiPriority w:val="99"/>
    <w:rPr>
      <w:sz w:val="18"/>
      <w:szCs w:val="18"/>
    </w:rPr>
  </w:style>
  <w:style w:type="character" w:customStyle="1" w:styleId="50">
    <w:name w:val="批注主题 字符"/>
    <w:link w:val="26"/>
    <w:autoRedefine/>
    <w:qFormat/>
    <w:uiPriority w:val="99"/>
    <w:rPr>
      <w:rFonts w:ascii="Times New Roman" w:hAnsi="Times New Roman"/>
      <w:b/>
      <w:bCs/>
      <w:kern w:val="2"/>
      <w:sz w:val="21"/>
      <w:szCs w:val="24"/>
    </w:rPr>
  </w:style>
  <w:style w:type="character" w:customStyle="1" w:styleId="51">
    <w:name w:val="纯文本 字符2"/>
    <w:autoRedefine/>
    <w:qFormat/>
    <w:uiPriority w:val="0"/>
    <w:rPr>
      <w:rFonts w:ascii="宋体" w:hAnsi="Courier New" w:eastAsia="宋体" w:cs="Courier New"/>
      <w:szCs w:val="21"/>
    </w:rPr>
  </w:style>
  <w:style w:type="character" w:customStyle="1" w:styleId="52">
    <w:name w:val="apple-style-span"/>
    <w:autoRedefine/>
    <w:qFormat/>
    <w:uiPriority w:val="0"/>
  </w:style>
  <w:style w:type="character" w:customStyle="1" w:styleId="53">
    <w:name w:val="标题 2 Char"/>
    <w:autoRedefine/>
    <w:qFormat/>
    <w:uiPriority w:val="9"/>
    <w:rPr>
      <w:rFonts w:ascii="Cambria" w:hAnsi="Cambria" w:eastAsia="宋体" w:cs="Times New Roman"/>
      <w:b/>
      <w:bCs/>
      <w:kern w:val="2"/>
      <w:sz w:val="32"/>
      <w:szCs w:val="32"/>
    </w:rPr>
  </w:style>
  <w:style w:type="character" w:customStyle="1" w:styleId="54">
    <w:name w:val="纯文本 字符"/>
    <w:autoRedefine/>
    <w:qFormat/>
    <w:uiPriority w:val="0"/>
    <w:rPr>
      <w:rFonts w:ascii="宋体" w:hAnsi="Courier New" w:eastAsia="宋体" w:cs="Courier New"/>
      <w:szCs w:val="21"/>
    </w:rPr>
  </w:style>
  <w:style w:type="character" w:customStyle="1" w:styleId="55">
    <w:name w:val="纯文本 字符1"/>
    <w:autoRedefine/>
    <w:qFormat/>
    <w:uiPriority w:val="0"/>
    <w:rPr>
      <w:rFonts w:ascii="宋体" w:hAnsi="Courier New"/>
    </w:rPr>
  </w:style>
  <w:style w:type="character" w:customStyle="1" w:styleId="56">
    <w:name w:val="标题 8 Char"/>
    <w:autoRedefine/>
    <w:qFormat/>
    <w:uiPriority w:val="0"/>
    <w:rPr>
      <w:rFonts w:ascii="Arial" w:hAnsi="Arial" w:eastAsia="黑体"/>
      <w:kern w:val="2"/>
      <w:sz w:val="24"/>
      <w:szCs w:val="24"/>
    </w:rPr>
  </w:style>
  <w:style w:type="character" w:customStyle="1" w:styleId="57">
    <w:name w:val="纯文本 Char"/>
    <w:autoRedefine/>
    <w:qFormat/>
    <w:uiPriority w:val="0"/>
    <w:rPr>
      <w:rFonts w:ascii="宋体" w:hAnsi="Courier New" w:eastAsia="宋体" w:cs="Courier New"/>
      <w:szCs w:val="21"/>
    </w:rPr>
  </w:style>
  <w:style w:type="character" w:customStyle="1" w:styleId="58">
    <w:name w:val="正文文本 Char"/>
    <w:autoRedefine/>
    <w:qFormat/>
    <w:uiPriority w:val="0"/>
    <w:rPr>
      <w:rFonts w:ascii="Times New Roman" w:hAnsi="Times New Roman"/>
      <w:kern w:val="2"/>
      <w:sz w:val="21"/>
      <w:szCs w:val="24"/>
    </w:rPr>
  </w:style>
  <w:style w:type="character" w:customStyle="1" w:styleId="59">
    <w:name w:val="批注文字 字符1"/>
    <w:autoRedefine/>
    <w:qFormat/>
    <w:uiPriority w:val="0"/>
    <w:rPr>
      <w:rFonts w:ascii="Times New Roman" w:hAnsi="Times New Roman"/>
      <w:kern w:val="2"/>
      <w:sz w:val="21"/>
      <w:szCs w:val="24"/>
    </w:rPr>
  </w:style>
  <w:style w:type="character" w:customStyle="1" w:styleId="6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标题 1 字符1"/>
    <w:autoRedefine/>
    <w:qFormat/>
    <w:uiPriority w:val="0"/>
    <w:rPr>
      <w:b/>
      <w:bCs/>
      <w:kern w:val="44"/>
      <w:sz w:val="44"/>
      <w:szCs w:val="44"/>
    </w:rPr>
  </w:style>
  <w:style w:type="character" w:customStyle="1" w:styleId="62">
    <w:name w:val="正文文本 字符"/>
    <w:autoRedefine/>
    <w:qFormat/>
    <w:uiPriority w:val="0"/>
    <w:rPr>
      <w:rFonts w:ascii="Times New Roman" w:hAnsi="Times New Roman"/>
      <w:kern w:val="2"/>
      <w:sz w:val="21"/>
      <w:szCs w:val="24"/>
    </w:rPr>
  </w:style>
  <w:style w:type="character" w:customStyle="1" w:styleId="63">
    <w:name w:val="批注文字 字符"/>
    <w:autoRedefine/>
    <w:qFormat/>
    <w:uiPriority w:val="0"/>
    <w:rPr>
      <w:rFonts w:ascii="Times New Roman" w:hAnsi="Times New Roman"/>
      <w:kern w:val="2"/>
      <w:sz w:val="21"/>
      <w:szCs w:val="24"/>
    </w:rPr>
  </w:style>
  <w:style w:type="character" w:customStyle="1" w:styleId="64">
    <w:name w:val="textcontents"/>
    <w:autoRedefine/>
    <w:qFormat/>
    <w:uiPriority w:val="0"/>
  </w:style>
  <w:style w:type="character" w:customStyle="1" w:styleId="65">
    <w:name w:val="批注文字 Char"/>
    <w:autoRedefine/>
    <w:qFormat/>
    <w:uiPriority w:val="0"/>
    <w:rPr>
      <w:rFonts w:ascii="Times New Roman" w:hAnsi="Times New Roman"/>
      <w:kern w:val="2"/>
      <w:sz w:val="21"/>
      <w:szCs w:val="24"/>
    </w:rPr>
  </w:style>
  <w:style w:type="paragraph" w:customStyle="1" w:styleId="6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67">
    <w:name w:val="List Paragraph"/>
    <w:basedOn w:val="1"/>
    <w:autoRedefine/>
    <w:qFormat/>
    <w:uiPriority w:val="34"/>
    <w:pPr>
      <w:ind w:firstLine="420" w:firstLineChars="200"/>
    </w:pPr>
  </w:style>
  <w:style w:type="paragraph" w:customStyle="1" w:styleId="68">
    <w:name w:val="默认段落字体 Para Char Char Char Char Char Char Char Char Char1 Char Char Char Char"/>
    <w:basedOn w:val="1"/>
    <w:autoRedefine/>
    <w:qFormat/>
    <w:uiPriority w:val="0"/>
    <w:rPr>
      <w:rFonts w:ascii="Tahoma" w:hAnsi="Tahoma"/>
      <w:sz w:val="24"/>
      <w:szCs w:val="20"/>
    </w:rPr>
  </w:style>
  <w:style w:type="paragraph" w:customStyle="1" w:styleId="69">
    <w:name w:val="Table Paragraph"/>
    <w:basedOn w:val="1"/>
    <w:autoRedefine/>
    <w:qFormat/>
    <w:uiPriority w:val="1"/>
    <w:pPr>
      <w:jc w:val="left"/>
    </w:pPr>
    <w:rPr>
      <w:rFonts w:ascii="Calibri" w:hAnsi="Calibri"/>
      <w:kern w:val="0"/>
      <w:sz w:val="22"/>
      <w:szCs w:val="22"/>
      <w:lang w:eastAsia="en-US"/>
    </w:rPr>
  </w:style>
  <w:style w:type="paragraph" w:customStyle="1" w:styleId="70">
    <w:name w:val="Char Char Char Char"/>
    <w:basedOn w:val="1"/>
    <w:autoRedefine/>
    <w:qFormat/>
    <w:uiPriority w:val="0"/>
    <w:pPr>
      <w:widowControl/>
      <w:spacing w:after="160" w:line="240" w:lineRule="exact"/>
      <w:jc w:val="left"/>
    </w:pPr>
  </w:style>
  <w:style w:type="character" w:customStyle="1" w:styleId="71">
    <w:name w:val="未处理的提及1"/>
    <w:autoRedefine/>
    <w:unhideWhenUsed/>
    <w:qFormat/>
    <w:uiPriority w:val="99"/>
    <w:rPr>
      <w:color w:val="605E5C"/>
      <w:shd w:val="clear" w:color="auto" w:fill="E1DFDD"/>
    </w:rPr>
  </w:style>
  <w:style w:type="paragraph" w:customStyle="1" w:styleId="72">
    <w:name w:val="_Style 70"/>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3">
    <w:name w:val="正文2 Char Char"/>
    <w:link w:val="74"/>
    <w:autoRedefine/>
    <w:qFormat/>
    <w:uiPriority w:val="0"/>
    <w:rPr>
      <w:sz w:val="24"/>
    </w:rPr>
  </w:style>
  <w:style w:type="paragraph" w:customStyle="1" w:styleId="74">
    <w:name w:val="正文2"/>
    <w:basedOn w:val="1"/>
    <w:link w:val="73"/>
    <w:autoRedefine/>
    <w:qFormat/>
    <w:uiPriority w:val="0"/>
    <w:pPr>
      <w:adjustRightInd w:val="0"/>
      <w:spacing w:before="156" w:line="360" w:lineRule="auto"/>
      <w:ind w:firstLine="510" w:firstLineChars="200"/>
    </w:pPr>
    <w:rPr>
      <w:kern w:val="0"/>
      <w:sz w:val="24"/>
      <w:szCs w:val="20"/>
    </w:rPr>
  </w:style>
  <w:style w:type="paragraph" w:customStyle="1" w:styleId="75">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76">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77">
    <w:name w:val="样式 0正文 + 首行缩进:  2 字符1"/>
    <w:basedOn w:val="1"/>
    <w:autoRedefine/>
    <w:qFormat/>
    <w:uiPriority w:val="99"/>
    <w:pPr>
      <w:spacing w:line="360" w:lineRule="auto"/>
      <w:ind w:firstLine="200" w:firstLineChars="200"/>
    </w:pPr>
    <w:rPr>
      <w:szCs w:val="20"/>
    </w:rPr>
  </w:style>
  <w:style w:type="paragraph" w:customStyle="1" w:styleId="78">
    <w:name w:val="BodyText"/>
    <w:basedOn w:val="1"/>
    <w:autoRedefine/>
    <w:qFormat/>
    <w:uiPriority w:val="0"/>
    <w:pPr>
      <w:keepNext w:val="0"/>
      <w:keepLines w:val="0"/>
      <w:widowControl w:val="0"/>
      <w:suppressLineNumbers w:val="0"/>
      <w:spacing w:before="0" w:beforeAutospacing="0" w:after="0" w:afterAutospacing="0" w:line="380" w:lineRule="exact"/>
      <w:ind w:left="0" w:right="0"/>
      <w:jc w:val="both"/>
      <w:textAlignment w:val="baseline"/>
    </w:pPr>
    <w:rPr>
      <w:rFonts w:hint="default" w:ascii="Times New Roman" w:hAnsi="Times New Roman" w:eastAsia="宋体" w:cs="Times New Roman"/>
      <w:kern w:val="0"/>
      <w:sz w:val="24"/>
      <w:szCs w:val="24"/>
      <w:lang w:val="en-US" w:eastAsia="zh-CN" w:bidi="ar"/>
    </w:rPr>
  </w:style>
  <w:style w:type="paragraph" w:customStyle="1" w:styleId="79">
    <w:name w:val="正文1"/>
    <w:basedOn w:val="1"/>
    <w:qFormat/>
    <w:uiPriority w:val="0"/>
    <w:pPr>
      <w:adjustRightInd w:val="0"/>
      <w:spacing w:line="318" w:lineRule="atLeast"/>
      <w:ind w:left="369" w:firstLine="369"/>
      <w:textAlignment w:val="baseline"/>
    </w:pPr>
    <w:rPr>
      <w:rFonts w:ascii="宋体"/>
      <w:szCs w:val="20"/>
    </w:rPr>
  </w:style>
  <w:style w:type="character" w:customStyle="1" w:styleId="80">
    <w:name w:val="font31"/>
    <w:basedOn w:val="29"/>
    <w:qFormat/>
    <w:uiPriority w:val="0"/>
    <w:rPr>
      <w:rFonts w:hint="eastAsia" w:ascii="宋体" w:hAnsi="宋体" w:eastAsia="宋体" w:cs="宋体"/>
      <w:color w:val="000000"/>
      <w:sz w:val="22"/>
      <w:szCs w:val="22"/>
      <w:u w:val="none"/>
    </w:rPr>
  </w:style>
  <w:style w:type="character" w:customStyle="1" w:styleId="81">
    <w:name w:val="font41"/>
    <w:basedOn w:val="29"/>
    <w:qFormat/>
    <w:uiPriority w:val="0"/>
    <w:rPr>
      <w:rFonts w:hint="eastAsia" w:ascii="宋体" w:hAnsi="宋体" w:eastAsia="宋体" w:cs="宋体"/>
      <w:color w:val="FF0000"/>
      <w:sz w:val="22"/>
      <w:szCs w:val="22"/>
      <w:u w:val="none"/>
    </w:rPr>
  </w:style>
  <w:style w:type="paragraph" w:customStyle="1" w:styleId="82">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8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1026" textRotate="1"/>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72</Pages>
  <Words>2171</Words>
  <Characters>2507</Characters>
  <Lines>329</Lines>
  <Paragraphs>92</Paragraphs>
  <TotalTime>24</TotalTime>
  <ScaleCrop>false</ScaleCrop>
  <LinksUpToDate>false</LinksUpToDate>
  <CharactersWithSpaces>2566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招标代理</cp:lastModifiedBy>
  <cp:lastPrinted>2024-05-20T03:30:00Z</cp:lastPrinted>
  <dcterms:modified xsi:type="dcterms:W3CDTF">2025-11-13T07:31:21Z</dcterms:modified>
  <dc:title>竞争性谈判文件规范</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A3B240AD1EE84AE79FF8EABFA24AE38B_13</vt:lpwstr>
  </property>
  <property fmtid="{D5CDD505-2E9C-101B-9397-08002B2CF9AE}" pid="3" name="KSOProductBuildVer">
    <vt:lpwstr>2052-12.1.0.23542</vt:lpwstr>
  </property>
  <property fmtid="{D5CDD505-2E9C-101B-9397-08002B2CF9AE}" pid="4" name="KSOTemplateDocerSaveRecord">
    <vt:lpwstr>eyJoZGlkIjoiMWJkNjgyNjU2OWM5ZThjNWU4MGI3MGZjOWExMDhjMTYiLCJ1c2VySWQiOiI1ODkwNDU0NzMifQ==</vt:lpwstr>
  </property>
</Properties>
</file>