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sz w:val="32"/>
          <w:szCs w:val="32"/>
        </w:rPr>
      </w:pPr>
    </w:p>
    <w:p>
      <w:pPr>
        <w:spacing w:line="400" w:lineRule="exact"/>
        <w:jc w:val="center"/>
        <w:rPr>
          <w:rFonts w:ascii="宋体" w:hAnsi="宋体"/>
          <w:sz w:val="32"/>
          <w:szCs w:val="32"/>
        </w:rPr>
      </w:pPr>
      <w:r>
        <w:rPr>
          <w:rFonts w:hint="eastAsia" w:ascii="宋体" w:hAnsi="宋体"/>
          <w:sz w:val="32"/>
          <w:szCs w:val="32"/>
        </w:rPr>
        <w:t xml:space="preserve"> </w:t>
      </w:r>
    </w:p>
    <w:p>
      <w:pPr>
        <w:spacing w:before="156" w:beforeLines="50"/>
        <w:jc w:val="center"/>
        <w:rPr>
          <w:rFonts w:ascii="宋体" w:hAnsi="宋体"/>
          <w:sz w:val="72"/>
          <w:szCs w:val="72"/>
        </w:rPr>
      </w:pPr>
      <w:r>
        <w:rPr>
          <w:rFonts w:hint="eastAsia" w:ascii="宋体" w:hAnsi="宋体"/>
          <w:sz w:val="72"/>
          <w:szCs w:val="72"/>
        </w:rPr>
        <w:t>竞争性磋商文件</w:t>
      </w:r>
    </w:p>
    <w:p>
      <w:pPr>
        <w:snapToGrid w:val="0"/>
        <w:spacing w:before="156" w:beforeLines="50" w:line="360" w:lineRule="auto"/>
        <w:rPr>
          <w:rFonts w:ascii="宋体" w:hAnsi="宋体"/>
          <w:sz w:val="30"/>
          <w:szCs w:val="30"/>
        </w:rPr>
      </w:pPr>
      <w:r>
        <w:rPr>
          <w:rFonts w:hint="eastAsia" w:ascii="宋体" w:hAnsi="宋体"/>
          <w:sz w:val="30"/>
          <w:szCs w:val="30"/>
        </w:rPr>
        <w:t xml:space="preserve"> </w:t>
      </w:r>
    </w:p>
    <w:p>
      <w:pPr>
        <w:pStyle w:val="19"/>
        <w:snapToGrid w:val="0"/>
        <w:spacing w:before="120" w:after="120" w:line="360" w:lineRule="auto"/>
        <w:ind w:firstLine="1493" w:firstLineChars="496"/>
        <w:rPr>
          <w:rFonts w:hAnsi="宋体"/>
          <w:b/>
          <w:bCs/>
          <w:sz w:val="30"/>
          <w:szCs w:val="30"/>
        </w:rPr>
      </w:pPr>
      <w:r>
        <w:rPr>
          <w:rFonts w:hint="eastAsia" w:hAnsi="宋体"/>
          <w:b/>
          <w:bCs/>
          <w:sz w:val="30"/>
          <w:szCs w:val="30"/>
        </w:rPr>
        <w:t xml:space="preserve"> </w:t>
      </w:r>
    </w:p>
    <w:p>
      <w:pPr>
        <w:pStyle w:val="19"/>
        <w:snapToGrid w:val="0"/>
        <w:spacing w:before="120" w:after="120" w:line="360" w:lineRule="auto"/>
        <w:ind w:firstLine="1493" w:firstLineChars="496"/>
        <w:rPr>
          <w:rFonts w:hAnsi="宋体"/>
          <w:b/>
          <w:bCs/>
          <w:sz w:val="30"/>
          <w:szCs w:val="30"/>
        </w:rPr>
      </w:pPr>
      <w:r>
        <w:rPr>
          <w:rFonts w:hint="eastAsia" w:hAnsi="宋体"/>
          <w:b/>
          <w:bCs/>
          <w:sz w:val="30"/>
          <w:szCs w:val="30"/>
        </w:rPr>
        <w:t xml:space="preserve"> </w:t>
      </w:r>
    </w:p>
    <w:p>
      <w:pPr>
        <w:snapToGrid w:val="0"/>
        <w:spacing w:before="156" w:beforeLines="50" w:line="360" w:lineRule="auto"/>
        <w:ind w:firstLine="1261" w:firstLineChars="419"/>
        <w:rPr>
          <w:rFonts w:ascii="宋体" w:hAnsi="宋体"/>
          <w:b/>
          <w:bCs/>
          <w:sz w:val="30"/>
          <w:szCs w:val="30"/>
          <w:lang w:val="en"/>
        </w:rPr>
      </w:pPr>
      <w:r>
        <w:rPr>
          <w:rFonts w:hint="eastAsia" w:ascii="宋体" w:hAnsi="宋体"/>
          <w:b/>
          <w:bCs/>
          <w:sz w:val="30"/>
          <w:szCs w:val="30"/>
        </w:rPr>
        <w:t>项目编号：GXZC2025-C3-00</w:t>
      </w:r>
      <w:r>
        <w:rPr>
          <w:rFonts w:hint="eastAsia" w:ascii="宋体" w:hAnsi="宋体"/>
          <w:b/>
          <w:bCs/>
          <w:sz w:val="30"/>
          <w:szCs w:val="30"/>
          <w:lang w:val="en-US" w:eastAsia="zh-CN"/>
        </w:rPr>
        <w:t>3517</w:t>
      </w:r>
      <w:r>
        <w:rPr>
          <w:rFonts w:hint="eastAsia" w:ascii="宋体" w:hAnsi="宋体"/>
          <w:b/>
          <w:bCs/>
          <w:sz w:val="30"/>
          <w:szCs w:val="30"/>
        </w:rPr>
        <w:t xml:space="preserve">-CGZX </w:t>
      </w:r>
    </w:p>
    <w:p>
      <w:pPr>
        <w:snapToGrid w:val="0"/>
        <w:spacing w:before="156" w:beforeLines="50" w:line="360" w:lineRule="auto"/>
        <w:ind w:firstLine="1261" w:firstLineChars="419"/>
        <w:rPr>
          <w:rFonts w:ascii="宋体" w:hAnsi="宋体"/>
          <w:b/>
          <w:bCs/>
          <w:sz w:val="28"/>
          <w:szCs w:val="28"/>
          <w:lang w:val="en"/>
        </w:rPr>
      </w:pPr>
      <w:r>
        <w:rPr>
          <w:rFonts w:hint="eastAsia" w:ascii="宋体" w:hAnsi="宋体"/>
          <w:b/>
          <w:bCs/>
          <w:sz w:val="30"/>
          <w:szCs w:val="30"/>
        </w:rPr>
        <w:t>项目名称：广西农业职业技术大学网络线路租赁服务采购</w:t>
      </w:r>
    </w:p>
    <w:p>
      <w:pPr>
        <w:snapToGrid w:val="0"/>
        <w:spacing w:before="156" w:beforeLines="50" w:line="360" w:lineRule="auto"/>
        <w:ind w:firstLine="1261" w:firstLineChars="419"/>
        <w:rPr>
          <w:rFonts w:ascii="宋体" w:hAnsi="宋体"/>
          <w:b/>
          <w:bCs/>
          <w:sz w:val="30"/>
          <w:szCs w:val="30"/>
          <w:lang w:val="en"/>
        </w:rPr>
      </w:pPr>
      <w:r>
        <w:rPr>
          <w:rFonts w:hint="eastAsia" w:ascii="宋体" w:hAnsi="宋体"/>
          <w:b/>
          <w:bCs/>
          <w:sz w:val="30"/>
          <w:szCs w:val="30"/>
        </w:rPr>
        <w:t>采 购 人：</w:t>
      </w:r>
      <w:r>
        <w:rPr>
          <w:rFonts w:hint="eastAsia" w:ascii="宋体" w:hAnsi="宋体"/>
          <w:b/>
          <w:bCs/>
          <w:sz w:val="30"/>
          <w:szCs w:val="30"/>
          <w:highlight w:val="none"/>
          <w:shd w:val="clear" w:color="auto" w:fill="auto"/>
        </w:rPr>
        <w:t>广西农业职业技术大学</w:t>
      </w:r>
    </w:p>
    <w:p>
      <w:pPr>
        <w:snapToGrid w:val="0"/>
        <w:spacing w:before="156" w:beforeLines="50" w:line="360" w:lineRule="auto"/>
        <w:ind w:left="370" w:hanging="370" w:hangingChars="123"/>
        <w:rPr>
          <w:rFonts w:ascii="宋体" w:hAnsi="宋体"/>
          <w:b/>
          <w:bCs/>
          <w:sz w:val="30"/>
          <w:szCs w:val="30"/>
        </w:rPr>
      </w:pPr>
    </w:p>
    <w:p>
      <w:pPr>
        <w:snapToGrid w:val="0"/>
        <w:spacing w:before="156" w:beforeLines="50" w:line="360" w:lineRule="auto"/>
        <w:ind w:firstLine="1273" w:firstLineChars="423"/>
        <w:rPr>
          <w:rFonts w:ascii="宋体" w:hAnsi="宋体"/>
          <w:b/>
          <w:bCs/>
          <w:sz w:val="30"/>
          <w:szCs w:val="30"/>
        </w:rPr>
      </w:pPr>
    </w:p>
    <w:p>
      <w:pPr>
        <w:snapToGrid w:val="0"/>
        <w:spacing w:before="156" w:beforeLines="50" w:line="360" w:lineRule="auto"/>
        <w:ind w:firstLine="1273" w:firstLineChars="423"/>
        <w:rPr>
          <w:rFonts w:ascii="宋体" w:hAnsi="宋体"/>
          <w:b/>
          <w:bCs/>
          <w:sz w:val="30"/>
          <w:szCs w:val="30"/>
          <w:lang w:val="en"/>
        </w:rPr>
      </w:pPr>
    </w:p>
    <w:p>
      <w:pPr>
        <w:snapToGrid w:val="0"/>
        <w:spacing w:before="156" w:beforeLines="50" w:line="360" w:lineRule="auto"/>
        <w:ind w:firstLine="1505" w:firstLineChars="500"/>
        <w:rPr>
          <w:rFonts w:ascii="宋体" w:hAnsi="宋体"/>
          <w:b/>
          <w:bCs/>
          <w:sz w:val="30"/>
          <w:szCs w:val="30"/>
        </w:rPr>
      </w:pPr>
      <w:r>
        <w:rPr>
          <w:rFonts w:hint="eastAsia" w:ascii="宋体" w:hAnsi="宋体"/>
          <w:b/>
          <w:bCs/>
          <w:sz w:val="30"/>
          <w:szCs w:val="30"/>
        </w:rPr>
        <w:t xml:space="preserve"> </w:t>
      </w:r>
    </w:p>
    <w:p>
      <w:pPr>
        <w:snapToGrid w:val="0"/>
        <w:spacing w:before="156" w:beforeLines="50" w:line="360" w:lineRule="auto"/>
        <w:ind w:firstLine="1505" w:firstLineChars="500"/>
        <w:rPr>
          <w:rFonts w:ascii="宋体" w:hAnsi="宋体"/>
          <w:b/>
          <w:bCs/>
          <w:sz w:val="30"/>
          <w:szCs w:val="30"/>
        </w:rPr>
      </w:pPr>
    </w:p>
    <w:p>
      <w:pPr>
        <w:snapToGrid w:val="0"/>
        <w:spacing w:before="156" w:beforeLines="50" w:line="360" w:lineRule="auto"/>
        <w:ind w:firstLine="1505" w:firstLineChars="500"/>
        <w:rPr>
          <w:rFonts w:ascii="宋体" w:hAnsi="宋体"/>
          <w:b/>
          <w:bCs/>
          <w:sz w:val="30"/>
          <w:szCs w:val="30"/>
        </w:rPr>
      </w:pPr>
      <w:r>
        <w:rPr>
          <w:rFonts w:hint="eastAsia" w:ascii="宋体" w:hAnsi="宋体"/>
          <w:b/>
          <w:bCs/>
          <w:sz w:val="30"/>
          <w:szCs w:val="30"/>
        </w:rPr>
        <w:t>采购代理机构：广西壮族自治区政府采购中心</w:t>
      </w:r>
    </w:p>
    <w:p>
      <w:pPr>
        <w:snapToGrid w:val="0"/>
        <w:spacing w:before="156" w:beforeLines="50" w:line="360" w:lineRule="auto"/>
        <w:jc w:val="center"/>
        <w:rPr>
          <w:rFonts w:ascii="宋体" w:hAnsi="宋体"/>
          <w:b/>
          <w:bCs/>
          <w:sz w:val="30"/>
          <w:szCs w:val="30"/>
        </w:rPr>
      </w:pPr>
      <w:r>
        <w:rPr>
          <w:rFonts w:hint="eastAsia" w:ascii="宋体" w:hAnsi="宋体"/>
          <w:b/>
          <w:bCs/>
          <w:sz w:val="30"/>
          <w:szCs w:val="30"/>
        </w:rPr>
        <w:t>202</w:t>
      </w:r>
      <w:r>
        <w:rPr>
          <w:rFonts w:ascii="宋体" w:hAnsi="宋体"/>
          <w:b/>
          <w:bCs/>
          <w:sz w:val="30"/>
          <w:szCs w:val="30"/>
          <w:lang w:val="en"/>
        </w:rPr>
        <w:t>5</w:t>
      </w:r>
      <w:r>
        <w:rPr>
          <w:rFonts w:hint="eastAsia" w:ascii="宋体" w:hAnsi="宋体"/>
          <w:b/>
          <w:bCs/>
          <w:sz w:val="30"/>
          <w:szCs w:val="30"/>
        </w:rPr>
        <w:t>年</w:t>
      </w:r>
      <w:r>
        <w:rPr>
          <w:rFonts w:hint="eastAsia" w:ascii="宋体" w:hAnsi="宋体"/>
          <w:b/>
          <w:bCs/>
          <w:sz w:val="30"/>
          <w:szCs w:val="30"/>
          <w:lang w:val="en-US" w:eastAsia="zh-CN"/>
        </w:rPr>
        <w:t>11</w:t>
      </w:r>
      <w:r>
        <w:rPr>
          <w:rFonts w:hint="eastAsia" w:ascii="宋体" w:hAnsi="宋体"/>
          <w:b/>
          <w:bCs/>
          <w:sz w:val="30"/>
          <w:szCs w:val="30"/>
        </w:rPr>
        <w:t>月</w:t>
      </w:r>
    </w:p>
    <w:p>
      <w:pPr>
        <w:pStyle w:val="19"/>
        <w:spacing w:before="120" w:after="120" w:line="300" w:lineRule="exact"/>
        <w:rPr>
          <w:rFonts w:ascii="仿宋" w:hAnsi="仿宋" w:cs="宋体"/>
          <w:kern w:val="0"/>
          <w:szCs w:val="21"/>
        </w:rPr>
      </w:pPr>
    </w:p>
    <w:p>
      <w:pPr>
        <w:pStyle w:val="19"/>
        <w:spacing w:before="120" w:after="120" w:line="300" w:lineRule="exact"/>
        <w:rPr>
          <w:rFonts w:ascii="仿宋" w:hAnsi="仿宋" w:cs="宋体"/>
          <w:kern w:val="0"/>
          <w:szCs w:val="21"/>
        </w:rPr>
      </w:pPr>
    </w:p>
    <w:p>
      <w:pPr>
        <w:pStyle w:val="19"/>
        <w:spacing w:before="120" w:after="120" w:line="300" w:lineRule="exact"/>
        <w:rPr>
          <w:rFonts w:ascii="仿宋" w:hAnsi="仿宋" w:cs="宋体"/>
          <w:kern w:val="0"/>
          <w:szCs w:val="21"/>
        </w:rPr>
      </w:pPr>
    </w:p>
    <w:p>
      <w:pPr>
        <w:spacing w:line="400" w:lineRule="exact"/>
        <w:jc w:val="center"/>
        <w:rPr>
          <w:rFonts w:ascii="宋体" w:hAnsi="宋体"/>
          <w:b/>
          <w:bCs/>
          <w:sz w:val="32"/>
          <w:szCs w:val="32"/>
        </w:rPr>
      </w:pPr>
    </w:p>
    <w:p>
      <w:pPr>
        <w:spacing w:line="400" w:lineRule="exact"/>
        <w:jc w:val="center"/>
        <w:rPr>
          <w:rFonts w:ascii="宋体" w:hAnsi="宋体"/>
          <w:b/>
          <w:bCs/>
          <w:sz w:val="32"/>
          <w:szCs w:val="32"/>
        </w:rPr>
      </w:pPr>
    </w:p>
    <w:p>
      <w:pPr>
        <w:spacing w:line="400" w:lineRule="exact"/>
        <w:jc w:val="center"/>
        <w:rPr>
          <w:rFonts w:ascii="宋体" w:hAnsi="宋体"/>
          <w:b/>
          <w:bCs/>
          <w:sz w:val="32"/>
          <w:szCs w:val="32"/>
        </w:rPr>
      </w:pPr>
    </w:p>
    <w:p>
      <w:pPr>
        <w:spacing w:line="400" w:lineRule="exact"/>
        <w:jc w:val="center"/>
        <w:rPr>
          <w:rFonts w:ascii="宋体" w:hAnsi="宋体"/>
          <w:b/>
          <w:bCs/>
          <w:sz w:val="32"/>
          <w:szCs w:val="32"/>
        </w:rPr>
        <w:sectPr>
          <w:footerReference r:id="rId4" w:type="first"/>
          <w:headerReference r:id="rId3" w:type="default"/>
          <w:pgSz w:w="11906" w:h="16838"/>
          <w:pgMar w:top="1247" w:right="1247" w:bottom="1247" w:left="1247" w:header="851" w:footer="992" w:gutter="0"/>
          <w:pgNumType w:start="1"/>
          <w:cols w:space="720" w:num="1"/>
          <w:titlePg/>
          <w:docGrid w:type="lines" w:linePitch="312" w:charSpace="0"/>
        </w:sectPr>
      </w:pPr>
    </w:p>
    <w:p>
      <w:pPr>
        <w:spacing w:line="400" w:lineRule="exact"/>
        <w:jc w:val="center"/>
        <w:rPr>
          <w:rFonts w:ascii="宋体" w:hAnsi="宋体"/>
          <w:b/>
          <w:bCs/>
          <w:sz w:val="32"/>
          <w:szCs w:val="32"/>
        </w:rPr>
      </w:pPr>
      <w:r>
        <w:rPr>
          <w:rFonts w:hint="eastAsia" w:ascii="宋体" w:hAnsi="宋体"/>
          <w:b/>
          <w:bCs/>
          <w:sz w:val="32"/>
          <w:szCs w:val="32"/>
        </w:rPr>
        <w:t>目录</w:t>
      </w:r>
    </w:p>
    <w:p>
      <w:pPr>
        <w:spacing w:line="400" w:lineRule="exact"/>
        <w:jc w:val="center"/>
        <w:rPr>
          <w:rFonts w:ascii="宋体" w:hAnsi="宋体"/>
          <w:b/>
          <w:bCs/>
          <w:sz w:val="32"/>
          <w:szCs w:val="32"/>
        </w:rPr>
      </w:pPr>
    </w:p>
    <w:p>
      <w:pPr>
        <w:pStyle w:val="26"/>
        <w:jc w:val="center"/>
        <w:rPr>
          <w:rFonts w:ascii="宋体" w:hAnsi="宋体"/>
          <w:b/>
          <w:bCs/>
          <w:sz w:val="28"/>
          <w:szCs w:val="28"/>
        </w:rPr>
      </w:pPr>
      <w:r>
        <w:fldChar w:fldCharType="begin"/>
      </w:r>
      <w:r>
        <w:instrText xml:space="preserve"> HYPERLINK \l "_Toc18481384#_Toc18481384" </w:instrText>
      </w:r>
      <w:r>
        <w:fldChar w:fldCharType="separate"/>
      </w:r>
      <w:r>
        <w:rPr>
          <w:rStyle w:val="76"/>
          <w:rFonts w:hint="eastAsia" w:ascii="宋体" w:hAnsi="宋体"/>
          <w:b/>
          <w:bCs/>
          <w:color w:val="auto"/>
          <w:sz w:val="28"/>
          <w:szCs w:val="28"/>
          <w:u w:val="none"/>
        </w:rPr>
        <w:t>第一章  竞争性磋商公告</w:t>
      </w:r>
      <w:r>
        <w:rPr>
          <w:rStyle w:val="44"/>
          <w:rFonts w:hint="eastAsia" w:hAnsi="宋体"/>
          <w:b/>
          <w:bCs/>
          <w:color w:val="auto"/>
          <w:sz w:val="28"/>
          <w:szCs w:val="28"/>
          <w:u w:val="none"/>
        </w:rPr>
        <w:t>………………………</w:t>
      </w:r>
      <w:bookmarkStart w:id="0" w:name="_Hlt204956115"/>
      <w:bookmarkStart w:id="1" w:name="_Hlt204956116"/>
      <w:r>
        <w:rPr>
          <w:rStyle w:val="44"/>
          <w:rFonts w:hint="eastAsia" w:hAnsi="宋体"/>
          <w:b/>
          <w:bCs/>
          <w:color w:val="auto"/>
          <w:sz w:val="28"/>
          <w:szCs w:val="28"/>
          <w:u w:val="none"/>
        </w:rPr>
        <w:t>…</w:t>
      </w:r>
      <w:bookmarkEnd w:id="0"/>
      <w:bookmarkEnd w:id="1"/>
      <w:r>
        <w:rPr>
          <w:rStyle w:val="44"/>
          <w:rFonts w:hint="eastAsia" w:hAnsi="宋体"/>
          <w:b/>
          <w:bCs/>
          <w:color w:val="auto"/>
          <w:sz w:val="28"/>
          <w:szCs w:val="28"/>
          <w:u w:val="none"/>
        </w:rPr>
        <w:t>……………2</w:t>
      </w:r>
      <w:r>
        <w:rPr>
          <w:rStyle w:val="44"/>
          <w:rFonts w:hint="eastAsia" w:hAnsi="宋体"/>
          <w:b/>
          <w:bCs/>
          <w:color w:val="auto"/>
          <w:sz w:val="28"/>
          <w:szCs w:val="28"/>
          <w:u w:val="none"/>
        </w:rPr>
        <w:fldChar w:fldCharType="end"/>
      </w:r>
    </w:p>
    <w:p>
      <w:pPr>
        <w:pStyle w:val="26"/>
        <w:jc w:val="center"/>
        <w:rPr>
          <w:rFonts w:ascii="宋体" w:hAnsi="宋体"/>
          <w:b/>
          <w:bCs/>
          <w:sz w:val="28"/>
          <w:szCs w:val="28"/>
        </w:rPr>
      </w:pPr>
      <w:r>
        <w:fldChar w:fldCharType="begin"/>
      </w:r>
      <w:r>
        <w:instrText xml:space="preserve"> HYPERLINK \l "_Toc18481385#_Toc18481385" </w:instrText>
      </w:r>
      <w:r>
        <w:fldChar w:fldCharType="separate"/>
      </w:r>
      <w:r>
        <w:rPr>
          <w:rStyle w:val="76"/>
          <w:rFonts w:hint="eastAsia" w:ascii="宋体" w:hAnsi="宋体"/>
          <w:b/>
          <w:bCs/>
          <w:color w:val="auto"/>
          <w:sz w:val="28"/>
          <w:szCs w:val="28"/>
          <w:u w:val="none"/>
        </w:rPr>
        <w:t>第二章  供应商须知</w:t>
      </w:r>
      <w:r>
        <w:rPr>
          <w:rStyle w:val="44"/>
          <w:rFonts w:hint="eastAsia" w:hAnsi="宋体"/>
          <w:b/>
          <w:bCs/>
          <w:color w:val="auto"/>
          <w:sz w:val="28"/>
          <w:szCs w:val="28"/>
          <w:u w:val="none"/>
        </w:rPr>
        <w:t>……………………………………………</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6</w:t>
      </w:r>
    </w:p>
    <w:p>
      <w:pPr>
        <w:pStyle w:val="26"/>
        <w:jc w:val="center"/>
        <w:rPr>
          <w:rFonts w:ascii="宋体" w:hAnsi="宋体"/>
          <w:b/>
          <w:bCs/>
          <w:sz w:val="28"/>
          <w:szCs w:val="28"/>
        </w:rPr>
      </w:pPr>
      <w:r>
        <w:fldChar w:fldCharType="begin"/>
      </w:r>
      <w:r>
        <w:instrText xml:space="preserve"> HYPERLINK \l "_Toc18481386#_Toc18481386" </w:instrText>
      </w:r>
      <w:r>
        <w:fldChar w:fldCharType="separate"/>
      </w:r>
      <w:r>
        <w:rPr>
          <w:rStyle w:val="76"/>
          <w:rFonts w:hint="eastAsia" w:ascii="宋体" w:hAnsi="宋体"/>
          <w:b/>
          <w:bCs/>
          <w:color w:val="auto"/>
          <w:sz w:val="28"/>
          <w:szCs w:val="28"/>
          <w:u w:val="none"/>
        </w:rPr>
        <w:t>第三章  采购</w:t>
      </w:r>
      <w:bookmarkStart w:id="2" w:name="_Hlt106788114"/>
      <w:r>
        <w:rPr>
          <w:rStyle w:val="76"/>
          <w:rFonts w:hint="eastAsia" w:ascii="宋体" w:hAnsi="宋体"/>
          <w:b/>
          <w:bCs/>
          <w:color w:val="auto"/>
          <w:sz w:val="28"/>
          <w:szCs w:val="28"/>
          <w:u w:val="none"/>
        </w:rPr>
        <w:t>需</w:t>
      </w:r>
      <w:bookmarkEnd w:id="2"/>
      <w:r>
        <w:rPr>
          <w:rStyle w:val="76"/>
          <w:rFonts w:hint="eastAsia" w:ascii="宋体" w:hAnsi="宋体"/>
          <w:b/>
          <w:bCs/>
          <w:color w:val="auto"/>
          <w:sz w:val="28"/>
          <w:szCs w:val="28"/>
          <w:u w:val="none"/>
        </w:rPr>
        <w:t>求</w:t>
      </w:r>
      <w:r>
        <w:rPr>
          <w:rStyle w:val="44"/>
          <w:rFonts w:hint="eastAsia" w:hAnsi="宋体"/>
          <w:b/>
          <w:bCs/>
          <w:color w:val="auto"/>
          <w:sz w:val="28"/>
          <w:szCs w:val="28"/>
          <w:u w:val="none"/>
        </w:rPr>
        <w:t>………………………………………………</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18</w:t>
      </w:r>
    </w:p>
    <w:p>
      <w:pPr>
        <w:pStyle w:val="26"/>
        <w:jc w:val="center"/>
        <w:rPr>
          <w:rFonts w:ascii="宋体" w:hAnsi="宋体"/>
          <w:b/>
          <w:bCs/>
          <w:sz w:val="28"/>
          <w:szCs w:val="28"/>
        </w:rPr>
      </w:pPr>
      <w:r>
        <w:fldChar w:fldCharType="begin"/>
      </w:r>
      <w:r>
        <w:instrText xml:space="preserve"> HYPERLINK \l "_Toc18481387#_Toc18481387" </w:instrText>
      </w:r>
      <w:r>
        <w:fldChar w:fldCharType="separate"/>
      </w:r>
      <w:r>
        <w:rPr>
          <w:rStyle w:val="44"/>
          <w:rFonts w:hint="eastAsia" w:hAnsi="宋体"/>
          <w:b/>
          <w:bCs/>
          <w:color w:val="auto"/>
          <w:sz w:val="28"/>
          <w:szCs w:val="28"/>
          <w:u w:val="none"/>
        </w:rPr>
        <w:t>第四章  竞争性磋商响应文件格式……………………………</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29</w:t>
      </w:r>
    </w:p>
    <w:p>
      <w:pPr>
        <w:pStyle w:val="26"/>
        <w:jc w:val="center"/>
        <w:rPr>
          <w:rFonts w:ascii="宋体" w:hAnsi="宋体"/>
          <w:b/>
          <w:bCs/>
          <w:sz w:val="28"/>
          <w:szCs w:val="28"/>
        </w:rPr>
      </w:pPr>
      <w:r>
        <w:fldChar w:fldCharType="begin"/>
      </w:r>
      <w:r>
        <w:instrText xml:space="preserve"> HYPERLINK \l "_Toc18481388#_Toc18481388" </w:instrText>
      </w:r>
      <w:r>
        <w:fldChar w:fldCharType="separate"/>
      </w:r>
      <w:r>
        <w:rPr>
          <w:rStyle w:val="76"/>
          <w:rFonts w:hint="eastAsia" w:ascii="宋体" w:hAnsi="宋体"/>
          <w:b/>
          <w:bCs/>
          <w:color w:val="auto"/>
          <w:sz w:val="28"/>
          <w:szCs w:val="28"/>
          <w:u w:val="none"/>
        </w:rPr>
        <w:t>第五章  合同主要条款</w:t>
      </w:r>
      <w:r>
        <w:rPr>
          <w:rStyle w:val="44"/>
          <w:rFonts w:hint="eastAsia" w:hAnsi="宋体"/>
          <w:b/>
          <w:bCs/>
          <w:color w:val="auto"/>
          <w:sz w:val="28"/>
          <w:szCs w:val="28"/>
          <w:u w:val="none"/>
        </w:rPr>
        <w:t>…………………………………………</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37</w:t>
      </w:r>
    </w:p>
    <w:p>
      <w:pPr>
        <w:pStyle w:val="26"/>
        <w:jc w:val="center"/>
        <w:rPr>
          <w:rFonts w:ascii="宋体" w:hAnsi="宋体"/>
          <w:b/>
          <w:bCs/>
          <w:sz w:val="28"/>
          <w:szCs w:val="28"/>
        </w:rPr>
      </w:pPr>
      <w:r>
        <w:fldChar w:fldCharType="begin"/>
      </w:r>
      <w:r>
        <w:instrText xml:space="preserve"> HYPERLINK \l "_Toc18481389#_Toc18481389" </w:instrText>
      </w:r>
      <w:r>
        <w:fldChar w:fldCharType="separate"/>
      </w:r>
      <w:r>
        <w:rPr>
          <w:rStyle w:val="76"/>
          <w:rFonts w:hint="eastAsia" w:ascii="宋体" w:hAnsi="宋体"/>
          <w:b/>
          <w:bCs/>
          <w:color w:val="auto"/>
          <w:sz w:val="28"/>
          <w:szCs w:val="28"/>
          <w:u w:val="none"/>
        </w:rPr>
        <w:t>第六章  评审方法及评分标准</w:t>
      </w:r>
      <w:r>
        <w:rPr>
          <w:rStyle w:val="43"/>
          <w:rFonts w:hint="eastAsia" w:hAnsi="宋体"/>
          <w:b/>
          <w:bCs/>
          <w:color w:val="auto"/>
          <w:sz w:val="28"/>
          <w:szCs w:val="28"/>
          <w:u w:val="none"/>
        </w:rPr>
        <w:t>…………………………………</w:t>
      </w:r>
      <w:r>
        <w:rPr>
          <w:rStyle w:val="43"/>
          <w:rFonts w:hint="eastAsia" w:hAnsi="宋体"/>
          <w:b/>
          <w:bCs/>
          <w:color w:val="auto"/>
          <w:sz w:val="28"/>
          <w:szCs w:val="28"/>
          <w:u w:val="none"/>
        </w:rPr>
        <w:fldChar w:fldCharType="end"/>
      </w:r>
      <w:r>
        <w:rPr>
          <w:rStyle w:val="44"/>
          <w:rFonts w:hint="eastAsia" w:hAnsi="宋体"/>
          <w:b/>
          <w:bCs/>
          <w:color w:val="auto"/>
          <w:sz w:val="28"/>
          <w:szCs w:val="28"/>
          <w:u w:val="none"/>
        </w:rPr>
        <w:t>42</w:t>
      </w:r>
    </w:p>
    <w:p>
      <w:pPr>
        <w:spacing w:line="400" w:lineRule="exact"/>
        <w:jc w:val="center"/>
        <w:rPr>
          <w:rFonts w:ascii="宋体" w:hAnsi="宋体"/>
          <w:b/>
          <w:bCs/>
          <w:sz w:val="28"/>
          <w:szCs w:val="28"/>
        </w:rPr>
      </w:pPr>
      <w:r>
        <w:rPr>
          <w:rFonts w:hint="eastAsia" w:ascii="宋体" w:hAnsi="宋体"/>
          <w:b/>
          <w:bCs/>
          <w:sz w:val="28"/>
          <w:szCs w:val="28"/>
        </w:rPr>
        <w:t xml:space="preserve"> </w:t>
      </w:r>
    </w:p>
    <w:p>
      <w:pPr>
        <w:pStyle w:val="2"/>
        <w:keepLines w:val="0"/>
        <w:pageBreakBefore/>
        <w:spacing w:line="280" w:lineRule="exact"/>
        <w:jc w:val="center"/>
        <w:rPr>
          <w:rFonts w:ascii="宋体" w:hAnsi="宋体"/>
        </w:rPr>
      </w:pPr>
      <w:bookmarkStart w:id="3" w:name="_Toc18481384"/>
      <w:bookmarkEnd w:id="3"/>
      <w:r>
        <w:rPr>
          <w:rFonts w:hint="eastAsia" w:ascii="宋体" w:hAnsi="宋体"/>
        </w:rPr>
        <w:t>第一章  竞争性磋商公告</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28"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bCs/>
                <w:kern w:val="0"/>
              </w:rPr>
            </w:pPr>
            <w:r>
              <w:rPr>
                <w:rFonts w:hint="eastAsia" w:ascii="宋体" w:hAnsi="宋体"/>
                <w:bCs/>
                <w:kern w:val="0"/>
              </w:rPr>
              <w:t xml:space="preserve">项目概况                                                    </w:t>
            </w:r>
          </w:p>
          <w:p>
            <w:pPr>
              <w:spacing w:line="380" w:lineRule="exact"/>
              <w:ind w:firstLine="420" w:firstLineChars="200"/>
              <w:rPr>
                <w:rFonts w:ascii="宋体" w:hAnsi="宋体"/>
                <w:bCs/>
                <w:kern w:val="0"/>
              </w:rPr>
            </w:pPr>
            <w:r>
              <w:rPr>
                <w:rFonts w:hint="eastAsia" w:ascii="宋体" w:hAnsi="宋体"/>
                <w:bCs/>
                <w:kern w:val="0"/>
              </w:rPr>
              <w:t>广西农业职业技术大学网络线路租赁服务采购的潜在供应商广西政府采购云平台（</w:t>
            </w:r>
            <w:r>
              <w:rPr>
                <w:rFonts w:hint="eastAsia" w:ascii="宋体" w:hAnsi="宋体"/>
                <w:b/>
                <w:kern w:val="0"/>
              </w:rPr>
              <w:t xml:space="preserve">网址： </w:t>
            </w:r>
            <w:r>
              <w:fldChar w:fldCharType="begin"/>
            </w:r>
            <w:r>
              <w:instrText xml:space="preserve"> HYPERLINK "http://www.zcygov.cn）获取采购文件，并于2021年" </w:instrText>
            </w:r>
            <w:r>
              <w:fldChar w:fldCharType="separate"/>
            </w:r>
            <w:r>
              <w:rPr>
                <w:rFonts w:hint="eastAsia" w:ascii="宋体" w:hAnsi="宋体"/>
                <w:b/>
                <w:kern w:val="0"/>
              </w:rPr>
              <w:t>http://www.gcy.</w:t>
            </w:r>
            <w:r>
              <w:rPr>
                <w:rFonts w:hint="eastAsia" w:ascii="宋体" w:hAnsi="宋体"/>
                <w:b/>
                <w:kern w:val="0"/>
                <w:lang w:val="en"/>
              </w:rPr>
              <w:t>zfcg.gxzf.gov.</w:t>
            </w:r>
            <w:r>
              <w:rPr>
                <w:rFonts w:hint="eastAsia" w:ascii="宋体" w:hAnsi="宋体"/>
                <w:b/>
                <w:kern w:val="0"/>
              </w:rPr>
              <w:t>cn</w:t>
            </w:r>
            <w:r>
              <w:rPr>
                <w:rFonts w:hint="eastAsia" w:ascii="宋体" w:hAnsi="宋体"/>
                <w:b/>
                <w:kern w:val="0"/>
                <w:lang w:val="en"/>
              </w:rPr>
              <w:t>/</w:t>
            </w:r>
            <w:r>
              <w:rPr>
                <w:rFonts w:hint="eastAsia" w:ascii="宋体" w:hAnsi="宋体"/>
                <w:b/>
                <w:kern w:val="0"/>
              </w:rPr>
              <w:t>）</w:t>
            </w:r>
            <w:r>
              <w:rPr>
                <w:rFonts w:hint="eastAsia" w:ascii="宋体" w:hAnsi="宋体"/>
                <w:bCs/>
                <w:kern w:val="0"/>
              </w:rPr>
              <w:t>获取采购文件</w:t>
            </w:r>
            <w:r>
              <w:rPr>
                <w:rFonts w:hint="eastAsia" w:ascii="宋体" w:hAnsi="宋体"/>
                <w:b/>
                <w:kern w:val="0"/>
              </w:rPr>
              <w:t>，</w:t>
            </w:r>
            <w:r>
              <w:rPr>
                <w:rFonts w:hint="eastAsia" w:ascii="宋体" w:hAnsi="宋体"/>
                <w:bCs/>
                <w:kern w:val="0"/>
              </w:rPr>
              <w:t>并于</w:t>
            </w:r>
            <w:r>
              <w:rPr>
                <w:rFonts w:hint="eastAsia" w:ascii="宋体" w:hAnsi="宋体"/>
                <w:b/>
                <w:kern w:val="0"/>
                <w:lang w:val="en"/>
              </w:rPr>
              <w:t>202</w:t>
            </w:r>
            <w:r>
              <w:rPr>
                <w:rFonts w:hint="eastAsia" w:ascii="宋体" w:hAnsi="宋体"/>
                <w:b/>
                <w:kern w:val="0"/>
              </w:rPr>
              <w:t>5年</w:t>
            </w:r>
            <w:r>
              <w:rPr>
                <w:rFonts w:hint="eastAsia" w:ascii="宋体" w:hAnsi="宋体"/>
                <w:b/>
                <w:kern w:val="0"/>
              </w:rPr>
              <w:fldChar w:fldCharType="end"/>
            </w:r>
            <w:r>
              <w:rPr>
                <w:rFonts w:hint="eastAsia" w:ascii="宋体" w:hAnsi="宋体"/>
                <w:b/>
                <w:kern w:val="0"/>
                <w:lang w:val="en-US" w:eastAsia="zh-CN"/>
              </w:rPr>
              <w:t>12</w:t>
            </w:r>
            <w:r>
              <w:rPr>
                <w:rFonts w:hint="eastAsia" w:ascii="宋体" w:hAnsi="宋体"/>
                <w:b/>
                <w:kern w:val="0"/>
              </w:rPr>
              <w:t>月</w:t>
            </w:r>
            <w:r>
              <w:rPr>
                <w:rFonts w:hint="eastAsia" w:ascii="宋体" w:hAnsi="宋体"/>
                <w:b/>
                <w:kern w:val="0"/>
                <w:lang w:val="en-US" w:eastAsia="zh-CN"/>
              </w:rPr>
              <w:t>3</w:t>
            </w:r>
            <w:bookmarkStart w:id="35" w:name="_GoBack"/>
            <w:bookmarkEnd w:id="35"/>
            <w:r>
              <w:rPr>
                <w:rFonts w:hint="eastAsia" w:ascii="宋体" w:hAnsi="宋体"/>
                <w:b/>
                <w:kern w:val="0"/>
              </w:rPr>
              <w:t>日 10:00（北京时间）</w:t>
            </w:r>
            <w:r>
              <w:rPr>
                <w:rFonts w:hint="eastAsia" w:ascii="宋体" w:hAnsi="宋体"/>
                <w:bCs/>
                <w:kern w:val="0"/>
              </w:rPr>
              <w:t>前提交响应文件。</w:t>
            </w:r>
          </w:p>
        </w:tc>
      </w:tr>
    </w:tbl>
    <w:p>
      <w:pPr>
        <w:spacing w:line="440" w:lineRule="exact"/>
        <w:ind w:firstLine="420" w:firstLineChars="200"/>
        <w:rPr>
          <w:rFonts w:ascii="宋体" w:hAnsi="宋体"/>
        </w:rPr>
      </w:pPr>
      <w:bookmarkStart w:id="4" w:name="_Toc35393798"/>
      <w:bookmarkEnd w:id="4"/>
      <w:bookmarkStart w:id="5" w:name="_Toc28359089"/>
      <w:bookmarkEnd w:id="5"/>
      <w:bookmarkStart w:id="6" w:name="_Toc28359012"/>
      <w:bookmarkEnd w:id="6"/>
      <w:bookmarkStart w:id="7" w:name="_Toc35393629"/>
      <w:bookmarkEnd w:id="7"/>
      <w:r>
        <w:rPr>
          <w:rFonts w:hint="eastAsia" w:ascii="宋体" w:hAnsi="宋体"/>
        </w:rPr>
        <w:t>一、项目基本情况</w:t>
      </w:r>
    </w:p>
    <w:p>
      <w:pPr>
        <w:spacing w:line="440" w:lineRule="exact"/>
        <w:ind w:firstLine="420" w:firstLineChars="200"/>
        <w:rPr>
          <w:rFonts w:ascii="宋体" w:hAnsi="宋体"/>
        </w:rPr>
      </w:pPr>
      <w:r>
        <w:rPr>
          <w:rFonts w:ascii="宋体" w:hAnsi="宋体"/>
        </w:rPr>
        <w:t>项目编号：</w:t>
      </w:r>
      <w:r>
        <w:rPr>
          <w:rFonts w:ascii="宋体" w:hAnsi="宋体"/>
          <w:lang w:val="en"/>
        </w:rPr>
        <w:t xml:space="preserve"> GXZC2025-C3-</w:t>
      </w:r>
      <w:r>
        <w:rPr>
          <w:rFonts w:hint="eastAsia" w:ascii="宋体" w:hAnsi="宋体"/>
        </w:rPr>
        <w:t>00</w:t>
      </w:r>
      <w:r>
        <w:rPr>
          <w:rFonts w:hint="eastAsia" w:ascii="宋体" w:hAnsi="宋体"/>
          <w:lang w:val="en-US" w:eastAsia="zh-CN"/>
        </w:rPr>
        <w:t>3517</w:t>
      </w:r>
      <w:r>
        <w:rPr>
          <w:rFonts w:ascii="宋体" w:hAnsi="宋体"/>
          <w:lang w:val="en"/>
        </w:rPr>
        <w:t>-CGZX</w:t>
      </w:r>
      <w:r>
        <w:rPr>
          <w:rFonts w:ascii="宋体" w:hAnsi="宋体"/>
        </w:rPr>
        <w:t> </w:t>
      </w:r>
    </w:p>
    <w:p>
      <w:pPr>
        <w:spacing w:line="440" w:lineRule="exact"/>
        <w:ind w:firstLine="420" w:firstLineChars="200"/>
        <w:rPr>
          <w:rFonts w:ascii="宋体" w:hAnsi="宋体"/>
        </w:rPr>
      </w:pPr>
      <w:r>
        <w:rPr>
          <w:rFonts w:ascii="宋体" w:hAnsi="宋体"/>
        </w:rPr>
        <w:t>项目名称：</w:t>
      </w:r>
      <w:r>
        <w:rPr>
          <w:rFonts w:hint="eastAsia" w:ascii="宋体" w:hAnsi="宋体"/>
        </w:rPr>
        <w:t>广西农业职业技术大学网络线路租赁服务采购</w:t>
      </w:r>
      <w:r>
        <w:rPr>
          <w:rFonts w:ascii="宋体" w:hAnsi="宋体"/>
        </w:rPr>
        <w:t> </w:t>
      </w:r>
    </w:p>
    <w:p>
      <w:pPr>
        <w:spacing w:line="440" w:lineRule="exact"/>
        <w:ind w:firstLine="420" w:firstLineChars="200"/>
        <w:rPr>
          <w:rFonts w:ascii="宋体" w:hAnsi="宋体"/>
        </w:rPr>
      </w:pPr>
      <w:r>
        <w:rPr>
          <w:rFonts w:ascii="宋体" w:hAnsi="宋体"/>
        </w:rPr>
        <w:t>采购方式：竞争性磋商 </w:t>
      </w:r>
    </w:p>
    <w:p>
      <w:pPr>
        <w:spacing w:line="440" w:lineRule="exact"/>
        <w:ind w:firstLine="420" w:firstLineChars="200"/>
        <w:rPr>
          <w:rFonts w:ascii="宋体" w:hAnsi="宋体"/>
        </w:rPr>
      </w:pPr>
      <w:r>
        <w:rPr>
          <w:rFonts w:ascii="宋体" w:hAnsi="宋体"/>
        </w:rPr>
        <w:t>预算总金额（元）：</w:t>
      </w:r>
      <w:r>
        <w:rPr>
          <w:rFonts w:hint="eastAsia" w:ascii="宋体" w:hAnsi="宋体"/>
        </w:rPr>
        <w:t>1360000</w:t>
      </w:r>
      <w:r>
        <w:rPr>
          <w:rFonts w:ascii="宋体" w:hAnsi="宋体"/>
        </w:rPr>
        <w:t>  </w:t>
      </w:r>
    </w:p>
    <w:p>
      <w:pPr>
        <w:spacing w:line="440" w:lineRule="exact"/>
        <w:ind w:firstLine="420" w:firstLineChars="200"/>
        <w:rPr>
          <w:rFonts w:ascii="宋体" w:hAnsi="宋体"/>
        </w:rPr>
      </w:pPr>
      <w:r>
        <w:rPr>
          <w:rFonts w:ascii="宋体" w:hAnsi="宋体"/>
        </w:rPr>
        <w:t>采购需求：</w:t>
      </w:r>
    </w:p>
    <w:p>
      <w:pPr>
        <w:spacing w:line="440" w:lineRule="exact"/>
        <w:ind w:left="420" w:leftChars="200"/>
        <w:rPr>
          <w:rFonts w:ascii="宋体" w:hAnsi="宋体"/>
        </w:rPr>
      </w:pPr>
      <w:r>
        <w:rPr>
          <w:rFonts w:hint="eastAsia" w:ascii="宋体" w:hAnsi="宋体"/>
        </w:rPr>
        <w:t>标项一 </w:t>
      </w:r>
      <w:r>
        <w:rPr>
          <w:rFonts w:hint="eastAsia" w:ascii="宋体" w:hAnsi="宋体"/>
        </w:rPr>
        <w:br w:type="textWrapping"/>
      </w:r>
      <w:r>
        <w:rPr>
          <w:rFonts w:hint="eastAsia" w:ascii="宋体" w:hAnsi="宋体"/>
        </w:rPr>
        <w:t>标项名称：</w:t>
      </w:r>
      <w:r>
        <w:rPr>
          <w:rFonts w:hint="eastAsia" w:ascii="宋体" w:hAnsi="宋体"/>
          <w:bCs/>
          <w:kern w:val="0"/>
        </w:rPr>
        <w:t>广西农业职业技术大学网络线路租赁服务采购</w:t>
      </w:r>
      <w:r>
        <w:rPr>
          <w:rFonts w:ascii="宋体" w:hAnsi="宋体"/>
        </w:rPr>
        <w:br w:type="textWrapping"/>
      </w:r>
      <w:r>
        <w:rPr>
          <w:rFonts w:ascii="宋体" w:hAnsi="宋体"/>
        </w:rPr>
        <w:t>数量:</w:t>
      </w:r>
      <w:r>
        <w:rPr>
          <w:rFonts w:hint="eastAsia" w:ascii="宋体" w:hAnsi="宋体"/>
        </w:rPr>
        <w:t>1</w:t>
      </w:r>
      <w:r>
        <w:rPr>
          <w:rFonts w:ascii="宋体" w:hAnsi="宋体"/>
        </w:rPr>
        <w:br w:type="textWrapping"/>
      </w:r>
      <w:r>
        <w:rPr>
          <w:rFonts w:ascii="宋体" w:hAnsi="宋体"/>
        </w:rPr>
        <w:t>预算金额（元）:</w:t>
      </w:r>
      <w:r>
        <w:rPr>
          <w:rFonts w:hint="eastAsia" w:ascii="宋体" w:hAnsi="宋体"/>
        </w:rPr>
        <w:t>1360000</w:t>
      </w:r>
      <w:r>
        <w:rPr>
          <w:rFonts w:ascii="宋体" w:hAnsi="宋体"/>
        </w:rPr>
        <w:br w:type="textWrapping"/>
      </w:r>
      <w:r>
        <w:rPr>
          <w:rFonts w:ascii="宋体" w:hAnsi="宋体"/>
        </w:rPr>
        <w:t>简要规格描述或项目基本概况介绍、用途：</w:t>
      </w:r>
      <w:r>
        <w:rPr>
          <w:rFonts w:hint="eastAsia" w:ascii="宋体" w:hAnsi="宋体"/>
          <w:bCs/>
          <w:kern w:val="0"/>
        </w:rPr>
        <w:t>广西农业职业技术大学网络线路租赁服务</w:t>
      </w:r>
      <w:r>
        <w:rPr>
          <w:rFonts w:hint="eastAsia" w:ascii="宋体" w:hAnsi="宋体"/>
          <w:bCs/>
          <w:strike w:val="0"/>
          <w:kern w:val="0"/>
          <w:highlight w:val="none"/>
          <w:shd w:val="clear" w:color="auto" w:fill="auto"/>
        </w:rPr>
        <w:t>采购</w:t>
      </w:r>
      <w:r>
        <w:rPr>
          <w:rFonts w:ascii="宋体" w:hAnsi="宋体"/>
          <w:strike w:val="0"/>
          <w:highlight w:val="none"/>
          <w:shd w:val="clear" w:color="auto" w:fill="auto"/>
        </w:rPr>
        <w:t>（</w:t>
      </w:r>
      <w:r>
        <w:rPr>
          <w:rFonts w:ascii="宋体" w:hAnsi="宋体"/>
          <w:highlight w:val="none"/>
          <w:shd w:val="clear" w:color="auto" w:fill="auto"/>
        </w:rPr>
        <w:t>1项</w:t>
      </w:r>
      <w:r>
        <w:rPr>
          <w:rFonts w:ascii="宋体" w:hAnsi="宋体"/>
          <w:strike w:val="0"/>
          <w:highlight w:val="none"/>
          <w:shd w:val="clear" w:color="auto" w:fill="auto"/>
        </w:rPr>
        <w:t>）</w:t>
      </w:r>
      <w:r>
        <w:rPr>
          <w:rFonts w:ascii="宋体" w:hAnsi="宋体"/>
        </w:rPr>
        <w:t>,详见采购文件。</w:t>
      </w:r>
    </w:p>
    <w:p>
      <w:pPr>
        <w:spacing w:line="440" w:lineRule="exact"/>
        <w:ind w:firstLine="420" w:firstLineChars="200"/>
        <w:rPr>
          <w:rFonts w:ascii="宋体" w:hAnsi="宋体"/>
        </w:rPr>
      </w:pPr>
      <w:r>
        <w:rPr>
          <w:rFonts w:ascii="宋体" w:hAnsi="宋体"/>
        </w:rPr>
        <w:t>最高限价（如有）：/</w:t>
      </w:r>
    </w:p>
    <w:p>
      <w:pPr>
        <w:spacing w:line="440" w:lineRule="exact"/>
        <w:ind w:firstLine="420" w:firstLineChars="200"/>
        <w:rPr>
          <w:rFonts w:ascii="宋体" w:hAnsi="宋体"/>
        </w:rPr>
      </w:pPr>
      <w:r>
        <w:rPr>
          <w:rFonts w:ascii="宋体" w:hAnsi="宋体"/>
        </w:rPr>
        <w:t>合同履约期限：自合同签订之日起至项目验收合格。</w:t>
      </w:r>
    </w:p>
    <w:p>
      <w:pPr>
        <w:spacing w:line="440" w:lineRule="exact"/>
        <w:ind w:left="420" w:leftChars="200"/>
        <w:rPr>
          <w:rFonts w:ascii="宋体" w:hAnsi="宋体"/>
        </w:rPr>
      </w:pPr>
      <w:r>
        <w:rPr>
          <w:rFonts w:ascii="宋体" w:hAnsi="宋体"/>
        </w:rPr>
        <w:t>本标项（否）接受联合体投标</w:t>
      </w:r>
      <w:r>
        <w:rPr>
          <w:rFonts w:ascii="宋体" w:hAnsi="宋体"/>
        </w:rPr>
        <w:br w:type="textWrapping"/>
      </w:r>
      <w:r>
        <w:rPr>
          <w:rFonts w:ascii="宋体" w:hAnsi="宋体"/>
        </w:rPr>
        <w:t>备注：本项目为线上电子招标项目，有意向参与本项目的供应商应当做好参与全流程电子招投标交易的充分准备。</w:t>
      </w:r>
    </w:p>
    <w:p>
      <w:pPr>
        <w:spacing w:line="440" w:lineRule="exact"/>
        <w:ind w:firstLine="420" w:firstLineChars="200"/>
        <w:rPr>
          <w:rFonts w:ascii="宋体" w:hAnsi="宋体"/>
        </w:rPr>
      </w:pPr>
      <w:r>
        <w:rPr>
          <w:rFonts w:hint="eastAsia" w:ascii="宋体" w:hAnsi="宋体"/>
        </w:rPr>
        <w:t>二、申请人的资格要求：</w:t>
      </w:r>
    </w:p>
    <w:p>
      <w:pPr>
        <w:spacing w:line="440" w:lineRule="exact"/>
        <w:ind w:firstLine="420" w:firstLineChars="200"/>
        <w:rPr>
          <w:rFonts w:ascii="宋体" w:hAnsi="宋体"/>
        </w:rPr>
      </w:pPr>
      <w:r>
        <w:rPr>
          <w:rFonts w:ascii="宋体" w:hAnsi="宋体"/>
        </w:rPr>
        <w:t>1.满足《中华人民共和国政府采购法》第二十二条规定；</w:t>
      </w:r>
    </w:p>
    <w:p>
      <w:pPr>
        <w:spacing w:line="440" w:lineRule="exact"/>
        <w:ind w:firstLine="420" w:firstLineChars="200"/>
        <w:rPr>
          <w:rFonts w:ascii="宋体" w:hAnsi="宋体"/>
        </w:rPr>
      </w:pPr>
      <w:r>
        <w:rPr>
          <w:rFonts w:ascii="宋体" w:hAnsi="宋体"/>
        </w:rPr>
        <w:t>2.落实政府采购政策需满足的资格要求：</w:t>
      </w:r>
      <w:r>
        <w:rPr>
          <w:rFonts w:hint="eastAsia" w:ascii="宋体" w:hAnsi="宋体"/>
          <w:lang w:eastAsia="zh-CN"/>
        </w:rPr>
        <w:t>无</w:t>
      </w:r>
      <w:r>
        <w:rPr>
          <w:rFonts w:ascii="宋体" w:hAnsi="宋体"/>
        </w:rPr>
        <w:t> </w:t>
      </w:r>
    </w:p>
    <w:p>
      <w:pPr>
        <w:widowControl/>
        <w:adjustRightInd w:val="0"/>
        <w:snapToGrid w:val="0"/>
        <w:spacing w:line="400" w:lineRule="exact"/>
        <w:ind w:firstLine="420" w:firstLineChars="200"/>
        <w:rPr>
          <w:rFonts w:hint="eastAsia" w:ascii="宋体" w:hAnsi="宋体" w:eastAsia="宋体" w:cs="宋体"/>
          <w:kern w:val="0"/>
          <w:highlight w:val="cyan"/>
          <w:lang w:eastAsia="zh-CN"/>
        </w:rPr>
      </w:pPr>
      <w:r>
        <w:rPr>
          <w:rFonts w:ascii="宋体" w:hAnsi="宋体"/>
        </w:rPr>
        <w:t>3.本项目的特定资格要求</w:t>
      </w:r>
      <w:r>
        <w:rPr>
          <w:rFonts w:hint="eastAsia" w:ascii="宋体" w:hAnsi="宋体"/>
          <w:lang w:eastAsia="zh-CN"/>
        </w:rPr>
        <w:t>：</w:t>
      </w:r>
      <w:r>
        <w:rPr>
          <w:rFonts w:hint="default" w:ascii="宋体" w:hAnsi="宋体"/>
          <w:lang w:eastAsia="zh-CN"/>
        </w:rPr>
        <w:t>基础电信运营商（含分支机构、分公司）或具有基础电信运营商合法有效授权的供应商。</w:t>
      </w:r>
    </w:p>
    <w:p>
      <w:pPr>
        <w:spacing w:line="440" w:lineRule="exact"/>
        <w:ind w:firstLine="420" w:firstLineChars="200"/>
        <w:rPr>
          <w:rFonts w:ascii="宋体" w:hAnsi="宋体"/>
        </w:rPr>
      </w:pPr>
      <w:r>
        <w:rPr>
          <w:rFonts w:hint="eastAsia" w:ascii="宋体" w:hAnsi="宋体"/>
        </w:rPr>
        <w:t>三、获取采购文件</w:t>
      </w:r>
    </w:p>
    <w:p>
      <w:pPr>
        <w:spacing w:line="440" w:lineRule="exact"/>
        <w:ind w:firstLine="420" w:firstLineChars="200"/>
        <w:rPr>
          <w:rFonts w:ascii="宋体" w:hAnsi="宋体"/>
        </w:rPr>
      </w:pPr>
      <w:r>
        <w:rPr>
          <w:rFonts w:ascii="宋体" w:hAnsi="宋体"/>
        </w:rPr>
        <w:t>时间：202</w:t>
      </w:r>
      <w:r>
        <w:rPr>
          <w:rFonts w:hint="eastAsia" w:ascii="宋体" w:hAnsi="宋体"/>
        </w:rPr>
        <w:t>5</w:t>
      </w:r>
      <w:r>
        <w:rPr>
          <w:rFonts w:ascii="宋体" w:hAnsi="宋体"/>
        </w:rPr>
        <w:t>年</w:t>
      </w:r>
      <w:r>
        <w:rPr>
          <w:rFonts w:hint="eastAsia" w:ascii="宋体" w:hAnsi="宋体"/>
          <w:lang w:val="en-US" w:eastAsia="zh-CN"/>
        </w:rPr>
        <w:t>11</w:t>
      </w:r>
      <w:r>
        <w:rPr>
          <w:rFonts w:ascii="宋体" w:hAnsi="宋体"/>
        </w:rPr>
        <w:t>月</w:t>
      </w:r>
      <w:r>
        <w:rPr>
          <w:rFonts w:hint="eastAsia" w:ascii="宋体" w:hAnsi="宋体"/>
          <w:lang w:val="en-US" w:eastAsia="zh-CN"/>
        </w:rPr>
        <w:t>17</w:t>
      </w:r>
      <w:r>
        <w:rPr>
          <w:rFonts w:ascii="宋体" w:hAnsi="宋体"/>
        </w:rPr>
        <w:t>日至20</w:t>
      </w:r>
      <w:r>
        <w:rPr>
          <w:rFonts w:hint="eastAsia" w:ascii="宋体" w:hAnsi="宋体"/>
        </w:rPr>
        <w:t>25</w:t>
      </w:r>
      <w:r>
        <w:rPr>
          <w:rFonts w:ascii="宋体" w:hAnsi="宋体"/>
        </w:rPr>
        <w:t>年</w:t>
      </w:r>
      <w:r>
        <w:rPr>
          <w:rFonts w:hint="eastAsia" w:ascii="宋体" w:hAnsi="宋体"/>
          <w:lang w:val="en-US" w:eastAsia="zh-CN"/>
        </w:rPr>
        <w:t>11</w:t>
      </w:r>
      <w:r>
        <w:rPr>
          <w:rFonts w:ascii="宋体" w:hAnsi="宋体"/>
        </w:rPr>
        <w:t>月</w:t>
      </w:r>
      <w:r>
        <w:rPr>
          <w:rFonts w:hint="eastAsia" w:ascii="宋体" w:hAnsi="宋体"/>
          <w:lang w:val="en-US" w:eastAsia="zh-CN"/>
        </w:rPr>
        <w:t>24</w:t>
      </w:r>
      <w:r>
        <w:rPr>
          <w:rFonts w:ascii="宋体" w:hAnsi="宋体"/>
        </w:rPr>
        <w:t>日，每天上午00:00至11:59，下午12:00至23:59（北京时间，法定节假日除外）</w:t>
      </w:r>
    </w:p>
    <w:p>
      <w:pPr>
        <w:spacing w:line="440" w:lineRule="exact"/>
        <w:ind w:firstLine="420" w:firstLineChars="200"/>
        <w:rPr>
          <w:rFonts w:ascii="宋体" w:hAnsi="宋体"/>
        </w:rPr>
      </w:pPr>
      <w:r>
        <w:rPr>
          <w:rFonts w:ascii="宋体" w:hAnsi="宋体"/>
        </w:rPr>
        <w:t>地点（网址）：广西政府采购云平台（网址：http://www.gcy.zfcg.gxzf.gov.cn/） </w:t>
      </w:r>
    </w:p>
    <w:p>
      <w:pPr>
        <w:spacing w:line="440" w:lineRule="exact"/>
        <w:ind w:firstLine="420" w:firstLineChars="200"/>
        <w:rPr>
          <w:rFonts w:ascii="宋体" w:hAnsi="宋体"/>
        </w:rPr>
      </w:pPr>
      <w:r>
        <w:rPr>
          <w:rFonts w:ascii="宋体" w:hAnsi="宋体"/>
        </w:rPr>
        <w:t>方式：登录广西政府采购云平台（网址：http://www.gcy.zfcg.gxzf.gov.cn/）进行报名并获取采购文件；未注册的供应商可在广西政府采购云平台完成注册后再行报名。如在操作过程中遇到问题或需技术支持，请致电政采云客服热线：95763。提示：竞争性磋商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 </w:t>
      </w:r>
    </w:p>
    <w:p>
      <w:pPr>
        <w:spacing w:line="440" w:lineRule="exact"/>
        <w:ind w:firstLine="420" w:firstLineChars="200"/>
        <w:rPr>
          <w:rFonts w:ascii="宋体" w:hAnsi="宋体"/>
        </w:rPr>
      </w:pPr>
      <w:r>
        <w:rPr>
          <w:rFonts w:ascii="宋体" w:hAnsi="宋体"/>
        </w:rPr>
        <w:t>售价（元）：0 </w:t>
      </w:r>
    </w:p>
    <w:p>
      <w:pPr>
        <w:spacing w:line="440" w:lineRule="exact"/>
        <w:ind w:firstLine="420" w:firstLineChars="200"/>
        <w:rPr>
          <w:rFonts w:ascii="宋体" w:hAnsi="宋体"/>
        </w:rPr>
      </w:pPr>
      <w:r>
        <w:rPr>
          <w:rFonts w:hint="eastAsia" w:ascii="宋体" w:hAnsi="宋体"/>
        </w:rPr>
        <w:t>四、响应文件提交 </w:t>
      </w:r>
    </w:p>
    <w:p>
      <w:pPr>
        <w:spacing w:line="440" w:lineRule="exact"/>
        <w:ind w:firstLine="420" w:firstLineChars="200"/>
        <w:rPr>
          <w:rFonts w:ascii="宋体" w:hAnsi="宋体"/>
        </w:rPr>
      </w:pPr>
      <w:r>
        <w:rPr>
          <w:rFonts w:ascii="宋体" w:hAnsi="宋体"/>
        </w:rPr>
        <w:t>截止时间：202</w:t>
      </w:r>
      <w:r>
        <w:rPr>
          <w:rFonts w:hint="eastAsia" w:ascii="宋体" w:hAnsi="宋体"/>
        </w:rPr>
        <w:t>5</w:t>
      </w:r>
      <w:r>
        <w:rPr>
          <w:rFonts w:ascii="宋体" w:hAnsi="宋体"/>
        </w:rPr>
        <w:t>年</w:t>
      </w:r>
      <w:r>
        <w:rPr>
          <w:rFonts w:hint="eastAsia" w:ascii="宋体" w:hAnsi="宋体"/>
          <w:lang w:val="en-US" w:eastAsia="zh-CN"/>
        </w:rPr>
        <w:t>12</w:t>
      </w:r>
      <w:r>
        <w:rPr>
          <w:rFonts w:ascii="宋体" w:hAnsi="宋体"/>
        </w:rPr>
        <w:t>月</w:t>
      </w:r>
      <w:r>
        <w:rPr>
          <w:rFonts w:hint="eastAsia" w:ascii="宋体" w:hAnsi="宋体"/>
          <w:lang w:val="en-US" w:eastAsia="zh-CN"/>
        </w:rPr>
        <w:t>3</w:t>
      </w:r>
      <w:r>
        <w:rPr>
          <w:rFonts w:ascii="宋体" w:hAnsi="宋体"/>
        </w:rPr>
        <w:t>日 10:00（北京时间）</w:t>
      </w:r>
    </w:p>
    <w:p>
      <w:pPr>
        <w:spacing w:line="440" w:lineRule="exact"/>
        <w:ind w:firstLine="420" w:firstLineChars="200"/>
        <w:rPr>
          <w:rFonts w:ascii="宋体" w:hAnsi="宋体"/>
        </w:rPr>
      </w:pPr>
      <w:r>
        <w:rPr>
          <w:rFonts w:ascii="宋体" w:hAnsi="宋体"/>
        </w:rPr>
        <w:t>地点（网址）：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 </w:t>
      </w:r>
    </w:p>
    <w:p>
      <w:pPr>
        <w:spacing w:line="440" w:lineRule="exact"/>
        <w:ind w:firstLine="525" w:firstLineChars="250"/>
        <w:rPr>
          <w:rFonts w:ascii="宋体" w:hAnsi="宋体"/>
        </w:rPr>
      </w:pPr>
      <w:r>
        <w:rPr>
          <w:rFonts w:hint="eastAsia" w:ascii="宋体" w:hAnsi="宋体"/>
        </w:rPr>
        <w:t>五、响应文件开启 </w:t>
      </w:r>
    </w:p>
    <w:p>
      <w:pPr>
        <w:spacing w:line="440" w:lineRule="exact"/>
        <w:ind w:firstLine="525" w:firstLineChars="250"/>
        <w:rPr>
          <w:rFonts w:ascii="宋体" w:hAnsi="宋体"/>
        </w:rPr>
      </w:pPr>
      <w:r>
        <w:rPr>
          <w:rFonts w:ascii="宋体" w:hAnsi="宋体"/>
        </w:rPr>
        <w:t>开启时间：202</w:t>
      </w:r>
      <w:r>
        <w:rPr>
          <w:rFonts w:hint="eastAsia" w:ascii="宋体" w:hAnsi="宋体"/>
        </w:rPr>
        <w:t>5</w:t>
      </w:r>
      <w:r>
        <w:rPr>
          <w:rFonts w:ascii="宋体" w:hAnsi="宋体"/>
        </w:rPr>
        <w:t>年</w:t>
      </w:r>
      <w:r>
        <w:rPr>
          <w:rFonts w:hint="eastAsia" w:ascii="宋体" w:hAnsi="宋体"/>
          <w:lang w:val="en-US" w:eastAsia="zh-CN"/>
        </w:rPr>
        <w:t>12</w:t>
      </w:r>
      <w:r>
        <w:rPr>
          <w:rFonts w:ascii="宋体" w:hAnsi="宋体"/>
        </w:rPr>
        <w:t>月</w:t>
      </w:r>
      <w:r>
        <w:rPr>
          <w:rFonts w:hint="eastAsia" w:ascii="宋体" w:hAnsi="宋体"/>
          <w:lang w:val="en-US" w:eastAsia="zh-CN"/>
        </w:rPr>
        <w:t>3</w:t>
      </w:r>
      <w:r>
        <w:rPr>
          <w:rFonts w:ascii="宋体" w:hAnsi="宋体"/>
        </w:rPr>
        <w:t>日 10:00 （北京时间）</w:t>
      </w:r>
    </w:p>
    <w:p>
      <w:pPr>
        <w:spacing w:line="440" w:lineRule="exact"/>
        <w:ind w:firstLine="525" w:firstLineChars="250"/>
        <w:rPr>
          <w:rFonts w:ascii="宋体" w:hAnsi="宋体"/>
        </w:rPr>
      </w:pPr>
      <w:r>
        <w:rPr>
          <w:rFonts w:ascii="宋体" w:hAnsi="宋体"/>
        </w:rPr>
        <w:t>地点：广西壮族自治区南宁市青秀区广西政府采购云平台开标大厅 </w:t>
      </w:r>
    </w:p>
    <w:p>
      <w:pPr>
        <w:spacing w:line="440" w:lineRule="exact"/>
        <w:ind w:firstLine="525" w:firstLineChars="250"/>
        <w:rPr>
          <w:rFonts w:ascii="宋体" w:hAnsi="宋体"/>
        </w:rPr>
      </w:pPr>
      <w:r>
        <w:rPr>
          <w:rFonts w:hint="eastAsia" w:ascii="宋体" w:hAnsi="宋体"/>
        </w:rPr>
        <w:t>六、公告期限</w:t>
      </w:r>
    </w:p>
    <w:p>
      <w:pPr>
        <w:spacing w:line="440" w:lineRule="exact"/>
        <w:ind w:firstLine="525" w:firstLineChars="250"/>
        <w:rPr>
          <w:rFonts w:ascii="宋体" w:hAnsi="宋体"/>
        </w:rPr>
      </w:pPr>
      <w:r>
        <w:rPr>
          <w:rFonts w:ascii="宋体" w:hAnsi="宋体"/>
        </w:rPr>
        <w:t>自本公告发布之日起5个工作日。</w:t>
      </w:r>
    </w:p>
    <w:p>
      <w:pPr>
        <w:spacing w:line="440" w:lineRule="exact"/>
        <w:ind w:firstLine="525" w:firstLineChars="250"/>
        <w:rPr>
          <w:rFonts w:ascii="宋体" w:hAnsi="宋体"/>
        </w:rPr>
      </w:pPr>
      <w:r>
        <w:rPr>
          <w:rFonts w:hint="eastAsia" w:ascii="宋体" w:hAnsi="宋体"/>
        </w:rPr>
        <w:t>七、其他补充事宜 </w:t>
      </w:r>
    </w:p>
    <w:p>
      <w:pPr>
        <w:spacing w:line="440" w:lineRule="exact"/>
        <w:ind w:left="210" w:leftChars="100" w:firstLine="210" w:firstLineChars="100"/>
        <w:rPr>
          <w:rFonts w:ascii="宋体" w:hAnsi="宋体"/>
        </w:rPr>
      </w:pPr>
      <w:r>
        <w:rPr>
          <w:rFonts w:ascii="宋体" w:hAnsi="宋体"/>
        </w:rPr>
        <w:t> 1.磋商保证金（人民币）：</w:t>
      </w:r>
      <w:r>
        <w:rPr>
          <w:rFonts w:hint="eastAsia" w:ascii="宋体" w:hAnsi="宋体"/>
        </w:rPr>
        <w:t>分标1：1.3万</w:t>
      </w:r>
      <w:r>
        <w:rPr>
          <w:rFonts w:ascii="宋体" w:hAnsi="宋体"/>
        </w:rPr>
        <w:t>元。(必须足额交纳) </w:t>
      </w:r>
      <w:r>
        <w:rPr>
          <w:rFonts w:ascii="宋体" w:hAnsi="宋体"/>
        </w:rPr>
        <w:br w:type="textWrapping"/>
      </w:r>
      <w:r>
        <w:rPr>
          <w:rFonts w:hint="eastAsia" w:ascii="宋体" w:hAnsi="宋体"/>
        </w:rPr>
        <w:t xml:space="preserve">   </w:t>
      </w:r>
      <w:r>
        <w:rPr>
          <w:rFonts w:ascii="宋体" w:hAnsi="宋体"/>
        </w:rPr>
        <w:t>（1）磋商保证金交纳形式：支票、汇票、本票或者金融机构、担保机构出具的保函等非现金形式。</w:t>
      </w:r>
      <w:r>
        <w:rPr>
          <w:rFonts w:ascii="宋体" w:hAnsi="宋体"/>
        </w:rPr>
        <w:br w:type="textWrapping"/>
      </w:r>
      <w:r>
        <w:rPr>
          <w:rFonts w:hint="eastAsia" w:ascii="宋体" w:hAnsi="宋体"/>
        </w:rPr>
        <w:t xml:space="preserve">   </w:t>
      </w:r>
      <w:r>
        <w:rPr>
          <w:rFonts w:ascii="宋体" w:hAnsi="宋体"/>
        </w:rPr>
        <w:t>（2）采用网上银行转账形式的，磋商供应商应于提交磋商响应文件截止时间前将磋商保证金交至以下账户。 </w:t>
      </w:r>
      <w:r>
        <w:rPr>
          <w:rFonts w:ascii="宋体" w:hAnsi="宋体"/>
        </w:rPr>
        <w:br w:type="textWrapping"/>
      </w:r>
      <w:r>
        <w:rPr>
          <w:rFonts w:ascii="宋体" w:hAnsi="宋体"/>
        </w:rPr>
        <w:t>开户名称：广西壮族自治区政府采购中心 </w:t>
      </w:r>
      <w:r>
        <w:rPr>
          <w:rFonts w:ascii="宋体" w:hAnsi="宋体"/>
        </w:rPr>
        <w:br w:type="textWrapping"/>
      </w:r>
      <w:r>
        <w:rPr>
          <w:rFonts w:ascii="宋体" w:hAnsi="宋体"/>
        </w:rPr>
        <w:t>开户银行：中国农业银行股份有限公司南宁市古城支行 </w:t>
      </w:r>
      <w:r>
        <w:rPr>
          <w:rFonts w:ascii="宋体" w:hAnsi="宋体"/>
        </w:rPr>
        <w:br w:type="textWrapping"/>
      </w:r>
      <w:r>
        <w:rPr>
          <w:rFonts w:ascii="宋体" w:hAnsi="宋体"/>
        </w:rPr>
        <w:t>银行账号：20009101040051648 </w:t>
      </w:r>
      <w:r>
        <w:rPr>
          <w:rFonts w:ascii="宋体" w:hAnsi="宋体"/>
        </w:rPr>
        <w:br w:type="textWrapping"/>
      </w:r>
      <w:r>
        <w:rPr>
          <w:rFonts w:ascii="宋体" w:hAnsi="宋体"/>
        </w:rPr>
        <w:t xml:space="preserve">    （3）采用支票、汇票、本票或者保函等形式的，磋商供应商应于提交磋商响应文件截止时间前递交单独密封的支票、汇票、本票或者保函（电子保函除外）原件至我中心财务处。</w:t>
      </w:r>
      <w:r>
        <w:rPr>
          <w:rFonts w:ascii="宋体" w:hAnsi="宋体"/>
        </w:rPr>
        <w:br w:type="textWrapping"/>
      </w:r>
      <w:r>
        <w:rPr>
          <w:rFonts w:ascii="宋体" w:hAnsi="宋体"/>
        </w:rPr>
        <w:t xml:space="preserve">    （4）本中心财务处联系方式： 地址：南宁市青秀区星湖路22号广西壮族自治区政府采购中心，电话：0771-8600309。</w:t>
      </w:r>
      <w:r>
        <w:rPr>
          <w:rFonts w:ascii="宋体" w:hAnsi="宋体"/>
        </w:rPr>
        <w:br w:type="textWrapping"/>
      </w:r>
      <w:r>
        <w:rPr>
          <w:rFonts w:ascii="宋体" w:hAnsi="宋体"/>
        </w:rPr>
        <w:t xml:space="preserve">     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Fonts w:ascii="宋体" w:hAnsi="宋体"/>
        </w:rPr>
        <w:br w:type="textWrapping"/>
      </w:r>
      <w:r>
        <w:rPr>
          <w:rFonts w:ascii="宋体" w:hAnsi="宋体"/>
        </w:rPr>
        <w:t xml:space="preserve">     3.网上公告媒体查询中国政府采购网（www.ccgp.gov.cn）、广西壮族自治区政府采购网（zfcg.gxzf.gov.cn）、广西壮族自治区政府采购中心网站（http://gxggzy.gxzf.gov.cn/）。</w:t>
      </w:r>
      <w:r>
        <w:rPr>
          <w:rFonts w:ascii="宋体" w:hAnsi="宋体"/>
        </w:rPr>
        <w:br w:type="textWrapping"/>
      </w:r>
      <w:r>
        <w:rPr>
          <w:rFonts w:ascii="宋体" w:hAnsi="宋体"/>
        </w:rPr>
        <w:t xml:space="preserve">     4.其他注意事项 </w:t>
      </w:r>
      <w:r>
        <w:rPr>
          <w:rFonts w:ascii="宋体" w:hAnsi="宋体"/>
        </w:rPr>
        <w:br w:type="textWrapping"/>
      </w:r>
      <w:r>
        <w:rPr>
          <w:rFonts w:hint="eastAsia" w:ascii="宋体" w:hAnsi="宋体"/>
        </w:rPr>
        <w:t xml:space="preserve">   </w:t>
      </w:r>
      <w:r>
        <w:rPr>
          <w:rFonts w:ascii="宋体" w:hAnsi="宋体"/>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r>
        <w:rPr>
          <w:rFonts w:ascii="宋体" w:hAnsi="宋体"/>
        </w:rPr>
        <w:br w:type="textWrapping"/>
      </w:r>
      <w:r>
        <w:rPr>
          <w:rFonts w:ascii="宋体" w:hAnsi="宋体"/>
        </w:rPr>
        <w:t xml:space="preserve">   （2）供应商应及时熟悉掌握电子标系统操作指南（见政采云电子卖场首页右上角—服务中心—帮助文档—项目采购）：https://helpcenter.zcygov.cn/document/#/document/dashboard?siteCode=gx。</w:t>
      </w:r>
      <w:r>
        <w:rPr>
          <w:rFonts w:ascii="宋体" w:hAnsi="宋体"/>
        </w:rPr>
        <w:br w:type="textWrapping"/>
      </w:r>
      <w:r>
        <w:rPr>
          <w:rFonts w:ascii="宋体" w:hAnsi="宋体"/>
        </w:rPr>
        <w:t xml:space="preserve">   （3）供应商应及时完成CA申领和绑定（见广西壮族自治区政府采购网—办事服务—下载专区-政采云CA证书办理操作指南） </w:t>
      </w:r>
      <w:r>
        <w:rPr>
          <w:rFonts w:ascii="宋体" w:hAnsi="宋体"/>
        </w:rPr>
        <w:br w:type="textWrapping"/>
      </w:r>
      <w:r>
        <w:rPr>
          <w:rFonts w:ascii="宋体" w:hAnsi="宋体"/>
        </w:rPr>
        <w:t xml:space="preserve">   （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r>
        <w:rPr>
          <w:rFonts w:ascii="宋体" w:hAnsi="宋体"/>
        </w:rPr>
        <w:br w:type="textWrapping"/>
      </w:r>
      <w:r>
        <w:rPr>
          <w:rFonts w:ascii="宋体" w:hAnsi="宋体"/>
        </w:rPr>
        <w:t xml:space="preserve">   （5）因未注册入库、未办理CA数字证书、CA证书故障、操作不当等原因造成无法参与或磋商失败等后果由供应商自行承担。</w:t>
      </w:r>
      <w:r>
        <w:rPr>
          <w:rFonts w:ascii="宋体" w:hAnsi="宋体"/>
        </w:rPr>
        <w:br w:type="textWrapping"/>
      </w:r>
      <w:r>
        <w:rPr>
          <w:rFonts w:hint="eastAsia" w:ascii="宋体" w:hAnsi="宋体"/>
        </w:rPr>
        <w:t xml:space="preserve">   </w:t>
      </w:r>
      <w:r>
        <w:rPr>
          <w:rFonts w:ascii="宋体" w:hAnsi="宋体"/>
        </w:rPr>
        <w:t>（6）响应文件网上递交截止后，政采云（电子标系统）自动提取所有响应文件，各供应商须在开启程序开始后30分钟内对上传政采云的响应文件进行解密，所有供应商在规定的解密时限内解密完成或解密时限结束后，我中心开启响应文件；供应商超过解密时限的系统默认自动放弃。</w:t>
      </w:r>
      <w:r>
        <w:rPr>
          <w:rFonts w:ascii="宋体" w:hAnsi="宋体"/>
        </w:rPr>
        <w:br w:type="textWrapping"/>
      </w:r>
      <w:r>
        <w:rPr>
          <w:rFonts w:ascii="宋体" w:hAnsi="宋体"/>
        </w:rPr>
        <w:t>  </w:t>
      </w:r>
      <w:r>
        <w:rPr>
          <w:rFonts w:hint="eastAsia" w:ascii="宋体" w:hAnsi="宋体"/>
        </w:rPr>
        <w:t>八、凡对本次招标提出询问，请按以下方式联系</w:t>
      </w:r>
    </w:p>
    <w:p>
      <w:pPr>
        <w:spacing w:line="440" w:lineRule="exact"/>
        <w:ind w:firstLine="420" w:firstLineChars="200"/>
        <w:rPr>
          <w:rFonts w:ascii="宋体" w:hAnsi="宋体"/>
        </w:rPr>
      </w:pPr>
      <w:r>
        <w:rPr>
          <w:rFonts w:ascii="宋体" w:hAnsi="宋体"/>
        </w:rPr>
        <w:t>1.采购人信息</w:t>
      </w:r>
    </w:p>
    <w:p>
      <w:pPr>
        <w:spacing w:line="440" w:lineRule="exact"/>
        <w:ind w:firstLine="420" w:firstLineChars="200"/>
        <w:rPr>
          <w:rFonts w:ascii="宋体" w:hAnsi="宋体"/>
        </w:rPr>
      </w:pPr>
      <w:r>
        <w:rPr>
          <w:rFonts w:ascii="宋体" w:hAnsi="宋体"/>
        </w:rPr>
        <w:t>名    称：广西农业职业技术大学 </w:t>
      </w:r>
    </w:p>
    <w:p>
      <w:pPr>
        <w:spacing w:line="440" w:lineRule="exact"/>
        <w:ind w:firstLine="420" w:firstLineChars="200"/>
        <w:rPr>
          <w:rFonts w:ascii="宋体" w:hAnsi="宋体"/>
        </w:rPr>
      </w:pPr>
      <w:r>
        <w:rPr>
          <w:rFonts w:ascii="宋体" w:hAnsi="宋体"/>
        </w:rPr>
        <w:t>地    址：广西南宁市大学东路176号</w:t>
      </w:r>
      <w:r>
        <w:rPr>
          <w:rFonts w:hint="eastAsia" w:ascii="宋体" w:hAnsi="宋体"/>
        </w:rPr>
        <w:t xml:space="preserve">                    </w:t>
      </w:r>
      <w:r>
        <w:rPr>
          <w:rFonts w:ascii="宋体" w:hAnsi="宋体"/>
        </w:rPr>
        <w:t> </w:t>
      </w:r>
    </w:p>
    <w:p>
      <w:pPr>
        <w:spacing w:line="440" w:lineRule="exact"/>
        <w:ind w:firstLine="420" w:firstLineChars="200"/>
        <w:rPr>
          <w:rFonts w:hint="eastAsia" w:ascii="宋体" w:hAnsi="宋体" w:eastAsia="宋体"/>
          <w:lang w:eastAsia="zh-CN"/>
        </w:rPr>
      </w:pPr>
      <w:r>
        <w:rPr>
          <w:rFonts w:ascii="宋体" w:hAnsi="宋体"/>
        </w:rPr>
        <w:t>项目联系人：</w:t>
      </w:r>
      <w:r>
        <w:rPr>
          <w:rFonts w:hint="eastAsia" w:ascii="宋体" w:hAnsi="宋体"/>
          <w:lang w:eastAsia="zh-CN"/>
        </w:rPr>
        <w:t>黄广州、</w:t>
      </w:r>
      <w:r>
        <w:rPr>
          <w:rFonts w:ascii="宋体" w:hAnsi="宋体"/>
        </w:rPr>
        <w:t>陆</w:t>
      </w:r>
      <w:r>
        <w:rPr>
          <w:rFonts w:hint="eastAsia" w:ascii="宋体" w:hAnsi="宋体"/>
          <w:lang w:eastAsia="zh-CN"/>
        </w:rPr>
        <w:t>兵乾</w:t>
      </w:r>
    </w:p>
    <w:p>
      <w:pPr>
        <w:spacing w:line="440" w:lineRule="exact"/>
        <w:ind w:firstLine="420" w:firstLineChars="200"/>
        <w:rPr>
          <w:rFonts w:ascii="宋体" w:hAnsi="宋体"/>
        </w:rPr>
      </w:pPr>
      <w:r>
        <w:rPr>
          <w:rFonts w:ascii="宋体" w:hAnsi="宋体"/>
        </w:rPr>
        <w:t>项目联系方式：0771-4714671  </w:t>
      </w:r>
    </w:p>
    <w:p>
      <w:pPr>
        <w:spacing w:line="440" w:lineRule="exact"/>
        <w:ind w:firstLine="420" w:firstLineChars="200"/>
        <w:rPr>
          <w:rFonts w:ascii="宋体" w:hAnsi="宋体"/>
        </w:rPr>
      </w:pPr>
      <w:r>
        <w:rPr>
          <w:rFonts w:ascii="宋体" w:hAnsi="宋体"/>
        </w:rPr>
        <w:t>2.采购代理机构信息</w:t>
      </w:r>
    </w:p>
    <w:p>
      <w:pPr>
        <w:spacing w:line="440" w:lineRule="exact"/>
        <w:ind w:firstLine="420" w:firstLineChars="200"/>
        <w:rPr>
          <w:rFonts w:ascii="宋体" w:hAnsi="宋体"/>
        </w:rPr>
      </w:pPr>
      <w:r>
        <w:rPr>
          <w:rFonts w:ascii="宋体" w:hAnsi="宋体"/>
        </w:rPr>
        <w:t>名    称：广西壮族自治区政府采购中心 </w:t>
      </w:r>
    </w:p>
    <w:p>
      <w:pPr>
        <w:spacing w:line="440" w:lineRule="exact"/>
        <w:ind w:firstLine="420" w:firstLineChars="200"/>
        <w:rPr>
          <w:rFonts w:ascii="宋体" w:hAnsi="宋体"/>
        </w:rPr>
      </w:pPr>
      <w:r>
        <w:rPr>
          <w:rFonts w:ascii="宋体" w:hAnsi="宋体"/>
        </w:rPr>
        <w:t>地    址：广西南宁市星湖路22号 </w:t>
      </w:r>
    </w:p>
    <w:p>
      <w:pPr>
        <w:spacing w:line="440" w:lineRule="exact"/>
        <w:ind w:firstLine="420" w:firstLineChars="200"/>
        <w:rPr>
          <w:rFonts w:ascii="宋体" w:hAnsi="宋体"/>
        </w:rPr>
      </w:pPr>
      <w:r>
        <w:rPr>
          <w:rFonts w:ascii="宋体" w:hAnsi="宋体"/>
        </w:rPr>
        <w:t>项目联系人：</w:t>
      </w:r>
      <w:r>
        <w:rPr>
          <w:rFonts w:hint="eastAsia" w:ascii="宋体" w:hAnsi="宋体"/>
        </w:rPr>
        <w:t>陈子希</w:t>
      </w:r>
      <w:r>
        <w:rPr>
          <w:rFonts w:ascii="宋体" w:hAnsi="宋体"/>
        </w:rPr>
        <w:t> </w:t>
      </w:r>
    </w:p>
    <w:p>
      <w:pPr>
        <w:spacing w:line="440" w:lineRule="exact"/>
        <w:ind w:firstLine="420" w:firstLineChars="200"/>
        <w:rPr>
          <w:sz w:val="21"/>
          <w:szCs w:val="21"/>
        </w:rPr>
      </w:pPr>
      <w:r>
        <w:rPr>
          <w:rFonts w:ascii="宋体" w:hAnsi="宋体"/>
        </w:rPr>
        <w:t>项目联系方式：0771-8600</w:t>
      </w:r>
      <w:r>
        <w:rPr>
          <w:rFonts w:hint="eastAsia" w:ascii="宋体" w:hAnsi="宋体"/>
        </w:rPr>
        <w:t>435</w:t>
      </w:r>
      <w:r>
        <w:rPr>
          <w:rFonts w:ascii="宋体" w:hAnsi="宋体"/>
        </w:rPr>
        <w:t> </w:t>
      </w:r>
    </w:p>
    <w:p>
      <w:pPr>
        <w:widowControl/>
        <w:adjustRightInd w:val="0"/>
        <w:snapToGrid w:val="0"/>
        <w:spacing w:line="400" w:lineRule="exact"/>
        <w:ind w:left="240"/>
        <w:jc w:val="right"/>
        <w:rPr>
          <w:rFonts w:ascii="宋体" w:hAnsi="宋体" w:cs="宋体"/>
          <w:kern w:val="0"/>
        </w:rPr>
      </w:pPr>
      <w:r>
        <w:rPr>
          <w:rFonts w:hint="eastAsia" w:ascii="宋体" w:hAnsi="宋体" w:cs="宋体"/>
          <w:kern w:val="0"/>
        </w:rPr>
        <w:t>广西壮族自治区政府采购中心</w:t>
      </w:r>
    </w:p>
    <w:p>
      <w:pPr>
        <w:widowControl/>
        <w:spacing w:line="400" w:lineRule="exact"/>
        <w:ind w:left="240"/>
        <w:jc w:val="right"/>
        <w:rPr>
          <w:rFonts w:ascii="宋体" w:hAnsi="宋体" w:cs="宋体"/>
          <w:kern w:val="0"/>
        </w:rPr>
      </w:pPr>
      <w:r>
        <w:rPr>
          <w:rStyle w:val="87"/>
          <w:rFonts w:hint="eastAsia" w:ascii="宋体" w:hAnsi="宋体" w:cs="宋体"/>
        </w:rPr>
        <w:t>2025年</w:t>
      </w:r>
      <w:r>
        <w:rPr>
          <w:rStyle w:val="87"/>
          <w:rFonts w:hint="eastAsia" w:ascii="宋体" w:hAnsi="宋体" w:cs="宋体"/>
          <w:lang w:val="en-US" w:eastAsia="zh-CN"/>
        </w:rPr>
        <w:t>11</w:t>
      </w:r>
      <w:r>
        <w:rPr>
          <w:rStyle w:val="87"/>
          <w:rFonts w:hint="eastAsia" w:ascii="宋体" w:hAnsi="宋体" w:cs="宋体"/>
        </w:rPr>
        <w:t>月</w:t>
      </w:r>
      <w:r>
        <w:rPr>
          <w:rStyle w:val="87"/>
          <w:rFonts w:hint="eastAsia" w:ascii="宋体" w:hAnsi="宋体" w:cs="宋体"/>
          <w:lang w:val="en-US" w:eastAsia="zh-CN"/>
        </w:rPr>
        <w:t>17</w:t>
      </w:r>
      <w:r>
        <w:rPr>
          <w:rStyle w:val="87"/>
          <w:rFonts w:hint="eastAsia" w:ascii="宋体" w:hAnsi="宋体" w:cs="宋体"/>
        </w:rPr>
        <w:t>日</w:t>
      </w:r>
    </w:p>
    <w:p>
      <w:pPr>
        <w:widowControl/>
        <w:spacing w:line="380" w:lineRule="exact"/>
        <w:ind w:left="240"/>
        <w:jc w:val="right"/>
        <w:rPr>
          <w:rFonts w:ascii="宋体" w:hAnsi="宋体" w:cs="宋体"/>
          <w:b/>
          <w:bCs/>
        </w:rPr>
      </w:pPr>
    </w:p>
    <w:p>
      <w:pPr>
        <w:widowControl/>
        <w:spacing w:line="380" w:lineRule="exact"/>
        <w:ind w:left="240"/>
        <w:jc w:val="right"/>
        <w:rPr>
          <w:rFonts w:ascii="宋体" w:hAnsi="宋体" w:cs="宋体"/>
          <w:b/>
          <w:bCs/>
        </w:rPr>
      </w:pPr>
    </w:p>
    <w:p>
      <w:pPr>
        <w:widowControl/>
        <w:spacing w:line="380" w:lineRule="exact"/>
        <w:ind w:left="240"/>
        <w:jc w:val="right"/>
        <w:rPr>
          <w:rFonts w:ascii="宋体" w:hAnsi="宋体" w:cs="宋体"/>
          <w:b/>
          <w:bCs/>
        </w:rPr>
      </w:pPr>
    </w:p>
    <w:p>
      <w:pPr>
        <w:widowControl/>
        <w:spacing w:line="380" w:lineRule="exact"/>
        <w:ind w:left="240"/>
        <w:jc w:val="right"/>
        <w:rPr>
          <w:rFonts w:ascii="宋体" w:hAnsi="宋体" w:cs="宋体"/>
          <w:b/>
          <w:bCs/>
        </w:rPr>
      </w:pPr>
      <w:r>
        <w:rPr>
          <w:rFonts w:hint="eastAsia" w:ascii="宋体" w:hAnsi="宋体" w:cs="宋体"/>
          <w:b/>
          <w:bCs/>
        </w:rPr>
        <w:t xml:space="preserve"> </w:t>
      </w:r>
    </w:p>
    <w:p>
      <w:pPr>
        <w:spacing w:line="380" w:lineRule="exact"/>
        <w:jc w:val="center"/>
        <w:rPr>
          <w:rFonts w:ascii="宋体" w:hAnsi="宋体"/>
          <w:b/>
          <w:bCs/>
        </w:rPr>
      </w:pPr>
      <w:r>
        <w:rPr>
          <w:rFonts w:hint="eastAsia" w:ascii="宋体" w:hAnsi="宋体"/>
          <w:b/>
          <w:bCs/>
        </w:rPr>
        <w:t xml:space="preserve"> </w:t>
      </w:r>
    </w:p>
    <w:p>
      <w:pPr>
        <w:spacing w:line="380" w:lineRule="exact"/>
        <w:jc w:val="center"/>
        <w:rPr>
          <w:rFonts w:ascii="宋体" w:hAnsi="宋体"/>
          <w:b/>
          <w:bCs/>
        </w:rPr>
      </w:pPr>
      <w:r>
        <w:rPr>
          <w:rFonts w:hint="eastAsia" w:ascii="宋体" w:hAnsi="宋体"/>
          <w:b/>
          <w:bCs/>
        </w:rPr>
        <w:t xml:space="preserve"> </w:t>
      </w:r>
    </w:p>
    <w:p>
      <w:pPr>
        <w:spacing w:line="380" w:lineRule="exact"/>
        <w:jc w:val="center"/>
        <w:rPr>
          <w:rFonts w:ascii="宋体" w:hAnsi="宋体"/>
          <w:b/>
          <w:bCs/>
        </w:rPr>
      </w:pPr>
      <w:r>
        <w:rPr>
          <w:rFonts w:hint="eastAsia" w:ascii="宋体" w:hAnsi="宋体"/>
          <w:b/>
          <w:bCs/>
        </w:rPr>
        <w:t xml:space="preserve"> </w:t>
      </w:r>
    </w:p>
    <w:p>
      <w:pPr>
        <w:spacing w:line="400" w:lineRule="exact"/>
        <w:jc w:val="center"/>
        <w:rPr>
          <w:rFonts w:ascii="宋体" w:hAnsi="宋体"/>
          <w:b/>
          <w:bCs/>
          <w:sz w:val="32"/>
          <w:szCs w:val="32"/>
        </w:rPr>
      </w:pPr>
      <w:r>
        <w:rPr>
          <w:rFonts w:hint="eastAsia" w:ascii="宋体" w:hAnsi="宋体"/>
          <w:b/>
          <w:bCs/>
          <w:sz w:val="32"/>
          <w:szCs w:val="32"/>
        </w:rPr>
        <w:t xml:space="preserve"> </w:t>
      </w:r>
    </w:p>
    <w:p>
      <w:pPr>
        <w:spacing w:line="400" w:lineRule="exact"/>
        <w:jc w:val="center"/>
        <w:rPr>
          <w:rFonts w:ascii="宋体" w:hAnsi="宋体"/>
          <w:b/>
          <w:bCs/>
          <w:sz w:val="32"/>
          <w:szCs w:val="32"/>
        </w:rPr>
      </w:pPr>
      <w:r>
        <w:rPr>
          <w:rFonts w:hint="eastAsia" w:ascii="宋体" w:hAnsi="宋体"/>
          <w:b/>
          <w:bCs/>
          <w:sz w:val="32"/>
          <w:szCs w:val="32"/>
        </w:rPr>
        <w:t xml:space="preserve"> </w:t>
      </w:r>
    </w:p>
    <w:p>
      <w:pPr>
        <w:spacing w:line="400" w:lineRule="exact"/>
        <w:jc w:val="center"/>
        <w:rPr>
          <w:rFonts w:ascii="宋体" w:hAnsi="宋体"/>
          <w:b/>
          <w:bCs/>
          <w:sz w:val="32"/>
          <w:szCs w:val="32"/>
        </w:rPr>
      </w:pPr>
      <w:r>
        <w:rPr>
          <w:rFonts w:hint="eastAsia" w:ascii="宋体" w:hAnsi="宋体"/>
          <w:b/>
          <w:bCs/>
          <w:sz w:val="32"/>
          <w:szCs w:val="32"/>
        </w:rPr>
        <w:t xml:space="preserve"> </w:t>
      </w:r>
    </w:p>
    <w:p>
      <w:pPr>
        <w:spacing w:line="400" w:lineRule="exact"/>
        <w:jc w:val="center"/>
        <w:rPr>
          <w:rFonts w:ascii="宋体" w:hAnsi="宋体"/>
          <w:b/>
          <w:bCs/>
          <w:sz w:val="32"/>
          <w:szCs w:val="32"/>
        </w:rPr>
      </w:pPr>
      <w:r>
        <w:rPr>
          <w:rFonts w:hint="eastAsia" w:ascii="宋体" w:hAnsi="宋体"/>
          <w:b/>
          <w:bCs/>
          <w:sz w:val="32"/>
          <w:szCs w:val="32"/>
        </w:rPr>
        <w:t xml:space="preserve"> </w:t>
      </w:r>
    </w:p>
    <w:p>
      <w:pPr>
        <w:spacing w:line="400" w:lineRule="exact"/>
        <w:jc w:val="center"/>
        <w:rPr>
          <w:rFonts w:ascii="宋体" w:hAnsi="宋体"/>
          <w:b/>
          <w:bCs/>
          <w:sz w:val="32"/>
          <w:szCs w:val="32"/>
        </w:rPr>
      </w:pPr>
      <w:r>
        <w:rPr>
          <w:rFonts w:hint="eastAsia" w:ascii="宋体" w:hAnsi="宋体"/>
          <w:b/>
          <w:bCs/>
          <w:sz w:val="32"/>
          <w:szCs w:val="32"/>
        </w:rPr>
        <w:t xml:space="preserve"> </w:t>
      </w:r>
    </w:p>
    <w:p>
      <w:pPr>
        <w:pStyle w:val="2"/>
        <w:jc w:val="center"/>
        <w:rPr>
          <w:rFonts w:ascii="宋体" w:hAnsi="宋体"/>
        </w:rPr>
      </w:pPr>
      <w:bookmarkStart w:id="8" w:name="_Toc18481385"/>
      <w:bookmarkEnd w:id="8"/>
    </w:p>
    <w:p>
      <w:pPr>
        <w:pStyle w:val="2"/>
        <w:jc w:val="center"/>
        <w:rPr>
          <w:rFonts w:ascii="宋体" w:hAnsi="宋体"/>
        </w:rPr>
      </w:pPr>
    </w:p>
    <w:p>
      <w:pPr>
        <w:pStyle w:val="2"/>
        <w:jc w:val="center"/>
        <w:rPr>
          <w:rFonts w:ascii="宋体" w:hAnsi="宋体"/>
        </w:rPr>
      </w:pPr>
    </w:p>
    <w:p>
      <w:pPr>
        <w:pStyle w:val="2"/>
        <w:jc w:val="center"/>
        <w:rPr>
          <w:rFonts w:ascii="宋体" w:hAnsi="宋体"/>
        </w:rPr>
      </w:pPr>
      <w:r>
        <w:rPr>
          <w:rFonts w:hint="eastAsia" w:ascii="宋体" w:hAnsi="宋体"/>
        </w:rPr>
        <w:t>第二章  供应商须知</w:t>
      </w:r>
    </w:p>
    <w:p>
      <w:pPr>
        <w:spacing w:line="400" w:lineRule="exact"/>
        <w:ind w:firstLine="3855" w:firstLineChars="1200"/>
        <w:rPr>
          <w:rFonts w:ascii="宋体" w:hAnsi="宋体"/>
          <w:b/>
          <w:bCs/>
          <w:sz w:val="32"/>
          <w:szCs w:val="32"/>
        </w:rPr>
      </w:pPr>
      <w:r>
        <w:rPr>
          <w:rFonts w:hint="eastAsia" w:ascii="宋体" w:hAnsi="宋体"/>
          <w:b/>
          <w:bCs/>
          <w:sz w:val="32"/>
          <w:szCs w:val="32"/>
        </w:rPr>
        <w:t xml:space="preserve"> </w:t>
      </w:r>
    </w:p>
    <w:p>
      <w:pPr>
        <w:spacing w:line="400" w:lineRule="exact"/>
        <w:ind w:firstLine="3855" w:firstLineChars="1200"/>
        <w:rPr>
          <w:rFonts w:ascii="宋体" w:hAnsi="宋体"/>
          <w:b/>
          <w:bCs/>
          <w:sz w:val="32"/>
          <w:szCs w:val="32"/>
        </w:rPr>
      </w:pPr>
      <w:r>
        <w:rPr>
          <w:rFonts w:hint="eastAsia" w:ascii="宋体" w:hAnsi="宋体"/>
          <w:b/>
          <w:bCs/>
          <w:sz w:val="32"/>
          <w:szCs w:val="32"/>
        </w:rPr>
        <w:t xml:space="preserve"> </w:t>
      </w:r>
    </w:p>
    <w:p>
      <w:pPr>
        <w:pageBreakBefore/>
        <w:spacing w:line="400" w:lineRule="exact"/>
        <w:jc w:val="center"/>
        <w:rPr>
          <w:rFonts w:ascii="宋体" w:hAnsi="宋体"/>
          <w:b/>
          <w:bCs/>
          <w:sz w:val="32"/>
          <w:szCs w:val="32"/>
        </w:rPr>
      </w:pPr>
      <w:r>
        <w:rPr>
          <w:rFonts w:hint="eastAsia" w:ascii="宋体" w:hAnsi="宋体"/>
          <w:b/>
          <w:bCs/>
          <w:sz w:val="32"/>
          <w:szCs w:val="32"/>
        </w:rPr>
        <w:t>供应商须知前附表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tcPr>
          <w:p>
            <w:pPr>
              <w:pStyle w:val="107"/>
              <w:spacing w:line="360" w:lineRule="exact"/>
              <w:jc w:val="center"/>
              <w:rPr>
                <w:rFonts w:hAnsi="宋体" w:cs="Times New Roman"/>
              </w:rPr>
            </w:pPr>
            <w:r>
              <w:rPr>
                <w:rFonts w:hint="eastAsia" w:hAnsi="宋体" w:cs="Times New Roman"/>
              </w:rPr>
              <w:t>序号</w:t>
            </w:r>
          </w:p>
        </w:tc>
        <w:tc>
          <w:tcPr>
            <w:tcW w:w="8365" w:type="dxa"/>
            <w:tcBorders>
              <w:top w:val="single" w:color="auto" w:sz="4" w:space="0"/>
              <w:left w:val="nil"/>
              <w:bottom w:val="single" w:color="auto" w:sz="4" w:space="0"/>
              <w:right w:val="single" w:color="auto" w:sz="4" w:space="0"/>
            </w:tcBorders>
          </w:tcPr>
          <w:p>
            <w:pPr>
              <w:pStyle w:val="107"/>
              <w:spacing w:line="360" w:lineRule="exact"/>
              <w:jc w:val="center"/>
              <w:rPr>
                <w:rFonts w:hAnsi="宋体" w:cs="Times New Roman"/>
              </w:rPr>
            </w:pPr>
            <w:r>
              <w:rPr>
                <w:rFonts w:hint="eastAsia" w:hAnsi="宋体" w:cs="Times New Roma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cs="Times New Roman"/>
                <w:lang w:val="en"/>
              </w:rPr>
            </w:pPr>
            <w:r>
              <w:rPr>
                <w:rFonts w:hint="eastAsia" w:hAnsi="宋体" w:cs="Times New Roman"/>
              </w:rPr>
              <w:t>项目名称：</w:t>
            </w:r>
            <w:r>
              <w:rPr>
                <w:rFonts w:hint="eastAsia" w:hAnsi="宋体" w:cs="Times New Roman"/>
                <w:lang w:val="en"/>
              </w:rPr>
              <w:t xml:space="preserve"> 广西农业职业技术大学网络线路租赁服务采购</w:t>
            </w:r>
          </w:p>
          <w:p>
            <w:pPr>
              <w:pStyle w:val="107"/>
              <w:spacing w:line="360" w:lineRule="exact"/>
              <w:rPr>
                <w:rFonts w:hAnsi="宋体" w:cs="Times New Roman"/>
                <w:bCs/>
                <w:lang w:val="en"/>
              </w:rPr>
            </w:pPr>
            <w:r>
              <w:rPr>
                <w:rFonts w:hint="eastAsia" w:hAnsi="宋体" w:cs="Times New Roman"/>
              </w:rPr>
              <w:t>项目编号：</w:t>
            </w:r>
            <w:r>
              <w:rPr>
                <w:rFonts w:hAnsi="宋体" w:cs="Times New Roman"/>
                <w:lang w:val="en"/>
              </w:rPr>
              <w:t xml:space="preserve"> GXZC2025-C3-00</w:t>
            </w:r>
            <w:r>
              <w:rPr>
                <w:rFonts w:hint="eastAsia" w:hAnsi="宋体" w:cs="Times New Roman"/>
                <w:lang w:val="en-US" w:eastAsia="zh-CN"/>
              </w:rPr>
              <w:t>3517</w:t>
            </w:r>
            <w:r>
              <w:rPr>
                <w:rFonts w:hAnsi="宋体" w:cs="Times New Roman"/>
                <w:lang w:val="en"/>
              </w:rPr>
              <w:t>-CGZX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2</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ind w:left="-36" w:firstLine="36"/>
              <w:rPr>
                <w:rFonts w:hAnsi="宋体" w:cs="Times New Roman"/>
              </w:rPr>
            </w:pPr>
            <w:r>
              <w:rPr>
                <w:rFonts w:hint="eastAsia" w:hAnsi="宋体" w:cs="Times New Roman"/>
              </w:rPr>
              <w:t>供应商资格：具备《中华人民共和国政府采购法》第二十二条规定的条件。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3</w:t>
            </w:r>
          </w:p>
        </w:tc>
        <w:tc>
          <w:tcPr>
            <w:tcW w:w="8365" w:type="dxa"/>
            <w:tcBorders>
              <w:top w:val="single" w:color="auto" w:sz="4" w:space="0"/>
              <w:left w:val="nil"/>
              <w:bottom w:val="single" w:color="auto" w:sz="4" w:space="0"/>
              <w:right w:val="single" w:color="auto" w:sz="4" w:space="0"/>
            </w:tcBorders>
            <w:vAlign w:val="center"/>
          </w:tcPr>
          <w:p>
            <w:pPr>
              <w:spacing w:line="360" w:lineRule="exact"/>
              <w:rPr>
                <w:rFonts w:ascii="宋体" w:hAnsi="宋体"/>
              </w:rPr>
            </w:pPr>
            <w:r>
              <w:rPr>
                <w:rFonts w:hint="eastAsia" w:ascii="宋体" w:hAnsi="宋体"/>
              </w:rPr>
              <w:t>报价：磋商供应商就《采购需求》中的服务内容作完整唯一报价。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4</w:t>
            </w:r>
          </w:p>
        </w:tc>
        <w:tc>
          <w:tcPr>
            <w:tcW w:w="8365" w:type="dxa"/>
            <w:tcBorders>
              <w:top w:val="single" w:color="auto" w:sz="4" w:space="0"/>
              <w:left w:val="nil"/>
              <w:bottom w:val="single" w:color="auto" w:sz="4" w:space="0"/>
              <w:right w:val="single" w:color="auto" w:sz="4" w:space="0"/>
            </w:tcBorders>
            <w:vAlign w:val="center"/>
          </w:tcPr>
          <w:p>
            <w:pPr>
              <w:pStyle w:val="19"/>
              <w:spacing w:line="360" w:lineRule="exact"/>
              <w:rPr>
                <w:rFonts w:hAnsi="宋体"/>
              </w:rPr>
            </w:pPr>
            <w:r>
              <w:rPr>
                <w:rFonts w:hint="eastAsia" w:hAnsi="宋体"/>
              </w:rPr>
              <w:t>响应文件的上传和提交：</w:t>
            </w:r>
          </w:p>
          <w:p>
            <w:pPr>
              <w:pStyle w:val="19"/>
              <w:spacing w:line="360" w:lineRule="exact"/>
              <w:rPr>
                <w:rFonts w:hAnsi="宋体"/>
              </w:rPr>
            </w:pPr>
            <w:r>
              <w:rPr>
                <w:rFonts w:hint="eastAsia" w:hAnsi="宋体"/>
              </w:rPr>
              <w:t xml:space="preserve">    本项目通过“</w:t>
            </w:r>
            <w:r>
              <w:rPr>
                <w:rFonts w:hAnsi="宋体"/>
                <w:lang w:val="en"/>
              </w:rPr>
              <w:t>广西政府采购云平台</w:t>
            </w:r>
            <w:r>
              <w:rPr>
                <w:rFonts w:hint="eastAsia" w:hAnsi="宋体"/>
              </w:rPr>
              <w:t>（https://www.gcy.zfcg.gxzf.gov.cn/</w:t>
            </w:r>
            <w:r>
              <w:rPr>
                <w:rFonts w:hAnsi="宋体"/>
              </w:rPr>
              <w:t>）”实行在线</w:t>
            </w:r>
            <w:r>
              <w:rPr>
                <w:rFonts w:hint="eastAsia" w:hAnsi="宋体"/>
              </w:rPr>
              <w:t>磋商</w:t>
            </w:r>
            <w:r>
              <w:rPr>
                <w:rFonts w:hAnsi="宋体"/>
              </w:rPr>
              <w:t>响应（电子标），</w:t>
            </w:r>
            <w:r>
              <w:rPr>
                <w:rFonts w:hint="eastAsia" w:hAnsi="宋体"/>
              </w:rPr>
              <w:t>磋商</w:t>
            </w:r>
            <w:r>
              <w:rPr>
                <w:rFonts w:hAnsi="宋体"/>
              </w:rPr>
              <w:t>供应商应当在</w:t>
            </w:r>
            <w:r>
              <w:rPr>
                <w:rFonts w:hint="eastAsia" w:hAnsi="宋体"/>
                <w:b/>
              </w:rPr>
              <w:t>上传响应文件截止时间</w:t>
            </w:r>
            <w:r>
              <w:rPr>
                <w:rFonts w:hAnsi="宋体"/>
              </w:rPr>
              <w:t>前，将生成的“电子加密</w:t>
            </w:r>
            <w:r>
              <w:rPr>
                <w:rFonts w:hint="eastAsia" w:hAnsi="宋体"/>
              </w:rPr>
              <w:t>响应</w:t>
            </w:r>
            <w:r>
              <w:rPr>
                <w:rFonts w:hAnsi="宋体"/>
              </w:rPr>
              <w:t>文件”上传</w:t>
            </w:r>
            <w:r>
              <w:rPr>
                <w:rFonts w:hint="eastAsia" w:hAnsi="宋体"/>
              </w:rPr>
              <w:t>提交</w:t>
            </w:r>
            <w:r>
              <w:rPr>
                <w:rFonts w:hAnsi="宋体"/>
              </w:rPr>
              <w:t>至“</w:t>
            </w:r>
            <w:r>
              <w:rPr>
                <w:rFonts w:hAnsi="宋体"/>
                <w:lang w:val="en"/>
              </w:rPr>
              <w:t>广西政府采购云平台</w:t>
            </w:r>
            <w:r>
              <w:rPr>
                <w:rFonts w:hAnsi="宋体"/>
              </w:rPr>
              <w:t>”。</w:t>
            </w:r>
          </w:p>
          <w:p>
            <w:pPr>
              <w:pStyle w:val="19"/>
              <w:spacing w:line="360" w:lineRule="exact"/>
              <w:rPr>
                <w:rFonts w:hAnsi="宋体"/>
              </w:rPr>
            </w:pPr>
            <w:r>
              <w:rPr>
                <w:rFonts w:hint="eastAsia" w:hAnsi="宋体"/>
              </w:rPr>
              <w:t>“电子加密响应文件”的上传、提交：</w:t>
            </w:r>
          </w:p>
          <w:p>
            <w:pPr>
              <w:pStyle w:val="19"/>
              <w:spacing w:line="360" w:lineRule="exact"/>
              <w:rPr>
                <w:rFonts w:hAnsi="宋体"/>
              </w:rPr>
            </w:pPr>
            <w:r>
              <w:rPr>
                <w:rFonts w:hint="eastAsia" w:hAnsi="宋体"/>
              </w:rPr>
              <w:t>a.磋商供应商应在</w:t>
            </w:r>
            <w:r>
              <w:rPr>
                <w:rFonts w:hint="eastAsia" w:hAnsi="宋体"/>
                <w:b/>
              </w:rPr>
              <w:t>上传响应文件截止时间</w:t>
            </w:r>
            <w:r>
              <w:rPr>
                <w:rFonts w:hint="eastAsia" w:hAnsi="宋体"/>
              </w:rPr>
              <w:t>前将“电子加密响应文件”成功上传提交至</w:t>
            </w:r>
            <w:r>
              <w:rPr>
                <w:rFonts w:hAnsi="宋体"/>
              </w:rPr>
              <w:t>“</w:t>
            </w:r>
            <w:r>
              <w:rPr>
                <w:rFonts w:hAnsi="宋体"/>
                <w:lang w:val="en"/>
              </w:rPr>
              <w:t>广西政府采购云平台</w:t>
            </w:r>
            <w:r>
              <w:rPr>
                <w:rFonts w:hAnsi="宋体"/>
              </w:rPr>
              <w:t>”</w:t>
            </w:r>
            <w:r>
              <w:rPr>
                <w:rFonts w:hint="eastAsia" w:hAnsi="宋体"/>
              </w:rPr>
              <w:t>，否则磋商无效。</w:t>
            </w:r>
          </w:p>
          <w:p>
            <w:pPr>
              <w:pStyle w:val="19"/>
              <w:spacing w:line="360" w:lineRule="exact"/>
              <w:rPr>
                <w:rFonts w:hAnsi="宋体"/>
              </w:rPr>
            </w:pPr>
            <w:r>
              <w:rPr>
                <w:rFonts w:hint="eastAsia" w:hAnsi="宋体"/>
              </w:rPr>
              <w:t>b.“电子加密磋商响应文件”成功上传提交后，供应商可自行打印响应文件接收回执。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5</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pPr>
            <w:r>
              <w:rPr>
                <w:rFonts w:hint="eastAsia"/>
              </w:rPr>
              <w:t>提交响应文件截止时间：见竞争性磋商公告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6</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cs="Times New Roman"/>
              </w:rPr>
            </w:pPr>
            <w:r>
              <w:rPr>
                <w:rFonts w:hint="eastAsia" w:hAnsi="宋体" w:cs="Times New Roman"/>
              </w:rPr>
              <w:t>响应文件有效期：响应文件提交截止日期后六十日。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7</w:t>
            </w:r>
          </w:p>
        </w:tc>
        <w:tc>
          <w:tcPr>
            <w:tcW w:w="8365" w:type="dxa"/>
            <w:tcBorders>
              <w:top w:val="single" w:color="auto" w:sz="4" w:space="0"/>
              <w:left w:val="nil"/>
              <w:bottom w:val="single" w:color="auto" w:sz="4" w:space="0"/>
              <w:right w:val="single" w:color="auto" w:sz="4" w:space="0"/>
            </w:tcBorders>
            <w:vAlign w:val="center"/>
          </w:tcPr>
          <w:p>
            <w:pPr>
              <w:pStyle w:val="19"/>
              <w:spacing w:line="360" w:lineRule="exact"/>
              <w:rPr>
                <w:rFonts w:hAnsi="宋体"/>
              </w:rPr>
            </w:pPr>
            <w:r>
              <w:rPr>
                <w:rFonts w:hint="eastAsia" w:hAnsi="宋体"/>
              </w:rPr>
              <w:t>保证金：见竞争性磋商公告。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8</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cs="Times New Roman"/>
                <w:b/>
                <w:bCs/>
              </w:rPr>
            </w:pPr>
            <w:r>
              <w:rPr>
                <w:rFonts w:hint="eastAsia" w:hAnsi="宋体" w:cs="Times New Roman"/>
                <w:b/>
                <w:bCs/>
              </w:rPr>
              <w:t>磋商时间：</w:t>
            </w:r>
            <w:r>
              <w:rPr>
                <w:rFonts w:hAnsi="宋体" w:cs="Times New Roman"/>
                <w:b/>
                <w:bCs/>
                <w:u w:val="single"/>
                <w:lang w:val="en"/>
              </w:rPr>
              <w:t>202</w:t>
            </w:r>
            <w:r>
              <w:rPr>
                <w:rFonts w:hint="eastAsia" w:hAnsi="宋体" w:cs="Times New Roman"/>
                <w:b/>
                <w:bCs/>
                <w:u w:val="single"/>
              </w:rPr>
              <w:t>5</w:t>
            </w:r>
            <w:r>
              <w:rPr>
                <w:rFonts w:hAnsi="宋体" w:cs="Times New Roman"/>
                <w:b/>
                <w:bCs/>
                <w:u w:val="single"/>
                <w:lang w:val="en"/>
              </w:rPr>
              <w:t>年</w:t>
            </w:r>
            <w:r>
              <w:rPr>
                <w:rFonts w:hint="eastAsia" w:hAnsi="宋体" w:cs="Times New Roman"/>
                <w:b/>
                <w:bCs/>
                <w:u w:val="single"/>
                <w:lang w:val="en-US" w:eastAsia="zh-CN"/>
              </w:rPr>
              <w:t>12</w:t>
            </w:r>
            <w:r>
              <w:rPr>
                <w:rFonts w:hAnsi="宋体" w:cs="Times New Roman"/>
                <w:b/>
                <w:bCs/>
                <w:u w:val="single"/>
                <w:lang w:val="en"/>
              </w:rPr>
              <w:t>月</w:t>
            </w:r>
            <w:r>
              <w:rPr>
                <w:rFonts w:hint="eastAsia" w:hAnsi="宋体" w:cs="Times New Roman"/>
                <w:b/>
                <w:bCs/>
                <w:u w:val="single"/>
                <w:lang w:val="en-US" w:eastAsia="zh-CN"/>
              </w:rPr>
              <w:t>3</w:t>
            </w:r>
            <w:r>
              <w:rPr>
                <w:rFonts w:hAnsi="宋体" w:cs="Times New Roman"/>
                <w:b/>
                <w:bCs/>
                <w:u w:val="single"/>
                <w:lang w:val="en"/>
              </w:rPr>
              <w:t>日</w:t>
            </w:r>
            <w:r>
              <w:rPr>
                <w:rFonts w:hint="eastAsia" w:hAnsi="宋体" w:cs="Times New Roman"/>
                <w:b/>
                <w:bCs/>
              </w:rPr>
              <w:t>10时整截标后（如有变动，具体时间由广西壮族自治区政府采购中心另行通知）</w:t>
            </w:r>
          </w:p>
          <w:p>
            <w:pPr>
              <w:pStyle w:val="107"/>
              <w:spacing w:line="360" w:lineRule="exact"/>
              <w:rPr>
                <w:rFonts w:hAnsi="宋体" w:cs="Times New Roman"/>
                <w:kern w:val="0"/>
              </w:rPr>
            </w:pPr>
            <w:r>
              <w:rPr>
                <w:rFonts w:hint="eastAsia" w:hAnsi="宋体" w:cs="Times New Roman"/>
                <w:b/>
                <w:bCs/>
              </w:rPr>
              <w:t>磋商地点：南宁市星湖路22号广西壮族自治区政府采购中心</w:t>
            </w:r>
            <w:r>
              <w:rPr>
                <w:rFonts w:hint="eastAsia" w:hAnsi="宋体" w:cs="Times New Roman"/>
                <w:kern w:val="0"/>
              </w:rPr>
              <w:t>，广西壮族自治区政府采购中心评标室</w:t>
            </w:r>
            <w:r>
              <w:rPr>
                <w:rFonts w:hint="eastAsia"/>
              </w:rPr>
              <w:t>（本项目实施电子标，不要求供应商到达磋商现场）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9</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cs="Times New Roman"/>
              </w:rPr>
            </w:pPr>
            <w:r>
              <w:rPr>
                <w:rFonts w:hint="eastAsia" w:hAnsi="宋体" w:cs="Times New Roman"/>
              </w:rPr>
              <w:t>评审方法：综合评分法（详细见第六章）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10</w:t>
            </w:r>
          </w:p>
        </w:tc>
        <w:tc>
          <w:tcPr>
            <w:tcW w:w="8365" w:type="dxa"/>
            <w:tcBorders>
              <w:top w:val="single" w:color="auto" w:sz="4" w:space="0"/>
              <w:left w:val="nil"/>
              <w:bottom w:val="single" w:color="auto" w:sz="4" w:space="0"/>
              <w:right w:val="single" w:color="auto" w:sz="4" w:space="0"/>
            </w:tcBorders>
            <w:vAlign w:val="center"/>
          </w:tcPr>
          <w:p>
            <w:pPr>
              <w:spacing w:line="360" w:lineRule="exact"/>
              <w:rPr>
                <w:rFonts w:ascii="宋体"/>
                <w:snapToGrid w:val="0"/>
              </w:rPr>
            </w:pPr>
            <w:r>
              <w:rPr>
                <w:rFonts w:hint="eastAsia" w:ascii="宋体" w:hAnsi="宋体"/>
              </w:rPr>
              <w:t>响应文件形式：</w:t>
            </w:r>
            <w:r>
              <w:rPr>
                <w:rFonts w:hint="eastAsia" w:ascii="宋体"/>
                <w:snapToGrid w:val="0"/>
              </w:rPr>
              <w:t>磋商供应商应准备电子响应文件。</w:t>
            </w:r>
          </w:p>
          <w:p>
            <w:pPr>
              <w:pStyle w:val="107"/>
              <w:spacing w:line="360" w:lineRule="exact"/>
              <w:rPr>
                <w:rFonts w:hAnsi="宋体"/>
              </w:rPr>
            </w:pPr>
            <w:r>
              <w:rPr>
                <w:rFonts w:hint="eastAsia"/>
                <w:snapToGrid w:val="0"/>
              </w:rPr>
              <w:t>电子响应文件是指通过“政采云电子投标客户端”完成响应文件编制后生成并加密的数据电文形式的电子加密响应文件。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11</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rPr>
            </w:pPr>
            <w:r>
              <w:rPr>
                <w:rFonts w:hint="eastAsia"/>
                <w:snapToGrid w:val="0"/>
              </w:rPr>
              <w:t>响应文件的编制：供应商应先安装“政采云电子投标客户端”，并按照本竞争性磋商文件和“</w:t>
            </w:r>
            <w:r>
              <w:rPr>
                <w:snapToGrid w:val="0"/>
                <w:lang w:val="en"/>
              </w:rPr>
              <w:t>广西政府采购云平台</w:t>
            </w:r>
            <w:r>
              <w:rPr>
                <w:rFonts w:hint="eastAsia"/>
                <w:snapToGrid w:val="0"/>
              </w:rPr>
              <w:t>”的要求，通过“政采云电子投标客户端”编制并加密响应文件。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12</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rPr>
            </w:pPr>
            <w:r>
              <w:rPr>
                <w:rFonts w:hint="eastAsia"/>
                <w:snapToGrid w:val="0"/>
              </w:rPr>
              <w:t>响应文件的盖章：响应文件中所涉及的加盖公章均采用CA电子签章。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13</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rPr>
            </w:pPr>
            <w:r>
              <w:rPr>
                <w:rFonts w:hint="eastAsia"/>
                <w:snapToGrid w:val="0"/>
              </w:rPr>
              <w:t>法定代表人或其授权代表签字或盖章：本竞争性磋商文件所涉及的法定代表人或其授权代表签字或盖章的内容，如果磋商单位没有法定代表人电子签章，涉及到法定代表人或其授权代表签字或盖章的内容，磋商单位可以线下签字或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14</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rPr>
            </w:pPr>
            <w:r>
              <w:rPr>
                <w:rFonts w:hint="eastAsia"/>
                <w:snapToGrid w:val="0"/>
              </w:rPr>
              <w:t>响应文件份数：电子加密响应文件在线上传提交一份。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15</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snapToGrid w:val="0"/>
              </w:rPr>
            </w:pPr>
            <w:r>
              <w:rPr>
                <w:rFonts w:hint="eastAsia"/>
                <w:snapToGrid w:val="0"/>
              </w:rPr>
              <w:t>电子加密响应文件的解密：</w:t>
            </w:r>
          </w:p>
          <w:p>
            <w:pPr>
              <w:pStyle w:val="107"/>
              <w:spacing w:line="360" w:lineRule="exact"/>
              <w:rPr>
                <w:rFonts w:hAnsi="宋体"/>
              </w:rPr>
            </w:pPr>
            <w:r>
              <w:rPr>
                <w:rFonts w:hint="eastAsia"/>
                <w:snapToGrid w:val="0"/>
              </w:rPr>
              <w:t>磋商开启后，本中心将向各参与磋商供应商发出“电子加密响应文件”的解密通知，各磋商供应商代表应当在接到解密通知后30分钟内自行完成“电子加密响应文件”的在线解密。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726" w:type="dxa"/>
            <w:vMerge w:val="restart"/>
            <w:tcBorders>
              <w:top w:val="single" w:color="auto" w:sz="4" w:space="0"/>
              <w:left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16</w:t>
            </w:r>
          </w:p>
        </w:tc>
        <w:tc>
          <w:tcPr>
            <w:tcW w:w="8365" w:type="dxa"/>
            <w:tcBorders>
              <w:top w:val="single" w:color="auto" w:sz="4" w:space="0"/>
              <w:left w:val="nil"/>
              <w:bottom w:val="single" w:color="auto" w:sz="4" w:space="0"/>
              <w:right w:val="single" w:color="auto" w:sz="4" w:space="0"/>
            </w:tcBorders>
            <w:vAlign w:val="center"/>
          </w:tcPr>
          <w:p>
            <w:pPr>
              <w:snapToGrid w:val="0"/>
              <w:spacing w:line="360" w:lineRule="exact"/>
              <w:rPr>
                <w:snapToGrid w:val="0"/>
              </w:rPr>
            </w:pPr>
            <w:r>
              <w:rPr>
                <w:rFonts w:hint="eastAsia" w:ascii="宋体" w:hAnsi="宋体"/>
                <w:b/>
                <w:bCs/>
              </w:rPr>
              <w:t>对采购文件、采购过程或者中标（成交）结果的质疑由采购人接收或采购代理机构代为接收，由采购人负责答复。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726" w:type="dxa"/>
            <w:vMerge w:val="continue"/>
            <w:tcBorders>
              <w:left w:val="single" w:color="auto" w:sz="4" w:space="0"/>
              <w:right w:val="single" w:color="auto" w:sz="4" w:space="0"/>
            </w:tcBorders>
            <w:vAlign w:val="center"/>
          </w:tcPr>
          <w:p>
            <w:pPr>
              <w:pStyle w:val="107"/>
              <w:spacing w:line="360" w:lineRule="exact"/>
              <w:jc w:val="center"/>
              <w:rPr>
                <w:rFonts w:hAnsi="宋体" w:cs="Times New Roman"/>
              </w:rPr>
            </w:pPr>
          </w:p>
        </w:tc>
        <w:tc>
          <w:tcPr>
            <w:tcW w:w="8365" w:type="dxa"/>
            <w:tcBorders>
              <w:top w:val="single" w:color="auto" w:sz="4" w:space="0"/>
              <w:left w:val="nil"/>
              <w:bottom w:val="single" w:color="auto" w:sz="4" w:space="0"/>
              <w:right w:val="single" w:color="auto" w:sz="4" w:space="0"/>
            </w:tcBorders>
            <w:vAlign w:val="center"/>
          </w:tcPr>
          <w:p>
            <w:pPr>
              <w:snapToGrid w:val="0"/>
              <w:spacing w:line="360" w:lineRule="exact"/>
              <w:rPr>
                <w:snapToGrid w:val="0"/>
              </w:rPr>
            </w:pPr>
            <w:r>
              <w:rPr>
                <w:rFonts w:hint="eastAsia" w:ascii="宋体" w:hAnsi="宋体"/>
              </w:rPr>
              <w:t>接收质疑函方式：以书面形式。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726" w:type="dxa"/>
            <w:vMerge w:val="continue"/>
            <w:tcBorders>
              <w:left w:val="single" w:color="auto" w:sz="4" w:space="0"/>
              <w:right w:val="single" w:color="auto" w:sz="4" w:space="0"/>
            </w:tcBorders>
            <w:vAlign w:val="center"/>
          </w:tcPr>
          <w:p>
            <w:pPr>
              <w:pStyle w:val="107"/>
              <w:spacing w:line="360" w:lineRule="exact"/>
              <w:jc w:val="center"/>
              <w:rPr>
                <w:rFonts w:hAnsi="宋体" w:cs="Times New Roman"/>
              </w:rPr>
            </w:pPr>
          </w:p>
        </w:tc>
        <w:tc>
          <w:tcPr>
            <w:tcW w:w="8365" w:type="dxa"/>
            <w:tcBorders>
              <w:top w:val="single" w:color="auto" w:sz="4" w:space="0"/>
              <w:left w:val="nil"/>
              <w:bottom w:val="single" w:color="auto" w:sz="4" w:space="0"/>
              <w:right w:val="single" w:color="auto" w:sz="4" w:space="0"/>
            </w:tcBorders>
            <w:vAlign w:val="center"/>
          </w:tcPr>
          <w:p>
            <w:pPr>
              <w:snapToGrid w:val="0"/>
              <w:spacing w:line="360" w:lineRule="exact"/>
            </w:pPr>
            <w:r>
              <w:rPr>
                <w:rFonts w:hint="eastAsia"/>
              </w:rPr>
              <w:t>质疑联系部门及联系方式：</w:t>
            </w:r>
          </w:p>
          <w:p>
            <w:pPr>
              <w:snapToGrid w:val="0"/>
              <w:spacing w:line="360" w:lineRule="exact"/>
            </w:pPr>
            <w:r>
              <w:rPr>
                <w:rFonts w:hint="eastAsia"/>
              </w:rPr>
              <w:t xml:space="preserve">（1）广西壮族自治区政府采购中心内审科     </w:t>
            </w:r>
          </w:p>
          <w:p>
            <w:pPr>
              <w:snapToGrid w:val="0"/>
              <w:spacing w:line="360" w:lineRule="exact"/>
              <w:ind w:firstLine="420" w:firstLineChars="200"/>
            </w:pPr>
            <w:r>
              <w:rPr>
                <w:rFonts w:hint="eastAsia"/>
              </w:rPr>
              <w:t>电话：0771-8600453</w:t>
            </w:r>
          </w:p>
          <w:p>
            <w:pPr>
              <w:snapToGrid w:val="0"/>
              <w:spacing w:line="360" w:lineRule="exact"/>
              <w:ind w:firstLine="420" w:firstLineChars="200"/>
            </w:pPr>
            <w:r>
              <w:rPr>
                <w:rFonts w:hint="eastAsia"/>
              </w:rPr>
              <w:t>地址：广西南宁市星湖路22号</w:t>
            </w:r>
          </w:p>
          <w:p>
            <w:pPr>
              <w:snapToGrid w:val="0"/>
              <w:spacing w:line="360" w:lineRule="exact"/>
            </w:pPr>
            <w:r>
              <w:rPr>
                <w:rFonts w:hint="eastAsia"/>
              </w:rPr>
              <w:t>（2）</w:t>
            </w:r>
            <w:r>
              <w:fldChar w:fldCharType="begin"/>
            </w:r>
            <w:r>
              <w:instrText xml:space="preserve"> HYPERLINK "https://middle.gcy.zfcg.gxzf.gov.cn/web-user/" \l "/plan/list/_blank" \t "https://pay.gcy.zfcg.gxzf.gov.cn/purchaseplan_front/" </w:instrText>
            </w:r>
            <w:r>
              <w:fldChar w:fldCharType="separate"/>
            </w:r>
            <w:r>
              <w:rPr>
                <w:rFonts w:hint="eastAsia"/>
              </w:rPr>
              <w:t>广西农业职业技术大学</w:t>
            </w:r>
            <w:r>
              <w:rPr>
                <w:rFonts w:hint="eastAsia"/>
              </w:rPr>
              <w:fldChar w:fldCharType="end"/>
            </w:r>
          </w:p>
          <w:p>
            <w:pPr>
              <w:snapToGrid w:val="0"/>
              <w:spacing w:line="360" w:lineRule="exact"/>
              <w:ind w:firstLine="420" w:firstLineChars="200"/>
            </w:pPr>
            <w:r>
              <w:rPr>
                <w:rFonts w:hint="eastAsia"/>
              </w:rPr>
              <w:t>电话：0771-4714671</w:t>
            </w:r>
          </w:p>
          <w:p>
            <w:pPr>
              <w:snapToGrid w:val="0"/>
              <w:spacing w:line="360" w:lineRule="exact"/>
              <w:ind w:firstLine="420" w:firstLineChars="200"/>
              <w:rPr>
                <w:snapToGrid w:val="0"/>
              </w:rPr>
            </w:pPr>
            <w:r>
              <w:rPr>
                <w:rFonts w:hint="eastAsia"/>
              </w:rPr>
              <w:t xml:space="preserve">地址：广西南宁市大学东路176号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726" w:type="dxa"/>
            <w:vMerge w:val="continue"/>
            <w:tcBorders>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p>
        </w:tc>
        <w:tc>
          <w:tcPr>
            <w:tcW w:w="8365" w:type="dxa"/>
            <w:tcBorders>
              <w:top w:val="single" w:color="auto" w:sz="4" w:space="0"/>
              <w:left w:val="nil"/>
              <w:bottom w:val="single" w:color="auto" w:sz="4" w:space="0"/>
              <w:right w:val="single" w:color="auto" w:sz="4" w:space="0"/>
            </w:tcBorders>
            <w:vAlign w:val="center"/>
          </w:tcPr>
          <w:p>
            <w:pPr>
              <w:snapToGrid w:val="0"/>
              <w:spacing w:line="360" w:lineRule="exact"/>
              <w:rPr>
                <w:snapToGrid w:val="0"/>
              </w:rPr>
            </w:pPr>
            <w:r>
              <w:rPr>
                <w:rFonts w:hint="eastAsia" w:ascii="宋体" w:hAnsi="宋体"/>
              </w:rPr>
              <w:t>现场提交质疑办理业务时间：质疑期内每个工作日采购人或采购代理机构正常工作时间（其中采购代理机构为9：00到12：00，14：00到17：00）</w:t>
            </w:r>
          </w:p>
        </w:tc>
      </w:tr>
    </w:tbl>
    <w:p>
      <w:pPr>
        <w:pageBreakBefore/>
        <w:spacing w:line="400" w:lineRule="exact"/>
        <w:jc w:val="center"/>
        <w:rPr>
          <w:rFonts w:ascii="宋体" w:hAnsi="宋体"/>
          <w:b/>
          <w:bCs/>
          <w:sz w:val="32"/>
          <w:szCs w:val="32"/>
        </w:rPr>
      </w:pPr>
      <w:r>
        <w:rPr>
          <w:rFonts w:hint="eastAsia" w:ascii="宋体" w:hAnsi="宋体"/>
          <w:b/>
          <w:bCs/>
          <w:sz w:val="32"/>
          <w:szCs w:val="32"/>
        </w:rPr>
        <w:t>供应商须知</w:t>
      </w:r>
    </w:p>
    <w:p>
      <w:pPr>
        <w:spacing w:line="440" w:lineRule="exact"/>
        <w:ind w:firstLine="421" w:firstLineChars="200"/>
        <w:rPr>
          <w:rFonts w:ascii="宋体" w:hAnsi="宋体"/>
          <w:b/>
          <w:bCs/>
        </w:rPr>
      </w:pPr>
      <w:r>
        <w:rPr>
          <w:rFonts w:hint="eastAsia" w:ascii="宋体" w:hAnsi="宋体"/>
          <w:b/>
          <w:bCs/>
        </w:rPr>
        <w:t>一、总 则</w:t>
      </w:r>
    </w:p>
    <w:p>
      <w:pPr>
        <w:spacing w:line="440" w:lineRule="exact"/>
        <w:ind w:firstLine="420" w:firstLineChars="200"/>
        <w:rPr>
          <w:rFonts w:ascii="宋体" w:hAnsi="宋体"/>
        </w:rPr>
      </w:pPr>
      <w:r>
        <w:rPr>
          <w:rFonts w:hint="eastAsia" w:ascii="宋体" w:hAnsi="宋体"/>
        </w:rPr>
        <w:t>1. 适用范围</w:t>
      </w:r>
    </w:p>
    <w:p>
      <w:pPr>
        <w:pStyle w:val="19"/>
        <w:spacing w:line="440" w:lineRule="exact"/>
        <w:ind w:firstLine="411" w:firstLineChars="196"/>
        <w:rPr>
          <w:rFonts w:hAnsi="宋体"/>
          <w:b/>
          <w:bCs/>
          <w:lang w:val="en"/>
        </w:rPr>
      </w:pPr>
      <w:r>
        <w:rPr>
          <w:rFonts w:hint="eastAsia" w:hAnsi="宋体"/>
        </w:rPr>
        <w:t>1.1项目名称：</w:t>
      </w:r>
      <w:r>
        <w:rPr>
          <w:rFonts w:hint="eastAsia" w:hAnsi="宋体"/>
          <w:lang w:val="en"/>
        </w:rPr>
        <w:t>广西农业职业技术大学网络线路租赁服务采购</w:t>
      </w:r>
    </w:p>
    <w:p>
      <w:pPr>
        <w:pStyle w:val="19"/>
        <w:spacing w:line="440" w:lineRule="exact"/>
        <w:ind w:firstLine="411" w:firstLineChars="196"/>
        <w:rPr>
          <w:rFonts w:hAnsi="宋体"/>
        </w:rPr>
      </w:pPr>
      <w:r>
        <w:rPr>
          <w:rFonts w:hint="eastAsia" w:hAnsi="宋体"/>
        </w:rPr>
        <w:t xml:space="preserve">       本文件仅适用于本文件中所叙述的服务类政府采购项目。</w:t>
      </w:r>
    </w:p>
    <w:p>
      <w:pPr>
        <w:spacing w:line="440" w:lineRule="exact"/>
        <w:ind w:firstLine="420" w:firstLineChars="200"/>
        <w:rPr>
          <w:rFonts w:ascii="宋体" w:hAnsi="宋体"/>
        </w:rPr>
      </w:pPr>
      <w:r>
        <w:rPr>
          <w:rFonts w:hint="eastAsia" w:ascii="宋体" w:hAnsi="宋体"/>
        </w:rPr>
        <w:t>2. 定义</w:t>
      </w:r>
    </w:p>
    <w:p>
      <w:pPr>
        <w:spacing w:line="440" w:lineRule="exact"/>
        <w:ind w:firstLine="420" w:firstLineChars="200"/>
        <w:rPr>
          <w:rFonts w:ascii="宋体" w:hAnsi="宋体"/>
          <w:b/>
          <w:bCs/>
          <w:lang w:val="en"/>
        </w:rPr>
      </w:pPr>
      <w:r>
        <w:rPr>
          <w:rFonts w:hint="eastAsia" w:ascii="宋体" w:hAnsi="宋体"/>
        </w:rPr>
        <w:t>2.1“采购人”是指：</w:t>
      </w:r>
      <w:r>
        <w:rPr>
          <w:rFonts w:hint="eastAsia" w:ascii="宋体" w:hAnsi="宋体"/>
          <w:lang w:val="en"/>
        </w:rPr>
        <w:t>广西农业职业技术大学</w:t>
      </w:r>
    </w:p>
    <w:p>
      <w:pPr>
        <w:spacing w:line="440" w:lineRule="exact"/>
        <w:ind w:firstLine="420" w:firstLineChars="200"/>
        <w:rPr>
          <w:rFonts w:ascii="宋体" w:hAnsi="宋体"/>
        </w:rPr>
      </w:pPr>
      <w:r>
        <w:rPr>
          <w:rFonts w:hint="eastAsia" w:ascii="宋体" w:hAnsi="宋体"/>
        </w:rPr>
        <w:t>2.2“采购代理机构”是指：广西壮族自治区政府采购中心(以下简称“本中心”)。</w:t>
      </w:r>
    </w:p>
    <w:p>
      <w:pPr>
        <w:spacing w:line="440" w:lineRule="exact"/>
        <w:ind w:firstLine="420" w:firstLineChars="200"/>
        <w:rPr>
          <w:rFonts w:ascii="宋体" w:hAnsi="宋体"/>
        </w:rPr>
      </w:pPr>
      <w:r>
        <w:rPr>
          <w:rFonts w:hint="eastAsia" w:ascii="宋体" w:hAnsi="宋体"/>
        </w:rPr>
        <w:t>2.3“供应商”是指响应本文件要求，参加磋商的法人或者其他组织和自然人。如果该供应商在本次磋商中成交,即成为“成交供应商”。</w:t>
      </w:r>
    </w:p>
    <w:p>
      <w:pPr>
        <w:spacing w:line="440" w:lineRule="exact"/>
        <w:ind w:firstLine="420" w:firstLineChars="200"/>
        <w:rPr>
          <w:rFonts w:ascii="宋体" w:hAnsi="宋体"/>
        </w:rPr>
      </w:pPr>
      <w:r>
        <w:rPr>
          <w:rFonts w:hint="eastAsia" w:ascii="宋体" w:hAnsi="宋体"/>
        </w:rPr>
        <w:t>2.4“货物”是指各种形态和种类的物品，包括原材料、燃料、设备、产品等。</w:t>
      </w:r>
    </w:p>
    <w:p>
      <w:pPr>
        <w:spacing w:line="440" w:lineRule="exact"/>
        <w:ind w:firstLine="420" w:firstLineChars="200"/>
        <w:rPr>
          <w:rFonts w:ascii="宋体" w:hAnsi="宋体"/>
        </w:rPr>
      </w:pPr>
      <w:r>
        <w:rPr>
          <w:rFonts w:hint="eastAsia" w:ascii="宋体" w:hAnsi="宋体"/>
        </w:rPr>
        <w:t>2.5“服务”是指除货物和工程以外的其他政府采购对象。</w:t>
      </w:r>
    </w:p>
    <w:p>
      <w:pPr>
        <w:spacing w:line="440" w:lineRule="exact"/>
        <w:ind w:firstLine="420" w:firstLineChars="200"/>
        <w:rPr>
          <w:rFonts w:ascii="宋体" w:hAnsi="宋体"/>
        </w:rPr>
      </w:pPr>
      <w:r>
        <w:rPr>
          <w:rFonts w:hint="eastAsia" w:ascii="宋体" w:hAnsi="宋体"/>
        </w:rPr>
        <w:t>2.6“竞争性磋商响应文件”是指：供应商根据本文件要求，编制包含报价、技术和服务等所有内容的文件。</w:t>
      </w:r>
    </w:p>
    <w:p>
      <w:pPr>
        <w:spacing w:line="440" w:lineRule="exact"/>
        <w:ind w:firstLine="421" w:firstLineChars="200"/>
        <w:rPr>
          <w:rFonts w:ascii="宋体" w:hAnsi="宋体"/>
          <w:b/>
          <w:bCs/>
        </w:rPr>
      </w:pPr>
      <w:r>
        <w:rPr>
          <w:rFonts w:hint="eastAsia" w:ascii="宋体" w:hAnsi="宋体"/>
          <w:b/>
          <w:bCs/>
        </w:rPr>
        <w:t>3. 供应商的基本条件</w:t>
      </w:r>
    </w:p>
    <w:p>
      <w:pPr>
        <w:spacing w:line="440" w:lineRule="exact"/>
        <w:ind w:firstLine="424" w:firstLineChars="202"/>
        <w:rPr>
          <w:rFonts w:ascii="宋体" w:hAnsi="宋体"/>
        </w:rPr>
      </w:pPr>
      <w:r>
        <w:rPr>
          <w:rFonts w:hint="eastAsia" w:ascii="宋体" w:hAnsi="宋体"/>
        </w:rPr>
        <w:t>3.1供应商资格：具备《中华人民共和国政府采购法》第二十二条规定的条件。</w:t>
      </w:r>
    </w:p>
    <w:p>
      <w:pPr>
        <w:spacing w:line="440" w:lineRule="exact"/>
        <w:ind w:firstLine="424" w:firstLineChars="202"/>
        <w:rPr>
          <w:rFonts w:ascii="宋体" w:hAnsi="宋体"/>
        </w:rPr>
      </w:pPr>
      <w:r>
        <w:rPr>
          <w:rFonts w:hint="eastAsia" w:ascii="宋体" w:hAnsi="宋体"/>
        </w:rPr>
        <w:t>3.2参加政府采购活动前三年内，在经营活动中没有重大违法记录；（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spacing w:line="440" w:lineRule="exact"/>
        <w:ind w:firstLine="423" w:firstLineChars="201"/>
        <w:rPr>
          <w:rFonts w:ascii="宋体" w:hAnsi="宋体"/>
          <w:b/>
          <w:bCs/>
        </w:rPr>
      </w:pPr>
      <w:r>
        <w:rPr>
          <w:rFonts w:hint="eastAsia" w:ascii="宋体" w:hAnsi="宋体"/>
          <w:b/>
          <w:bCs/>
        </w:rPr>
        <w:t>4. 磋商费用、竞争性磋商公告、竞争性磋商文件的澄清和修改</w:t>
      </w:r>
    </w:p>
    <w:p>
      <w:pPr>
        <w:spacing w:line="440" w:lineRule="exact"/>
        <w:ind w:firstLine="420" w:firstLineChars="200"/>
        <w:rPr>
          <w:rFonts w:ascii="宋体" w:hAnsi="宋体"/>
        </w:rPr>
      </w:pPr>
      <w:r>
        <w:rPr>
          <w:rFonts w:hint="eastAsia" w:ascii="宋体" w:hAnsi="宋体"/>
        </w:rPr>
        <w:t>4.1磋商费用：供应商应自行承担所有与编写和提交竞争性磋商响应文件有关的费用，不论磋商结果如何，采购人和本中心在任何情况下无义务和责任承担此类费用。</w:t>
      </w:r>
    </w:p>
    <w:p>
      <w:pPr>
        <w:pStyle w:val="19"/>
        <w:spacing w:line="440" w:lineRule="exact"/>
        <w:ind w:firstLine="420"/>
        <w:rPr>
          <w:rFonts w:hAnsi="宋体"/>
        </w:rPr>
      </w:pPr>
      <w:r>
        <w:rPr>
          <w:rFonts w:hint="eastAsia" w:hAnsi="宋体"/>
        </w:rPr>
        <w:t>4.2</w:t>
      </w:r>
      <w:r>
        <w:rPr>
          <w:rFonts w:hint="eastAsia" w:hAnsi="宋体"/>
          <w:b/>
          <w:bCs/>
        </w:rPr>
        <w:t>竞争性磋商公告</w:t>
      </w:r>
      <w:r>
        <w:rPr>
          <w:rFonts w:hint="eastAsia" w:hAnsi="宋体"/>
        </w:rPr>
        <w:t>：见中国政府采购网(www.ccgp.gov.cn)、广西政府采购网（http://zfcg.gxzf.gov.cn）及本中心网站（http://gxggzy.gxzf.gov.cn/）。</w:t>
      </w:r>
    </w:p>
    <w:p>
      <w:pPr>
        <w:spacing w:line="440" w:lineRule="exact"/>
        <w:ind w:firstLine="420" w:firstLineChars="200"/>
        <w:rPr>
          <w:rFonts w:ascii="宋体" w:hAnsi="宋体"/>
        </w:rPr>
      </w:pPr>
      <w:r>
        <w:rPr>
          <w:rFonts w:hint="eastAsia" w:ascii="宋体" w:hAnsi="宋体"/>
        </w:rPr>
        <w:t>4.3竞争性磋商文件的澄清和修改：</w:t>
      </w:r>
    </w:p>
    <w:p>
      <w:pPr>
        <w:pStyle w:val="19"/>
        <w:spacing w:line="440" w:lineRule="exact"/>
        <w:ind w:firstLine="420"/>
        <w:rPr>
          <w:rFonts w:hAnsi="宋体"/>
        </w:rPr>
      </w:pPr>
      <w:r>
        <w:rPr>
          <w:rFonts w:hint="eastAsia" w:hAnsi="宋体"/>
        </w:rPr>
        <w:t>4.3.1供应商应认真审核《采购需求》中的技术参数、配置及要求，如发现采购需求中技术参数、配置有误或要求不合理的，供应商必须在规定的时间前要求澄清，否则，由此产生的后果由供应商负责。</w:t>
      </w:r>
    </w:p>
    <w:p>
      <w:pPr>
        <w:pStyle w:val="19"/>
        <w:spacing w:line="440" w:lineRule="exact"/>
        <w:ind w:firstLine="420"/>
        <w:rPr>
          <w:rFonts w:hAnsi="宋体"/>
        </w:rPr>
      </w:pPr>
      <w:r>
        <w:rPr>
          <w:rFonts w:hint="eastAsia" w:hAnsi="宋体"/>
        </w:rPr>
        <w:t>4.3.2任何要求澄清竞争性磋商文件的供应商，均应在响应文件递交截止日期三日前的正常工作时间以传真等书面形式通知本中心，同时认定其他澄清方式为无效。本中心将以书面形式予以答复。</w:t>
      </w:r>
    </w:p>
    <w:p>
      <w:pPr>
        <w:widowControl/>
        <w:spacing w:line="440" w:lineRule="exact"/>
        <w:ind w:firstLine="420"/>
        <w:jc w:val="left"/>
        <w:rPr>
          <w:rFonts w:ascii="宋体" w:hAnsi="宋体"/>
        </w:rPr>
      </w:pPr>
      <w:r>
        <w:rPr>
          <w:rFonts w:hint="eastAsia" w:ascii="宋体" w:hAnsi="宋体"/>
        </w:rPr>
        <w:t>4.3.3本中心对已发出的磋商文件进行必要澄清或者修改的，澄清和修改对供应商编制响应文件造成实质影响的，在竞争性磋商文件要求提交竞争性磋商响应文件截止时间五日前（不足五日顺延），在中国政府采购网</w:t>
      </w:r>
      <w:r>
        <w:rPr>
          <w:rFonts w:hint="eastAsia" w:ascii="宋体" w:hAnsi="宋体"/>
          <w:u w:val="single"/>
        </w:rPr>
        <w:t>(www.ccgp.gov.cn)</w:t>
      </w:r>
      <w:r>
        <w:rPr>
          <w:rFonts w:hint="eastAsia" w:ascii="宋体" w:hAnsi="宋体"/>
        </w:rPr>
        <w:t>、广西政府采购网(</w:t>
      </w:r>
      <w:r>
        <w:rPr>
          <w:rFonts w:hint="eastAsia" w:ascii="宋体" w:hAnsi="宋体" w:cs="Courier New"/>
        </w:rPr>
        <w:t>http://</w:t>
      </w:r>
      <w:r>
        <w:rPr>
          <w:rFonts w:hint="eastAsia" w:ascii="宋体" w:hAnsi="宋体"/>
        </w:rPr>
        <w:t>zfcg.gxzf.gov.cn）及本中心网站（http://gxzfcg.gxzf.gov.cn）上发布更正公告，并通知所有竞争性磋商文件收受人。该澄清或者修改的内容为竞争性磋商文件的组成部分。</w:t>
      </w:r>
    </w:p>
    <w:p>
      <w:pPr>
        <w:spacing w:line="440" w:lineRule="exact"/>
        <w:ind w:firstLine="420" w:firstLineChars="200"/>
        <w:rPr>
          <w:rFonts w:ascii="宋体" w:hAnsi="宋体"/>
        </w:rPr>
      </w:pPr>
      <w:r>
        <w:rPr>
          <w:rFonts w:hint="eastAsia" w:ascii="宋体" w:hAnsi="宋体"/>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本中心网站（http://gxzfcg.gxzf.gov.cn）上发布变更公告。</w:t>
      </w:r>
    </w:p>
    <w:p>
      <w:pPr>
        <w:spacing w:line="440" w:lineRule="exact"/>
        <w:ind w:firstLine="421" w:firstLineChars="200"/>
        <w:rPr>
          <w:rFonts w:ascii="宋体" w:hAnsi="宋体"/>
          <w:b/>
          <w:bCs/>
        </w:rPr>
      </w:pPr>
      <w:r>
        <w:rPr>
          <w:rFonts w:hint="eastAsia" w:ascii="宋体" w:hAnsi="宋体"/>
          <w:b/>
          <w:bCs/>
        </w:rPr>
        <w:t>二、竞争性磋商响应文件的编制</w:t>
      </w:r>
    </w:p>
    <w:p>
      <w:pPr>
        <w:spacing w:line="440" w:lineRule="exact"/>
        <w:ind w:firstLine="420" w:firstLineChars="200"/>
        <w:rPr>
          <w:rFonts w:ascii="宋体" w:hAnsi="宋体"/>
        </w:rPr>
      </w:pPr>
      <w:r>
        <w:rPr>
          <w:rFonts w:hint="eastAsia" w:ascii="宋体" w:hAnsi="宋体"/>
        </w:rPr>
        <w:t>5. 竞争性磋商响应文件编制基本要求</w:t>
      </w:r>
    </w:p>
    <w:p>
      <w:pPr>
        <w:spacing w:line="440" w:lineRule="exact"/>
        <w:ind w:firstLine="420" w:firstLineChars="200"/>
        <w:rPr>
          <w:rFonts w:ascii="宋体" w:hAnsi="宋体"/>
        </w:rPr>
      </w:pPr>
      <w:r>
        <w:rPr>
          <w:rFonts w:hint="eastAsia" w:ascii="宋体" w:hAnsi="宋体"/>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pPr>
        <w:spacing w:line="440" w:lineRule="exact"/>
        <w:ind w:firstLine="420" w:firstLineChars="200"/>
        <w:rPr>
          <w:rFonts w:ascii="宋体" w:hAnsi="宋体"/>
        </w:rPr>
      </w:pPr>
      <w:r>
        <w:rPr>
          <w:rFonts w:hint="eastAsia" w:ascii="宋体" w:hAnsi="宋体"/>
        </w:rPr>
        <w:t>5.2响应文件须由磋商供应商在规定位置盖章并由法定代表人或法定代表人的授权委托人签署，磋商供应商应写全称。</w:t>
      </w:r>
    </w:p>
    <w:p>
      <w:pPr>
        <w:spacing w:line="440" w:lineRule="exact"/>
        <w:ind w:firstLine="420" w:firstLineChars="200"/>
        <w:rPr>
          <w:rFonts w:ascii="宋体" w:hAnsi="宋体"/>
        </w:rPr>
      </w:pPr>
      <w:r>
        <w:rPr>
          <w:rFonts w:hint="eastAsia" w:ascii="宋体" w:hAnsi="宋体"/>
        </w:rPr>
        <w:t>5.3响应文件不得涂改，若有修改错漏处，须加盖单位公章或者法定代表人或授权委托人签字或盖章。响应文件因扫描不清晰或乱码或表达不清所引起的后果由磋商供应商负责。</w:t>
      </w:r>
    </w:p>
    <w:p>
      <w:pPr>
        <w:spacing w:line="440" w:lineRule="exact"/>
        <w:ind w:firstLine="420" w:firstLineChars="200"/>
        <w:rPr>
          <w:rFonts w:ascii="宋体" w:hAnsi="宋体"/>
        </w:rPr>
      </w:pPr>
      <w:r>
        <w:rPr>
          <w:rFonts w:hint="eastAsia" w:ascii="宋体" w:hAnsi="宋体"/>
        </w:rPr>
        <w:t>5.4竞争性磋商响应文件的组成：竞争性磋商响应文件应分为价格文件和商务技术文件两个部分组成。</w:t>
      </w:r>
    </w:p>
    <w:p>
      <w:pPr>
        <w:spacing w:line="440" w:lineRule="exact"/>
        <w:ind w:firstLine="420" w:firstLineChars="200"/>
        <w:rPr>
          <w:rFonts w:ascii="宋体" w:hAnsi="宋体"/>
          <w:bCs/>
        </w:rPr>
      </w:pPr>
      <w:r>
        <w:rPr>
          <w:rFonts w:hint="eastAsia" w:ascii="宋体" w:hAnsi="宋体"/>
          <w:bCs/>
        </w:rPr>
        <w:t>5.5.1价格文件</w:t>
      </w:r>
    </w:p>
    <w:p>
      <w:pPr>
        <w:spacing w:line="440" w:lineRule="exact"/>
        <w:ind w:firstLine="420" w:firstLineChars="200"/>
        <w:rPr>
          <w:rFonts w:ascii="宋体" w:hAnsi="宋体"/>
          <w:bCs/>
        </w:rPr>
      </w:pPr>
      <w:r>
        <w:rPr>
          <w:rFonts w:hint="eastAsia" w:ascii="宋体" w:hAnsi="宋体"/>
          <w:bCs/>
        </w:rPr>
        <w:t>1）报价表；（附件二）[</w:t>
      </w:r>
      <w:r>
        <w:rPr>
          <w:rFonts w:hint="eastAsia" w:ascii="宋体" w:hAnsi="宋体"/>
          <w:b/>
        </w:rPr>
        <w:t>必须提供</w:t>
      </w:r>
      <w:r>
        <w:rPr>
          <w:rFonts w:hint="eastAsia" w:ascii="宋体" w:hAnsi="宋体"/>
          <w:bCs/>
        </w:rPr>
        <w:t>]</w:t>
      </w:r>
    </w:p>
    <w:p>
      <w:pPr>
        <w:spacing w:line="440" w:lineRule="exact"/>
        <w:ind w:firstLine="420" w:firstLineChars="200"/>
        <w:rPr>
          <w:rFonts w:ascii="宋体" w:hAnsi="宋体"/>
          <w:bCs/>
        </w:rPr>
      </w:pPr>
      <w:r>
        <w:rPr>
          <w:rFonts w:hint="eastAsia" w:ascii="宋体" w:hAnsi="宋体"/>
          <w:bCs/>
        </w:rPr>
        <w:t>5.5.2 商务技术文件（应该有的必须提供,如未提供,磋商小组有权拒绝其竞争性磋商响应文件）</w:t>
      </w:r>
    </w:p>
    <w:p>
      <w:pPr>
        <w:spacing w:line="440" w:lineRule="exact"/>
        <w:ind w:firstLine="420" w:firstLineChars="200"/>
        <w:rPr>
          <w:rFonts w:ascii="宋体" w:hAnsi="宋体"/>
          <w:bCs/>
        </w:rPr>
      </w:pPr>
      <w:r>
        <w:rPr>
          <w:rFonts w:hint="eastAsia" w:ascii="宋体" w:hAnsi="宋体"/>
          <w:bCs/>
        </w:rPr>
        <w:t>1）磋商书；（附件一）[</w:t>
      </w:r>
      <w:r>
        <w:rPr>
          <w:rFonts w:hint="eastAsia" w:ascii="宋体" w:hAnsi="宋体"/>
          <w:b/>
        </w:rPr>
        <w:t>必须提供</w:t>
      </w:r>
      <w:r>
        <w:rPr>
          <w:rFonts w:hint="eastAsia" w:ascii="宋体" w:hAnsi="宋体"/>
          <w:bCs/>
        </w:rPr>
        <w:t>]</w:t>
      </w:r>
    </w:p>
    <w:p>
      <w:pPr>
        <w:spacing w:line="440" w:lineRule="exact"/>
        <w:ind w:firstLine="420" w:firstLineChars="200"/>
        <w:rPr>
          <w:rFonts w:ascii="宋体" w:hAnsi="宋体"/>
          <w:bCs/>
        </w:rPr>
      </w:pPr>
      <w:r>
        <w:rPr>
          <w:rFonts w:hint="eastAsia" w:ascii="宋体" w:hAnsi="宋体"/>
          <w:bCs/>
        </w:rPr>
        <w:t>2）商务、技术响应、偏离情况说明表（附件三）；[</w:t>
      </w:r>
      <w:r>
        <w:rPr>
          <w:rFonts w:hint="eastAsia" w:ascii="宋体" w:hAnsi="宋体"/>
          <w:b/>
        </w:rPr>
        <w:t>必须提供</w:t>
      </w:r>
      <w:r>
        <w:rPr>
          <w:rFonts w:hint="eastAsia" w:ascii="宋体" w:hAnsi="宋体"/>
          <w:bCs/>
        </w:rPr>
        <w:t>]</w:t>
      </w:r>
    </w:p>
    <w:p>
      <w:pPr>
        <w:spacing w:line="440" w:lineRule="exact"/>
        <w:ind w:firstLine="420" w:firstLineChars="200"/>
        <w:rPr>
          <w:rFonts w:ascii="宋体" w:hAnsi="宋体"/>
          <w:bCs/>
        </w:rPr>
      </w:pPr>
      <w:r>
        <w:rPr>
          <w:rFonts w:hint="eastAsia" w:ascii="宋体" w:hAnsi="宋体"/>
          <w:bCs/>
        </w:rPr>
        <w:t>3）法定代表人(负责人)授权委托书原件和委托代理人身份证扫描件或其他电子文件[</w:t>
      </w:r>
      <w:r>
        <w:rPr>
          <w:rFonts w:hint="eastAsia" w:ascii="宋体" w:hAnsi="宋体"/>
          <w:b/>
        </w:rPr>
        <w:t>委托代理时必须提供</w:t>
      </w:r>
      <w:r>
        <w:rPr>
          <w:rFonts w:hint="eastAsia" w:ascii="宋体" w:hAnsi="宋体"/>
          <w:bCs/>
        </w:rPr>
        <w:t>]；[附件四]；</w:t>
      </w:r>
    </w:p>
    <w:p>
      <w:pPr>
        <w:spacing w:line="440" w:lineRule="exact"/>
        <w:ind w:firstLine="420" w:firstLineChars="200"/>
        <w:rPr>
          <w:rFonts w:ascii="宋体" w:hAnsi="宋体"/>
          <w:bCs/>
        </w:rPr>
      </w:pPr>
      <w:r>
        <w:rPr>
          <w:rFonts w:hint="eastAsia" w:ascii="宋体" w:hAnsi="宋体"/>
          <w:bCs/>
        </w:rPr>
        <w:t>4）法定代表人(负责人)身份证扫描件或其他电子文件；[当法定代表人(负责人)参加磋商时，</w:t>
      </w:r>
      <w:r>
        <w:rPr>
          <w:rFonts w:hint="eastAsia" w:ascii="宋体" w:hAnsi="宋体"/>
          <w:b/>
        </w:rPr>
        <w:t>必须提供</w:t>
      </w:r>
      <w:r>
        <w:rPr>
          <w:rFonts w:hint="eastAsia" w:ascii="宋体" w:hAnsi="宋体"/>
          <w:bCs/>
        </w:rPr>
        <w:t>]</w:t>
      </w:r>
    </w:p>
    <w:p>
      <w:pPr>
        <w:spacing w:line="440" w:lineRule="exact"/>
        <w:ind w:firstLine="420" w:firstLineChars="200"/>
        <w:rPr>
          <w:rFonts w:ascii="宋体" w:hAnsi="宋体"/>
          <w:bCs/>
        </w:rPr>
      </w:pPr>
      <w:r>
        <w:rPr>
          <w:rFonts w:hint="eastAsia" w:ascii="宋体" w:hAnsi="宋体"/>
          <w:bCs/>
        </w:rPr>
        <w:t>5）有效的营业执照等证明文件扫描件或其他电子文件；</w:t>
      </w:r>
    </w:p>
    <w:p>
      <w:pPr>
        <w:spacing w:line="440" w:lineRule="exact"/>
        <w:ind w:firstLine="420" w:firstLineChars="200"/>
        <w:rPr>
          <w:rFonts w:ascii="宋体" w:hAnsi="宋体"/>
          <w:bCs/>
        </w:rPr>
      </w:pPr>
      <w:r>
        <w:rPr>
          <w:rFonts w:hint="eastAsia" w:ascii="宋体" w:hAnsi="宋体"/>
          <w:bCs/>
        </w:rPr>
        <w:t>①供应商有效的“营业执照”等证明文件扫描件或其他电子文件。[</w:t>
      </w:r>
      <w:r>
        <w:rPr>
          <w:rFonts w:hint="eastAsia" w:ascii="宋体" w:hAnsi="宋体"/>
          <w:b/>
        </w:rPr>
        <w:t>必须提供</w:t>
      </w:r>
      <w:r>
        <w:rPr>
          <w:rFonts w:hint="eastAsia" w:ascii="宋体" w:hAnsi="宋体"/>
          <w:bCs/>
        </w:rPr>
        <w:t>]；</w:t>
      </w:r>
    </w:p>
    <w:p>
      <w:pPr>
        <w:spacing w:line="440" w:lineRule="exact"/>
        <w:ind w:firstLine="420" w:firstLineChars="200"/>
        <w:rPr>
          <w:rFonts w:ascii="宋体" w:hAnsi="宋体"/>
          <w:bCs/>
        </w:rPr>
      </w:pPr>
      <w:r>
        <w:rPr>
          <w:rFonts w:hint="eastAsia" w:ascii="宋体" w:hAnsi="宋体"/>
          <w:bCs/>
        </w:rPr>
        <w:t>②对于有经营资质要求的，磋商供应商必须提供有效的经营资质证书副本内页扫描件或其他电子文件，要求清晰反映该磋商供应商本年度经营资质，同时要加盖单位公章。</w:t>
      </w:r>
      <w:r>
        <w:rPr>
          <w:rFonts w:ascii="宋体" w:hAnsi="宋体"/>
          <w:bCs/>
        </w:rPr>
        <w:t>[</w:t>
      </w:r>
      <w:r>
        <w:rPr>
          <w:rFonts w:hint="eastAsia" w:ascii="宋体" w:hAnsi="宋体"/>
          <w:bCs/>
        </w:rPr>
        <w:t>如有，必须提供</w:t>
      </w:r>
      <w:r>
        <w:rPr>
          <w:rFonts w:ascii="宋体" w:hAnsi="宋体"/>
          <w:bCs/>
        </w:rPr>
        <w:t>]</w:t>
      </w:r>
    </w:p>
    <w:p>
      <w:pPr>
        <w:spacing w:line="440" w:lineRule="exact"/>
        <w:ind w:firstLine="420" w:firstLineChars="200"/>
        <w:rPr>
          <w:rFonts w:ascii="宋体" w:hAnsi="宋体"/>
          <w:bCs/>
        </w:rPr>
      </w:pPr>
      <w:r>
        <w:rPr>
          <w:rFonts w:hint="eastAsia" w:ascii="宋体" w:hAnsi="宋体"/>
          <w:bCs/>
        </w:rPr>
        <w:t>6)财务状况报告[格式自拟，</w:t>
      </w:r>
      <w:r>
        <w:rPr>
          <w:rFonts w:hint="eastAsia" w:ascii="宋体" w:hAnsi="宋体"/>
          <w:b/>
        </w:rPr>
        <w:t>必须提供]</w:t>
      </w:r>
      <w:r>
        <w:rPr>
          <w:rFonts w:hint="eastAsia" w:ascii="宋体" w:hAnsi="宋体"/>
          <w:bCs/>
        </w:rPr>
        <w:t>；</w:t>
      </w:r>
    </w:p>
    <w:p>
      <w:pPr>
        <w:spacing w:line="440" w:lineRule="exact"/>
        <w:ind w:firstLine="420" w:firstLineChars="200"/>
        <w:rPr>
          <w:rFonts w:ascii="宋体" w:hAnsi="宋体"/>
          <w:bCs/>
        </w:rPr>
      </w:pPr>
      <w:r>
        <w:rPr>
          <w:rFonts w:hint="eastAsia" w:ascii="宋体" w:hAnsi="宋体"/>
          <w:bCs/>
        </w:rPr>
        <w:t>7）响应文件递交截止之日前半年内供应商任意三个月的依法缴纳税费或依法免缴税费的证明[扫描件或其他电子文件，格式自拟，</w:t>
      </w:r>
      <w:r>
        <w:rPr>
          <w:rFonts w:hint="eastAsia" w:ascii="宋体" w:hAnsi="宋体"/>
          <w:b/>
        </w:rPr>
        <w:t>必须提供</w:t>
      </w:r>
      <w:r>
        <w:rPr>
          <w:rFonts w:hint="eastAsia" w:ascii="宋体" w:hAnsi="宋体"/>
          <w:bCs/>
        </w:rPr>
        <w:t>]；无纳税记录的，应提供由供应商所在地主管国税或地税部门出具的《依法纳税或依法免税证明》[格式自拟，扫描件或其他电子文件]。</w:t>
      </w:r>
    </w:p>
    <w:p>
      <w:pPr>
        <w:spacing w:line="440" w:lineRule="exact"/>
        <w:ind w:firstLine="420" w:firstLineChars="200"/>
        <w:rPr>
          <w:rFonts w:ascii="宋体" w:hAnsi="宋体"/>
        </w:rPr>
      </w:pPr>
      <w:r>
        <w:rPr>
          <w:rFonts w:hint="eastAsia" w:ascii="宋体" w:hAnsi="宋体"/>
          <w:bCs/>
        </w:rPr>
        <w:t>8）响应文件递交截止之日前半年内供应商任意三个月的依法缴纳社保费的缴费凭证（扫描件或其他电子文件，格式自拟）[</w:t>
      </w:r>
      <w:r>
        <w:rPr>
          <w:rFonts w:hint="eastAsia" w:ascii="宋体" w:hAnsi="宋体"/>
          <w:b/>
        </w:rPr>
        <w:t>必须提供</w:t>
      </w:r>
      <w:r>
        <w:rPr>
          <w:rFonts w:hint="eastAsia" w:ascii="宋体" w:hAnsi="宋体"/>
          <w:bCs/>
        </w:rPr>
        <w:t>]；无缴费记录的，应提供由供应商所在地社保部门出具的《依法缴纳或依法免缴社保费证明》[格式自拟，扫描件或其他电子文件]。</w:t>
      </w:r>
    </w:p>
    <w:p>
      <w:pPr>
        <w:snapToGrid w:val="0"/>
        <w:spacing w:line="440" w:lineRule="exact"/>
        <w:ind w:firstLine="411" w:firstLineChars="196"/>
        <w:jc w:val="left"/>
        <w:rPr>
          <w:rFonts w:ascii="宋体" w:hAnsi="宋体"/>
          <w:kern w:val="0"/>
        </w:rPr>
      </w:pPr>
      <w:r>
        <w:rPr>
          <w:rFonts w:hint="eastAsia" w:ascii="宋体" w:hAnsi="宋体"/>
          <w:kern w:val="0"/>
        </w:rPr>
        <w:t>9）</w:t>
      </w:r>
      <w:r>
        <w:rPr>
          <w:rFonts w:hint="eastAsia" w:ascii="宋体" w:hAnsi="宋体"/>
        </w:rPr>
        <w:t>具备履行合同所必需的设备和专业技术能力的证明材料</w:t>
      </w:r>
      <w:r>
        <w:rPr>
          <w:rFonts w:hint="eastAsia" w:ascii="宋体" w:hAnsi="宋体"/>
          <w:kern w:val="0"/>
        </w:rPr>
        <w:t>；</w:t>
      </w:r>
      <w:r>
        <w:rPr>
          <w:rFonts w:hint="eastAsia" w:ascii="宋体" w:hAnsi="宋体"/>
        </w:rPr>
        <w:t>[格式自拟，</w:t>
      </w:r>
      <w:r>
        <w:rPr>
          <w:rFonts w:hint="eastAsia" w:ascii="宋体" w:hAnsi="宋体"/>
          <w:b/>
          <w:bCs/>
        </w:rPr>
        <w:t>必须提供</w:t>
      </w:r>
      <w:r>
        <w:rPr>
          <w:rFonts w:hint="eastAsia" w:ascii="宋体" w:hAnsi="宋体"/>
        </w:rPr>
        <w:t>]</w:t>
      </w:r>
    </w:p>
    <w:p>
      <w:pPr>
        <w:snapToGrid w:val="0"/>
        <w:spacing w:line="440" w:lineRule="exact"/>
        <w:ind w:firstLine="424" w:firstLineChars="202"/>
        <w:jc w:val="left"/>
        <w:rPr>
          <w:rFonts w:ascii="宋体" w:hAnsi="宋体"/>
          <w:kern w:val="0"/>
        </w:rPr>
      </w:pPr>
      <w:r>
        <w:rPr>
          <w:rFonts w:hint="eastAsia" w:ascii="宋体" w:hAnsi="宋体"/>
        </w:rPr>
        <w:t>10）</w:t>
      </w:r>
      <w:r>
        <w:rPr>
          <w:rFonts w:hint="eastAsia" w:ascii="宋体" w:hAnsi="宋体"/>
          <w:kern w:val="0"/>
        </w:rPr>
        <w:t>参加政府采购活动前三年内在经营活动中没有重大违法记录的书面声明；（附件五）【格式自拟，</w:t>
      </w:r>
      <w:r>
        <w:rPr>
          <w:rFonts w:hint="eastAsia" w:ascii="宋体" w:hAnsi="宋体"/>
          <w:b/>
          <w:bCs/>
          <w:kern w:val="0"/>
        </w:rPr>
        <w:t>必须提供</w:t>
      </w:r>
      <w:r>
        <w:rPr>
          <w:rFonts w:hint="eastAsia" w:ascii="宋体" w:hAnsi="宋体"/>
          <w:kern w:val="0"/>
        </w:rPr>
        <w:t>】</w:t>
      </w:r>
    </w:p>
    <w:p>
      <w:pPr>
        <w:spacing w:line="440" w:lineRule="exact"/>
        <w:ind w:firstLine="420" w:firstLineChars="200"/>
        <w:rPr>
          <w:rFonts w:ascii="宋体" w:hAnsi="宋体"/>
          <w:kern w:val="0"/>
        </w:rPr>
      </w:pPr>
      <w:r>
        <w:rPr>
          <w:rFonts w:hint="eastAsia" w:ascii="宋体" w:hAnsi="宋体"/>
          <w:kern w:val="0"/>
        </w:rPr>
        <w:t xml:space="preserve">（供应商可在“信用中国”网站（www.creditchina.gov.cn）、中国政府采购网（www.ccgp.gov.cn）查询相关供应商主体信用记录。 </w:t>
      </w:r>
    </w:p>
    <w:p>
      <w:pPr>
        <w:spacing w:line="440" w:lineRule="exact"/>
        <w:ind w:firstLine="420" w:firstLineChars="200"/>
        <w:rPr>
          <w:rFonts w:ascii="宋体" w:hAnsi="宋体"/>
          <w:kern w:val="0"/>
        </w:rPr>
      </w:pPr>
      <w:r>
        <w:rPr>
          <w:rFonts w:hint="eastAsia" w:ascii="宋体" w:hAnsi="宋体"/>
          <w:kern w:val="0"/>
        </w:rPr>
        <w:t>“信用中国”网站查询方法：供应商在本项目磋商截止时间前10日内,进入供应商基本信息页面，点击“下载信用报告”后点击“下载”。</w:t>
      </w:r>
    </w:p>
    <w:p>
      <w:pPr>
        <w:spacing w:line="440" w:lineRule="exact"/>
        <w:ind w:firstLine="420" w:firstLineChars="200"/>
        <w:rPr>
          <w:rFonts w:ascii="宋体" w:hAnsi="宋体"/>
          <w:kern w:val="0"/>
        </w:rPr>
      </w:pPr>
      <w:r>
        <w:rPr>
          <w:rFonts w:hint="eastAsia" w:ascii="宋体" w:hAnsi="宋体"/>
          <w:kern w:val="0"/>
        </w:rPr>
        <w:t>“中国政府采购网”的查询方法：点击“政府采购严重违法失信行为记录名单”进行查询。查询截止时间为本项目竞标截止时间前10日至竞标截止时间中任意一天。</w:t>
      </w:r>
    </w:p>
    <w:p>
      <w:pPr>
        <w:spacing w:line="440" w:lineRule="exact"/>
        <w:ind w:firstLine="420" w:firstLineChars="200"/>
        <w:rPr>
          <w:rFonts w:ascii="宋体" w:hAnsi="宋体"/>
          <w:kern w:val="0"/>
        </w:rPr>
      </w:pPr>
      <w:r>
        <w:rPr>
          <w:rFonts w:hint="eastAsia" w:ascii="宋体" w:hAnsi="宋体"/>
          <w:kern w:val="0"/>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pacing w:line="440" w:lineRule="exact"/>
        <w:ind w:firstLine="420" w:firstLineChars="200"/>
        <w:rPr>
          <w:rFonts w:ascii="宋体" w:hAnsi="宋体"/>
        </w:rPr>
      </w:pPr>
      <w:r>
        <w:rPr>
          <w:rFonts w:hint="eastAsia" w:ascii="宋体" w:hAnsi="宋体"/>
        </w:rPr>
        <w:t>11）服务承诺书（内容可以是提供的切实可行的服务和承诺）</w:t>
      </w:r>
      <w:r>
        <w:rPr>
          <w:rFonts w:hint="eastAsia" w:ascii="宋体" w:hAnsi="宋体"/>
          <w:b/>
          <w:bCs/>
        </w:rPr>
        <w:t>[格式自拟，必须提供]</w:t>
      </w:r>
      <w:r>
        <w:rPr>
          <w:rFonts w:hint="eastAsia" w:ascii="宋体" w:hAnsi="宋体"/>
        </w:rPr>
        <w:t>；</w:t>
      </w:r>
    </w:p>
    <w:p>
      <w:pPr>
        <w:spacing w:line="440" w:lineRule="exact"/>
        <w:ind w:firstLine="420" w:firstLineChars="200"/>
        <w:rPr>
          <w:rFonts w:ascii="宋体" w:hAnsi="宋体"/>
        </w:rPr>
      </w:pPr>
      <w:r>
        <w:rPr>
          <w:rFonts w:hint="eastAsia" w:ascii="宋体" w:hAnsi="宋体"/>
        </w:rPr>
        <w:t>12）服务检验、测试、验收执行的标准；</w:t>
      </w:r>
    </w:p>
    <w:p>
      <w:pPr>
        <w:spacing w:line="440" w:lineRule="exact"/>
        <w:ind w:firstLine="420" w:firstLineChars="200"/>
        <w:rPr>
          <w:rFonts w:ascii="宋体" w:hAnsi="宋体"/>
        </w:rPr>
      </w:pPr>
      <w:r>
        <w:rPr>
          <w:rFonts w:hint="eastAsia" w:ascii="宋体" w:hAnsi="宋体"/>
        </w:rPr>
        <w:t xml:space="preserve">13）服务获奖证书； </w:t>
      </w:r>
    </w:p>
    <w:p>
      <w:pPr>
        <w:spacing w:line="440" w:lineRule="exact"/>
        <w:ind w:firstLine="420" w:firstLineChars="200"/>
        <w:rPr>
          <w:rFonts w:ascii="宋体" w:hAnsi="宋体"/>
        </w:rPr>
      </w:pPr>
      <w:r>
        <w:rPr>
          <w:rFonts w:hint="eastAsia" w:ascii="宋体" w:hAnsi="宋体"/>
        </w:rPr>
        <w:t>14）服务保证措施；</w:t>
      </w:r>
    </w:p>
    <w:p>
      <w:pPr>
        <w:spacing w:line="440" w:lineRule="exact"/>
        <w:ind w:firstLine="420" w:firstLineChars="200"/>
        <w:rPr>
          <w:rFonts w:ascii="宋体" w:hAnsi="宋体"/>
        </w:rPr>
      </w:pPr>
      <w:r>
        <w:rPr>
          <w:rFonts w:hint="eastAsia" w:ascii="宋体" w:hAnsi="宋体"/>
        </w:rPr>
        <w:t>15）供应商认为需要提供的有关资料。</w:t>
      </w:r>
    </w:p>
    <w:p>
      <w:pPr>
        <w:spacing w:line="440" w:lineRule="exact"/>
        <w:ind w:firstLine="420" w:firstLineChars="200"/>
        <w:rPr>
          <w:rFonts w:ascii="宋体" w:hAnsi="宋体"/>
        </w:rPr>
      </w:pPr>
      <w:r>
        <w:rPr>
          <w:rFonts w:hint="eastAsia" w:ascii="宋体" w:hAnsi="宋体"/>
        </w:rPr>
        <w:t>16）中小企业声明函/监狱企业证明/残疾人福利性单位声明函（附件六）</w:t>
      </w:r>
      <w:r>
        <w:rPr>
          <w:rFonts w:hint="eastAsia" w:ascii="宋体" w:hAnsi="宋体"/>
          <w:b/>
        </w:rPr>
        <w:t>[如有，请</w:t>
      </w:r>
      <w:r>
        <w:rPr>
          <w:rFonts w:hint="eastAsia" w:ascii="宋体" w:hAnsi="宋体"/>
          <w:b/>
          <w:bCs/>
        </w:rPr>
        <w:t>提供</w:t>
      </w:r>
      <w:r>
        <w:rPr>
          <w:rFonts w:hint="eastAsia" w:ascii="宋体" w:hAnsi="宋体"/>
          <w:b/>
        </w:rPr>
        <w:t>]</w:t>
      </w:r>
      <w:r>
        <w:rPr>
          <w:rFonts w:hint="eastAsia" w:ascii="宋体" w:hAnsi="宋体"/>
        </w:rPr>
        <w:t>。</w:t>
      </w:r>
    </w:p>
    <w:p>
      <w:pPr>
        <w:spacing w:line="440" w:lineRule="exact"/>
        <w:ind w:firstLine="420" w:firstLineChars="200"/>
        <w:rPr>
          <w:rFonts w:ascii="宋体" w:hAnsi="宋体"/>
        </w:rPr>
      </w:pPr>
      <w:r>
        <w:rPr>
          <w:rFonts w:hint="eastAsia" w:ascii="宋体" w:hAnsi="宋体"/>
        </w:rPr>
        <w:t>6. 计量单位</w:t>
      </w:r>
    </w:p>
    <w:p>
      <w:pPr>
        <w:spacing w:line="440" w:lineRule="exact"/>
        <w:ind w:firstLine="420" w:firstLineChars="200"/>
        <w:rPr>
          <w:rFonts w:ascii="宋体" w:hAnsi="宋体"/>
        </w:rPr>
      </w:pPr>
      <w:r>
        <w:rPr>
          <w:rFonts w:hint="eastAsia" w:ascii="宋体" w:hAnsi="宋体"/>
        </w:rPr>
        <w:t>6.1除技术要求中另有规定外，本文件所要求使用的计量单位均应采用国家法定计量单位。</w:t>
      </w:r>
    </w:p>
    <w:p>
      <w:pPr>
        <w:spacing w:line="440" w:lineRule="exact"/>
        <w:ind w:firstLine="421" w:firstLineChars="200"/>
        <w:rPr>
          <w:rFonts w:ascii="宋体" w:hAnsi="宋体"/>
          <w:b/>
          <w:bCs/>
        </w:rPr>
      </w:pPr>
      <w:r>
        <w:rPr>
          <w:rFonts w:hint="eastAsia" w:ascii="宋体" w:hAnsi="宋体"/>
          <w:b/>
          <w:bCs/>
        </w:rPr>
        <w:t>三、报价要求</w:t>
      </w:r>
    </w:p>
    <w:p>
      <w:pPr>
        <w:spacing w:line="440" w:lineRule="exact"/>
        <w:ind w:firstLine="420" w:firstLineChars="200"/>
        <w:rPr>
          <w:rFonts w:ascii="宋体" w:hAnsi="宋体"/>
        </w:rPr>
      </w:pPr>
      <w:r>
        <w:rPr>
          <w:rFonts w:hint="eastAsia" w:ascii="宋体" w:hAnsi="宋体"/>
        </w:rPr>
        <w:t>7.1对于本文件中未列明，而供应商认为必需的费用也需列入总报价。在合同实施时，采购人将不予支付成交供应商没有列入的项目费用，并认为此项目的费用已包括在总报价中。</w:t>
      </w:r>
    </w:p>
    <w:p>
      <w:pPr>
        <w:spacing w:line="440" w:lineRule="exact"/>
        <w:ind w:firstLine="420" w:firstLineChars="200"/>
        <w:rPr>
          <w:rFonts w:ascii="宋体" w:hAnsi="宋体"/>
        </w:rPr>
      </w:pPr>
      <w:r>
        <w:rPr>
          <w:rFonts w:hint="eastAsia" w:ascii="宋体" w:hAnsi="宋体"/>
        </w:rPr>
        <w:t>7.2成交供应商负责本项目所需服务的全部工作。</w:t>
      </w:r>
    </w:p>
    <w:p>
      <w:pPr>
        <w:pStyle w:val="19"/>
        <w:spacing w:line="440" w:lineRule="exact"/>
        <w:ind w:firstLine="420"/>
        <w:rPr>
          <w:rFonts w:hAnsi="宋体"/>
        </w:rPr>
      </w:pPr>
      <w:r>
        <w:rPr>
          <w:rFonts w:hint="eastAsia" w:hAnsi="宋体"/>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pPr>
        <w:spacing w:line="440" w:lineRule="exact"/>
        <w:ind w:firstLine="420" w:firstLineChars="200"/>
        <w:rPr>
          <w:rFonts w:ascii="宋体" w:hAnsi="宋体"/>
        </w:rPr>
      </w:pPr>
      <w:r>
        <w:rPr>
          <w:rFonts w:hint="eastAsia" w:ascii="宋体" w:hAnsi="宋体"/>
        </w:rPr>
        <w:t>7.4报价：供应商就《采购需求》中的服务内容作完整唯一报价。</w:t>
      </w:r>
    </w:p>
    <w:p>
      <w:pPr>
        <w:widowControl/>
        <w:spacing w:line="440" w:lineRule="exact"/>
        <w:ind w:firstLine="421" w:firstLineChars="200"/>
        <w:jc w:val="left"/>
        <w:rPr>
          <w:rFonts w:ascii="宋体" w:hAnsi="宋体"/>
          <w:b/>
          <w:bCs/>
        </w:rPr>
      </w:pPr>
      <w:r>
        <w:rPr>
          <w:rFonts w:hint="eastAsia" w:ascii="宋体" w:hAnsi="宋体"/>
          <w:b/>
          <w:bCs/>
        </w:rPr>
        <w:t>四、竞争性磋商响应文件的上传、提交、修改、撤回和解密</w:t>
      </w:r>
    </w:p>
    <w:p>
      <w:pPr>
        <w:widowControl/>
        <w:spacing w:line="440" w:lineRule="exact"/>
        <w:ind w:firstLine="420" w:firstLineChars="200"/>
        <w:jc w:val="left"/>
        <w:rPr>
          <w:rFonts w:ascii="宋体" w:hAnsi="宋体"/>
          <w:bCs/>
        </w:rPr>
      </w:pPr>
      <w:r>
        <w:rPr>
          <w:rFonts w:hint="eastAsia" w:ascii="宋体" w:hAnsi="宋体"/>
          <w:bCs/>
        </w:rPr>
        <w:t>8. 竞争性磋商响应文件的上传和提交</w:t>
      </w:r>
    </w:p>
    <w:p>
      <w:pPr>
        <w:widowControl/>
        <w:spacing w:line="440" w:lineRule="exact"/>
        <w:ind w:firstLine="420" w:firstLineChars="200"/>
        <w:jc w:val="left"/>
        <w:rPr>
          <w:rFonts w:ascii="宋体" w:hAnsi="宋体"/>
          <w:bCs/>
        </w:rPr>
      </w:pPr>
      <w:r>
        <w:rPr>
          <w:rFonts w:hint="eastAsia" w:ascii="宋体" w:hAnsi="宋体"/>
          <w:bCs/>
        </w:rPr>
        <w:t>见须知前附表。</w:t>
      </w:r>
    </w:p>
    <w:p>
      <w:pPr>
        <w:widowControl/>
        <w:spacing w:line="440" w:lineRule="exact"/>
        <w:ind w:firstLine="420" w:firstLineChars="200"/>
        <w:jc w:val="left"/>
        <w:rPr>
          <w:rFonts w:ascii="宋体" w:hAnsi="宋体"/>
          <w:bCs/>
        </w:rPr>
      </w:pPr>
      <w:r>
        <w:rPr>
          <w:rFonts w:hint="eastAsia" w:ascii="宋体" w:hAnsi="宋体"/>
          <w:bCs/>
        </w:rPr>
        <w:t>9. 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pPr>
        <w:widowControl/>
        <w:spacing w:line="440" w:lineRule="exact"/>
        <w:ind w:firstLine="420" w:firstLineChars="200"/>
        <w:jc w:val="left"/>
        <w:rPr>
          <w:rFonts w:ascii="宋体" w:hAnsi="宋体"/>
          <w:bCs/>
        </w:rPr>
      </w:pPr>
      <w:r>
        <w:rPr>
          <w:rFonts w:hint="eastAsia" w:ascii="宋体" w:hAnsi="宋体"/>
          <w:bCs/>
        </w:rPr>
        <w:t>电子加密响应文件的解密：见须知前附表。</w:t>
      </w:r>
    </w:p>
    <w:p>
      <w:pPr>
        <w:widowControl/>
        <w:spacing w:line="440" w:lineRule="exact"/>
        <w:ind w:firstLine="420" w:firstLineChars="200"/>
        <w:jc w:val="left"/>
        <w:rPr>
          <w:rFonts w:ascii="宋体" w:hAnsi="宋体"/>
          <w:bCs/>
        </w:rPr>
      </w:pPr>
      <w:r>
        <w:rPr>
          <w:rFonts w:hint="eastAsia" w:ascii="宋体" w:hAnsi="宋体"/>
          <w:bCs/>
        </w:rPr>
        <w:t>10.保证金说明及要求</w:t>
      </w:r>
    </w:p>
    <w:p>
      <w:pPr>
        <w:widowControl/>
        <w:spacing w:line="440" w:lineRule="exact"/>
        <w:ind w:firstLine="420" w:firstLineChars="200"/>
        <w:jc w:val="left"/>
        <w:rPr>
          <w:rFonts w:ascii="宋体" w:hAnsi="宋体"/>
          <w:bCs/>
        </w:rPr>
      </w:pPr>
      <w:r>
        <w:rPr>
          <w:rFonts w:hint="eastAsia" w:ascii="宋体" w:hAnsi="宋体"/>
          <w:bCs/>
        </w:rPr>
        <w:t>10.1保证金应用人民币：具体金额详见采购公告。</w:t>
      </w:r>
    </w:p>
    <w:p>
      <w:pPr>
        <w:widowControl/>
        <w:spacing w:line="440" w:lineRule="exact"/>
        <w:ind w:firstLine="420" w:firstLineChars="200"/>
        <w:jc w:val="left"/>
        <w:rPr>
          <w:rFonts w:ascii="宋体" w:hAnsi="宋体"/>
          <w:bCs/>
        </w:rPr>
      </w:pPr>
      <w:r>
        <w:rPr>
          <w:rFonts w:hint="eastAsia" w:ascii="宋体" w:hAnsi="宋体"/>
          <w:bCs/>
        </w:rPr>
        <w:t>10.2 保证金交纳方式：支票、汇票、本票或者金融机构、担保机构出具的保函等非现金形式交纳。</w:t>
      </w:r>
    </w:p>
    <w:p>
      <w:pPr>
        <w:widowControl/>
        <w:spacing w:line="440" w:lineRule="exact"/>
        <w:ind w:firstLine="420" w:firstLineChars="200"/>
        <w:jc w:val="left"/>
        <w:rPr>
          <w:rFonts w:ascii="宋体" w:hAnsi="宋体"/>
          <w:bCs/>
        </w:rPr>
      </w:pPr>
      <w:r>
        <w:rPr>
          <w:rFonts w:hint="eastAsia" w:ascii="宋体" w:hAnsi="宋体"/>
          <w:bCs/>
        </w:rPr>
        <w:t>10.3办理保证金手续时，请务必在银行相关票据（非现金）或凭证的用途或空白栏上注明项目名称及项目编号，以免耽误竞争性磋商。</w:t>
      </w:r>
    </w:p>
    <w:p>
      <w:pPr>
        <w:widowControl/>
        <w:spacing w:line="440" w:lineRule="exact"/>
        <w:ind w:firstLine="420" w:firstLineChars="200"/>
        <w:jc w:val="left"/>
        <w:rPr>
          <w:rFonts w:ascii="宋体" w:hAnsi="宋体"/>
          <w:bCs/>
        </w:rPr>
      </w:pPr>
      <w:r>
        <w:rPr>
          <w:rFonts w:hint="eastAsia" w:ascii="宋体" w:hAnsi="宋体"/>
          <w:bCs/>
        </w:rPr>
        <w:t>10.4保证金相关事宜：电话：0771-8600309，地址：南宁市星湖路22号。</w:t>
      </w:r>
    </w:p>
    <w:p>
      <w:pPr>
        <w:widowControl/>
        <w:spacing w:line="440" w:lineRule="exact"/>
        <w:ind w:firstLine="420" w:firstLineChars="200"/>
        <w:jc w:val="left"/>
        <w:rPr>
          <w:rFonts w:ascii="宋体" w:hAnsi="宋体"/>
          <w:bCs/>
        </w:rPr>
      </w:pPr>
      <w:r>
        <w:rPr>
          <w:rFonts w:hint="eastAsia" w:ascii="宋体" w:hAnsi="宋体"/>
          <w:bCs/>
        </w:rPr>
        <w:t>10.5未成交供应商的保证金，将在成交通知书发出后4个工作日内予以退还，不计利息。</w:t>
      </w:r>
    </w:p>
    <w:p>
      <w:pPr>
        <w:widowControl/>
        <w:spacing w:line="440" w:lineRule="exact"/>
        <w:ind w:firstLine="420" w:firstLineChars="200"/>
        <w:jc w:val="left"/>
        <w:rPr>
          <w:rFonts w:ascii="宋体" w:hAnsi="宋体"/>
          <w:bCs/>
        </w:rPr>
      </w:pPr>
      <w:r>
        <w:rPr>
          <w:rFonts w:hint="eastAsia" w:ascii="宋体" w:hAnsi="宋体"/>
          <w:bCs/>
        </w:rPr>
        <w:t>成交人的保证金在合同签订后4个工作日内退还（合同签订后送达本中心），不计利息。</w:t>
      </w:r>
    </w:p>
    <w:p>
      <w:pPr>
        <w:widowControl/>
        <w:spacing w:line="440" w:lineRule="exact"/>
        <w:ind w:firstLine="420" w:firstLineChars="200"/>
        <w:jc w:val="left"/>
        <w:rPr>
          <w:rFonts w:ascii="宋体" w:hAnsi="宋体"/>
        </w:rPr>
      </w:pPr>
      <w:r>
        <w:rPr>
          <w:rFonts w:hint="eastAsia" w:ascii="宋体" w:hAnsi="宋体"/>
          <w:bCs/>
        </w:rPr>
        <w:t>10.6对应交未交保证金的竞争性磋商响应文件，将会在评审中按照无效竞争性磋商响应文件处理。</w:t>
      </w:r>
    </w:p>
    <w:p>
      <w:pPr>
        <w:snapToGrid w:val="0"/>
        <w:spacing w:line="440" w:lineRule="exact"/>
        <w:ind w:firstLine="413" w:firstLineChars="196"/>
        <w:jc w:val="left"/>
        <w:rPr>
          <w:rFonts w:ascii="宋体" w:hAnsi="宋体"/>
          <w:b/>
          <w:bCs/>
        </w:rPr>
      </w:pPr>
      <w:r>
        <w:rPr>
          <w:rFonts w:hint="eastAsia" w:ascii="宋体" w:hAnsi="宋体"/>
          <w:b/>
          <w:bCs/>
        </w:rPr>
        <w:t>（说明：评审时，磋商小组将以本中心财务室编制的《竞争性磋商文件报名登记名单及保证金收缴情况表》作为评审依据）。</w:t>
      </w:r>
    </w:p>
    <w:p>
      <w:pPr>
        <w:snapToGrid w:val="0"/>
        <w:spacing w:line="440" w:lineRule="exact"/>
        <w:ind w:firstLine="413" w:firstLineChars="196"/>
        <w:jc w:val="left"/>
        <w:rPr>
          <w:rFonts w:ascii="宋体" w:hAnsi="宋体"/>
          <w:b/>
          <w:bCs/>
        </w:rPr>
      </w:pPr>
      <w:r>
        <w:rPr>
          <w:rFonts w:hint="eastAsia" w:ascii="宋体" w:hAnsi="宋体"/>
          <w:b/>
          <w:bCs/>
        </w:rPr>
        <w:t>10.7供应商有下列情形之一的，保证金将不予退还：</w:t>
      </w:r>
    </w:p>
    <w:p>
      <w:pPr>
        <w:snapToGrid w:val="0"/>
        <w:spacing w:line="440" w:lineRule="exact"/>
        <w:ind w:firstLine="411" w:firstLineChars="196"/>
        <w:jc w:val="left"/>
        <w:rPr>
          <w:rFonts w:ascii="宋体" w:hAnsi="宋体"/>
        </w:rPr>
      </w:pPr>
      <w:r>
        <w:rPr>
          <w:rFonts w:hint="eastAsia" w:ascii="宋体" w:hAnsi="宋体"/>
        </w:rPr>
        <w:t>（1）供应商在竞争性磋商有效期内撤回竞争性磋商响应文件的；</w:t>
      </w:r>
    </w:p>
    <w:p>
      <w:pPr>
        <w:snapToGrid w:val="0"/>
        <w:spacing w:line="440" w:lineRule="exact"/>
        <w:ind w:firstLine="411" w:firstLineChars="196"/>
        <w:jc w:val="left"/>
        <w:rPr>
          <w:rFonts w:ascii="宋体" w:hAnsi="宋体"/>
        </w:rPr>
      </w:pPr>
      <w:r>
        <w:rPr>
          <w:rFonts w:hint="eastAsia" w:ascii="宋体" w:hAnsi="宋体"/>
        </w:rPr>
        <w:t>（2）供应商在竞争性磋商响应文件中提供虚假材料的；</w:t>
      </w:r>
    </w:p>
    <w:p>
      <w:pPr>
        <w:snapToGrid w:val="0"/>
        <w:spacing w:line="440" w:lineRule="exact"/>
        <w:ind w:firstLine="411" w:firstLineChars="196"/>
        <w:jc w:val="left"/>
        <w:rPr>
          <w:rFonts w:ascii="宋体" w:hAnsi="宋体"/>
        </w:rPr>
      </w:pPr>
      <w:r>
        <w:rPr>
          <w:rFonts w:hint="eastAsia" w:ascii="宋体" w:hAnsi="宋体"/>
        </w:rPr>
        <w:t>（3）除因不可抗力或竞争性磋商文件认可的情形以外，成交供应商不与采购人签订合同的；</w:t>
      </w:r>
    </w:p>
    <w:p>
      <w:pPr>
        <w:snapToGrid w:val="0"/>
        <w:spacing w:line="440" w:lineRule="exact"/>
        <w:ind w:firstLine="411" w:firstLineChars="196"/>
        <w:jc w:val="left"/>
        <w:rPr>
          <w:rFonts w:ascii="宋体" w:hAnsi="宋体"/>
        </w:rPr>
      </w:pPr>
      <w:r>
        <w:rPr>
          <w:rFonts w:hint="eastAsia" w:ascii="宋体" w:hAnsi="宋体"/>
        </w:rPr>
        <w:t>（4）供应商与采购人、其他供应商或者采购代理机构恶意串通的；</w:t>
      </w:r>
    </w:p>
    <w:p>
      <w:pPr>
        <w:snapToGrid w:val="0"/>
        <w:spacing w:line="440" w:lineRule="exact"/>
        <w:ind w:firstLine="411" w:firstLineChars="196"/>
        <w:jc w:val="left"/>
        <w:rPr>
          <w:rFonts w:ascii="宋体" w:hAnsi="宋体"/>
        </w:rPr>
      </w:pPr>
      <w:r>
        <w:rPr>
          <w:rFonts w:hint="eastAsia" w:ascii="宋体" w:hAnsi="宋体"/>
        </w:rPr>
        <w:t>（5） 磋商文件规定的其他情形。</w:t>
      </w:r>
    </w:p>
    <w:p>
      <w:pPr>
        <w:snapToGrid w:val="0"/>
        <w:spacing w:line="440" w:lineRule="exact"/>
        <w:ind w:firstLine="411" w:firstLineChars="196"/>
        <w:jc w:val="left"/>
        <w:rPr>
          <w:rFonts w:ascii="宋体" w:hAnsi="宋体"/>
        </w:rPr>
      </w:pPr>
      <w:r>
        <w:rPr>
          <w:rFonts w:hint="eastAsia" w:ascii="宋体" w:hAnsi="宋体"/>
        </w:rPr>
        <w:t>注：供应商已经被推荐为第一成交候选供应商后撤回竞争性磋商响应文件或拒绝签订政府采购合同的，其保证金将不予退还，并上缴国库，给采购人造成其损失的，还应当赔偿损失，并作为不良行为记录在案。</w:t>
      </w:r>
    </w:p>
    <w:p>
      <w:pPr>
        <w:spacing w:line="440" w:lineRule="exact"/>
        <w:ind w:firstLine="421" w:firstLineChars="200"/>
        <w:rPr>
          <w:rFonts w:ascii="宋体" w:hAnsi="宋体"/>
          <w:b/>
          <w:bCs/>
        </w:rPr>
      </w:pPr>
      <w:r>
        <w:rPr>
          <w:rFonts w:hint="eastAsia" w:ascii="宋体" w:hAnsi="宋体"/>
          <w:b/>
          <w:bCs/>
        </w:rPr>
        <w:t>五</w:t>
      </w:r>
      <w:r>
        <w:rPr>
          <w:rFonts w:hint="eastAsia" w:ascii="宋体" w:hAnsi="宋体"/>
        </w:rPr>
        <w:t>、</w:t>
      </w:r>
      <w:r>
        <w:rPr>
          <w:rFonts w:hint="eastAsia" w:ascii="宋体" w:hAnsi="宋体"/>
          <w:b/>
          <w:bCs/>
        </w:rPr>
        <w:t>磋商程序及评审方法</w:t>
      </w:r>
    </w:p>
    <w:p>
      <w:pPr>
        <w:widowControl/>
        <w:spacing w:line="400" w:lineRule="exact"/>
        <w:ind w:firstLine="420" w:firstLineChars="200"/>
        <w:jc w:val="left"/>
        <w:rPr>
          <w:rFonts w:ascii="宋体" w:hAnsi="宋体"/>
          <w:kern w:val="0"/>
        </w:rPr>
      </w:pPr>
      <w:r>
        <w:rPr>
          <w:rFonts w:hint="eastAsia" w:ascii="宋体" w:hAnsi="宋体"/>
          <w:kern w:val="0"/>
        </w:rPr>
        <w:t>1、未实质性响应竞争性磋商文件的竞争性磋商响应文件按无效处理。</w:t>
      </w:r>
    </w:p>
    <w:p>
      <w:pPr>
        <w:widowControl/>
        <w:spacing w:line="400" w:lineRule="exact"/>
        <w:ind w:firstLine="420" w:firstLineChars="200"/>
        <w:jc w:val="left"/>
        <w:rPr>
          <w:rFonts w:ascii="宋体" w:hAnsi="宋体"/>
          <w:kern w:val="0"/>
        </w:rPr>
      </w:pPr>
      <w:r>
        <w:rPr>
          <w:rFonts w:hint="eastAsia" w:ascii="宋体" w:hAnsi="宋体"/>
          <w:kern w:val="0"/>
        </w:rPr>
        <w:t>2、有下列情形之一的视为供应商相互串通参与磋商活动，竞争性磋商响应文件将被视为无效：</w:t>
      </w:r>
    </w:p>
    <w:p>
      <w:pPr>
        <w:widowControl/>
        <w:spacing w:line="400" w:lineRule="exact"/>
        <w:ind w:firstLine="420" w:firstLineChars="200"/>
        <w:jc w:val="left"/>
        <w:rPr>
          <w:rFonts w:ascii="宋体" w:hAnsi="宋体"/>
          <w:kern w:val="0"/>
        </w:rPr>
      </w:pPr>
      <w:r>
        <w:rPr>
          <w:rFonts w:hint="eastAsia" w:ascii="宋体" w:hAnsi="宋体"/>
          <w:kern w:val="0"/>
        </w:rPr>
        <w:t>（1）不同供应商的竞争性磋商响应文件由同一单位或者个人编制；或不同供应商报名的IP地址一致的；</w:t>
      </w:r>
    </w:p>
    <w:p>
      <w:pPr>
        <w:widowControl/>
        <w:spacing w:line="400" w:lineRule="exact"/>
        <w:ind w:firstLine="420" w:firstLineChars="200"/>
        <w:jc w:val="left"/>
        <w:rPr>
          <w:rFonts w:ascii="宋体" w:hAnsi="宋体"/>
          <w:kern w:val="0"/>
        </w:rPr>
      </w:pPr>
      <w:r>
        <w:rPr>
          <w:rFonts w:hint="eastAsia" w:ascii="宋体" w:hAnsi="宋体"/>
          <w:kern w:val="0"/>
        </w:rPr>
        <w:t>（2）不同供应商委托同一单位或者个人办理磋商活动事宜；</w:t>
      </w:r>
    </w:p>
    <w:p>
      <w:pPr>
        <w:widowControl/>
        <w:spacing w:line="400" w:lineRule="exact"/>
        <w:ind w:firstLine="420" w:firstLineChars="200"/>
        <w:jc w:val="left"/>
        <w:rPr>
          <w:rFonts w:ascii="宋体" w:hAnsi="宋体"/>
          <w:kern w:val="0"/>
        </w:rPr>
      </w:pPr>
      <w:r>
        <w:rPr>
          <w:rFonts w:hint="eastAsia" w:ascii="宋体" w:hAnsi="宋体"/>
          <w:kern w:val="0"/>
        </w:rPr>
        <w:t>（3）不同的供应商的竞争性磋商响应文件载明的项目管理员为同一个人；</w:t>
      </w:r>
    </w:p>
    <w:p>
      <w:pPr>
        <w:widowControl/>
        <w:spacing w:line="400" w:lineRule="exact"/>
        <w:ind w:firstLine="420" w:firstLineChars="200"/>
        <w:jc w:val="left"/>
        <w:rPr>
          <w:rFonts w:ascii="宋体" w:hAnsi="宋体"/>
          <w:kern w:val="0"/>
        </w:rPr>
      </w:pPr>
      <w:r>
        <w:rPr>
          <w:rFonts w:hint="eastAsia" w:ascii="宋体" w:hAnsi="宋体"/>
          <w:kern w:val="0"/>
        </w:rPr>
        <w:t>（4）不同供应商的竞争性磋商响应文件异常一致或磋商报价呈规律性差异；</w:t>
      </w:r>
    </w:p>
    <w:p>
      <w:pPr>
        <w:widowControl/>
        <w:spacing w:line="400" w:lineRule="exact"/>
        <w:ind w:firstLine="420" w:firstLineChars="200"/>
        <w:jc w:val="left"/>
        <w:rPr>
          <w:rFonts w:ascii="宋体" w:hAnsi="宋体"/>
          <w:kern w:val="0"/>
        </w:rPr>
      </w:pPr>
      <w:r>
        <w:rPr>
          <w:rFonts w:hint="eastAsia" w:ascii="宋体" w:hAnsi="宋体"/>
          <w:kern w:val="0"/>
        </w:rPr>
        <w:t>（5）不同供应商的竞争性磋商响应文件相互混装；</w:t>
      </w:r>
    </w:p>
    <w:p>
      <w:pPr>
        <w:widowControl/>
        <w:spacing w:line="400" w:lineRule="exact"/>
        <w:ind w:firstLine="420" w:firstLineChars="200"/>
        <w:jc w:val="left"/>
        <w:rPr>
          <w:rFonts w:ascii="宋体" w:hAnsi="宋体"/>
          <w:kern w:val="0"/>
        </w:rPr>
      </w:pPr>
      <w:r>
        <w:rPr>
          <w:rFonts w:hint="eastAsia" w:ascii="宋体" w:hAnsi="宋体"/>
          <w:kern w:val="0"/>
        </w:rPr>
        <w:t>（6）不同供应商的保证金从同一单位或者个人账户转出。</w:t>
      </w:r>
    </w:p>
    <w:p>
      <w:pPr>
        <w:widowControl/>
        <w:spacing w:line="400" w:lineRule="exact"/>
        <w:ind w:firstLine="420" w:firstLineChars="200"/>
        <w:jc w:val="left"/>
        <w:rPr>
          <w:rFonts w:ascii="宋体" w:hAnsi="宋体"/>
          <w:kern w:val="0"/>
        </w:rPr>
      </w:pPr>
      <w:r>
        <w:rPr>
          <w:rFonts w:hint="eastAsia" w:ascii="宋体" w:hAnsi="宋体"/>
          <w:kern w:val="0"/>
        </w:rPr>
        <w:t>3、有下列情形之一的视为关联供应商参加同一合同项下政府采购活动，竞争性磋商响应文件将被视为无效：单位负责人为同一人或者存在直接控股、管理关系的不同供应商，参加同一合同项下政府采购活动；</w:t>
      </w:r>
    </w:p>
    <w:p>
      <w:pPr>
        <w:widowControl/>
        <w:spacing w:line="400" w:lineRule="exact"/>
        <w:ind w:firstLine="420" w:firstLineChars="200"/>
        <w:jc w:val="left"/>
        <w:rPr>
          <w:rFonts w:ascii="宋体" w:hAnsi="宋体"/>
          <w:bCs/>
          <w:kern w:val="0"/>
        </w:rPr>
      </w:pPr>
      <w:r>
        <w:rPr>
          <w:rFonts w:hint="eastAsia" w:ascii="宋体" w:hAnsi="宋体"/>
          <w:bCs/>
          <w:kern w:val="0"/>
        </w:rPr>
        <w:t>4.其他投标无效的情形：</w:t>
      </w:r>
    </w:p>
    <w:p>
      <w:pPr>
        <w:widowControl/>
        <w:spacing w:line="400" w:lineRule="exact"/>
        <w:ind w:firstLine="421" w:firstLineChars="200"/>
        <w:jc w:val="left"/>
        <w:rPr>
          <w:rFonts w:ascii="宋体" w:hAnsi="宋体"/>
          <w:b/>
          <w:bCs/>
          <w:kern w:val="0"/>
        </w:rPr>
      </w:pPr>
      <w:r>
        <w:rPr>
          <w:rFonts w:hint="eastAsia" w:ascii="宋体" w:hAnsi="宋体"/>
          <w:b/>
          <w:bCs/>
          <w:kern w:val="0"/>
        </w:rPr>
        <w:t>（1）竞争性磋商响应文件未按竞争性磋商文件要求签署或CA电子签章的；</w:t>
      </w:r>
    </w:p>
    <w:p>
      <w:pPr>
        <w:widowControl/>
        <w:spacing w:line="400" w:lineRule="exact"/>
        <w:ind w:firstLine="421" w:firstLineChars="200"/>
        <w:jc w:val="left"/>
        <w:rPr>
          <w:rFonts w:ascii="宋体" w:hAnsi="宋体"/>
          <w:b/>
          <w:bCs/>
          <w:kern w:val="0"/>
        </w:rPr>
      </w:pPr>
      <w:r>
        <w:rPr>
          <w:rFonts w:hint="eastAsia" w:ascii="宋体" w:hAnsi="宋体"/>
          <w:b/>
          <w:bCs/>
          <w:kern w:val="0"/>
        </w:rPr>
        <w:t>（2）供应商提交两份或两份以上内容不同的竞争性磋商响应文件的；</w:t>
      </w:r>
    </w:p>
    <w:p>
      <w:pPr>
        <w:widowControl/>
        <w:spacing w:line="400" w:lineRule="exact"/>
        <w:ind w:firstLine="421" w:firstLineChars="200"/>
        <w:jc w:val="left"/>
        <w:rPr>
          <w:rFonts w:ascii="宋体" w:hAnsi="宋体"/>
          <w:b/>
          <w:bCs/>
          <w:kern w:val="0"/>
        </w:rPr>
      </w:pPr>
      <w:r>
        <w:rPr>
          <w:rFonts w:hint="eastAsia" w:ascii="宋体" w:hAnsi="宋体"/>
          <w:b/>
          <w:bCs/>
          <w:kern w:val="0"/>
        </w:rPr>
        <w:t>（3）磋商</w:t>
      </w:r>
      <w:r>
        <w:rPr>
          <w:rFonts w:ascii="宋体" w:hAnsi="宋体"/>
          <w:b/>
          <w:bCs/>
          <w:kern w:val="0"/>
        </w:rPr>
        <w:t>供应商在线制作</w:t>
      </w:r>
      <w:r>
        <w:rPr>
          <w:rFonts w:hint="eastAsia" w:ascii="宋体" w:hAnsi="宋体"/>
          <w:b/>
          <w:bCs/>
          <w:kern w:val="0"/>
        </w:rPr>
        <w:t>竞争性磋商响应文件</w:t>
      </w:r>
      <w:r>
        <w:rPr>
          <w:rFonts w:ascii="宋体" w:hAnsi="宋体"/>
          <w:b/>
          <w:bCs/>
          <w:kern w:val="0"/>
        </w:rPr>
        <w:t>时填写的</w:t>
      </w:r>
      <w:r>
        <w:rPr>
          <w:rFonts w:hint="eastAsia" w:ascii="宋体" w:hAnsi="宋体"/>
          <w:b/>
          <w:bCs/>
          <w:kern w:val="0"/>
        </w:rPr>
        <w:t>报价</w:t>
      </w:r>
      <w:r>
        <w:rPr>
          <w:rFonts w:ascii="宋体" w:hAnsi="宋体"/>
          <w:b/>
          <w:bCs/>
          <w:kern w:val="0"/>
        </w:rPr>
        <w:t>金额与解密后“电子加密</w:t>
      </w:r>
      <w:r>
        <w:rPr>
          <w:rFonts w:hint="eastAsia" w:ascii="宋体" w:hAnsi="宋体"/>
          <w:b/>
          <w:bCs/>
          <w:kern w:val="0"/>
        </w:rPr>
        <w:t>响应</w:t>
      </w:r>
      <w:r>
        <w:rPr>
          <w:rFonts w:ascii="宋体" w:hAnsi="宋体"/>
          <w:b/>
          <w:bCs/>
          <w:kern w:val="0"/>
        </w:rPr>
        <w:t>文件”中《</w:t>
      </w:r>
      <w:r>
        <w:rPr>
          <w:rFonts w:hint="eastAsia" w:ascii="宋体" w:hAnsi="宋体"/>
          <w:b/>
          <w:bCs/>
          <w:kern w:val="0"/>
        </w:rPr>
        <w:t>报价文件</w:t>
      </w:r>
      <w:r>
        <w:rPr>
          <w:rFonts w:ascii="宋体" w:hAnsi="宋体"/>
          <w:b/>
          <w:bCs/>
          <w:kern w:val="0"/>
        </w:rPr>
        <w:t>》填写的金额不一致并拒绝按</w:t>
      </w:r>
      <w:r>
        <w:rPr>
          <w:rFonts w:hint="eastAsia" w:ascii="宋体" w:hAnsi="宋体"/>
          <w:b/>
          <w:bCs/>
          <w:kern w:val="0"/>
        </w:rPr>
        <w:t>采购</w:t>
      </w:r>
      <w:r>
        <w:rPr>
          <w:rFonts w:ascii="宋体" w:hAnsi="宋体"/>
          <w:b/>
          <w:bCs/>
          <w:kern w:val="0"/>
        </w:rPr>
        <w:t>文件要求接受调整的；</w:t>
      </w:r>
    </w:p>
    <w:p>
      <w:pPr>
        <w:widowControl/>
        <w:spacing w:line="400" w:lineRule="exact"/>
        <w:ind w:firstLine="421" w:firstLineChars="200"/>
        <w:jc w:val="left"/>
        <w:rPr>
          <w:rFonts w:ascii="宋体" w:hAnsi="宋体"/>
          <w:kern w:val="0"/>
        </w:rPr>
      </w:pPr>
      <w:r>
        <w:rPr>
          <w:rFonts w:hint="eastAsia" w:ascii="宋体" w:hAnsi="宋体"/>
          <w:b/>
          <w:bCs/>
          <w:kern w:val="0"/>
        </w:rPr>
        <w:t>（4）</w:t>
      </w:r>
      <w:r>
        <w:rPr>
          <w:rFonts w:ascii="宋体" w:hAnsi="宋体"/>
          <w:b/>
          <w:bCs/>
          <w:kern w:val="0"/>
        </w:rPr>
        <w:t>法律、法规和招标文件规定的其他无效情形（或出现重大偏差）。</w:t>
      </w:r>
    </w:p>
    <w:p>
      <w:pPr>
        <w:widowControl/>
        <w:spacing w:line="400" w:lineRule="exact"/>
        <w:ind w:firstLine="420" w:firstLineChars="200"/>
        <w:jc w:val="left"/>
        <w:rPr>
          <w:rFonts w:ascii="宋体" w:hAnsi="宋体"/>
          <w:kern w:val="0"/>
        </w:rPr>
      </w:pPr>
      <w:r>
        <w:rPr>
          <w:rFonts w:hint="eastAsia" w:ascii="宋体" w:hAnsi="宋体"/>
          <w:kern w:val="0"/>
        </w:rPr>
        <w:t>5、被拒绝的响应文件为无效。</w:t>
      </w:r>
    </w:p>
    <w:p>
      <w:pPr>
        <w:widowControl/>
        <w:spacing w:line="400" w:lineRule="exact"/>
        <w:ind w:firstLine="420" w:firstLineChars="200"/>
        <w:jc w:val="left"/>
        <w:rPr>
          <w:rFonts w:ascii="宋体" w:hAnsi="宋体"/>
          <w:kern w:val="0"/>
        </w:rPr>
      </w:pPr>
      <w:r>
        <w:rPr>
          <w:rFonts w:hint="eastAsia" w:ascii="宋体" w:hAnsi="宋体"/>
          <w:kern w:val="0"/>
        </w:rPr>
        <w:t>供应商竞争性磋商响应文件无效的，磋商小组应当告知有关供应商。</w:t>
      </w:r>
    </w:p>
    <w:p>
      <w:pPr>
        <w:widowControl/>
        <w:spacing w:line="400" w:lineRule="exact"/>
        <w:ind w:firstLine="420" w:firstLineChars="200"/>
        <w:jc w:val="left"/>
        <w:rPr>
          <w:rFonts w:ascii="宋体" w:hAnsi="宋体"/>
          <w:kern w:val="0"/>
        </w:rPr>
      </w:pPr>
      <w:r>
        <w:rPr>
          <w:rFonts w:hint="eastAsia" w:ascii="宋体" w:hAnsi="宋体"/>
          <w:kern w:val="0"/>
        </w:rPr>
        <w:t>12.1</w:t>
      </w:r>
      <w:r>
        <w:rPr>
          <w:rFonts w:hint="eastAsia" w:ascii="宋体" w:hAnsi="宋体"/>
          <w:b/>
          <w:kern w:val="0"/>
        </w:rPr>
        <w:t>第一轮磋商</w:t>
      </w:r>
    </w:p>
    <w:p>
      <w:pPr>
        <w:widowControl/>
        <w:spacing w:line="400" w:lineRule="exact"/>
        <w:ind w:firstLine="420" w:firstLineChars="200"/>
        <w:jc w:val="left"/>
        <w:rPr>
          <w:rFonts w:ascii="宋体" w:hAnsi="宋体"/>
          <w:kern w:val="0"/>
        </w:rPr>
      </w:pPr>
      <w:r>
        <w:rPr>
          <w:rFonts w:hint="eastAsia" w:ascii="宋体" w:hAnsi="宋体"/>
          <w:kern w:val="0"/>
        </w:rPr>
        <w:t>（一）</w:t>
      </w:r>
      <w:r>
        <w:rPr>
          <w:rFonts w:hint="eastAsia" w:ascii="宋体" w:hAnsi="宋体"/>
          <w:b/>
          <w:kern w:val="0"/>
        </w:rPr>
        <w:t>磋商准备</w:t>
      </w:r>
    </w:p>
    <w:p>
      <w:pPr>
        <w:widowControl/>
        <w:spacing w:line="400" w:lineRule="exact"/>
        <w:ind w:firstLine="420" w:firstLineChars="200"/>
        <w:jc w:val="left"/>
        <w:rPr>
          <w:rFonts w:ascii="宋体" w:hAnsi="宋体"/>
          <w:kern w:val="0"/>
        </w:rPr>
      </w:pPr>
      <w:r>
        <w:rPr>
          <w:rFonts w:hint="eastAsia" w:ascii="宋体" w:hAnsi="宋体"/>
          <w:kern w:val="0"/>
        </w:rPr>
        <w:t>本中心将在规定的时间和地点进行电子磋商，磋商供应商的法定代表人或其委托代理人应做好磋商准备，准时在线参加电子磋商会议，随时关注磋商进度。</w:t>
      </w:r>
    </w:p>
    <w:p>
      <w:pPr>
        <w:widowControl/>
        <w:spacing w:line="400" w:lineRule="exact"/>
        <w:ind w:firstLine="420" w:firstLineChars="200"/>
        <w:jc w:val="left"/>
        <w:rPr>
          <w:rFonts w:ascii="宋体" w:hAnsi="宋体"/>
          <w:kern w:val="0"/>
        </w:rPr>
      </w:pPr>
      <w:r>
        <w:rPr>
          <w:rFonts w:hint="eastAsia" w:ascii="宋体" w:hAnsi="宋体"/>
          <w:kern w:val="0"/>
        </w:rPr>
        <w:t>（二）</w:t>
      </w:r>
      <w:r>
        <w:rPr>
          <w:rFonts w:hint="eastAsia" w:ascii="宋体" w:hAnsi="宋体"/>
          <w:b/>
          <w:kern w:val="0"/>
        </w:rPr>
        <w:t xml:space="preserve"> 第一轮磋商程序：</w:t>
      </w:r>
    </w:p>
    <w:p>
      <w:pPr>
        <w:widowControl/>
        <w:spacing w:line="400" w:lineRule="exact"/>
        <w:ind w:firstLine="420" w:firstLineChars="200"/>
        <w:jc w:val="left"/>
        <w:rPr>
          <w:rFonts w:ascii="宋体" w:hAnsi="宋体"/>
          <w:kern w:val="0"/>
        </w:rPr>
      </w:pPr>
      <w:r>
        <w:rPr>
          <w:rFonts w:hint="eastAsia" w:ascii="宋体" w:hAnsi="宋体"/>
          <w:kern w:val="0"/>
        </w:rPr>
        <w:t>1.磋商会由本中心主持，主持人宣布磋商会议开始；</w:t>
      </w:r>
    </w:p>
    <w:p>
      <w:pPr>
        <w:widowControl/>
        <w:spacing w:line="400" w:lineRule="exact"/>
        <w:ind w:firstLine="420" w:firstLineChars="200"/>
        <w:jc w:val="left"/>
        <w:rPr>
          <w:rFonts w:ascii="宋体" w:hAnsi="宋体"/>
          <w:kern w:val="0"/>
        </w:rPr>
      </w:pPr>
      <w:r>
        <w:rPr>
          <w:rFonts w:hint="eastAsia" w:ascii="宋体" w:hAnsi="宋体"/>
          <w:kern w:val="0"/>
        </w:rPr>
        <w:t xml:space="preserve">2.主持人介绍参加磋商会的人员名单； </w:t>
      </w:r>
    </w:p>
    <w:p>
      <w:pPr>
        <w:widowControl/>
        <w:spacing w:line="400" w:lineRule="exact"/>
        <w:ind w:firstLine="420" w:firstLineChars="200"/>
        <w:jc w:val="left"/>
        <w:rPr>
          <w:rFonts w:ascii="宋体" w:hAnsi="宋体"/>
          <w:kern w:val="0"/>
        </w:rPr>
      </w:pPr>
      <w:r>
        <w:rPr>
          <w:rFonts w:hint="eastAsia" w:ascii="宋体" w:hAnsi="宋体"/>
          <w:kern w:val="0"/>
        </w:rPr>
        <w:t>3.主持人宣布磋商会议纪律及评审期间的有关事项；告知应当回避的情形,提请有关人员回避；</w:t>
      </w:r>
    </w:p>
    <w:p>
      <w:pPr>
        <w:widowControl/>
        <w:spacing w:line="400" w:lineRule="exact"/>
        <w:ind w:firstLine="420" w:firstLineChars="200"/>
        <w:jc w:val="left"/>
        <w:rPr>
          <w:rFonts w:ascii="宋体" w:hAnsi="宋体"/>
          <w:kern w:val="0"/>
        </w:rPr>
      </w:pPr>
      <w:r>
        <w:rPr>
          <w:rFonts w:hint="eastAsia" w:ascii="宋体" w:hAnsi="宋体"/>
          <w:kern w:val="0"/>
        </w:rPr>
        <w:t>4.磋商及评审程序</w:t>
      </w:r>
    </w:p>
    <w:p>
      <w:pPr>
        <w:widowControl/>
        <w:spacing w:line="400" w:lineRule="exact"/>
        <w:ind w:firstLine="420" w:firstLineChars="200"/>
        <w:jc w:val="left"/>
        <w:rPr>
          <w:rFonts w:ascii="宋体" w:hAnsi="宋体"/>
          <w:kern w:val="0"/>
        </w:rPr>
      </w:pPr>
      <w:r>
        <w:rPr>
          <w:rFonts w:hint="eastAsia" w:ascii="宋体" w:hAnsi="宋体"/>
          <w:kern w:val="0"/>
        </w:rPr>
        <w:t>（1）在磋商开始时间截止后30分钟内由各供应商自行对磋商响应文件进行解密；</w:t>
      </w:r>
    </w:p>
    <w:p>
      <w:pPr>
        <w:widowControl/>
        <w:spacing w:line="400" w:lineRule="exact"/>
        <w:ind w:firstLine="420" w:firstLineChars="200"/>
        <w:jc w:val="left"/>
        <w:rPr>
          <w:rFonts w:ascii="宋体" w:hAnsi="宋体"/>
          <w:kern w:val="0"/>
        </w:rPr>
      </w:pPr>
      <w:r>
        <w:rPr>
          <w:rFonts w:hint="eastAsia" w:ascii="宋体" w:hAnsi="宋体"/>
          <w:kern w:val="0"/>
        </w:rPr>
        <w:t>（2）由磋商小组进行资格审查和符合性审查，审查结束后，在线通知无效磋商供应商磋商响应文件无效理由，有效磋商供应商进入磋商程序。</w:t>
      </w:r>
    </w:p>
    <w:p>
      <w:pPr>
        <w:widowControl/>
        <w:spacing w:line="400" w:lineRule="exact"/>
        <w:ind w:firstLine="420" w:firstLineChars="200"/>
        <w:jc w:val="left"/>
        <w:rPr>
          <w:rFonts w:ascii="宋体" w:hAnsi="宋体"/>
          <w:kern w:val="0"/>
        </w:rPr>
      </w:pPr>
      <w:r>
        <w:rPr>
          <w:rFonts w:hint="eastAsia" w:ascii="宋体" w:hAnsi="宋体"/>
          <w:kern w:val="0"/>
        </w:rPr>
        <w:t>（3）系统对各供应商的商务技术进行汇总；</w:t>
      </w:r>
    </w:p>
    <w:p>
      <w:pPr>
        <w:widowControl/>
        <w:spacing w:line="400" w:lineRule="exact"/>
        <w:ind w:firstLine="420" w:firstLineChars="200"/>
        <w:jc w:val="left"/>
        <w:rPr>
          <w:rFonts w:ascii="宋体" w:hAnsi="宋体"/>
          <w:kern w:val="0"/>
        </w:rPr>
      </w:pPr>
      <w:r>
        <w:rPr>
          <w:rFonts w:hint="eastAsia" w:ascii="宋体" w:hAnsi="宋体"/>
          <w:kern w:val="0"/>
        </w:rPr>
        <w:t>（4）磋商小组所有成员应当集中与单一供应商分别进行在线磋商，并给予所有参加磋商的供应商平等的磋商机会。</w:t>
      </w:r>
    </w:p>
    <w:p>
      <w:pPr>
        <w:widowControl/>
        <w:spacing w:line="400" w:lineRule="exact"/>
        <w:ind w:firstLine="420" w:firstLineChars="200"/>
        <w:jc w:val="left"/>
        <w:rPr>
          <w:rFonts w:ascii="宋体" w:hAnsi="宋体"/>
          <w:kern w:val="0"/>
        </w:rPr>
      </w:pPr>
      <w:r>
        <w:rPr>
          <w:rFonts w:hint="eastAsia" w:ascii="宋体" w:hAnsi="宋体"/>
          <w:kern w:val="0"/>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pPr>
        <w:widowControl/>
        <w:spacing w:line="400" w:lineRule="exact"/>
        <w:ind w:firstLine="420" w:firstLineChars="200"/>
        <w:jc w:val="left"/>
        <w:rPr>
          <w:rFonts w:ascii="宋体" w:hAnsi="宋体"/>
          <w:kern w:val="0"/>
        </w:rPr>
      </w:pPr>
      <w:r>
        <w:rPr>
          <w:rFonts w:hint="eastAsia" w:ascii="宋体" w:hAnsi="宋体"/>
          <w:kern w:val="0"/>
        </w:rPr>
        <w:t>12.2竞争性磋商文件变动</w:t>
      </w:r>
    </w:p>
    <w:p>
      <w:pPr>
        <w:widowControl/>
        <w:spacing w:line="400" w:lineRule="exact"/>
        <w:ind w:firstLine="420" w:firstLineChars="200"/>
        <w:jc w:val="left"/>
        <w:rPr>
          <w:rFonts w:ascii="宋体" w:hAnsi="宋体"/>
          <w:kern w:val="0"/>
        </w:rPr>
      </w:pPr>
      <w:r>
        <w:rPr>
          <w:rFonts w:hint="eastAsia" w:ascii="宋体" w:hAnsi="宋体"/>
          <w:kern w:val="0"/>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widowControl/>
        <w:spacing w:line="400" w:lineRule="exact"/>
        <w:ind w:firstLine="420" w:firstLineChars="200"/>
        <w:jc w:val="left"/>
        <w:rPr>
          <w:rFonts w:ascii="宋体" w:hAnsi="宋体"/>
          <w:kern w:val="0"/>
        </w:rPr>
      </w:pPr>
      <w:r>
        <w:rPr>
          <w:rFonts w:hint="eastAsia" w:ascii="宋体" w:hAnsi="宋体"/>
          <w:kern w:val="0"/>
        </w:rPr>
        <w:t>对竞争性磋商文件作出的实质性变动是竞争性磋商文件的有效组成部分，磋商小组应当在询标规定时间内及时通知所有参加磋商的供应商，并要求供应商做出响应（需盖CA电子签章）。</w:t>
      </w:r>
    </w:p>
    <w:p>
      <w:pPr>
        <w:widowControl/>
        <w:spacing w:line="400" w:lineRule="exact"/>
        <w:ind w:firstLine="420" w:firstLineChars="200"/>
        <w:jc w:val="left"/>
        <w:rPr>
          <w:rFonts w:ascii="宋体" w:hAnsi="宋体"/>
          <w:kern w:val="0"/>
        </w:rPr>
      </w:pPr>
      <w:r>
        <w:rPr>
          <w:rFonts w:hint="eastAsia" w:ascii="宋体" w:hAnsi="宋体"/>
          <w:kern w:val="0"/>
        </w:rPr>
        <w:t>12.3第二轮磋商</w:t>
      </w:r>
    </w:p>
    <w:p>
      <w:pPr>
        <w:widowControl/>
        <w:spacing w:line="400" w:lineRule="exact"/>
        <w:ind w:firstLine="420" w:firstLineChars="200"/>
        <w:jc w:val="left"/>
        <w:rPr>
          <w:rFonts w:ascii="宋体" w:hAnsi="宋体"/>
          <w:kern w:val="0"/>
        </w:rPr>
      </w:pPr>
      <w:r>
        <w:rPr>
          <w:rFonts w:hint="eastAsia" w:ascii="宋体" w:hAnsi="宋体"/>
          <w:kern w:val="0"/>
        </w:rPr>
        <w:t>磋商小组集中就重新递交的响应材料或磋商小组提出的磋商意见与单一响应供应商分别进行在线磋商。</w:t>
      </w:r>
    </w:p>
    <w:p>
      <w:pPr>
        <w:widowControl/>
        <w:spacing w:line="400" w:lineRule="exact"/>
        <w:ind w:firstLine="420" w:firstLineChars="200"/>
        <w:jc w:val="left"/>
        <w:rPr>
          <w:rFonts w:ascii="宋体" w:hAnsi="宋体"/>
          <w:kern w:val="0"/>
        </w:rPr>
      </w:pPr>
      <w:r>
        <w:rPr>
          <w:rFonts w:hint="eastAsia" w:ascii="宋体" w:hAnsi="宋体"/>
          <w:kern w:val="0"/>
        </w:rPr>
        <w:t>磋商后，在询标规定时间内供应商根据磋商小组统一整理的磋商记录要求做出承诺（需盖CA电子签章）。</w:t>
      </w:r>
    </w:p>
    <w:p>
      <w:pPr>
        <w:widowControl/>
        <w:spacing w:line="400" w:lineRule="exact"/>
        <w:ind w:firstLine="420" w:firstLineChars="200"/>
        <w:jc w:val="left"/>
        <w:rPr>
          <w:rFonts w:ascii="宋体" w:hAnsi="宋体"/>
          <w:kern w:val="0"/>
        </w:rPr>
      </w:pPr>
      <w:r>
        <w:rPr>
          <w:rFonts w:hint="eastAsia" w:ascii="宋体" w:hAnsi="宋体"/>
          <w:kern w:val="0"/>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pPr>
        <w:widowControl/>
        <w:spacing w:line="400" w:lineRule="exact"/>
        <w:ind w:firstLine="420" w:firstLineChars="200"/>
        <w:jc w:val="left"/>
        <w:rPr>
          <w:rFonts w:ascii="宋体" w:hAnsi="宋体"/>
          <w:kern w:val="0"/>
        </w:rPr>
      </w:pPr>
      <w:r>
        <w:rPr>
          <w:rFonts w:hint="eastAsia" w:ascii="宋体" w:hAnsi="宋体"/>
          <w:kern w:val="0"/>
        </w:rPr>
        <w:t>特别说明：</w:t>
      </w:r>
    </w:p>
    <w:p>
      <w:pPr>
        <w:widowControl/>
        <w:spacing w:line="400" w:lineRule="exact"/>
        <w:ind w:firstLine="420" w:firstLineChars="200"/>
        <w:jc w:val="left"/>
        <w:rPr>
          <w:rFonts w:ascii="宋体" w:hAnsi="宋体"/>
          <w:kern w:val="0"/>
        </w:rPr>
      </w:pPr>
      <w:r>
        <w:rPr>
          <w:rFonts w:hint="eastAsia" w:ascii="宋体" w:hAnsi="宋体"/>
          <w:kern w:val="0"/>
        </w:rPr>
        <w:t>政采云公司如对电子化开标及评审程序有调整的，按调整后的程序操作。</w:t>
      </w:r>
    </w:p>
    <w:p>
      <w:pPr>
        <w:widowControl/>
        <w:spacing w:line="400" w:lineRule="exact"/>
        <w:ind w:firstLine="420" w:firstLineChars="200"/>
        <w:jc w:val="left"/>
        <w:rPr>
          <w:rFonts w:ascii="宋体" w:hAnsi="宋体"/>
          <w:kern w:val="0"/>
        </w:rPr>
      </w:pPr>
      <w:r>
        <w:rPr>
          <w:rFonts w:hint="eastAsia" w:ascii="宋体" w:hAnsi="宋体"/>
          <w:kern w:val="0"/>
        </w:rPr>
        <w:t>磋商评审在严格保密的情况下进行，磋商的任何一方不得透露与磋商有关的其他供应商的技术资料、价格和其他信息。</w:t>
      </w:r>
    </w:p>
    <w:p>
      <w:pPr>
        <w:widowControl/>
        <w:spacing w:line="400" w:lineRule="exact"/>
        <w:ind w:firstLine="420" w:firstLineChars="200"/>
        <w:jc w:val="left"/>
        <w:rPr>
          <w:rFonts w:ascii="宋体" w:hAnsi="宋体"/>
          <w:kern w:val="0"/>
        </w:rPr>
      </w:pPr>
      <w:r>
        <w:rPr>
          <w:rFonts w:hint="eastAsia" w:ascii="宋体" w:hAnsi="宋体"/>
          <w:kern w:val="0"/>
        </w:rPr>
        <w:t>电子磋商过程中需要供应商在线确认的所有内容，供应商不予确认的应说明理由，超过规定时间未确认的，将被视为放弃确认或者无异议。</w:t>
      </w:r>
    </w:p>
    <w:p>
      <w:pPr>
        <w:widowControl/>
        <w:spacing w:line="400" w:lineRule="exact"/>
        <w:ind w:firstLine="420" w:firstLineChars="200"/>
        <w:jc w:val="left"/>
        <w:rPr>
          <w:rFonts w:ascii="宋体" w:hAnsi="宋体"/>
          <w:kern w:val="0"/>
        </w:rPr>
      </w:pPr>
      <w:r>
        <w:rPr>
          <w:rFonts w:hint="eastAsia" w:ascii="宋体" w:hAnsi="宋体"/>
          <w:kern w:val="0"/>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pPr>
        <w:widowControl/>
        <w:spacing w:line="400" w:lineRule="exact"/>
        <w:ind w:firstLine="420" w:firstLineChars="200"/>
        <w:jc w:val="left"/>
        <w:rPr>
          <w:rFonts w:ascii="宋体" w:hAnsi="宋体"/>
          <w:kern w:val="0"/>
        </w:rPr>
      </w:pPr>
      <w:r>
        <w:rPr>
          <w:rFonts w:hint="eastAsia" w:ascii="宋体" w:hAnsi="宋体"/>
          <w:kern w:val="0"/>
        </w:rPr>
        <w:t>12.4最后报价及成交候选供应商推荐</w:t>
      </w:r>
    </w:p>
    <w:p>
      <w:pPr>
        <w:widowControl/>
        <w:spacing w:line="400" w:lineRule="exact"/>
        <w:ind w:firstLine="420" w:firstLineChars="200"/>
        <w:jc w:val="left"/>
        <w:rPr>
          <w:rFonts w:ascii="宋体" w:hAnsi="宋体"/>
          <w:kern w:val="0"/>
        </w:rPr>
      </w:pPr>
      <w:r>
        <w:rPr>
          <w:rFonts w:hint="eastAsia" w:ascii="宋体" w:hAnsi="宋体"/>
          <w:kern w:val="0"/>
        </w:rPr>
        <w:t>磋商结束后，磋商小组要求所有继续参加磋商的供应商在规定时间内在线提交最后报价。继续参加磋商的供应商作最后报价，由其法定代表人(负责人)或授权代表CA电子签章后提交。</w:t>
      </w:r>
    </w:p>
    <w:p>
      <w:pPr>
        <w:widowControl/>
        <w:spacing w:line="400" w:lineRule="exact"/>
        <w:ind w:firstLine="420" w:firstLineChars="200"/>
        <w:jc w:val="left"/>
        <w:rPr>
          <w:rFonts w:ascii="宋体" w:hAnsi="宋体"/>
          <w:kern w:val="0"/>
        </w:rPr>
      </w:pPr>
      <w:r>
        <w:rPr>
          <w:rFonts w:hint="eastAsia" w:ascii="宋体" w:hAnsi="宋体"/>
          <w:kern w:val="0"/>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pPr>
        <w:widowControl/>
        <w:spacing w:line="400" w:lineRule="exact"/>
        <w:ind w:firstLine="420" w:firstLineChars="200"/>
        <w:jc w:val="left"/>
        <w:rPr>
          <w:rFonts w:ascii="宋体" w:hAnsi="宋体"/>
          <w:kern w:val="0"/>
        </w:rPr>
      </w:pPr>
      <w:r>
        <w:rPr>
          <w:rFonts w:hint="eastAsia" w:ascii="宋体" w:hAnsi="宋体"/>
          <w:kern w:val="0"/>
        </w:rPr>
        <w:t>磋商小组按照少数服从多数的原则推荐成交候选供应商，采购程序继续进行。对评审报告有异议的磋商小组成员，应当明确不同意见并说明理由。磋商小组成员拒绝提出理由的，视为同意评审结果。</w:t>
      </w:r>
    </w:p>
    <w:p>
      <w:pPr>
        <w:widowControl/>
        <w:spacing w:line="400" w:lineRule="exact"/>
        <w:ind w:firstLine="420" w:firstLineChars="200"/>
        <w:jc w:val="left"/>
        <w:rPr>
          <w:rFonts w:ascii="宋体" w:hAnsi="宋体"/>
          <w:kern w:val="0"/>
        </w:rPr>
      </w:pPr>
      <w:r>
        <w:rPr>
          <w:rFonts w:hint="eastAsia" w:ascii="宋体" w:hAnsi="宋体"/>
          <w:kern w:val="0"/>
        </w:rPr>
        <w:t>12.5供应商的报价均超过了政府采购最高限价，采购人不能支付的，磋商活动终止。</w:t>
      </w:r>
    </w:p>
    <w:p>
      <w:pPr>
        <w:widowControl/>
        <w:spacing w:line="400" w:lineRule="exact"/>
        <w:ind w:firstLine="420" w:firstLineChars="200"/>
        <w:jc w:val="left"/>
        <w:rPr>
          <w:rFonts w:ascii="宋体" w:hAnsi="宋体"/>
          <w:kern w:val="0"/>
        </w:rPr>
      </w:pPr>
      <w:r>
        <w:rPr>
          <w:rFonts w:hint="eastAsia" w:ascii="宋体" w:hAnsi="宋体"/>
          <w:kern w:val="0"/>
        </w:rPr>
        <w:t>12.6本采购项目的评审依据为竞争性磋商文件和竞争性磋商响应文件，采用的评审方法为综合评分法。</w:t>
      </w:r>
    </w:p>
    <w:p>
      <w:pPr>
        <w:widowControl/>
        <w:spacing w:line="400" w:lineRule="exact"/>
        <w:ind w:firstLine="420" w:firstLineChars="200"/>
        <w:jc w:val="left"/>
        <w:rPr>
          <w:rFonts w:ascii="宋体" w:hAnsi="宋体"/>
          <w:kern w:val="0"/>
        </w:rPr>
      </w:pPr>
      <w:r>
        <w:rPr>
          <w:rFonts w:hint="eastAsia" w:ascii="宋体" w:hAnsi="宋体"/>
          <w:kern w:val="0"/>
        </w:rPr>
        <w:t>12.7 可中止电子交易活动的情形</w:t>
      </w:r>
    </w:p>
    <w:p>
      <w:pPr>
        <w:widowControl/>
        <w:spacing w:line="400" w:lineRule="exact"/>
        <w:ind w:firstLine="420" w:firstLineChars="200"/>
        <w:jc w:val="left"/>
        <w:rPr>
          <w:rFonts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采购过程中出现以下情形，导致电子交易平台无法正常运行，或者无法保证电子交易的公平、公正和安全时，本中心可中止电子交易活动：</w:t>
      </w:r>
    </w:p>
    <w:p>
      <w:pPr>
        <w:widowControl/>
        <w:spacing w:line="400" w:lineRule="exact"/>
        <w:ind w:firstLine="420" w:firstLineChars="200"/>
        <w:jc w:val="left"/>
        <w:rPr>
          <w:rFonts w:ascii="宋体" w:hAnsi="宋体"/>
          <w:kern w:val="0"/>
        </w:rPr>
      </w:pPr>
      <w:r>
        <w:rPr>
          <w:rFonts w:ascii="宋体" w:hAnsi="宋体"/>
          <w:kern w:val="0"/>
        </w:rPr>
        <w:t>(1)</w:t>
      </w:r>
      <w:r>
        <w:rPr>
          <w:rFonts w:hint="eastAsia" w:ascii="宋体" w:hAnsi="宋体"/>
          <w:kern w:val="0"/>
        </w:rPr>
        <w:t>电子交易平台发生故障而无法登录访问的；</w:t>
      </w:r>
    </w:p>
    <w:p>
      <w:pPr>
        <w:widowControl/>
        <w:spacing w:line="400" w:lineRule="exact"/>
        <w:ind w:firstLine="420" w:firstLineChars="200"/>
        <w:jc w:val="left"/>
        <w:rPr>
          <w:rFonts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pPr>
        <w:widowControl/>
        <w:spacing w:line="400" w:lineRule="exact"/>
        <w:ind w:firstLine="420" w:firstLineChars="200"/>
        <w:jc w:val="left"/>
        <w:rPr>
          <w:rFonts w:ascii="宋体" w:hAnsi="宋体"/>
          <w:kern w:val="0"/>
        </w:rPr>
      </w:pPr>
      <w:r>
        <w:rPr>
          <w:rFonts w:ascii="宋体" w:hAnsi="宋体"/>
          <w:kern w:val="0"/>
        </w:rPr>
        <w:t>(3)</w:t>
      </w:r>
      <w:r>
        <w:rPr>
          <w:rFonts w:hint="eastAsia" w:ascii="宋体" w:hAnsi="宋体"/>
          <w:kern w:val="0"/>
        </w:rPr>
        <w:t>电子交易平台发现严重安全漏洞，有潜在泄密危险的；</w:t>
      </w:r>
    </w:p>
    <w:p>
      <w:pPr>
        <w:widowControl/>
        <w:spacing w:line="400" w:lineRule="exact"/>
        <w:ind w:firstLine="420" w:firstLineChars="200"/>
        <w:jc w:val="left"/>
        <w:rPr>
          <w:rFonts w:ascii="宋体" w:hAnsi="宋体"/>
          <w:kern w:val="0"/>
        </w:rPr>
      </w:pPr>
      <w:r>
        <w:rPr>
          <w:rFonts w:ascii="宋体" w:hAnsi="宋体"/>
          <w:kern w:val="0"/>
        </w:rPr>
        <w:t>(4)</w:t>
      </w:r>
      <w:r>
        <w:rPr>
          <w:rFonts w:hint="eastAsia" w:ascii="宋体" w:hAnsi="宋体"/>
          <w:kern w:val="0"/>
        </w:rPr>
        <w:t>病毒发作导致不能进行正常操作的；</w:t>
      </w:r>
    </w:p>
    <w:p>
      <w:pPr>
        <w:widowControl/>
        <w:spacing w:line="400" w:lineRule="exact"/>
        <w:ind w:firstLine="420" w:firstLineChars="200"/>
        <w:jc w:val="left"/>
        <w:rPr>
          <w:rFonts w:ascii="宋体" w:hAnsi="宋体"/>
          <w:kern w:val="0"/>
        </w:rPr>
      </w:pPr>
      <w:r>
        <w:rPr>
          <w:rFonts w:ascii="宋体" w:hAnsi="宋体"/>
          <w:kern w:val="0"/>
        </w:rPr>
        <w:t>(5)</w:t>
      </w:r>
      <w:r>
        <w:rPr>
          <w:rFonts w:hint="eastAsia" w:ascii="宋体" w:hAnsi="宋体"/>
          <w:kern w:val="0"/>
        </w:rPr>
        <w:t>其他无法保证电子交易的公平、公正和安全的情况。</w:t>
      </w:r>
    </w:p>
    <w:p>
      <w:pPr>
        <w:widowControl/>
        <w:spacing w:line="400" w:lineRule="exact"/>
        <w:ind w:firstLine="420" w:firstLineChars="200"/>
        <w:jc w:val="left"/>
        <w:rPr>
          <w:rFonts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pPr>
        <w:widowControl/>
        <w:spacing w:line="400" w:lineRule="exact"/>
        <w:ind w:firstLine="420" w:firstLineChars="200"/>
        <w:jc w:val="left"/>
        <w:rPr>
          <w:rFonts w:ascii="宋体" w:hAnsi="宋体"/>
          <w:kern w:val="0"/>
        </w:rPr>
      </w:pPr>
      <w:r>
        <w:rPr>
          <w:rFonts w:hint="eastAsia" w:ascii="宋体" w:hAnsi="宋体"/>
          <w:kern w:val="0"/>
        </w:rPr>
        <w:t>12.8</w:t>
      </w:r>
      <w:r>
        <w:rPr>
          <w:rFonts w:ascii="宋体" w:hAnsi="宋体"/>
          <w:kern w:val="0"/>
        </w:rPr>
        <w:t>.</w:t>
      </w:r>
      <w:r>
        <w:rPr>
          <w:rFonts w:hint="eastAsia" w:ascii="宋体" w:hAnsi="宋体"/>
          <w:kern w:val="0"/>
        </w:rPr>
        <w:t>终止竞争性磋商采购活动</w:t>
      </w:r>
    </w:p>
    <w:p>
      <w:pPr>
        <w:widowControl/>
        <w:spacing w:line="400" w:lineRule="exact"/>
        <w:ind w:firstLine="420" w:firstLineChars="200"/>
        <w:jc w:val="left"/>
        <w:rPr>
          <w:rFonts w:ascii="宋体" w:hAnsi="宋体"/>
          <w:kern w:val="0"/>
        </w:rPr>
      </w:pPr>
      <w:r>
        <w:rPr>
          <w:rFonts w:hint="eastAsia" w:ascii="宋体" w:hAnsi="宋体"/>
          <w:kern w:val="0"/>
        </w:rPr>
        <w:t>在竞争性磋商采购活动过程中，出现下列情形之一的，采购人或者本中心将终止竞争性磋商采购活动，发布项目终止公告并说明原因，重新开展采购活动：</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1)</w:t>
      </w:r>
      <w:r>
        <w:rPr>
          <w:rFonts w:hint="eastAsia" w:ascii="宋体" w:hAnsi="宋体"/>
          <w:kern w:val="0"/>
        </w:rPr>
        <w:t>因情况变化，不再符合规定的竞争性磋商采购方式适用情形的；</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2)</w:t>
      </w:r>
      <w:r>
        <w:rPr>
          <w:rFonts w:hint="eastAsia" w:ascii="宋体" w:hAnsi="宋体"/>
          <w:kern w:val="0"/>
        </w:rPr>
        <w:t>出现影响采购公正的违法、违规行为的；</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3)</w:t>
      </w:r>
      <w:r>
        <w:rPr>
          <w:rFonts w:hint="eastAsia" w:ascii="宋体" w:hAnsi="宋体"/>
          <w:kern w:val="0"/>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pPr>
        <w:widowControl/>
        <w:spacing w:line="400" w:lineRule="exact"/>
        <w:ind w:firstLine="420" w:firstLineChars="200"/>
        <w:jc w:val="left"/>
        <w:rPr>
          <w:rFonts w:hAnsi="宋体"/>
        </w:rPr>
      </w:pPr>
      <w:r>
        <w:rPr>
          <w:rFonts w:hint="eastAsia" w:ascii="宋体" w:hAnsi="宋体"/>
          <w:kern w:val="0"/>
        </w:rPr>
        <w:t>在采购活动中因重大变故，采购任务取消的，采购人或者本中心将终止采购活动，通知所有参加采购活动的供应商，并将项目实施情况和采购任务取消原因报送本级财政部门。</w:t>
      </w:r>
    </w:p>
    <w:p>
      <w:pPr>
        <w:spacing w:line="440" w:lineRule="exact"/>
        <w:ind w:firstLine="421" w:firstLineChars="200"/>
        <w:rPr>
          <w:rFonts w:ascii="宋体" w:hAnsi="宋体"/>
          <w:b/>
          <w:bCs/>
        </w:rPr>
      </w:pPr>
      <w:r>
        <w:rPr>
          <w:rFonts w:hint="eastAsia" w:ascii="宋体" w:hAnsi="宋体"/>
          <w:b/>
          <w:bCs/>
        </w:rPr>
        <w:t>六、确定成交供应商办法</w:t>
      </w:r>
    </w:p>
    <w:p>
      <w:pPr>
        <w:widowControl/>
        <w:spacing w:line="440" w:lineRule="exact"/>
        <w:ind w:firstLine="525" w:firstLineChars="250"/>
        <w:jc w:val="left"/>
        <w:rPr>
          <w:rFonts w:ascii="宋体" w:hAnsi="宋体"/>
          <w:kern w:val="0"/>
        </w:rPr>
      </w:pPr>
      <w:r>
        <w:rPr>
          <w:rFonts w:hint="eastAsia" w:ascii="宋体" w:hAnsi="宋体"/>
          <w:kern w:val="0"/>
        </w:rPr>
        <w:t>13.1 根据以下原则确定成交供应商：</w:t>
      </w:r>
    </w:p>
    <w:p>
      <w:pPr>
        <w:pStyle w:val="19"/>
        <w:spacing w:line="440" w:lineRule="exact"/>
        <w:ind w:firstLine="525" w:firstLineChars="250"/>
        <w:rPr>
          <w:rFonts w:hAnsi="宋体"/>
          <w:kern w:val="0"/>
          <w:sz w:val="24"/>
          <w:szCs w:val="24"/>
        </w:rPr>
      </w:pPr>
      <w:r>
        <w:rPr>
          <w:rFonts w:hint="eastAsia" w:hAnsi="宋体"/>
          <w:kern w:val="0"/>
        </w:rPr>
        <w:t>13.2响应文件满足磋商文件全部实质性要求且按评审因素的量化指标评审得分最高的供应商为成交供应商。</w:t>
      </w:r>
    </w:p>
    <w:p>
      <w:pPr>
        <w:pStyle w:val="19"/>
        <w:spacing w:line="440" w:lineRule="exact"/>
        <w:ind w:firstLine="413" w:firstLineChars="196"/>
        <w:rPr>
          <w:rFonts w:hAnsi="宋体"/>
          <w:b/>
          <w:bCs/>
          <w:szCs w:val="21"/>
        </w:rPr>
      </w:pPr>
      <w:r>
        <w:rPr>
          <w:rFonts w:hint="eastAsia" w:hAnsi="宋体"/>
          <w:b/>
          <w:bCs/>
        </w:rPr>
        <w:t>七、成交结果公告</w:t>
      </w:r>
    </w:p>
    <w:p>
      <w:pPr>
        <w:pStyle w:val="19"/>
        <w:spacing w:line="440" w:lineRule="exact"/>
        <w:ind w:firstLine="420"/>
        <w:rPr>
          <w:rFonts w:hAnsi="宋体"/>
        </w:rPr>
      </w:pPr>
      <w:r>
        <w:rPr>
          <w:rFonts w:hint="eastAsia" w:hAnsi="宋体"/>
        </w:rPr>
        <w:t>14.本中心在评审结束后二个工作日内将磋商评审报告送采购人确认，</w:t>
      </w:r>
      <w:r>
        <w:rPr>
          <w:rFonts w:hint="eastAsia" w:hAnsi="宋体"/>
          <w:kern w:val="0"/>
        </w:rPr>
        <w:t>成交供应商确定后</w:t>
      </w:r>
      <w:r>
        <w:rPr>
          <w:rFonts w:hint="eastAsia" w:hAnsi="宋体"/>
        </w:rPr>
        <w:t>二个工作日内，</w:t>
      </w:r>
      <w:r>
        <w:rPr>
          <w:rFonts w:hint="eastAsia" w:hAnsi="宋体"/>
          <w:b/>
          <w:bCs/>
        </w:rPr>
        <w:t>成交结果公告</w:t>
      </w:r>
      <w:r>
        <w:rPr>
          <w:rFonts w:hint="eastAsia" w:hAnsi="宋体"/>
        </w:rPr>
        <w:t>将在中国政府采购网(www.ccgp.gov.cn)、广西政府采购网（http://zfcg.gxzf.gov.cn）及本中心网站（http://gxggzy.gxzf.gov.cn/）上发布，</w:t>
      </w:r>
      <w:r>
        <w:rPr>
          <w:rFonts w:hint="eastAsia" w:hAnsi="宋体"/>
          <w:kern w:val="0"/>
        </w:rPr>
        <w:t>同时向成交供应商发出成交通知书</w:t>
      </w:r>
      <w:r>
        <w:rPr>
          <w:rFonts w:hint="eastAsia" w:hAnsi="宋体"/>
        </w:rPr>
        <w:t>。</w:t>
      </w:r>
    </w:p>
    <w:p>
      <w:pPr>
        <w:spacing w:line="440" w:lineRule="exact"/>
        <w:ind w:left="420" w:leftChars="200" w:firstLine="105" w:firstLineChars="50"/>
        <w:rPr>
          <w:rFonts w:ascii="宋体" w:hAnsi="宋体"/>
          <w:b/>
          <w:bCs/>
        </w:rPr>
      </w:pPr>
      <w:r>
        <w:rPr>
          <w:rFonts w:hint="eastAsia" w:ascii="宋体" w:hAnsi="宋体"/>
          <w:b/>
          <w:bCs/>
        </w:rPr>
        <w:t>八、签订合同</w:t>
      </w:r>
    </w:p>
    <w:p>
      <w:pPr>
        <w:spacing w:line="440" w:lineRule="exact"/>
        <w:ind w:firstLine="472" w:firstLineChars="225"/>
        <w:rPr>
          <w:rFonts w:ascii="宋体" w:hAnsi="宋体"/>
        </w:rPr>
      </w:pPr>
      <w:r>
        <w:rPr>
          <w:rFonts w:hint="eastAsia" w:ascii="宋体" w:hAnsi="宋体"/>
        </w:rPr>
        <w:t>15.1成交供应商自成交通知书发出之日起二十五日内与采购人签订合同。采购人另有要求的，按要求执行。</w:t>
      </w:r>
    </w:p>
    <w:p>
      <w:pPr>
        <w:spacing w:line="440" w:lineRule="exact"/>
        <w:ind w:firstLine="472" w:firstLineChars="225"/>
        <w:rPr>
          <w:rFonts w:ascii="宋体" w:hAnsi="宋体"/>
        </w:rPr>
      </w:pPr>
      <w:r>
        <w:rPr>
          <w:rFonts w:hint="eastAsia" w:ascii="宋体" w:hAnsi="宋体"/>
        </w:rPr>
        <w:t>15.2</w:t>
      </w:r>
      <w:r>
        <w:rPr>
          <w:rFonts w:hint="eastAsia" w:ascii="宋体" w:hAnsi="宋体"/>
          <w:kern w:val="0"/>
        </w:rPr>
        <w:t>成交供应商拒绝签订政府采购合同的</w:t>
      </w:r>
      <w:r>
        <w:rPr>
          <w:rFonts w:hint="eastAsia" w:ascii="宋体" w:hAnsi="宋体"/>
        </w:rPr>
        <w:t>，采购人可以根据磋商评审报告确定成交供应商之后排名第一的成交候选供应商</w:t>
      </w:r>
      <w:r>
        <w:rPr>
          <w:rFonts w:hint="eastAsia" w:ascii="宋体" w:hAnsi="宋体"/>
          <w:kern w:val="0"/>
        </w:rPr>
        <w:t>作为</w:t>
      </w:r>
      <w:r>
        <w:rPr>
          <w:rFonts w:hint="eastAsia" w:ascii="宋体" w:hAnsi="宋体"/>
        </w:rPr>
        <w:t>成交供应商</w:t>
      </w:r>
      <w:r>
        <w:rPr>
          <w:rFonts w:hint="eastAsia" w:ascii="宋体" w:hAnsi="宋体"/>
          <w:kern w:val="0"/>
        </w:rPr>
        <w:t>并签订政府采购合同，也可以重新开展采购活动。拒绝签订政府采购合同的成交供应商不得参加对该项目重新开展的采购活动。</w:t>
      </w:r>
    </w:p>
    <w:p>
      <w:pPr>
        <w:spacing w:line="440" w:lineRule="exact"/>
        <w:ind w:firstLine="421" w:firstLineChars="200"/>
        <w:rPr>
          <w:rFonts w:ascii="宋体" w:hAnsi="宋体"/>
          <w:b/>
          <w:bCs/>
        </w:rPr>
      </w:pPr>
      <w:r>
        <w:rPr>
          <w:rFonts w:hint="eastAsia" w:ascii="宋体" w:hAnsi="宋体"/>
          <w:b/>
          <w:bCs/>
        </w:rPr>
        <w:t>15.3</w:t>
      </w:r>
      <w:r>
        <w:rPr>
          <w:rFonts w:hint="eastAsia" w:ascii="宋体" w:hAnsi="宋体"/>
          <w:kern w:val="0"/>
        </w:rPr>
        <w:t>成交供应商拒绝签订政府采购合同的</w:t>
      </w:r>
      <w:r>
        <w:rPr>
          <w:rFonts w:hint="eastAsia" w:ascii="宋体" w:hAnsi="宋体"/>
          <w:b/>
          <w:bCs/>
        </w:rPr>
        <w:t>，其保证金将不予退还，并上缴国库，给采购人造成其损失的，还应当赔偿损失，并作为不良行为记录在案。</w:t>
      </w:r>
    </w:p>
    <w:p>
      <w:pPr>
        <w:snapToGrid w:val="0"/>
        <w:spacing w:line="440" w:lineRule="exact"/>
        <w:ind w:firstLine="309" w:firstLineChars="147"/>
        <w:outlineLvl w:val="0"/>
        <w:rPr>
          <w:rFonts w:ascii="宋体" w:hAnsi="Courier New" w:cs="Courier New"/>
          <w:b/>
          <w:bCs/>
        </w:rPr>
      </w:pPr>
      <w:r>
        <w:rPr>
          <w:rFonts w:hint="eastAsia" w:ascii="宋体" w:hAnsi="Courier New" w:cs="Courier New"/>
          <w:b/>
          <w:bCs/>
        </w:rPr>
        <w:t xml:space="preserve"> 九、</w:t>
      </w:r>
      <w:r>
        <w:rPr>
          <w:rFonts w:hint="eastAsia" w:ascii="宋体" w:hAnsi="Courier New" w:cs="Courier New"/>
          <w:b/>
        </w:rPr>
        <w:t>询问、质疑和投诉</w:t>
      </w:r>
    </w:p>
    <w:p>
      <w:pPr>
        <w:snapToGrid w:val="0"/>
        <w:spacing w:line="440" w:lineRule="exact"/>
        <w:ind w:firstLine="420" w:firstLineChars="200"/>
        <w:rPr>
          <w:rFonts w:ascii="宋体" w:hAnsi="Courier New" w:cs="Courier New"/>
        </w:rPr>
      </w:pPr>
      <w:r>
        <w:rPr>
          <w:rFonts w:hint="eastAsia" w:ascii="宋体" w:hAnsi="Courier New" w:cs="Courier New"/>
        </w:rPr>
        <w:t>16.1 供应商对政府采购活动事项有疑问的，可以向采购人、采购代理机构提出询问。</w:t>
      </w:r>
    </w:p>
    <w:p>
      <w:pPr>
        <w:snapToGrid w:val="0"/>
        <w:spacing w:line="440" w:lineRule="exact"/>
        <w:ind w:firstLine="420" w:firstLineChars="200"/>
        <w:rPr>
          <w:rFonts w:ascii="宋体" w:hAnsi="Courier New" w:cs="Courier New"/>
        </w:rPr>
      </w:pPr>
      <w:r>
        <w:rPr>
          <w:rFonts w:hint="eastAsia" w:ascii="宋体" w:hAnsi="Courier New" w:cs="Courier New"/>
        </w:rPr>
        <w:t>16.2 供应商认为采购文件、采购过程或中标（成交）结果使自己的合法权益受到损害的，应当在知道或者应知其权益受到损害之日起七个工作日内，以书面形式向</w:t>
      </w:r>
      <w:r>
        <w:rPr>
          <w:rFonts w:hint="eastAsia" w:ascii="宋体" w:hAnsi="Courier New" w:cs="Courier New"/>
          <w:b/>
          <w:bCs/>
        </w:rPr>
        <w:t>采购人</w:t>
      </w:r>
      <w:r>
        <w:rPr>
          <w:rFonts w:hint="eastAsia" w:ascii="宋体" w:hAnsi="Courier New" w:cs="Courier New"/>
        </w:rPr>
        <w:t>提出质疑。具体计算时间如下：</w:t>
      </w:r>
    </w:p>
    <w:p>
      <w:pPr>
        <w:snapToGrid w:val="0"/>
        <w:spacing w:line="440" w:lineRule="exact"/>
        <w:ind w:firstLine="309" w:firstLineChars="147"/>
        <w:rPr>
          <w:rFonts w:ascii="宋体" w:hAnsi="Courier New" w:cs="Courier New"/>
          <w:bCs/>
        </w:rPr>
      </w:pPr>
      <w:r>
        <w:rPr>
          <w:rFonts w:hint="eastAsia" w:ascii="宋体" w:hAnsi="Courier New" w:cs="Courier New"/>
          <w:b/>
        </w:rPr>
        <w:t>（1）对可以质疑的采购文件提出质疑的，为收到采购文件之日；</w:t>
      </w:r>
    </w:p>
    <w:p>
      <w:pPr>
        <w:widowControl/>
        <w:spacing w:line="440" w:lineRule="exact"/>
        <w:jc w:val="left"/>
        <w:rPr>
          <w:rFonts w:ascii="宋体" w:cs="Courier New"/>
          <w:b/>
        </w:rPr>
      </w:pPr>
      <w:r>
        <w:rPr>
          <w:rFonts w:hint="eastAsia" w:ascii="宋体" w:cs="Courier New"/>
        </w:rPr>
        <w:t xml:space="preserve">　 </w:t>
      </w:r>
      <w:r>
        <w:rPr>
          <w:rFonts w:hint="eastAsia" w:ascii="宋体" w:cs="Courier New"/>
          <w:b/>
        </w:rPr>
        <w:t>（2）对招标采购过程提出质疑的，为各采购程序环节结束之日；</w:t>
      </w:r>
    </w:p>
    <w:p>
      <w:pPr>
        <w:widowControl/>
        <w:spacing w:line="440" w:lineRule="exact"/>
        <w:ind w:firstLine="309" w:firstLineChars="147"/>
        <w:jc w:val="left"/>
        <w:rPr>
          <w:rFonts w:ascii="宋体" w:cs="Courier New"/>
          <w:b/>
        </w:rPr>
      </w:pPr>
      <w:r>
        <w:rPr>
          <w:rFonts w:hint="eastAsia" w:cs="Courier New"/>
          <w:b/>
        </w:rPr>
        <w:t>（3）对成交结果提出质疑的，为成交结果公告期限届满之日。供应商对采购人的质疑答复不满意或者</w:t>
      </w:r>
      <w:r>
        <w:rPr>
          <w:rFonts w:hint="eastAsia" w:ascii="宋体" w:hAnsi="宋体" w:cs="Courier New"/>
          <w:b/>
        </w:rPr>
        <w:t>采购人</w:t>
      </w:r>
      <w:r>
        <w:rPr>
          <w:rFonts w:hint="eastAsia" w:cs="Courier New"/>
          <w:b/>
        </w:rPr>
        <w:t>未在规定时间内作出答复的，可以在答复期满后十五个工作日内向同级采购监管部门投诉。</w:t>
      </w:r>
    </w:p>
    <w:p>
      <w:pPr>
        <w:snapToGrid w:val="0"/>
        <w:spacing w:line="440" w:lineRule="exact"/>
        <w:ind w:firstLine="420" w:firstLineChars="200"/>
        <w:rPr>
          <w:rFonts w:ascii="宋体" w:hAnsi="Courier New" w:cs="Courier New"/>
          <w:bCs/>
        </w:rPr>
      </w:pPr>
      <w:r>
        <w:rPr>
          <w:rFonts w:hint="eastAsia" w:ascii="宋体" w:hAnsi="Courier New" w:cs="Courier New"/>
          <w:bCs/>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pPr>
        <w:snapToGrid w:val="0"/>
        <w:spacing w:line="440" w:lineRule="exact"/>
        <w:ind w:firstLine="420" w:firstLineChars="200"/>
        <w:rPr>
          <w:rFonts w:ascii="宋体" w:hAnsi="Courier New" w:cs="Courier New"/>
          <w:bCs/>
        </w:rPr>
      </w:pPr>
      <w:r>
        <w:rPr>
          <w:rFonts w:hint="eastAsia" w:ascii="宋体" w:hAnsi="Courier New" w:cs="Courier New"/>
          <w:bCs/>
        </w:rPr>
        <w:t>16.4采购人、采购代理机构接收质疑函的方式、联系部门、联系电话和地址等信息详见“供应商须知前附表”。</w:t>
      </w:r>
    </w:p>
    <w:p>
      <w:pPr>
        <w:spacing w:line="440" w:lineRule="exact"/>
        <w:ind w:left="420" w:leftChars="200" w:firstLine="105" w:firstLineChars="50"/>
        <w:rPr>
          <w:rFonts w:ascii="宋体" w:hAnsi="宋体"/>
          <w:b/>
          <w:bCs/>
        </w:rPr>
      </w:pPr>
      <w:r>
        <w:rPr>
          <w:rFonts w:hint="eastAsia" w:ascii="宋体" w:hAnsi="宋体"/>
          <w:b/>
          <w:bCs/>
        </w:rPr>
        <w:t>十、适用法律</w:t>
      </w:r>
    </w:p>
    <w:p>
      <w:pPr>
        <w:spacing w:line="440" w:lineRule="exact"/>
        <w:ind w:left="420" w:leftChars="200" w:firstLine="105" w:firstLineChars="50"/>
        <w:rPr>
          <w:rFonts w:ascii="宋体" w:hAnsi="宋体"/>
        </w:rPr>
      </w:pPr>
      <w:r>
        <w:rPr>
          <w:rFonts w:hint="eastAsia" w:ascii="宋体" w:hAnsi="宋体"/>
        </w:rPr>
        <w:t>17.采购当事人的一切活动均适用于《中华人民共和国政府采购法》及相关规定。最终磋商结束后，</w:t>
      </w:r>
    </w:p>
    <w:p>
      <w:pPr>
        <w:spacing w:line="440" w:lineRule="exact"/>
        <w:rPr>
          <w:rFonts w:ascii="宋体" w:hAnsi="宋体"/>
        </w:rPr>
      </w:pPr>
      <w:r>
        <w:rPr>
          <w:rFonts w:hint="eastAsia" w:ascii="宋体" w:hAnsi="宋体"/>
        </w:rPr>
        <w:t>磋商小组不得再与供应商进行任何形式的磋商。</w:t>
      </w:r>
    </w:p>
    <w:p>
      <w:pPr>
        <w:spacing w:line="440" w:lineRule="exact"/>
        <w:ind w:left="420" w:leftChars="200" w:firstLine="105" w:firstLineChars="50"/>
        <w:rPr>
          <w:rFonts w:ascii="宋体" w:hAnsi="宋体"/>
          <w:b/>
          <w:bCs/>
        </w:rPr>
      </w:pPr>
      <w:r>
        <w:rPr>
          <w:rFonts w:hint="eastAsia" w:ascii="宋体" w:hAnsi="宋体"/>
          <w:b/>
          <w:bCs/>
        </w:rPr>
        <w:t>十一、其他事项</w:t>
      </w:r>
    </w:p>
    <w:p>
      <w:pPr>
        <w:spacing w:line="440" w:lineRule="exact"/>
        <w:ind w:firstLine="472" w:firstLineChars="225"/>
        <w:rPr>
          <w:rFonts w:ascii="宋体" w:hAnsi="宋体"/>
          <w:b/>
          <w:bCs/>
        </w:rPr>
      </w:pPr>
      <w:r>
        <w:rPr>
          <w:rFonts w:hint="eastAsia" w:ascii="宋体" w:hAnsi="宋体"/>
        </w:rPr>
        <w:t>18.1</w:t>
      </w:r>
      <w:r>
        <w:rPr>
          <w:rFonts w:hint="eastAsia" w:ascii="宋体" w:hAnsi="宋体"/>
          <w:b/>
          <w:bCs/>
        </w:rPr>
        <w:t>解释权</w:t>
      </w:r>
    </w:p>
    <w:p>
      <w:pPr>
        <w:pStyle w:val="19"/>
        <w:spacing w:line="440" w:lineRule="exact"/>
        <w:ind w:firstLine="454" w:firstLineChars="225"/>
        <w:rPr>
          <w:rFonts w:hAnsi="宋体"/>
          <w:spacing w:val="-4"/>
        </w:rPr>
      </w:pPr>
      <w:r>
        <w:rPr>
          <w:rFonts w:hint="eastAsia" w:hAnsi="宋体"/>
          <w:spacing w:val="-4"/>
        </w:rPr>
        <w:t>本</w:t>
      </w:r>
      <w:r>
        <w:rPr>
          <w:rFonts w:hint="eastAsia" w:hAnsi="宋体"/>
        </w:rPr>
        <w:t>竞争性磋商</w:t>
      </w:r>
      <w:r>
        <w:rPr>
          <w:rFonts w:hint="eastAsia" w:hAnsi="宋体"/>
          <w:spacing w:val="-4"/>
        </w:rPr>
        <w:t>文件解释权属本中心。</w:t>
      </w:r>
    </w:p>
    <w:p>
      <w:pPr>
        <w:pStyle w:val="19"/>
        <w:spacing w:line="440" w:lineRule="exact"/>
        <w:ind w:firstLine="474" w:firstLineChars="225"/>
        <w:rPr>
          <w:rFonts w:hAnsi="宋体"/>
        </w:rPr>
      </w:pPr>
      <w:r>
        <w:rPr>
          <w:rFonts w:hint="eastAsia" w:hAnsi="宋体"/>
          <w:b/>
          <w:bCs/>
        </w:rPr>
        <w:t>18.2 有关事宜</w:t>
      </w:r>
    </w:p>
    <w:p>
      <w:pPr>
        <w:spacing w:line="440" w:lineRule="exact"/>
        <w:ind w:left="420" w:leftChars="200" w:firstLine="105" w:firstLineChars="50"/>
        <w:rPr>
          <w:rFonts w:ascii="宋体" w:hAnsi="宋体"/>
        </w:rPr>
      </w:pPr>
      <w:r>
        <w:rPr>
          <w:rFonts w:hint="eastAsia" w:ascii="宋体" w:hAnsi="宋体"/>
        </w:rPr>
        <w:t>所有与本竞争性磋商文件有关的函件请按下列通讯地址联系：</w:t>
      </w:r>
    </w:p>
    <w:p>
      <w:pPr>
        <w:spacing w:line="440" w:lineRule="exact"/>
        <w:ind w:left="420" w:leftChars="200" w:firstLine="105" w:firstLineChars="50"/>
        <w:rPr>
          <w:rFonts w:ascii="宋体" w:hAnsi="宋体"/>
        </w:rPr>
      </w:pPr>
      <w:r>
        <w:rPr>
          <w:rFonts w:hint="eastAsia" w:ascii="宋体" w:hAnsi="宋体"/>
        </w:rPr>
        <w:t>广西壮族自治区政府采购中心</w:t>
      </w:r>
    </w:p>
    <w:p>
      <w:pPr>
        <w:spacing w:line="440" w:lineRule="exact"/>
        <w:ind w:left="420" w:leftChars="200" w:firstLine="105" w:firstLineChars="50"/>
        <w:rPr>
          <w:rFonts w:ascii="宋体" w:hAnsi="宋体"/>
        </w:rPr>
      </w:pPr>
      <w:r>
        <w:rPr>
          <w:rFonts w:hint="eastAsia" w:ascii="宋体" w:hAnsi="宋体"/>
        </w:rPr>
        <w:t>邮政编码：530011</w:t>
      </w:r>
    </w:p>
    <w:p>
      <w:pPr>
        <w:spacing w:line="440" w:lineRule="exact"/>
        <w:ind w:left="420" w:leftChars="200" w:firstLine="105" w:firstLineChars="50"/>
        <w:rPr>
          <w:rFonts w:ascii="宋体" w:hAnsi="宋体"/>
        </w:rPr>
      </w:pPr>
      <w:r>
        <w:rPr>
          <w:rFonts w:hint="eastAsia" w:ascii="宋体" w:hAnsi="宋体"/>
        </w:rPr>
        <w:t>通讯地址：广西南宁市星湖路22号</w:t>
      </w:r>
    </w:p>
    <w:p>
      <w:pPr>
        <w:spacing w:line="440" w:lineRule="exact"/>
        <w:ind w:left="420" w:leftChars="200" w:firstLine="105" w:firstLineChars="50"/>
        <w:rPr>
          <w:rFonts w:ascii="宋体" w:hAnsi="宋体"/>
        </w:rPr>
      </w:pPr>
      <w:r>
        <w:rPr>
          <w:rFonts w:hint="eastAsia" w:ascii="宋体" w:hAnsi="宋体"/>
        </w:rPr>
        <w:t>电    话：</w:t>
      </w:r>
      <w:r>
        <w:rPr>
          <w:rFonts w:ascii="宋体" w:hAnsi="宋体"/>
          <w:lang w:val="en"/>
        </w:rPr>
        <w:t>0771-8600</w:t>
      </w:r>
      <w:r>
        <w:rPr>
          <w:rFonts w:hint="eastAsia" w:ascii="宋体" w:hAnsi="宋体"/>
        </w:rPr>
        <w:t>348</w:t>
      </w:r>
    </w:p>
    <w:p>
      <w:pPr>
        <w:spacing w:line="500" w:lineRule="exact"/>
        <w:rPr>
          <w:rFonts w:ascii="宋体" w:hAnsi="宋体"/>
          <w:b/>
          <w:bCs/>
          <w:sz w:val="32"/>
          <w:szCs w:val="32"/>
        </w:rPr>
      </w:pPr>
      <w:r>
        <w:rPr>
          <w:rFonts w:hint="eastAsia" w:ascii="宋体" w:hAnsi="宋体"/>
          <w:b/>
          <w:bCs/>
          <w:sz w:val="32"/>
          <w:szCs w:val="32"/>
        </w:rPr>
        <w:t xml:space="preserve">  </w:t>
      </w:r>
    </w:p>
    <w:p>
      <w:pPr>
        <w:spacing w:line="500" w:lineRule="exact"/>
        <w:rPr>
          <w:rFonts w:ascii="宋体" w:hAnsi="宋体"/>
          <w:b/>
          <w:bCs/>
          <w:sz w:val="32"/>
          <w:szCs w:val="32"/>
        </w:rPr>
      </w:pPr>
      <w:r>
        <w:rPr>
          <w:rFonts w:hint="eastAsia" w:ascii="宋体" w:hAnsi="宋体"/>
          <w:b/>
          <w:bCs/>
          <w:sz w:val="32"/>
          <w:szCs w:val="32"/>
        </w:rPr>
        <w:t xml:space="preserve"> </w:t>
      </w:r>
    </w:p>
    <w:p>
      <w:pPr>
        <w:spacing w:line="500" w:lineRule="exact"/>
        <w:rPr>
          <w:rFonts w:ascii="宋体" w:hAnsi="宋体"/>
          <w:b/>
          <w:bCs/>
          <w:sz w:val="32"/>
          <w:szCs w:val="32"/>
        </w:rPr>
      </w:pPr>
      <w:r>
        <w:rPr>
          <w:rFonts w:hint="eastAsia" w:ascii="宋体" w:hAnsi="宋体"/>
          <w:b/>
          <w:bCs/>
          <w:sz w:val="32"/>
          <w:szCs w:val="32"/>
        </w:rPr>
        <w:t xml:space="preserve"> </w:t>
      </w:r>
    </w:p>
    <w:p>
      <w:pPr>
        <w:spacing w:line="500" w:lineRule="exact"/>
        <w:rPr>
          <w:rFonts w:ascii="宋体" w:hAnsi="宋体"/>
          <w:b/>
          <w:bCs/>
          <w:sz w:val="32"/>
          <w:szCs w:val="32"/>
        </w:rPr>
        <w:sectPr>
          <w:footerReference r:id="rId6" w:type="first"/>
          <w:footerReference r:id="rId5" w:type="default"/>
          <w:pgSz w:w="11906" w:h="16838"/>
          <w:pgMar w:top="1247" w:right="1247" w:bottom="1247" w:left="1247" w:header="851" w:footer="992" w:gutter="0"/>
          <w:pgNumType w:start="1"/>
          <w:cols w:space="720" w:num="1"/>
          <w:docGrid w:type="lines" w:linePitch="312" w:charSpace="0"/>
        </w:sectPr>
      </w:pPr>
      <w:r>
        <w:rPr>
          <w:rFonts w:hint="eastAsia" w:ascii="宋体" w:hAnsi="宋体"/>
          <w:b/>
          <w:bCs/>
          <w:sz w:val="32"/>
          <w:szCs w:val="32"/>
        </w:rPr>
        <w:t xml:space="preserve"> </w:t>
      </w:r>
    </w:p>
    <w:p/>
    <w:p>
      <w:pPr>
        <w:spacing w:line="500" w:lineRule="exact"/>
        <w:rPr>
          <w:rFonts w:ascii="宋体" w:hAnsi="宋体"/>
          <w:b/>
          <w:bCs/>
          <w:sz w:val="32"/>
          <w:szCs w:val="32"/>
        </w:rPr>
      </w:pPr>
      <w:r>
        <w:rPr>
          <w:rFonts w:hint="eastAsia" w:ascii="宋体" w:hAnsi="宋体"/>
          <w:b/>
          <w:bCs/>
          <w:sz w:val="32"/>
          <w:szCs w:val="32"/>
        </w:rPr>
        <w:t xml:space="preserve"> </w:t>
      </w:r>
    </w:p>
    <w:p>
      <w:pPr>
        <w:spacing w:line="500" w:lineRule="exact"/>
        <w:rPr>
          <w:rFonts w:ascii="宋体" w:hAnsi="宋体"/>
          <w:b/>
          <w:bCs/>
          <w:sz w:val="32"/>
          <w:szCs w:val="32"/>
        </w:rPr>
      </w:pPr>
      <w:r>
        <w:rPr>
          <w:rFonts w:hint="eastAsia" w:ascii="宋体" w:hAnsi="宋体"/>
          <w:b/>
          <w:bCs/>
          <w:sz w:val="32"/>
          <w:szCs w:val="32"/>
        </w:rPr>
        <w:t xml:space="preserve"> </w:t>
      </w:r>
    </w:p>
    <w:p>
      <w:pPr>
        <w:spacing w:line="500" w:lineRule="exact"/>
        <w:rPr>
          <w:rFonts w:ascii="宋体" w:hAnsi="宋体"/>
          <w:b/>
          <w:bCs/>
          <w:sz w:val="32"/>
          <w:szCs w:val="32"/>
        </w:rPr>
      </w:pPr>
    </w:p>
    <w:p>
      <w:pPr>
        <w:spacing w:line="500" w:lineRule="exact"/>
        <w:rPr>
          <w:rFonts w:ascii="宋体" w:hAnsi="宋体"/>
          <w:b/>
          <w:bCs/>
          <w:sz w:val="32"/>
          <w:szCs w:val="32"/>
        </w:rPr>
      </w:pPr>
      <w:r>
        <w:rPr>
          <w:rFonts w:hint="eastAsia" w:ascii="宋体" w:hAnsi="宋体"/>
          <w:b/>
          <w:bCs/>
          <w:sz w:val="32"/>
          <w:szCs w:val="32"/>
        </w:rPr>
        <w:t xml:space="preserve"> </w:t>
      </w:r>
    </w:p>
    <w:p>
      <w:pPr>
        <w:spacing w:line="500" w:lineRule="exact"/>
        <w:rPr>
          <w:rFonts w:ascii="宋体" w:hAnsi="宋体"/>
          <w:b/>
          <w:bCs/>
          <w:sz w:val="32"/>
          <w:szCs w:val="32"/>
        </w:rPr>
      </w:pPr>
      <w:r>
        <w:rPr>
          <w:rFonts w:hint="eastAsia" w:ascii="宋体" w:hAnsi="宋体"/>
          <w:b/>
          <w:bCs/>
          <w:sz w:val="32"/>
          <w:szCs w:val="32"/>
        </w:rPr>
        <w:t xml:space="preserve"> </w:t>
      </w:r>
    </w:p>
    <w:p>
      <w:pPr>
        <w:spacing w:line="500" w:lineRule="exact"/>
        <w:rPr>
          <w:rFonts w:ascii="宋体" w:hAnsi="宋体"/>
          <w:b/>
          <w:bCs/>
          <w:sz w:val="32"/>
          <w:szCs w:val="32"/>
        </w:rPr>
      </w:pPr>
      <w:r>
        <w:rPr>
          <w:rFonts w:hint="eastAsia" w:ascii="宋体" w:hAnsi="宋体"/>
          <w:b/>
          <w:bCs/>
          <w:sz w:val="32"/>
          <w:szCs w:val="32"/>
        </w:rPr>
        <w:t xml:space="preserve"> </w:t>
      </w:r>
    </w:p>
    <w:p>
      <w:pPr>
        <w:pStyle w:val="33"/>
        <w:ind w:firstLine="640"/>
        <w:rPr>
          <w:rFonts w:hAnsi="宋体"/>
          <w:b w:val="0"/>
          <w:bCs/>
          <w:sz w:val="32"/>
          <w:szCs w:val="32"/>
        </w:rPr>
      </w:pPr>
    </w:p>
    <w:p>
      <w:pPr>
        <w:rPr>
          <w:rFonts w:ascii="宋体" w:hAnsi="宋体"/>
          <w:b/>
          <w:bCs/>
          <w:sz w:val="32"/>
          <w:szCs w:val="32"/>
        </w:rPr>
      </w:pPr>
    </w:p>
    <w:p>
      <w:pPr>
        <w:pStyle w:val="33"/>
        <w:ind w:firstLine="640"/>
        <w:rPr>
          <w:rFonts w:hAnsi="宋体"/>
          <w:b w:val="0"/>
          <w:bCs/>
          <w:sz w:val="32"/>
          <w:szCs w:val="32"/>
        </w:rPr>
      </w:pPr>
    </w:p>
    <w:p>
      <w:pPr>
        <w:rPr>
          <w:rFonts w:ascii="宋体" w:hAnsi="宋体"/>
          <w:b/>
          <w:bCs/>
          <w:sz w:val="32"/>
          <w:szCs w:val="32"/>
        </w:rPr>
      </w:pPr>
    </w:p>
    <w:p>
      <w:pPr>
        <w:pStyle w:val="33"/>
        <w:ind w:firstLine="640"/>
        <w:rPr>
          <w:rFonts w:hAnsi="宋体"/>
          <w:b w:val="0"/>
          <w:bCs/>
          <w:sz w:val="32"/>
          <w:szCs w:val="32"/>
        </w:rPr>
      </w:pPr>
    </w:p>
    <w:p/>
    <w:p>
      <w:pPr>
        <w:spacing w:line="500" w:lineRule="exact"/>
        <w:rPr>
          <w:rFonts w:ascii="宋体" w:hAnsi="宋体"/>
          <w:b/>
          <w:bCs/>
          <w:sz w:val="32"/>
          <w:szCs w:val="32"/>
        </w:rPr>
      </w:pPr>
      <w:r>
        <w:rPr>
          <w:rFonts w:hint="eastAsia" w:ascii="宋体" w:hAnsi="宋体"/>
          <w:b/>
          <w:bCs/>
          <w:sz w:val="32"/>
          <w:szCs w:val="32"/>
        </w:rPr>
        <w:t xml:space="preserve"> </w:t>
      </w:r>
    </w:p>
    <w:p>
      <w:pPr>
        <w:pStyle w:val="2"/>
        <w:jc w:val="center"/>
        <w:rPr>
          <w:rFonts w:ascii="宋体" w:hAnsi="宋体"/>
        </w:rPr>
      </w:pPr>
      <w:bookmarkStart w:id="9" w:name="_Toc18481386"/>
      <w:bookmarkEnd w:id="9"/>
      <w:r>
        <w:rPr>
          <w:rFonts w:hint="eastAsia" w:ascii="宋体" w:hAnsi="宋体"/>
        </w:rPr>
        <w:t>第三章  采购需求</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pStyle w:val="33"/>
        <w:ind w:firstLine="640"/>
        <w:rPr>
          <w:rFonts w:hAnsi="宋体"/>
          <w:b w:val="0"/>
          <w:bCs/>
          <w:sz w:val="32"/>
          <w:szCs w:val="32"/>
        </w:rPr>
      </w:pPr>
    </w:p>
    <w:p>
      <w:pPr>
        <w:rPr>
          <w:rFonts w:ascii="宋体" w:hAnsi="宋体"/>
          <w:b/>
          <w:bCs/>
          <w:sz w:val="32"/>
          <w:szCs w:val="32"/>
        </w:rPr>
      </w:pPr>
    </w:p>
    <w:p>
      <w:pPr>
        <w:pStyle w:val="33"/>
        <w:ind w:firstLine="422"/>
      </w:pPr>
    </w:p>
    <w:p>
      <w:pPr>
        <w:adjustRightInd w:val="0"/>
        <w:snapToGrid w:val="0"/>
        <w:spacing w:line="440" w:lineRule="exact"/>
        <w:ind w:left="2" w:firstLine="2570" w:firstLineChars="800"/>
        <w:jc w:val="left"/>
        <w:rPr>
          <w:rFonts w:ascii="仿宋_GB2312" w:hAnsi="宋体" w:eastAsia="仿宋_GB2312"/>
          <w:b/>
          <w:sz w:val="32"/>
          <w:szCs w:val="32"/>
        </w:rPr>
      </w:pPr>
      <w:r>
        <w:rPr>
          <w:rFonts w:hint="eastAsia" w:ascii="仿宋_GB2312" w:hAnsi="宋体" w:eastAsia="仿宋_GB2312"/>
          <w:b/>
          <w:sz w:val="32"/>
          <w:szCs w:val="32"/>
        </w:rPr>
        <w:t>采购项目技术规格、参数及要求</w:t>
      </w:r>
    </w:p>
    <w:p>
      <w:pPr>
        <w:adjustRightInd w:val="0"/>
        <w:snapToGrid w:val="0"/>
        <w:spacing w:line="440" w:lineRule="exact"/>
        <w:ind w:left="2" w:firstLine="2570" w:firstLineChars="800"/>
        <w:jc w:val="left"/>
        <w:rPr>
          <w:rFonts w:ascii="仿宋_GB2312" w:hAnsi="宋体" w:eastAsia="仿宋_GB2312"/>
          <w:b/>
          <w:sz w:val="32"/>
          <w:szCs w:val="32"/>
          <w:highlight w:val="yellow"/>
        </w:rPr>
      </w:pPr>
    </w:p>
    <w:p>
      <w:pPr>
        <w:adjustRightInd w:val="0"/>
        <w:snapToGrid w:val="0"/>
        <w:spacing w:line="440" w:lineRule="exact"/>
        <w:ind w:left="2"/>
        <w:jc w:val="left"/>
        <w:rPr>
          <w:rFonts w:ascii="宋体" w:hAnsi="宋体"/>
          <w:b/>
          <w:color w:val="000000"/>
          <w:sz w:val="32"/>
          <w:szCs w:val="32"/>
        </w:rPr>
      </w:pPr>
      <w:r>
        <w:rPr>
          <w:rFonts w:hint="eastAsia" w:ascii="宋体" w:cs="宋体"/>
          <w:b/>
          <w:bCs/>
        </w:rPr>
        <w:t>采购需求（即：</w:t>
      </w:r>
      <w:r>
        <w:rPr>
          <w:rFonts w:hint="eastAsia" w:ascii="宋体" w:hAnsi="宋体" w:cs="宋体"/>
          <w:b/>
          <w:bCs/>
        </w:rPr>
        <w:t>主要技术参数及性能配置要求</w:t>
      </w:r>
      <w:r>
        <w:rPr>
          <w:rFonts w:hint="eastAsia" w:ascii="宋体" w:cs="宋体"/>
          <w:b/>
          <w:bCs/>
        </w:rPr>
        <w:t>和商务要求）中标注“</w:t>
      </w:r>
      <w:r>
        <w:rPr>
          <w:rFonts w:hint="eastAsia" w:ascii="宋体" w:hAnsi="宋体" w:cs="宋体"/>
          <w:lang w:bidi="ar"/>
        </w:rPr>
        <w:t>▲</w:t>
      </w:r>
      <w:r>
        <w:rPr>
          <w:rFonts w:hint="eastAsia" w:ascii="宋体" w:cs="宋体"/>
          <w:b/>
          <w:bCs/>
        </w:rPr>
        <w:t>”号的参数必须完全响应，不允许负偏离，有负偏离的</w:t>
      </w:r>
      <w:r>
        <w:rPr>
          <w:rStyle w:val="76"/>
          <w:rFonts w:hint="eastAsia" w:ascii="宋体"/>
          <w:b/>
          <w:bCs/>
          <w:color w:val="auto"/>
        </w:rPr>
        <w:t>，将导致谈判被拒绝，响应文件作无效</w:t>
      </w:r>
      <w:r>
        <w:rPr>
          <w:rFonts w:hint="eastAsia" w:ascii="宋体" w:hAnsi="宋体" w:cs="宋体"/>
          <w:b/>
          <w:spacing w:val="-6"/>
        </w:rPr>
        <w:t>处理</w:t>
      </w:r>
      <w:r>
        <w:rPr>
          <w:rStyle w:val="76"/>
          <w:rFonts w:hint="eastAsia" w:ascii="宋体"/>
          <w:b/>
          <w:bCs/>
          <w:color w:val="auto"/>
        </w:rPr>
        <w:t>。</w:t>
      </w:r>
    </w:p>
    <w:p>
      <w:pPr>
        <w:pStyle w:val="6"/>
        <w:keepNext w:val="0"/>
        <w:keepLines w:val="0"/>
        <w:spacing w:before="0" w:after="0" w:line="360" w:lineRule="auto"/>
        <w:rPr>
          <w:rFonts w:ascii="宋体" w:hAnsi="宋体"/>
          <w:sz w:val="21"/>
          <w:szCs w:val="21"/>
        </w:rPr>
      </w:pPr>
    </w:p>
    <w:tbl>
      <w:tblPr>
        <w:tblStyle w:val="3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60"/>
        <w:gridCol w:w="1245"/>
        <w:gridCol w:w="460"/>
        <w:gridCol w:w="558"/>
        <w:gridCol w:w="69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Calibri"/>
                <w:b/>
                <w:color w:val="000000" w:themeColor="text1"/>
                <w14:textFill>
                  <w14:solidFill>
                    <w14:schemeClr w14:val="tx1"/>
                  </w14:solidFill>
                </w14:textFill>
              </w:rPr>
            </w:pPr>
            <w:r>
              <w:rPr>
                <w:rFonts w:hint="eastAsia" w:ascii="宋体" w:hAnsi="宋体" w:cs="Calibri"/>
                <w:b/>
                <w:color w:val="000000" w:themeColor="text1"/>
                <w14:textFill>
                  <w14:solidFill>
                    <w14:schemeClr w14:val="tx1"/>
                  </w14:solidFill>
                </w14:textFill>
              </w:rPr>
              <w:t>序号</w:t>
            </w:r>
          </w:p>
        </w:tc>
        <w:tc>
          <w:tcPr>
            <w:tcW w:w="0" w:type="auto"/>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Calibri"/>
                <w:b/>
                <w:color w:val="000000" w:themeColor="text1"/>
                <w14:textFill>
                  <w14:solidFill>
                    <w14:schemeClr w14:val="tx1"/>
                  </w14:solidFill>
                </w14:textFill>
              </w:rPr>
            </w:pPr>
            <w:r>
              <w:rPr>
                <w:rFonts w:hint="eastAsia" w:ascii="宋体" w:hAnsi="宋体" w:cs="Calibri"/>
                <w:b/>
                <w:color w:val="000000" w:themeColor="text1"/>
                <w14:textFill>
                  <w14:solidFill>
                    <w14:schemeClr w14:val="tx1"/>
                  </w14:solidFill>
                </w14:textFill>
              </w:rPr>
              <w:t>标的（服务）名称</w:t>
            </w:r>
          </w:p>
        </w:tc>
        <w:tc>
          <w:tcPr>
            <w:tcW w:w="0" w:type="auto"/>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数量</w:t>
            </w:r>
          </w:p>
        </w:tc>
        <w:tc>
          <w:tcPr>
            <w:tcW w:w="0" w:type="auto"/>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Calibri"/>
                <w:b/>
                <w:bCs/>
                <w:color w:val="000000" w:themeColor="text1"/>
                <w14:textFill>
                  <w14:solidFill>
                    <w14:schemeClr w14:val="tx1"/>
                  </w14:solidFill>
                </w14:textFill>
              </w:rPr>
            </w:pPr>
            <w:r>
              <w:rPr>
                <w:rFonts w:hint="eastAsia" w:ascii="宋体" w:hAnsi="宋体" w:cs="Calibri"/>
                <w:b/>
                <w:bCs/>
                <w:color w:val="000000" w:themeColor="text1"/>
                <w14:textFill>
                  <w14:solidFill>
                    <w14:schemeClr w14:val="tx1"/>
                  </w14:solidFill>
                </w14:textFill>
              </w:rPr>
              <w:t>所属行业</w:t>
            </w:r>
          </w:p>
        </w:tc>
        <w:tc>
          <w:tcPr>
            <w:tcW w:w="0" w:type="auto"/>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Calibri"/>
                <w:b/>
                <w:bCs/>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服务内容及要求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0" w:type="auto"/>
            <w:gridSpan w:val="5"/>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b/>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w:t>
            </w:r>
            <w:r>
              <w:rPr>
                <w:rFonts w:hint="eastAsia" w:ascii="宋体" w:hAnsi="宋体"/>
                <w:b/>
                <w:bCs/>
                <w:color w:val="000000" w:themeColor="text1"/>
                <w14:textFill>
                  <w14:solidFill>
                    <w14:schemeClr w14:val="tx1"/>
                  </w14:solidFill>
                </w14:textFill>
              </w:rPr>
              <w:t>一、技术要求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Calibri"/>
                <w:b/>
                <w:color w:val="000000" w:themeColor="text1"/>
                <w14:textFill>
                  <w14:solidFill>
                    <w14:schemeClr w14:val="tx1"/>
                  </w14:solidFill>
                </w14:textFill>
              </w:rPr>
            </w:pPr>
            <w:r>
              <w:rPr>
                <w:rFonts w:hint="eastAsia" w:ascii="宋体" w:hAnsi="宋体" w:cs="Calibri"/>
                <w:b/>
                <w:color w:val="000000" w:themeColor="text1"/>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Calibri"/>
                <w:color w:val="000000" w:themeColor="text1"/>
                <w14:textFill>
                  <w14:solidFill>
                    <w14:schemeClr w14:val="tx1"/>
                  </w14:solidFill>
                </w14:textFill>
              </w:rPr>
            </w:pPr>
            <w:r>
              <w:rPr>
                <w:rFonts w:ascii="宋体" w:hAnsi="宋体" w:cs="Calibri"/>
                <w:color w:val="000000" w:themeColor="text1"/>
                <w:lang w:val="en"/>
                <w14:textFill>
                  <w14:solidFill>
                    <w14:schemeClr w14:val="tx1"/>
                  </w14:solidFill>
                </w14:textFill>
              </w:rPr>
              <w:t xml:space="preserve"> </w:t>
            </w:r>
            <w:r>
              <w:rPr>
                <w:rFonts w:hint="eastAsia" w:ascii="宋体" w:hAnsi="宋体" w:cs="Calibri"/>
                <w:color w:val="000000" w:themeColor="text1"/>
                <w:lang w:val="en"/>
                <w14:textFill>
                  <w14:solidFill>
                    <w14:schemeClr w14:val="tx1"/>
                  </w14:solidFill>
                </w14:textFill>
              </w:rPr>
              <w:t>广西农业职业技术大学网络线路租赁服务</w:t>
            </w:r>
            <w:r>
              <w:rPr>
                <w:rFonts w:hint="eastAsia" w:ascii="宋体" w:hAnsi="宋体" w:cs="Calibri"/>
                <w:strike w:val="0"/>
                <w:color w:val="000000" w:themeColor="text1"/>
                <w:highlight w:val="none"/>
                <w:lang w:val="en"/>
                <w14:textFill>
                  <w14:solidFill>
                    <w14:schemeClr w14:val="tx1"/>
                  </w14:solidFill>
                </w14:textFill>
              </w:rPr>
              <w:t>采购</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Calibri"/>
                <w:color w:val="000000" w:themeColor="text1"/>
                <w14:textFill>
                  <w14:solidFill>
                    <w14:schemeClr w14:val="tx1"/>
                  </w14:solidFill>
                </w14:textFill>
              </w:rPr>
            </w:pPr>
            <w:r>
              <w:rPr>
                <w:rFonts w:hint="eastAsia" w:ascii="宋体" w:hAnsi="宋体" w:cs="Calibri"/>
                <w:color w:val="000000" w:themeColor="text1"/>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信息传输业</w:t>
            </w:r>
          </w:p>
        </w:tc>
        <w:tc>
          <w:tcPr>
            <w:tcW w:w="0" w:type="auto"/>
            <w:tcBorders>
              <w:top w:val="single" w:color="auto" w:sz="4" w:space="0"/>
              <w:left w:val="single" w:color="auto" w:sz="4" w:space="0"/>
              <w:bottom w:val="single" w:color="auto" w:sz="4" w:space="0"/>
              <w:right w:val="single" w:color="auto" w:sz="4" w:space="0"/>
            </w:tcBorders>
          </w:tcPr>
          <w:p>
            <w:pPr>
              <w:pStyle w:val="137"/>
              <w:ind w:firstLine="0" w:firstLineChars="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提供西校区线路带宽为6500Mbps，数据链路IPv4/IPv6双栈恒定的上、下行速率相等；提供不少于60个可被访问互联网的固定IP地址，确保所有基于固定IP的业务系统(包括但不限于网站、服务器、监控平台等)的连续可用性，实现业务零中断、配置零更改其公网访问权限及备案信息不受任何影响。负责完成IP地址段的BGP路由宣告及原有备案信息的增删事宜，同时需承担涉及业务系统变更或停滞产生的其他费用；</w:t>
            </w:r>
          </w:p>
          <w:p>
            <w:pPr>
              <w:pStyle w:val="137"/>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auto"/>
                <w:szCs w:val="21"/>
                <w:highlight w:val="none"/>
                <w:shd w:val="clear" w:color="auto" w:fill="auto"/>
              </w:rPr>
              <w:t>2.提供两校区互联数字电路1000M：数字电路采用MPLS VPN/IPPON/IPRAN/MSTP等组网技术，不接受采用PTN、IPSEC、MSAP等类似技术方式组网,实现采购人中心机房至远端点之间的组网需求。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0" w:type="auto"/>
            <w:gridSpan w:val="5"/>
            <w:tcBorders>
              <w:top w:val="single" w:color="auto" w:sz="4" w:space="0"/>
              <w:left w:val="single" w:color="auto" w:sz="4" w:space="0"/>
              <w:bottom w:val="single" w:color="auto" w:sz="4" w:space="0"/>
              <w:right w:val="single" w:color="auto" w:sz="4" w:space="0"/>
            </w:tcBorders>
          </w:tcPr>
          <w:p>
            <w:pPr>
              <w:spacing w:line="320" w:lineRule="exact"/>
              <w:rPr>
                <w:rFonts w:ascii="宋体" w:hAnsi="宋体" w:cs="Calibri"/>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0" w:type="auto"/>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产品及售后服务要求</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000000" w:themeColor="text1"/>
                <w14:textFill>
                  <w14:solidFill>
                    <w14:schemeClr w14:val="tx1"/>
                  </w14:solidFill>
                </w14:textFill>
              </w:rPr>
              <w:t>1.按指定服务期提供网络接入服务，保障网络接入的通畅性、稳定性及数据传输效率，适配我校规模布局、教学科研、国际信息交流及日常办公等核心场景</w:t>
            </w:r>
            <w:r>
              <w:rPr>
                <w:rFonts w:hint="eastAsia" w:ascii="宋体" w:hAnsi="宋体" w:cs="宋体"/>
                <w:color w:val="auto"/>
                <w:highlight w:val="none"/>
              </w:rPr>
              <w:t>需求，所有服务须符合国家、行业相关标准及规范。</w:t>
            </w:r>
          </w:p>
          <w:p>
            <w:pPr>
              <w:rPr>
                <w:rFonts w:ascii="宋体" w:hAnsi="宋体" w:cs="宋体"/>
                <w:color w:val="auto"/>
                <w:highlight w:val="none"/>
              </w:rPr>
            </w:pPr>
            <w:r>
              <w:rPr>
                <w:rFonts w:hint="eastAsia" w:ascii="宋体" w:hAnsi="宋体" w:cs="宋体"/>
                <w:color w:val="auto"/>
                <w:highlight w:val="none"/>
              </w:rPr>
              <w:t>2.提供7×24小时热线电话服务和售后服务响应；并提供多个故障申告途径及绿色通道，供应商须配备不少于10人的服务团队，包含实施、技术、售后技术骨干各一名，技术骨干负责网络技术支撑、资源落实、性能优化及安全防护建议，实施技术骨干负责项目实施管理、统筹、施工计划、质量安全等方面，售后技术骨干负责光电通信维护、工程质量监督及故障处理，技术骨干需具备国家认可的专业资质，确保满足本项目网络服务核心需求。</w:t>
            </w:r>
          </w:p>
          <w:p>
            <w:pPr>
              <w:rPr>
                <w:rFonts w:ascii="宋体" w:hAnsi="宋体" w:cs="宋体"/>
                <w:color w:val="000000" w:themeColor="text1"/>
                <w14:textFill>
                  <w14:solidFill>
                    <w14:schemeClr w14:val="tx1"/>
                  </w14:solidFill>
                </w14:textFill>
              </w:rPr>
            </w:pPr>
            <w:r>
              <w:rPr>
                <w:rFonts w:hint="eastAsia" w:ascii="宋体" w:hAnsi="宋体" w:cs="宋体"/>
                <w:color w:val="auto"/>
                <w:highlight w:val="none"/>
              </w:rPr>
              <w:t>3.如成交供应商监测发现网络线路有故障或采购人故障申告后，2个小时内做出响应，不需赶赴现场处理的3</w:t>
            </w:r>
            <w:r>
              <w:rPr>
                <w:rFonts w:hint="eastAsia" w:ascii="宋体" w:hAnsi="宋体" w:cs="宋体"/>
                <w:color w:val="000000" w:themeColor="text1"/>
                <w14:textFill>
                  <w14:solidFill>
                    <w14:schemeClr w14:val="tx1"/>
                  </w14:solidFill>
                </w14:textFill>
              </w:rPr>
              <w:t>个小时内提出解决方案，需赶赴现场处理的4个小时内提出解决方案，不需赶赴现场的8个小时内解决故障恢复网络线路正常，需赶赴现场的12个小时内解决故障恢复网络线路正常，并告知采购人和用户单位故障原因。超过12个小时无法恢复的故障，成交人7个日历日内向采购人提交书面故障报告，报告包括故障现象描述、故障原因分析、故障解决办法、故障发生时间、故障恢复时间、如何避免同类问题发生的措施等。</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4.电路月故障率≤3%（如遇不可抗力或市政施工除外），所有线路可用率不低于99.9%（不可抗力因素影响除外）。</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5.在服务期内，成交供应商应严格遵守《中华人民共和国电信条例》，维护双方权益，按《电信服务规范》的电路质量要求，保证采购人租用线路畅通及安全使用。</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6.因成交供应商施工、网络割接等原因影响线路稳定运行的，应当提前一天通知采购人，并且尽快消除故障、恢复通信线路。</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7.如在使用中需更改线路使用地址，成交方需免费移机。</w:t>
            </w:r>
          </w:p>
          <w:p>
            <w:pPr>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8.成交人须遵守校园出入规定，在服务过程中确保相关人员安全。供货、安装过程中产生的残留物或垃圾，成交人需自行清理至校外。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0" w:type="auto"/>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s="宋体"/>
                <w:color w:val="auto"/>
                <w:kern w:val="0"/>
                <w:shd w:val="clear" w:color="auto" w:fill="auto"/>
              </w:rPr>
              <w:t>▲</w:t>
            </w:r>
            <w:r>
              <w:rPr>
                <w:rFonts w:hint="eastAsia" w:ascii="宋体" w:hAnsi="宋体"/>
                <w:b/>
                <w:bCs/>
                <w:color w:val="000000" w:themeColor="text1"/>
                <w14:textFill>
                  <w14:solidFill>
                    <w14:schemeClr w14:val="tx1"/>
                  </w14:solidFill>
                </w14:textFill>
              </w:rPr>
              <w:t>服务期及地点</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1.</w:t>
            </w:r>
            <w:r>
              <w:rPr>
                <w:rFonts w:hint="eastAsia" w:ascii="宋体" w:hAnsi="宋体"/>
                <w:color w:val="auto"/>
                <w:highlight w:val="none"/>
              </w:rPr>
              <w:t>服务期：</w:t>
            </w:r>
            <w:r>
              <w:rPr>
                <w:rFonts w:hint="eastAsia" w:ascii="宋体" w:hAnsi="宋体" w:cs="宋体"/>
                <w:b/>
                <w:color w:val="auto"/>
                <w:highlight w:val="none"/>
                <w:u w:val="single"/>
              </w:rPr>
              <w:t xml:space="preserve">  1  </w:t>
            </w:r>
            <w:r>
              <w:rPr>
                <w:rFonts w:hint="eastAsia" w:ascii="宋体" w:hAnsi="宋体"/>
                <w:color w:val="auto"/>
                <w:highlight w:val="none"/>
              </w:rPr>
              <w:t>年。</w:t>
            </w:r>
          </w:p>
          <w:p>
            <w:pP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服务</w:t>
            </w:r>
            <w:r>
              <w:rPr>
                <w:rFonts w:ascii="宋体" w:hAnsi="宋体"/>
                <w:color w:val="000000" w:themeColor="text1"/>
                <w14:textFill>
                  <w14:solidFill>
                    <w14:schemeClr w14:val="tx1"/>
                  </w14:solidFill>
                </w14:textFill>
              </w:rPr>
              <w:t>地点：广西农业职业技术</w:t>
            </w:r>
            <w:r>
              <w:rPr>
                <w:rFonts w:hint="eastAsia" w:ascii="宋体" w:hAnsi="宋体"/>
                <w:color w:val="000000" w:themeColor="text1"/>
                <w14:textFill>
                  <w14:solidFill>
                    <w14:schemeClr w14:val="tx1"/>
                  </w14:solidFill>
                </w14:textFill>
              </w:rPr>
              <w:t>大学</w:t>
            </w:r>
            <w:r>
              <w:rPr>
                <w:rFonts w:ascii="宋体" w:hAnsi="宋体"/>
                <w:color w:val="000000" w:themeColor="text1"/>
                <w14:textFill>
                  <w14:solidFill>
                    <w14:schemeClr w14:val="tx1"/>
                  </w14:solidFill>
                </w14:textFill>
              </w:rPr>
              <w:t>。</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3.交付使用期限：自签订合同之日起</w:t>
            </w:r>
            <w:r>
              <w:rPr>
                <w:rFonts w:ascii="宋体" w:hAnsi="宋体"/>
                <w:color w:val="000000" w:themeColor="text1"/>
                <w14:textFill>
                  <w14:solidFill>
                    <w14:schemeClr w14:val="tx1"/>
                  </w14:solidFill>
                </w14:textFill>
              </w:rPr>
              <w:t>20</w:t>
            </w:r>
            <w:r>
              <w:rPr>
                <w:rFonts w:hint="eastAsia" w:ascii="宋体" w:hAnsi="宋体"/>
                <w:color w:val="000000" w:themeColor="text1"/>
                <w14:textFill>
                  <w14:solidFill>
                    <w14:schemeClr w14:val="tx1"/>
                  </w14:solidFill>
                </w14:textFill>
              </w:rPr>
              <w:t>日历日内交付使用。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0" w:type="auto"/>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付款条件</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bCs/>
                <w:color w:val="auto"/>
                <w:highlight w:val="none"/>
                <w:lang w:val="en-US" w:eastAsia="zh-CN"/>
              </w:rPr>
              <w:t>在合同签订后30天内，</w:t>
            </w:r>
            <w:r>
              <w:rPr>
                <w:rFonts w:hint="eastAsia" w:ascii="宋体" w:hAnsi="宋体"/>
                <w:bCs/>
                <w:color w:val="000000" w:themeColor="text1"/>
                <w:highlight w:val="none"/>
                <w:lang w:val="en-US" w:eastAsia="zh-CN"/>
                <w14:textFill>
                  <w14:solidFill>
                    <w14:schemeClr w14:val="tx1"/>
                  </w14:solidFill>
                </w14:textFill>
              </w:rPr>
              <w:t>由学校管理部门对中标供应商提供的</w:t>
            </w:r>
            <w:r>
              <w:rPr>
                <w:rFonts w:hint="eastAsia" w:ascii="宋体" w:hAnsi="宋体" w:cs="宋体"/>
                <w:color w:val="000000" w:themeColor="text1"/>
                <w:szCs w:val="21"/>
                <w:highlight w:val="none"/>
                <w14:textFill>
                  <w14:solidFill>
                    <w14:schemeClr w14:val="tx1"/>
                  </w14:solidFill>
                </w14:textFill>
              </w:rPr>
              <w:t>6500Mbps带宽</w:t>
            </w:r>
            <w:r>
              <w:rPr>
                <w:rFonts w:hint="eastAsia" w:ascii="宋体" w:hAnsi="宋体" w:cs="宋体"/>
                <w:color w:val="000000" w:themeColor="text1"/>
                <w:szCs w:val="21"/>
                <w:highlight w:val="none"/>
                <w:lang w:val="en-US" w:eastAsia="zh-CN"/>
                <w14:textFill>
                  <w14:solidFill>
                    <w14:schemeClr w14:val="tx1"/>
                  </w14:solidFill>
                </w14:textFill>
              </w:rPr>
              <w:t>随机抽测三次达标并出具测试报告后</w:t>
            </w:r>
            <w:r>
              <w:rPr>
                <w:rFonts w:hint="eastAsia" w:ascii="宋体" w:hAnsi="宋体"/>
                <w:bCs/>
                <w:color w:val="000000" w:themeColor="text1"/>
                <w:highlight w:val="none"/>
                <w14:textFill>
                  <w14:solidFill>
                    <w14:schemeClr w14:val="tx1"/>
                  </w14:solidFill>
                </w14:textFill>
              </w:rPr>
              <w:t>完成合同款项的支付。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供应商可以在响应文件中提供技术方案等。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可磋商内容：交付使用时间。</w:t>
            </w:r>
          </w:p>
        </w:tc>
      </w:tr>
    </w:tbl>
    <w:p>
      <w:pPr>
        <w:pStyle w:val="16"/>
        <w:rPr>
          <w:rFonts w:ascii="宋体" w:hAnsi="宋体" w:cs="宋体"/>
          <w:b/>
          <w:kern w:val="0"/>
        </w:rPr>
      </w:pPr>
    </w:p>
    <w:p>
      <w:pPr>
        <w:pStyle w:val="16"/>
        <w:rPr>
          <w:rFonts w:ascii="宋体" w:hAnsi="宋体" w:cs="宋体"/>
          <w:b/>
          <w:kern w:val="0"/>
        </w:rPr>
      </w:pPr>
    </w:p>
    <w:p>
      <w:pPr>
        <w:pStyle w:val="16"/>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rPr>
          <w:rFonts w:ascii="宋体" w:hAnsi="宋体" w:cs="宋体"/>
          <w:b/>
          <w:kern w:val="0"/>
        </w:rPr>
      </w:pPr>
    </w:p>
    <w:p>
      <w:pPr>
        <w:pStyle w:val="2"/>
        <w:jc w:val="center"/>
        <w:rPr>
          <w:rFonts w:ascii="宋体" w:hAnsi="宋体"/>
        </w:rPr>
      </w:pPr>
    </w:p>
    <w:p>
      <w:pPr>
        <w:pStyle w:val="2"/>
        <w:jc w:val="center"/>
        <w:rPr>
          <w:rFonts w:ascii="宋体" w:hAnsi="宋体"/>
        </w:rPr>
      </w:pPr>
    </w:p>
    <w:p>
      <w:pPr>
        <w:pStyle w:val="2"/>
        <w:jc w:val="center"/>
        <w:rPr>
          <w:rFonts w:ascii="宋体" w:hAnsi="宋体"/>
        </w:rPr>
      </w:pPr>
    </w:p>
    <w:p>
      <w:pPr>
        <w:pStyle w:val="2"/>
        <w:jc w:val="center"/>
        <w:rPr>
          <w:rFonts w:ascii="宋体" w:hAnsi="宋体"/>
        </w:rPr>
      </w:pPr>
      <w:r>
        <w:rPr>
          <w:rFonts w:hint="eastAsia" w:ascii="宋体" w:hAnsi="宋体"/>
        </w:rPr>
        <w:t>第四章  竞争性磋商响应文件格式</w:t>
      </w:r>
    </w:p>
    <w:p>
      <w:pPr>
        <w:snapToGrid w:val="0"/>
        <w:spacing w:before="156" w:beforeLines="50" w:after="50" w:line="360" w:lineRule="exact"/>
        <w:outlineLvl w:val="1"/>
        <w:rPr>
          <w:rFonts w:ascii="宋体" w:hAnsi="宋体"/>
          <w:b/>
          <w:bCs/>
        </w:rPr>
      </w:pPr>
      <w:r>
        <w:rPr>
          <w:rFonts w:hint="eastAsia" w:ascii="宋体" w:hAnsi="宋体"/>
          <w:b/>
          <w:bCs/>
        </w:rPr>
        <w:t xml:space="preserve"> </w:t>
      </w:r>
    </w:p>
    <w:p>
      <w:pPr>
        <w:pageBreakBefore/>
        <w:rPr>
          <w:rFonts w:ascii="宋体" w:hAnsi="宋体"/>
          <w:b/>
          <w:sz w:val="28"/>
          <w:szCs w:val="28"/>
        </w:rPr>
      </w:pPr>
      <w:r>
        <w:rPr>
          <w:rFonts w:hint="eastAsia" w:ascii="宋体" w:hAnsi="宋体"/>
          <w:b/>
          <w:sz w:val="28"/>
          <w:szCs w:val="28"/>
        </w:rPr>
        <w:t>一、 竞争性磋商响应文件封面格式</w:t>
      </w:r>
    </w:p>
    <w:p>
      <w:pPr>
        <w:snapToGrid w:val="0"/>
        <w:spacing w:before="156" w:beforeLines="50" w:after="50" w:line="360" w:lineRule="exact"/>
        <w:rPr>
          <w:rFonts w:ascii="宋体" w:hAnsi="宋体"/>
          <w:b/>
        </w:rPr>
      </w:pPr>
    </w:p>
    <w:p>
      <w:pPr>
        <w:adjustRightInd w:val="0"/>
        <w:snapToGrid w:val="0"/>
        <w:spacing w:line="360" w:lineRule="auto"/>
        <w:ind w:firstLine="642" w:firstLineChars="200"/>
        <w:jc w:val="left"/>
        <w:rPr>
          <w:rFonts w:ascii="宋体" w:hAnsi="宋体"/>
          <w:bCs/>
          <w:sz w:val="24"/>
        </w:rPr>
      </w:pPr>
      <w:r>
        <w:rPr>
          <w:rFonts w:hint="eastAsia" w:ascii="宋体" w:hAnsi="宋体"/>
          <w:b/>
          <w:sz w:val="32"/>
          <w:szCs w:val="32"/>
        </w:rPr>
        <w:t>封面</w:t>
      </w:r>
    </w:p>
    <w:p>
      <w:pPr>
        <w:adjustRightInd w:val="0"/>
        <w:snapToGrid w:val="0"/>
        <w:spacing w:line="360" w:lineRule="auto"/>
        <w:jc w:val="center"/>
        <w:rPr>
          <w:rFonts w:ascii="宋体" w:hAnsi="宋体"/>
          <w:b/>
          <w:bCs/>
          <w:sz w:val="72"/>
          <w:szCs w:val="72"/>
        </w:rPr>
      </w:pPr>
      <w:r>
        <w:rPr>
          <w:rFonts w:hint="eastAsia" w:ascii="宋体" w:hAnsi="宋体"/>
          <w:b/>
          <w:bCs/>
          <w:sz w:val="72"/>
          <w:szCs w:val="72"/>
        </w:rPr>
        <w:t>竞争性磋商响应文件</w:t>
      </w:r>
    </w:p>
    <w:p>
      <w:pPr>
        <w:adjustRightInd w:val="0"/>
        <w:snapToGrid w:val="0"/>
        <w:spacing w:line="360" w:lineRule="auto"/>
        <w:jc w:val="center"/>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 xml:space="preserve">项目编号：  </w:t>
      </w:r>
    </w:p>
    <w:p>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项目名称：</w:t>
      </w:r>
    </w:p>
    <w:p>
      <w:pPr>
        <w:adjustRightInd w:val="0"/>
        <w:snapToGrid w:val="0"/>
        <w:spacing w:line="360" w:lineRule="auto"/>
        <w:rPr>
          <w:rFonts w:ascii="宋体" w:hAnsi="宋体"/>
          <w:b/>
          <w:bCs/>
          <w:sz w:val="32"/>
          <w:szCs w:val="32"/>
        </w:rPr>
      </w:pPr>
      <w:r>
        <w:rPr>
          <w:rFonts w:ascii="宋体" w:hAnsi="宋体"/>
          <w:b/>
          <w:bCs/>
          <w:sz w:val="32"/>
          <w:szCs w:val="32"/>
        </w:rPr>
        <w:t xml:space="preserve">           </w:t>
      </w:r>
    </w:p>
    <w:p>
      <w:pPr>
        <w:adjustRightInd w:val="0"/>
        <w:snapToGrid w:val="0"/>
        <w:spacing w:line="360" w:lineRule="auto"/>
        <w:ind w:firstLine="1911" w:firstLineChars="595"/>
        <w:rPr>
          <w:rFonts w:ascii="宋体" w:hAnsi="宋体"/>
          <w:b/>
          <w:bCs/>
          <w:sz w:val="32"/>
          <w:szCs w:val="32"/>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b/>
          <w:bCs/>
          <w:sz w:val="30"/>
          <w:szCs w:val="30"/>
        </w:rPr>
      </w:pPr>
      <w:r>
        <w:rPr>
          <w:rFonts w:hint="eastAsia" w:ascii="宋体" w:hAnsi="宋体"/>
          <w:b/>
          <w:bCs/>
          <w:sz w:val="30"/>
          <w:szCs w:val="30"/>
        </w:rPr>
        <w:t xml:space="preserve"> </w:t>
      </w:r>
    </w:p>
    <w:p>
      <w:pPr>
        <w:spacing w:line="360" w:lineRule="auto"/>
        <w:rPr>
          <w:rFonts w:ascii="宋体" w:hAnsi="宋体"/>
          <w:b/>
          <w:bCs/>
          <w:sz w:val="30"/>
          <w:szCs w:val="30"/>
        </w:rPr>
      </w:pPr>
    </w:p>
    <w:p>
      <w:pPr>
        <w:spacing w:line="360" w:lineRule="auto"/>
        <w:rPr>
          <w:rFonts w:ascii="宋体" w:hAnsi="宋体"/>
          <w:b/>
          <w:bCs/>
          <w:sz w:val="30"/>
          <w:szCs w:val="30"/>
        </w:rPr>
      </w:pPr>
      <w:r>
        <w:rPr>
          <w:rFonts w:hint="eastAsia" w:ascii="宋体" w:hAnsi="宋体"/>
          <w:b/>
          <w:bCs/>
          <w:sz w:val="30"/>
          <w:szCs w:val="30"/>
        </w:rPr>
        <w:t xml:space="preserve"> </w:t>
      </w:r>
    </w:p>
    <w:p>
      <w:pPr>
        <w:spacing w:line="360" w:lineRule="auto"/>
        <w:ind w:firstLine="1750" w:firstLineChars="545"/>
        <w:rPr>
          <w:rFonts w:ascii="宋体" w:hAnsi="宋体"/>
          <w:b/>
          <w:bCs/>
          <w:sz w:val="32"/>
          <w:szCs w:val="32"/>
        </w:rPr>
      </w:pPr>
      <w:r>
        <w:rPr>
          <w:rFonts w:hint="eastAsia" w:ascii="宋体" w:hAnsi="宋体"/>
          <w:b/>
          <w:bCs/>
          <w:sz w:val="32"/>
          <w:szCs w:val="32"/>
        </w:rPr>
        <w:t>供  应  商：</w:t>
      </w:r>
      <w:r>
        <w:rPr>
          <w:rFonts w:hint="eastAsia" w:ascii="宋体" w:hAnsi="宋体"/>
          <w:b/>
          <w:bCs/>
          <w:sz w:val="32"/>
          <w:szCs w:val="32"/>
          <w:u w:val="single"/>
        </w:rPr>
        <w:t xml:space="preserve">                 （盖公章） </w:t>
      </w:r>
    </w:p>
    <w:p>
      <w:pPr>
        <w:spacing w:line="360" w:lineRule="auto"/>
        <w:ind w:firstLine="1750" w:firstLineChars="545"/>
        <w:rPr>
          <w:rFonts w:ascii="宋体" w:hAnsi="宋体"/>
          <w:b/>
          <w:bCs/>
          <w:sz w:val="32"/>
          <w:szCs w:val="32"/>
        </w:rPr>
      </w:pPr>
      <w:r>
        <w:rPr>
          <w:rFonts w:hint="eastAsia" w:ascii="宋体" w:hAnsi="宋体"/>
          <w:b/>
          <w:bCs/>
          <w:sz w:val="32"/>
          <w:szCs w:val="32"/>
        </w:rPr>
        <w:t>供应商地址：</w:t>
      </w:r>
      <w:r>
        <w:rPr>
          <w:rFonts w:hint="eastAsia" w:ascii="宋体" w:hAnsi="宋体"/>
          <w:b/>
          <w:bCs/>
          <w:sz w:val="32"/>
          <w:szCs w:val="32"/>
          <w:u w:val="single"/>
        </w:rPr>
        <w:t xml:space="preserve">                          </w:t>
      </w:r>
      <w:r>
        <w:rPr>
          <w:rFonts w:hint="eastAsia" w:ascii="宋体" w:hAnsi="宋体"/>
          <w:b/>
          <w:bCs/>
          <w:sz w:val="32"/>
          <w:szCs w:val="32"/>
        </w:rPr>
        <w:t xml:space="preserve">  </w:t>
      </w: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r>
        <w:rPr>
          <w:rFonts w:ascii="宋体" w:hAnsi="宋体"/>
          <w:b/>
          <w:bCs/>
          <w:sz w:val="32"/>
          <w:szCs w:val="32"/>
        </w:rPr>
        <w:t xml:space="preserve">    </w:t>
      </w:r>
      <w:r>
        <w:rPr>
          <w:rFonts w:hint="eastAsia" w:ascii="宋体" w:hAnsi="宋体"/>
          <w:b/>
          <w:bCs/>
          <w:sz w:val="32"/>
          <w:szCs w:val="32"/>
        </w:rPr>
        <w:t>年  月  日</w:t>
      </w:r>
    </w:p>
    <w:p>
      <w:pPr>
        <w:pageBreakBefore/>
        <w:spacing w:line="520" w:lineRule="exact"/>
        <w:rPr>
          <w:rFonts w:ascii="宋体" w:hAnsi="宋体"/>
          <w:b/>
        </w:rPr>
      </w:pPr>
      <w:r>
        <w:rPr>
          <w:rFonts w:hint="eastAsia" w:ascii="宋体" w:hAnsi="宋体"/>
          <w:b/>
        </w:rPr>
        <w:t>二、附  件</w:t>
      </w:r>
    </w:p>
    <w:p>
      <w:pPr>
        <w:spacing w:line="520" w:lineRule="exact"/>
        <w:rPr>
          <w:rFonts w:ascii="宋体" w:hAnsi="宋体"/>
        </w:rPr>
      </w:pPr>
      <w:r>
        <w:rPr>
          <w:rFonts w:hint="eastAsia" w:ascii="宋体" w:hAnsi="宋体"/>
        </w:rPr>
        <w:t xml:space="preserve">附件一 </w:t>
      </w:r>
    </w:p>
    <w:p>
      <w:pPr>
        <w:spacing w:line="400" w:lineRule="exact"/>
        <w:jc w:val="center"/>
        <w:rPr>
          <w:rFonts w:ascii="宋体" w:hAnsi="宋体"/>
          <w:b/>
          <w:sz w:val="24"/>
        </w:rPr>
      </w:pPr>
      <w:r>
        <w:rPr>
          <w:rFonts w:hint="eastAsia" w:ascii="宋体" w:hAnsi="宋体"/>
          <w:b/>
          <w:sz w:val="24"/>
        </w:rPr>
        <w:t>磋 商 书</w:t>
      </w:r>
    </w:p>
    <w:p>
      <w:pPr>
        <w:spacing w:line="400" w:lineRule="exact"/>
        <w:ind w:firstLine="420" w:firstLineChars="200"/>
        <w:rPr>
          <w:rFonts w:ascii="宋体" w:hAnsi="宋体"/>
        </w:rPr>
      </w:pPr>
    </w:p>
    <w:p>
      <w:pPr>
        <w:spacing w:line="400" w:lineRule="exact"/>
        <w:rPr>
          <w:rFonts w:ascii="宋体" w:hAnsi="宋体"/>
        </w:rPr>
      </w:pPr>
      <w:r>
        <w:rPr>
          <w:rFonts w:hint="eastAsia" w:ascii="宋体" w:hAnsi="宋体"/>
        </w:rPr>
        <w:t>广西壮族自治区政府采购中心：</w:t>
      </w:r>
    </w:p>
    <w:p>
      <w:pPr>
        <w:spacing w:line="400" w:lineRule="exact"/>
        <w:ind w:firstLine="420" w:firstLineChars="200"/>
      </w:pPr>
      <w:r>
        <w:rPr>
          <w:rFonts w:hint="eastAsia"/>
        </w:rPr>
        <w:t>依据贵方（项目名称/项目编号）项目政府采购的磋商采购文件，我方（姓名和职务）经正式授权并代表本单位（供应商名称、地址）提交下述竞争性磋商响应文件（价格文件、商务技术文件）。</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1. 报价表；</w:t>
      </w:r>
    </w:p>
    <w:p>
      <w:pPr>
        <w:spacing w:line="400" w:lineRule="exact"/>
        <w:ind w:firstLine="420" w:firstLineChars="200"/>
        <w:rPr>
          <w:rFonts w:ascii="宋体" w:hAnsi="宋体"/>
        </w:rPr>
      </w:pPr>
      <w:r>
        <w:rPr>
          <w:rFonts w:hint="eastAsia" w:ascii="宋体" w:hAnsi="宋体"/>
        </w:rPr>
        <w:t>2. 商务、技术响应、偏离情况说明表；</w:t>
      </w:r>
    </w:p>
    <w:p>
      <w:pPr>
        <w:spacing w:line="400" w:lineRule="exact"/>
        <w:ind w:firstLine="420" w:firstLineChars="200"/>
        <w:rPr>
          <w:rFonts w:ascii="宋体" w:hAnsi="宋体"/>
        </w:rPr>
      </w:pPr>
      <w:r>
        <w:rPr>
          <w:rFonts w:hint="eastAsia" w:ascii="宋体" w:hAnsi="宋体"/>
        </w:rPr>
        <w:t>3. 资格证明文件；</w:t>
      </w:r>
    </w:p>
    <w:p>
      <w:pPr>
        <w:spacing w:line="400" w:lineRule="exact"/>
        <w:ind w:firstLine="420" w:firstLineChars="200"/>
        <w:rPr>
          <w:rFonts w:ascii="宋体" w:hAnsi="宋体"/>
        </w:rPr>
      </w:pPr>
      <w:r>
        <w:rPr>
          <w:rFonts w:hint="eastAsia" w:ascii="宋体" w:hAnsi="宋体"/>
        </w:rPr>
        <w:t>4. 按竞争性磋商文件供应商须知和采购需求提供的有关文件；</w:t>
      </w:r>
    </w:p>
    <w:p>
      <w:pPr>
        <w:spacing w:line="400" w:lineRule="exact"/>
        <w:ind w:firstLine="420" w:firstLineChars="200"/>
        <w:rPr>
          <w:rFonts w:ascii="宋体" w:hAnsi="宋体"/>
        </w:rPr>
      </w:pPr>
      <w:r>
        <w:rPr>
          <w:rFonts w:hint="eastAsia" w:ascii="宋体" w:hAnsi="宋体"/>
        </w:rPr>
        <w:t>在此，授权代表宣布同意如下：</w:t>
      </w:r>
    </w:p>
    <w:p>
      <w:pPr>
        <w:spacing w:line="400" w:lineRule="exact"/>
        <w:ind w:firstLine="420" w:firstLineChars="200"/>
        <w:rPr>
          <w:rFonts w:ascii="宋体" w:hAnsi="宋体"/>
        </w:rPr>
      </w:pPr>
      <w:r>
        <w:rPr>
          <w:rFonts w:hint="eastAsia" w:ascii="宋体" w:hAnsi="宋体"/>
        </w:rPr>
        <w:t>1. 将按竞争性磋商文件的约定履行合同责任和义务；</w:t>
      </w:r>
    </w:p>
    <w:p>
      <w:pPr>
        <w:spacing w:line="400" w:lineRule="exact"/>
        <w:ind w:firstLine="420" w:firstLineChars="200"/>
        <w:rPr>
          <w:rFonts w:ascii="宋体" w:hAnsi="宋体"/>
        </w:rPr>
      </w:pPr>
      <w:r>
        <w:rPr>
          <w:rFonts w:hint="eastAsia" w:ascii="宋体" w:hAnsi="宋体"/>
        </w:rPr>
        <w:t>2. 已详细审查全部竞争性磋商文件，包括（补遗文件）（如果有的话）；</w:t>
      </w:r>
    </w:p>
    <w:p>
      <w:pPr>
        <w:spacing w:line="400" w:lineRule="exact"/>
        <w:ind w:firstLine="420" w:firstLineChars="200"/>
        <w:rPr>
          <w:rFonts w:ascii="宋体" w:hAnsi="宋体"/>
        </w:rPr>
      </w:pPr>
      <w:r>
        <w:rPr>
          <w:rFonts w:hint="eastAsia" w:ascii="宋体" w:hAnsi="宋体"/>
        </w:rPr>
        <w:t>3. 同意提供按照贵方可能要求的与其磋商有关的一切数据或资料；</w:t>
      </w:r>
    </w:p>
    <w:p>
      <w:pPr>
        <w:spacing w:line="400" w:lineRule="exact"/>
        <w:ind w:firstLine="420" w:firstLineChars="200"/>
        <w:rPr>
          <w:rFonts w:ascii="宋体" w:hAnsi="宋体"/>
        </w:rPr>
      </w:pPr>
      <w:r>
        <w:rPr>
          <w:rFonts w:hint="eastAsia" w:ascii="宋体" w:hAnsi="宋体"/>
        </w:rPr>
        <w:t xml:space="preserve">4. 与本磋商有关的一切正式往来信函请寄：                       </w:t>
      </w:r>
    </w:p>
    <w:p>
      <w:pPr>
        <w:spacing w:line="400" w:lineRule="exact"/>
        <w:ind w:firstLine="420" w:firstLineChars="200"/>
        <w:rPr>
          <w:rFonts w:ascii="宋体" w:hAnsi="宋体"/>
        </w:rPr>
      </w:pPr>
      <w:r>
        <w:rPr>
          <w:rFonts w:hint="eastAsia" w:ascii="宋体" w:hAnsi="宋体"/>
        </w:rPr>
        <w:t xml:space="preserve">开户银行：                           账号/行号：          </w:t>
      </w:r>
    </w:p>
    <w:p>
      <w:pPr>
        <w:spacing w:line="400" w:lineRule="exact"/>
        <w:ind w:firstLine="420" w:firstLineChars="200"/>
        <w:rPr>
          <w:rFonts w:ascii="宋体" w:hAnsi="宋体"/>
        </w:rPr>
      </w:pPr>
      <w:r>
        <w:rPr>
          <w:rFonts w:hint="eastAsia" w:ascii="宋体" w:hAnsi="宋体"/>
        </w:rPr>
        <w:t xml:space="preserve">电话/传真：                         电子函件：                           </w:t>
      </w:r>
    </w:p>
    <w:p>
      <w:pPr>
        <w:spacing w:line="400" w:lineRule="exact"/>
        <w:ind w:firstLine="420" w:firstLineChars="200"/>
        <w:rPr>
          <w:rFonts w:ascii="宋体" w:hAnsi="宋体"/>
        </w:rPr>
      </w:pP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日期：      年   月    日</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 xml:space="preserve">法定代表人(负责人)或委托代理人（被授权人）签字：                       </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 xml:space="preserve">供应商名称（盖章）：                                                               </w:t>
      </w:r>
    </w:p>
    <w:p>
      <w:pPr>
        <w:pStyle w:val="19"/>
        <w:spacing w:line="520" w:lineRule="exact"/>
        <w:ind w:firstLine="840"/>
        <w:rPr>
          <w:rFonts w:hAnsi="宋体"/>
        </w:rPr>
      </w:pPr>
      <w:r>
        <w:rPr>
          <w:rFonts w:hint="eastAsia" w:hAnsi="宋体"/>
        </w:rPr>
        <w:t xml:space="preserve">                     </w:t>
      </w:r>
    </w:p>
    <w:p>
      <w:pPr>
        <w:pageBreakBefore/>
        <w:spacing w:line="500" w:lineRule="exact"/>
        <w:rPr>
          <w:rFonts w:ascii="宋体" w:hAnsi="宋体"/>
        </w:rPr>
      </w:pPr>
      <w:r>
        <w:rPr>
          <w:rFonts w:hint="eastAsia" w:ascii="宋体" w:hAnsi="宋体"/>
        </w:rPr>
        <w:t xml:space="preserve">附件二             </w:t>
      </w:r>
    </w:p>
    <w:p>
      <w:pPr>
        <w:spacing w:line="500" w:lineRule="exact"/>
        <w:jc w:val="center"/>
        <w:rPr>
          <w:rFonts w:ascii="宋体" w:hAnsi="宋体"/>
          <w:b/>
        </w:rPr>
      </w:pPr>
    </w:p>
    <w:p>
      <w:pPr>
        <w:spacing w:line="500" w:lineRule="exact"/>
        <w:jc w:val="center"/>
        <w:rPr>
          <w:rFonts w:ascii="宋体" w:hAnsi="宋体"/>
          <w:b/>
          <w:sz w:val="28"/>
          <w:szCs w:val="28"/>
        </w:rPr>
      </w:pPr>
      <w:r>
        <w:rPr>
          <w:rFonts w:hint="eastAsia" w:ascii="宋体" w:hAnsi="宋体"/>
          <w:b/>
          <w:sz w:val="28"/>
          <w:szCs w:val="28"/>
        </w:rPr>
        <w:t>报  价  表</w:t>
      </w:r>
    </w:p>
    <w:p>
      <w:pPr>
        <w:spacing w:line="500" w:lineRule="exact"/>
        <w:rPr>
          <w:rFonts w:ascii="宋体" w:hAnsi="宋体"/>
          <w:u w:val="single"/>
        </w:rPr>
      </w:pPr>
      <w:r>
        <w:rPr>
          <w:rFonts w:hint="eastAsia" w:ascii="宋体" w:hAnsi="宋体"/>
        </w:rPr>
        <w:t>采购项目编号:</w:t>
      </w:r>
      <w:r>
        <w:rPr>
          <w:rFonts w:hint="eastAsia" w:ascii="宋体" w:hAnsi="宋体"/>
          <w:u w:val="single"/>
        </w:rPr>
        <w:t xml:space="preserve">                 </w:t>
      </w:r>
    </w:p>
    <w:p>
      <w:pPr>
        <w:spacing w:line="500" w:lineRule="exact"/>
        <w:rPr>
          <w:rFonts w:ascii="宋体" w:hAnsi="宋体"/>
        </w:rPr>
      </w:pPr>
      <w:r>
        <w:rPr>
          <w:rFonts w:hint="eastAsia" w:ascii="宋体" w:hAnsi="宋体"/>
        </w:rPr>
        <w:t>采购项目名称:</w:t>
      </w:r>
      <w:r>
        <w:rPr>
          <w:rFonts w:hint="eastAsia" w:ascii="宋体" w:hAnsi="宋体"/>
          <w:u w:val="single"/>
        </w:rPr>
        <w:t xml:space="preserve">                 </w:t>
      </w:r>
      <w:r>
        <w:rPr>
          <w:rFonts w:hint="eastAsia" w:ascii="宋体" w:hAnsi="宋体"/>
        </w:rPr>
        <w:t xml:space="preserve">    </w:t>
      </w:r>
    </w:p>
    <w:p>
      <w:pPr>
        <w:spacing w:line="460" w:lineRule="exact"/>
        <w:rPr>
          <w:rFonts w:hAnsi="宋体"/>
          <w:b/>
        </w:rPr>
      </w:pPr>
      <w:r>
        <w:rPr>
          <w:rFonts w:hint="eastAsia" w:hAnsi="宋体"/>
          <w:b/>
          <w:u w:val="single"/>
        </w:rPr>
        <w:t>本项目</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 w:hRule="atLeast"/>
        </w:trPr>
        <w:tc>
          <w:tcPr>
            <w:tcW w:w="2847" w:type="dxa"/>
            <w:tcBorders>
              <w:top w:val="single" w:color="auto" w:sz="4" w:space="0"/>
              <w:left w:val="single" w:color="auto" w:sz="4" w:space="0"/>
              <w:bottom w:val="single" w:color="auto" w:sz="4" w:space="0"/>
              <w:right w:val="single" w:color="auto" w:sz="4" w:space="0"/>
            </w:tcBorders>
            <w:vAlign w:val="center"/>
          </w:tcPr>
          <w:p>
            <w:r>
              <w:rPr>
                <w:rFonts w:hint="eastAsia"/>
              </w:rPr>
              <w:t>服务项目名称</w:t>
            </w:r>
          </w:p>
        </w:tc>
        <w:tc>
          <w:tcPr>
            <w:tcW w:w="2560" w:type="dxa"/>
            <w:tcBorders>
              <w:top w:val="single" w:color="auto" w:sz="4" w:space="0"/>
              <w:left w:val="single" w:color="auto" w:sz="4" w:space="0"/>
              <w:bottom w:val="single" w:color="auto" w:sz="4" w:space="0"/>
              <w:right w:val="single" w:color="auto" w:sz="4" w:space="0"/>
            </w:tcBorders>
            <w:vAlign w:val="center"/>
          </w:tcPr>
          <w:p>
            <w:r>
              <w:rPr>
                <w:rFonts w:hint="eastAsia"/>
              </w:rPr>
              <w:t>服务内容</w:t>
            </w:r>
          </w:p>
        </w:tc>
        <w:tc>
          <w:tcPr>
            <w:tcW w:w="2505" w:type="dxa"/>
            <w:tcBorders>
              <w:top w:val="single" w:color="auto" w:sz="4" w:space="0"/>
              <w:left w:val="single" w:color="auto" w:sz="4" w:space="0"/>
              <w:bottom w:val="single" w:color="auto" w:sz="4" w:space="0"/>
              <w:right w:val="single" w:color="auto" w:sz="4" w:space="0"/>
            </w:tcBorders>
            <w:vAlign w:val="center"/>
          </w:tcPr>
          <w:p>
            <w:r>
              <w:rPr>
                <w:rFonts w:hint="eastAsia"/>
              </w:rPr>
              <w:t>报</w:t>
            </w:r>
            <w:r>
              <w:t xml:space="preserve">  </w:t>
            </w:r>
            <w:r>
              <w:rPr>
                <w:rFonts w:hint="eastAsia"/>
              </w:rPr>
              <w:t>价（元）</w:t>
            </w:r>
          </w:p>
        </w:tc>
        <w:tc>
          <w:tcPr>
            <w:tcW w:w="1552" w:type="dxa"/>
            <w:tcBorders>
              <w:top w:val="single" w:color="auto" w:sz="4" w:space="0"/>
              <w:left w:val="single" w:color="auto" w:sz="4" w:space="0"/>
              <w:bottom w:val="single" w:color="auto" w:sz="4" w:space="0"/>
              <w:right w:val="single" w:color="auto" w:sz="4" w:space="0"/>
            </w:tcBorders>
            <w:vAlign w:val="center"/>
          </w:tcPr>
          <w:p>
            <w:r>
              <w:rPr>
                <w:rFonts w:hint="eastAsia"/>
              </w:rPr>
              <w:t>说</w:t>
            </w:r>
            <w:r>
              <w:t xml:space="preserve">      </w:t>
            </w:r>
            <w:r>
              <w:rPr>
                <w:rFonts w:hint="eastAsia"/>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4" w:hRule="atLeast"/>
        </w:trPr>
        <w:tc>
          <w:tcPr>
            <w:tcW w:w="2847" w:type="dxa"/>
            <w:tcBorders>
              <w:top w:val="single" w:color="auto" w:sz="4" w:space="0"/>
              <w:left w:val="single" w:color="auto" w:sz="4" w:space="0"/>
              <w:bottom w:val="single" w:color="auto" w:sz="4" w:space="0"/>
              <w:right w:val="single" w:color="auto" w:sz="4" w:space="0"/>
            </w:tcBorders>
            <w:vAlign w:val="center"/>
          </w:tcPr>
          <w:p>
            <w:r>
              <w:rPr>
                <w:rFonts w:hint="eastAsia"/>
              </w:rPr>
              <w:t>服务采购</w:t>
            </w:r>
          </w:p>
        </w:tc>
        <w:tc>
          <w:tcPr>
            <w:tcW w:w="2560" w:type="dxa"/>
            <w:tcBorders>
              <w:top w:val="single" w:color="auto" w:sz="4" w:space="0"/>
              <w:left w:val="single" w:color="auto" w:sz="4" w:space="0"/>
              <w:bottom w:val="single" w:color="auto" w:sz="4" w:space="0"/>
              <w:right w:val="single" w:color="auto" w:sz="4" w:space="0"/>
            </w:tcBorders>
            <w:vAlign w:val="center"/>
          </w:tcPr>
          <w:p/>
        </w:tc>
        <w:tc>
          <w:tcPr>
            <w:tcW w:w="2505" w:type="dxa"/>
            <w:tcBorders>
              <w:top w:val="single" w:color="auto" w:sz="4" w:space="0"/>
              <w:left w:val="single" w:color="auto" w:sz="4" w:space="0"/>
              <w:bottom w:val="single" w:color="auto" w:sz="4" w:space="0"/>
              <w:right w:val="single" w:color="auto" w:sz="4" w:space="0"/>
            </w:tcBorders>
            <w:vAlign w:val="center"/>
          </w:tcPr>
          <w:p/>
        </w:tc>
        <w:tc>
          <w:tcPr>
            <w:tcW w:w="1552"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4" w:hRule="atLeast"/>
        </w:trPr>
        <w:tc>
          <w:tcPr>
            <w:tcW w:w="5407" w:type="dxa"/>
            <w:gridSpan w:val="2"/>
            <w:tcBorders>
              <w:top w:val="single" w:color="auto" w:sz="4" w:space="0"/>
              <w:left w:val="single" w:color="auto" w:sz="4" w:space="0"/>
              <w:bottom w:val="single" w:color="auto" w:sz="4" w:space="0"/>
              <w:right w:val="single" w:color="auto" w:sz="4" w:space="0"/>
            </w:tcBorders>
            <w:vAlign w:val="center"/>
          </w:tcPr>
          <w:p>
            <w:r>
              <w:rPr>
                <w:rFonts w:hint="eastAsia"/>
              </w:rPr>
              <w:t>合计</w:t>
            </w:r>
          </w:p>
        </w:tc>
        <w:tc>
          <w:tcPr>
            <w:tcW w:w="2505" w:type="dxa"/>
            <w:tcBorders>
              <w:top w:val="single" w:color="auto" w:sz="4" w:space="0"/>
              <w:left w:val="single" w:color="auto" w:sz="4" w:space="0"/>
              <w:bottom w:val="single" w:color="auto" w:sz="4" w:space="0"/>
              <w:right w:val="single" w:color="auto" w:sz="4" w:space="0"/>
            </w:tcBorders>
            <w:vAlign w:val="center"/>
          </w:tcPr>
          <w:p/>
        </w:tc>
        <w:tc>
          <w:tcPr>
            <w:tcW w:w="1552"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vAlign w:val="center"/>
          </w:tcPr>
          <w:p>
            <w:r>
              <w:rPr>
                <w:rFonts w:hint="eastAsia"/>
              </w:rPr>
              <w:t>总报价（人民币大写）：</w:t>
            </w:r>
            <w:r>
              <w:t xml:space="preserve">                                       </w:t>
            </w:r>
            <w:r>
              <w:rPr>
                <w:rFonts w:hint="eastAsia"/>
              </w:rPr>
              <w:t>（￥</w:t>
            </w:r>
            <w:r>
              <w:t xml:space="preserve">                       </w:t>
            </w:r>
            <w:r>
              <w:rPr>
                <w:rFonts w:hint="eastAsia"/>
              </w:rPr>
              <w:t>元）</w:t>
            </w:r>
          </w:p>
        </w:tc>
      </w:tr>
    </w:tbl>
    <w:p>
      <w:pPr>
        <w:autoSpaceDE w:val="0"/>
        <w:autoSpaceDN w:val="0"/>
        <w:adjustRightInd w:val="0"/>
        <w:outlineLvl w:val="0"/>
        <w:rPr>
          <w:rFonts w:ascii="宋体" w:hAnsi="宋体"/>
          <w:b/>
          <w:kern w:val="0"/>
        </w:rPr>
      </w:pPr>
    </w:p>
    <w:p>
      <w:pPr>
        <w:spacing w:line="374" w:lineRule="atLeast"/>
        <w:rPr>
          <w:rFonts w:ascii="宋体" w:hAnsi="宋体"/>
        </w:rPr>
      </w:pPr>
      <w:r>
        <w:rPr>
          <w:rFonts w:hint="eastAsia" w:ascii="宋体" w:hAnsi="宋体"/>
        </w:rPr>
        <w:t>注：</w:t>
      </w:r>
    </w:p>
    <w:p>
      <w:pPr>
        <w:adjustRightInd w:val="0"/>
        <w:snapToGrid w:val="0"/>
        <w:spacing w:line="400" w:lineRule="exact"/>
        <w:rPr>
          <w:rFonts w:ascii="宋体" w:hAnsi="宋体"/>
        </w:rPr>
      </w:pPr>
      <w:r>
        <w:rPr>
          <w:rFonts w:hint="eastAsia" w:ascii="宋体" w:hAnsi="宋体"/>
        </w:rPr>
        <w:t>1</w:t>
      </w:r>
      <w:r>
        <w:rPr>
          <w:rFonts w:hint="eastAsia" w:ascii="宋体" w:hAnsi="宋体"/>
          <w:bCs/>
        </w:rPr>
        <w:t>．</w:t>
      </w:r>
      <w:r>
        <w:rPr>
          <w:rFonts w:hint="eastAsia" w:ascii="宋体" w:hAnsi="宋体"/>
        </w:rPr>
        <w:t>报价为完成项目需求所有内容的总报价，总价包干，成交人在实施中不得以任何理由要求采购人变更总价。</w:t>
      </w:r>
    </w:p>
    <w:p>
      <w:pPr>
        <w:spacing w:line="500" w:lineRule="exact"/>
        <w:ind w:firstLine="831" w:firstLineChars="396"/>
        <w:rPr>
          <w:rFonts w:ascii="宋体" w:hAnsi="宋体"/>
          <w:bCs/>
        </w:rPr>
      </w:pPr>
    </w:p>
    <w:p>
      <w:pPr>
        <w:spacing w:line="500" w:lineRule="exact"/>
        <w:ind w:firstLine="831" w:firstLineChars="396"/>
        <w:rPr>
          <w:rFonts w:ascii="宋体" w:hAnsi="宋体"/>
          <w:bCs/>
        </w:rPr>
      </w:pPr>
    </w:p>
    <w:p>
      <w:pPr>
        <w:pStyle w:val="19"/>
        <w:spacing w:line="500" w:lineRule="exact"/>
        <w:ind w:firstLine="420" w:firstLineChars="200"/>
        <w:rPr>
          <w:rFonts w:hAnsi="宋体"/>
          <w:u w:val="single"/>
        </w:rPr>
      </w:pPr>
      <w:r>
        <w:rPr>
          <w:rFonts w:hint="eastAsia" w:hAnsi="宋体"/>
        </w:rPr>
        <w:t>法定代表人或委托代理人（签字）:</w:t>
      </w:r>
      <w:r>
        <w:rPr>
          <w:rFonts w:hint="eastAsia" w:hAnsi="宋体"/>
          <w:u w:val="single"/>
        </w:rPr>
        <w:t xml:space="preserve">              </w:t>
      </w:r>
    </w:p>
    <w:p>
      <w:pPr>
        <w:pStyle w:val="19"/>
        <w:spacing w:line="500" w:lineRule="exact"/>
        <w:ind w:firstLine="420" w:firstLineChars="200"/>
        <w:rPr>
          <w:rFonts w:hAnsi="宋体"/>
          <w:u w:val="single"/>
        </w:rPr>
      </w:pPr>
      <w:r>
        <w:rPr>
          <w:rFonts w:hint="eastAsia" w:hAnsi="宋体"/>
        </w:rPr>
        <w:t>磋商人名称（盖章）：</w:t>
      </w:r>
      <w:r>
        <w:rPr>
          <w:rFonts w:hint="eastAsia" w:hAnsi="宋体"/>
          <w:u w:val="single"/>
        </w:rPr>
        <w:t xml:space="preserve">       </w:t>
      </w:r>
    </w:p>
    <w:p>
      <w:pPr>
        <w:spacing w:line="500" w:lineRule="exact"/>
        <w:ind w:firstLine="420" w:firstLineChars="2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500" w:lineRule="exact"/>
        <w:ind w:firstLine="420"/>
        <w:rPr>
          <w:rFonts w:ascii="宋体" w:hAnsi="宋体"/>
        </w:rPr>
      </w:pPr>
    </w:p>
    <w:p>
      <w:pPr>
        <w:spacing w:line="500" w:lineRule="exact"/>
        <w:ind w:firstLine="420"/>
        <w:rPr>
          <w:rFonts w:ascii="宋体" w:hAnsi="宋体"/>
        </w:rPr>
      </w:pPr>
    </w:p>
    <w:p>
      <w:pPr>
        <w:pageBreakBefore/>
        <w:adjustRightInd w:val="0"/>
        <w:snapToGrid w:val="0"/>
        <w:spacing w:line="300" w:lineRule="auto"/>
        <w:ind w:left="-88" w:leftChars="-42"/>
        <w:rPr>
          <w:rFonts w:ascii="宋体" w:hAnsi="宋体"/>
        </w:rPr>
      </w:pPr>
      <w:r>
        <w:rPr>
          <w:rFonts w:hint="eastAsia" w:ascii="宋体" w:hAnsi="宋体"/>
        </w:rPr>
        <w:t xml:space="preserve">附件三  </w:t>
      </w:r>
    </w:p>
    <w:p>
      <w:pPr>
        <w:spacing w:line="300" w:lineRule="auto"/>
        <w:rPr>
          <w:rFonts w:ascii="宋体" w:hAnsi="宋体"/>
          <w:b/>
        </w:rPr>
      </w:pPr>
    </w:p>
    <w:p>
      <w:pPr>
        <w:spacing w:line="300" w:lineRule="auto"/>
        <w:jc w:val="center"/>
        <w:rPr>
          <w:rFonts w:ascii="宋体" w:hAnsi="宋体"/>
          <w:b/>
        </w:rPr>
      </w:pPr>
      <w:r>
        <w:rPr>
          <w:rFonts w:hint="eastAsia" w:ascii="宋体" w:hAnsi="宋体"/>
          <w:b/>
        </w:rPr>
        <w:t>商务、技术响应、偏离情况说明表</w:t>
      </w:r>
    </w:p>
    <w:p>
      <w:pPr>
        <w:spacing w:line="300" w:lineRule="auto"/>
        <w:rPr>
          <w:rFonts w:ascii="宋体" w:hAnsi="宋体"/>
        </w:rPr>
      </w:pPr>
    </w:p>
    <w:p>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pPr>
        <w:spacing w:line="500" w:lineRule="exact"/>
        <w:rPr>
          <w:rFonts w:ascii="宋体" w:hAnsi="宋体"/>
          <w:b/>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vAlign w:val="center"/>
          </w:tcPr>
          <w:p>
            <w:pPr>
              <w:ind w:right="-107" w:rightChars="-51"/>
              <w:rPr>
                <w:rFonts w:ascii="宋体" w:hAnsi="宋体"/>
              </w:rPr>
            </w:pPr>
            <w:r>
              <w:rPr>
                <w:rFonts w:hint="eastAsia" w:ascii="宋体" w:hAnsi="宋体"/>
              </w:rPr>
              <w:t>序号</w:t>
            </w:r>
          </w:p>
        </w:tc>
        <w:tc>
          <w:tcPr>
            <w:tcW w:w="2931" w:type="dxa"/>
            <w:tcBorders>
              <w:top w:val="single" w:color="auto" w:sz="4" w:space="0"/>
              <w:left w:val="single" w:color="auto" w:sz="6" w:space="0"/>
              <w:bottom w:val="single" w:color="auto" w:sz="6" w:space="0"/>
              <w:right w:val="single" w:color="auto" w:sz="6" w:space="0"/>
            </w:tcBorders>
            <w:vAlign w:val="center"/>
          </w:tcPr>
          <w:p>
            <w:pPr>
              <w:rPr>
                <w:rFonts w:ascii="宋体" w:hAnsi="宋体"/>
              </w:rPr>
            </w:pPr>
            <w:bookmarkStart w:id="10" w:name="_Toc173211901"/>
            <w:bookmarkStart w:id="11" w:name="_Toc173066402"/>
            <w:bookmarkStart w:id="12" w:name="_Toc254970589"/>
            <w:bookmarkStart w:id="13" w:name="_Toc254970730"/>
            <w:r>
              <w:rPr>
                <w:rFonts w:hint="eastAsia" w:ascii="宋体" w:hAnsi="宋体"/>
              </w:rPr>
              <w:t>竞争性磋商文件要求</w:t>
            </w:r>
            <w:bookmarkEnd w:id="10"/>
            <w:bookmarkEnd w:id="11"/>
            <w:bookmarkEnd w:id="12"/>
            <w:bookmarkEnd w:id="13"/>
          </w:p>
        </w:tc>
        <w:tc>
          <w:tcPr>
            <w:tcW w:w="3087" w:type="dxa"/>
            <w:tcBorders>
              <w:top w:val="single" w:color="auto" w:sz="4" w:space="0"/>
              <w:left w:val="single" w:color="auto" w:sz="6" w:space="0"/>
              <w:bottom w:val="single" w:color="auto" w:sz="6" w:space="0"/>
              <w:right w:val="single" w:color="auto" w:sz="6" w:space="0"/>
            </w:tcBorders>
            <w:vAlign w:val="center"/>
          </w:tcPr>
          <w:p>
            <w:pPr>
              <w:rPr>
                <w:rFonts w:ascii="宋体" w:hAnsi="宋体"/>
              </w:rPr>
            </w:pPr>
            <w:bookmarkStart w:id="14" w:name="_Toc173066403"/>
            <w:bookmarkStart w:id="15" w:name="_Toc173211902"/>
            <w:bookmarkStart w:id="16" w:name="_Toc254970590"/>
            <w:bookmarkStart w:id="17" w:name="_Toc254970731"/>
            <w:r>
              <w:rPr>
                <w:rFonts w:hint="eastAsia" w:ascii="宋体" w:hAnsi="宋体"/>
              </w:rPr>
              <w:t>竞争性磋商响应文件具体响应</w:t>
            </w:r>
            <w:bookmarkEnd w:id="14"/>
            <w:bookmarkEnd w:id="15"/>
            <w:bookmarkEnd w:id="16"/>
            <w:bookmarkEnd w:id="17"/>
          </w:p>
        </w:tc>
        <w:tc>
          <w:tcPr>
            <w:tcW w:w="1535" w:type="dxa"/>
            <w:tcBorders>
              <w:top w:val="single" w:color="auto" w:sz="4" w:space="0"/>
              <w:left w:val="single" w:color="auto" w:sz="6" w:space="0"/>
              <w:bottom w:val="single" w:color="auto" w:sz="6" w:space="0"/>
              <w:right w:val="single" w:color="auto" w:sz="6" w:space="0"/>
            </w:tcBorders>
            <w:vAlign w:val="center"/>
          </w:tcPr>
          <w:p>
            <w:pPr>
              <w:rPr>
                <w:rFonts w:ascii="宋体" w:hAnsi="宋体"/>
              </w:rPr>
            </w:pPr>
            <w:bookmarkStart w:id="18" w:name="_Toc173066404"/>
            <w:bookmarkStart w:id="19" w:name="_Toc254970591"/>
            <w:bookmarkStart w:id="20" w:name="_Toc173211903"/>
            <w:bookmarkStart w:id="21" w:name="_Toc254970732"/>
            <w:r>
              <w:rPr>
                <w:rFonts w:hint="eastAsia" w:ascii="宋体" w:hAnsi="宋体"/>
              </w:rPr>
              <w:t>响应/偏离</w:t>
            </w:r>
            <w:bookmarkEnd w:id="18"/>
            <w:bookmarkEnd w:id="19"/>
            <w:bookmarkEnd w:id="20"/>
            <w:bookmarkEnd w:id="21"/>
          </w:p>
        </w:tc>
        <w:tc>
          <w:tcPr>
            <w:tcW w:w="1427" w:type="dxa"/>
            <w:tcBorders>
              <w:top w:val="single" w:color="auto" w:sz="4" w:space="0"/>
              <w:left w:val="single" w:color="auto" w:sz="6" w:space="0"/>
              <w:bottom w:val="single" w:color="auto" w:sz="6" w:space="0"/>
              <w:right w:val="single" w:color="auto" w:sz="4" w:space="0"/>
            </w:tcBorders>
            <w:vAlign w:val="center"/>
          </w:tcPr>
          <w:p>
            <w:pPr>
              <w:rPr>
                <w:rFonts w:ascii="宋体" w:hAnsi="宋体"/>
              </w:rPr>
            </w:pPr>
            <w:bookmarkStart w:id="22" w:name="_Toc254970592"/>
            <w:bookmarkStart w:id="23" w:name="_Toc173211904"/>
            <w:bookmarkStart w:id="24" w:name="_Toc254970733"/>
            <w:bookmarkStart w:id="25" w:name="_Toc173066405"/>
            <w:r>
              <w:rPr>
                <w:rFonts w:hint="eastAsia" w:ascii="宋体" w:hAnsi="宋体"/>
              </w:rPr>
              <w:t>说明</w:t>
            </w:r>
            <w:bookmarkEnd w:id="22"/>
            <w:bookmarkEnd w:id="23"/>
            <w:bookmarkEnd w:id="24"/>
            <w:bookmarkEnd w:id="2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pPr>
              <w:rPr>
                <w:rFonts w:ascii="宋体" w:hAnsi="宋体"/>
              </w:rPr>
            </w:pPr>
            <w:r>
              <w:rPr>
                <w:rFonts w:hint="eastAsia" w:ascii="宋体" w:hAnsi="宋体"/>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rPr>
            </w:pPr>
            <w:bookmarkStart w:id="26" w:name="_Toc254970734"/>
            <w:bookmarkStart w:id="27" w:name="_Toc173211905"/>
            <w:bookmarkStart w:id="28" w:name="_Toc173066406"/>
            <w:bookmarkStart w:id="29" w:name="_Toc254970593"/>
            <w:r>
              <w:rPr>
                <w:rFonts w:hint="eastAsia" w:ascii="宋体" w:hAnsi="宋体"/>
              </w:rPr>
              <w:t>1</w:t>
            </w:r>
            <w:bookmarkEnd w:id="26"/>
            <w:bookmarkEnd w:id="27"/>
            <w:bookmarkEnd w:id="28"/>
            <w:bookmarkEnd w:id="29"/>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r>
              <w:rPr>
                <w:rFonts w:hint="eastAsia" w:ascii="宋体" w:hAnsi="宋体"/>
              </w:rPr>
              <w:t>项目服务期限</w:t>
            </w: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pPr>
              <w:rPr>
                <w:rFonts w:ascii="宋体" w:hAnsi="宋体"/>
              </w:rPr>
            </w:pPr>
            <w:r>
              <w:rPr>
                <w:rFonts w:hint="eastAsia" w:ascii="宋体" w:hAnsi="宋体"/>
              </w:rPr>
              <w:t>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rPr>
            </w:pPr>
            <w:r>
              <w:rPr>
                <w:rFonts w:hint="eastAsia" w:ascii="宋体" w:hAnsi="宋体"/>
              </w:rPr>
              <w:t>1</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rPr>
            </w:pPr>
            <w:r>
              <w:rPr>
                <w:rFonts w:hint="eastAsia" w:ascii="宋体" w:hAnsi="宋体"/>
              </w:rPr>
              <w:t>2</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rPr>
            </w:pPr>
            <w:r>
              <w:rPr>
                <w:rFonts w:hint="eastAsia" w:ascii="宋体" w:hAnsi="宋体"/>
              </w:rPr>
              <w:t>3</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vAlign w:val="center"/>
          </w:tcPr>
          <w:p>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4" w:space="0"/>
              <w:right w:val="single" w:color="auto" w:sz="6" w:space="0"/>
            </w:tcBorders>
            <w:vAlign w:val="center"/>
          </w:tcPr>
          <w:p>
            <w:pPr>
              <w:rPr>
                <w:rFonts w:ascii="宋体" w:hAnsi="宋体"/>
              </w:rPr>
            </w:pPr>
          </w:p>
        </w:tc>
        <w:tc>
          <w:tcPr>
            <w:tcW w:w="3087" w:type="dxa"/>
            <w:tcBorders>
              <w:top w:val="single" w:color="auto" w:sz="6" w:space="0"/>
              <w:left w:val="single" w:color="auto" w:sz="6" w:space="0"/>
              <w:bottom w:val="single" w:color="auto" w:sz="4"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4" w:space="0"/>
              <w:right w:val="single" w:color="auto" w:sz="4" w:space="0"/>
            </w:tcBorders>
            <w:vAlign w:val="center"/>
          </w:tcPr>
          <w:p>
            <w:pPr>
              <w:rPr>
                <w:rFonts w:ascii="宋体" w:hAnsi="宋体"/>
              </w:rPr>
            </w:pPr>
          </w:p>
        </w:tc>
        <w:tc>
          <w:tcPr>
            <w:tcW w:w="1427" w:type="dxa"/>
            <w:tcBorders>
              <w:top w:val="single" w:color="auto" w:sz="6" w:space="0"/>
              <w:left w:val="single" w:color="auto" w:sz="4" w:space="0"/>
              <w:bottom w:val="single" w:color="auto" w:sz="4" w:space="0"/>
              <w:right w:val="single" w:color="auto" w:sz="4" w:space="0"/>
            </w:tcBorders>
            <w:vAlign w:val="center"/>
          </w:tcPr>
          <w:p>
            <w:pPr>
              <w:rPr>
                <w:rFonts w:ascii="宋体" w:hAnsi="宋体"/>
              </w:rPr>
            </w:pPr>
          </w:p>
        </w:tc>
      </w:tr>
    </w:tbl>
    <w:p>
      <w:pPr>
        <w:adjustRightInd w:val="0"/>
        <w:snapToGrid w:val="0"/>
        <w:spacing w:line="360" w:lineRule="exact"/>
        <w:rPr>
          <w:rFonts w:ascii="宋体" w:hAnsi="宋体"/>
        </w:rPr>
      </w:pPr>
      <w:r>
        <w:rPr>
          <w:rFonts w:hint="eastAsia" w:ascii="宋体" w:hAnsi="宋体"/>
        </w:rPr>
        <w:t>说明：1、应写明竞争性磋商响应文件对商务与技术要求的响应和偏离情况</w:t>
      </w:r>
      <w:r>
        <w:rPr>
          <w:rFonts w:hint="eastAsia" w:ascii="宋体" w:hAnsi="宋体"/>
          <w:bCs/>
        </w:rPr>
        <w:t>；</w:t>
      </w:r>
    </w:p>
    <w:p>
      <w:pPr>
        <w:pStyle w:val="17"/>
        <w:spacing w:line="360" w:lineRule="exact"/>
        <w:ind w:firstLine="630" w:firstLineChars="300"/>
        <w:rPr>
          <w:rFonts w:ascii="宋体" w:hAnsi="宋体" w:eastAsia="宋体"/>
          <w:sz w:val="21"/>
          <w:szCs w:val="21"/>
        </w:rPr>
      </w:pPr>
      <w:r>
        <w:rPr>
          <w:rFonts w:hint="eastAsia" w:ascii="宋体" w:hAnsi="宋体" w:eastAsia="宋体"/>
          <w:sz w:val="21"/>
          <w:szCs w:val="21"/>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pPr>
        <w:pStyle w:val="19"/>
        <w:spacing w:line="360" w:lineRule="exact"/>
        <w:rPr>
          <w:rFonts w:hAnsi="宋体"/>
        </w:rPr>
      </w:pPr>
    </w:p>
    <w:p>
      <w:pPr>
        <w:rPr>
          <w:rFonts w:ascii="宋体" w:hAnsi="宋体"/>
        </w:rPr>
      </w:pPr>
    </w:p>
    <w:p>
      <w:pPr>
        <w:rPr>
          <w:rFonts w:ascii="宋体" w:hAnsi="宋体"/>
        </w:rPr>
      </w:pPr>
    </w:p>
    <w:p>
      <w:pPr>
        <w:rPr>
          <w:rFonts w:ascii="宋体" w:hAnsi="宋体"/>
        </w:rPr>
      </w:pPr>
      <w:r>
        <w:rPr>
          <w:rFonts w:hint="eastAsia" w:ascii="宋体" w:hAnsi="宋体"/>
        </w:rPr>
        <w:t xml:space="preserve">                                     法定代表人(负责人)或委托代理人签字: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年   月   日</w:t>
      </w:r>
    </w:p>
    <w:p>
      <w:pPr>
        <w:spacing w:line="300" w:lineRule="auto"/>
        <w:rPr>
          <w:rFonts w:ascii="宋体" w:hAnsi="宋体"/>
        </w:rPr>
      </w:pPr>
    </w:p>
    <w:p>
      <w:pPr>
        <w:pageBreakBefore/>
        <w:spacing w:line="300" w:lineRule="auto"/>
        <w:rPr>
          <w:rFonts w:ascii="宋体" w:hAnsi="宋体"/>
        </w:rPr>
      </w:pPr>
      <w:r>
        <w:rPr>
          <w:rFonts w:hint="eastAsia" w:ascii="宋体" w:hAnsi="宋体"/>
        </w:rPr>
        <w:t>附件四</w:t>
      </w:r>
    </w:p>
    <w:p>
      <w:pPr>
        <w:adjustRightInd w:val="0"/>
        <w:snapToGrid w:val="0"/>
        <w:spacing w:line="300" w:lineRule="auto"/>
        <w:jc w:val="center"/>
        <w:rPr>
          <w:rFonts w:ascii="宋体" w:hAnsi="宋体"/>
          <w:b/>
        </w:rPr>
      </w:pPr>
      <w:r>
        <w:rPr>
          <w:rFonts w:hint="eastAsia" w:ascii="宋体" w:hAnsi="宋体"/>
          <w:b/>
        </w:rPr>
        <w:t>法定代表人(负责人)授权委托书</w:t>
      </w:r>
    </w:p>
    <w:p>
      <w:pPr>
        <w:adjustRightInd w:val="0"/>
        <w:snapToGrid w:val="0"/>
        <w:spacing w:line="520" w:lineRule="exact"/>
        <w:rPr>
          <w:rFonts w:ascii="宋体" w:hAnsi="宋体"/>
        </w:rPr>
      </w:pPr>
    </w:p>
    <w:p>
      <w:pPr>
        <w:spacing w:line="520" w:lineRule="exact"/>
        <w:rPr>
          <w:rFonts w:ascii="宋体" w:hAnsi="宋体"/>
        </w:rPr>
      </w:pPr>
      <w:r>
        <w:rPr>
          <w:rFonts w:hint="eastAsia" w:ascii="宋体" w:hAnsi="宋体"/>
          <w:u w:val="single"/>
        </w:rPr>
        <w:t>广西壮族自治区政府采购中心</w:t>
      </w:r>
      <w:r>
        <w:rPr>
          <w:rFonts w:hint="eastAsia" w:ascii="宋体" w:hAnsi="宋体"/>
        </w:rPr>
        <w:t>：</w:t>
      </w:r>
    </w:p>
    <w:p>
      <w:pPr>
        <w:spacing w:line="520" w:lineRule="exact"/>
        <w:ind w:firstLine="420" w:firstLineChars="20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同志为我公司参加贵单位组织的</w:t>
      </w:r>
      <w:r>
        <w:rPr>
          <w:rFonts w:hint="eastAsia" w:ascii="宋体" w:hAnsi="宋体"/>
          <w:u w:val="single"/>
        </w:rPr>
        <w:t>（项目名称、项目编号）竞争性磋商</w:t>
      </w:r>
      <w:r>
        <w:rPr>
          <w:rFonts w:hint="eastAsia" w:ascii="宋体" w:hAnsi="宋体"/>
        </w:rPr>
        <w:t>采购活动的委托代理人，全权代表我公司处理在该项目活动中的一切事宜。代理期限从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日止。 </w:t>
      </w:r>
    </w:p>
    <w:p>
      <w:pPr>
        <w:spacing w:line="520" w:lineRule="exact"/>
        <w:rPr>
          <w:rFonts w:ascii="宋体" w:hAnsi="宋体"/>
        </w:rPr>
      </w:pPr>
    </w:p>
    <w:p>
      <w:pPr>
        <w:spacing w:line="520" w:lineRule="exact"/>
        <w:rPr>
          <w:rFonts w:ascii="宋体" w:hAnsi="宋体"/>
        </w:rPr>
      </w:pPr>
      <w:r>
        <w:rPr>
          <w:rFonts w:hint="eastAsia" w:ascii="宋体" w:hAnsi="宋体"/>
        </w:rPr>
        <w:t>供应商（盖章）：</w:t>
      </w:r>
      <w:r>
        <w:rPr>
          <w:rFonts w:hint="eastAsia" w:ascii="宋体" w:hAnsi="宋体"/>
          <w:u w:val="single"/>
        </w:rPr>
        <w:t xml:space="preserve">               </w:t>
      </w:r>
    </w:p>
    <w:p>
      <w:pPr>
        <w:spacing w:line="520" w:lineRule="exact"/>
        <w:rPr>
          <w:rFonts w:ascii="宋体" w:hAnsi="宋体"/>
        </w:rPr>
      </w:pPr>
      <w:r>
        <w:rPr>
          <w:rFonts w:hint="eastAsia" w:ascii="宋体" w:hAnsi="宋体"/>
        </w:rPr>
        <w:t>法定代表人(负责人)（签字或盖章）：</w:t>
      </w:r>
      <w:r>
        <w:rPr>
          <w:rFonts w:hint="eastAsia" w:ascii="宋体" w:hAnsi="宋体"/>
          <w:u w:val="single"/>
        </w:rPr>
        <w:t xml:space="preserve">       </w:t>
      </w:r>
    </w:p>
    <w:p>
      <w:pPr>
        <w:spacing w:line="520" w:lineRule="exact"/>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520" w:lineRule="exact"/>
        <w:rPr>
          <w:rFonts w:ascii="宋体" w:hAnsi="宋体"/>
        </w:rPr>
      </w:pPr>
    </w:p>
    <w:p>
      <w:pPr>
        <w:spacing w:line="520" w:lineRule="exact"/>
        <w:rPr>
          <w:rFonts w:ascii="宋体" w:hAnsi="宋体"/>
        </w:rPr>
      </w:pPr>
      <w:r>
        <w:rPr>
          <w:rFonts w:hint="eastAsia" w:ascii="宋体" w:hAnsi="宋体"/>
        </w:rPr>
        <w:t>附：委托代理人工作单位</w:t>
      </w:r>
      <w:r>
        <w:rPr>
          <w:rFonts w:hint="eastAsia" w:ascii="宋体" w:hAnsi="宋体"/>
          <w:u w:val="single"/>
        </w:rPr>
        <w:t xml:space="preserve">               </w:t>
      </w:r>
    </w:p>
    <w:p>
      <w:pPr>
        <w:spacing w:line="520" w:lineRule="exact"/>
        <w:ind w:firstLine="420" w:firstLineChars="200"/>
        <w:rPr>
          <w:rFonts w:ascii="宋体" w:hAnsi="宋体"/>
        </w:rPr>
      </w:pPr>
      <w:r>
        <w:rPr>
          <w:rFonts w:hint="eastAsia" w:ascii="宋体" w:hAnsi="宋体"/>
        </w:rPr>
        <w:t>职务：</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p>
    <w:p>
      <w:pPr>
        <w:adjustRightInd w:val="0"/>
        <w:snapToGrid w:val="0"/>
        <w:spacing w:line="520" w:lineRule="exact"/>
        <w:ind w:firstLine="420" w:firstLineChars="200"/>
        <w:rPr>
          <w:rFonts w:ascii="宋体" w:hAnsi="宋体"/>
          <w:u w:val="single"/>
        </w:rPr>
      </w:pPr>
      <w:r>
        <w:rPr>
          <w:rFonts w:hint="eastAsia" w:ascii="宋体" w:hAnsi="宋体"/>
        </w:rPr>
        <w:t>身份证号码：</w:t>
      </w:r>
      <w:r>
        <w:rPr>
          <w:rFonts w:hint="eastAsia" w:ascii="宋体" w:hAnsi="宋体"/>
          <w:u w:val="single"/>
        </w:rPr>
        <w:t xml:space="preserve">                              </w:t>
      </w: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9" w:hRule="atLeast"/>
        </w:trPr>
        <w:tc>
          <w:tcPr>
            <w:tcW w:w="8657"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rPr>
            </w:pPr>
            <w:r>
              <w:rPr>
                <w:rFonts w:hint="eastAsia" w:ascii="宋体" w:hAnsi="宋体"/>
              </w:rPr>
              <w:t>粘贴委托代理人的正面及反面身份证复印件</w:t>
            </w:r>
          </w:p>
        </w:tc>
      </w:tr>
    </w:tbl>
    <w:p>
      <w:pPr>
        <w:autoSpaceDE w:val="0"/>
        <w:autoSpaceDN w:val="0"/>
        <w:spacing w:line="300" w:lineRule="auto"/>
        <w:ind w:left="480" w:hanging="480"/>
        <w:rPr>
          <w:rFonts w:ascii="宋体" w:hAnsi="宋体"/>
        </w:rPr>
      </w:pPr>
    </w:p>
    <w:p>
      <w:pPr>
        <w:pageBreakBefore/>
        <w:spacing w:line="300" w:lineRule="auto"/>
        <w:rPr>
          <w:rFonts w:ascii="宋体" w:hAnsi="宋体"/>
        </w:rPr>
      </w:pPr>
      <w:r>
        <w:rPr>
          <w:rFonts w:hint="eastAsia" w:ascii="宋体" w:hAnsi="宋体"/>
        </w:rPr>
        <w:t>附件五</w:t>
      </w: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rPr>
      </w:pPr>
      <w:r>
        <w:rPr>
          <w:rFonts w:hint="eastAsia" w:ascii="宋体" w:hAnsi="宋体"/>
        </w:rPr>
        <w:t>（格式自拟，必须提供）</w:t>
      </w:r>
    </w:p>
    <w:p>
      <w:pPr>
        <w:snapToGrid w:val="0"/>
        <w:spacing w:line="360" w:lineRule="exact"/>
        <w:ind w:firstLine="411" w:firstLineChars="196"/>
        <w:jc w:val="center"/>
        <w:rPr>
          <w:rFonts w:ascii="宋体" w:hAnsi="宋体"/>
        </w:rPr>
      </w:pPr>
    </w:p>
    <w:p>
      <w:pPr>
        <w:pStyle w:val="19"/>
        <w:tabs>
          <w:tab w:val="left" w:pos="5580"/>
        </w:tabs>
        <w:spacing w:line="360" w:lineRule="auto"/>
        <w:ind w:left="1080" w:leftChars="257" w:hanging="540"/>
        <w:rPr>
          <w:rFonts w:hAnsi="宋体"/>
          <w:sz w:val="24"/>
        </w:rPr>
      </w:pPr>
    </w:p>
    <w:p>
      <w:pPr>
        <w:snapToGrid w:val="0"/>
        <w:spacing w:line="360" w:lineRule="exact"/>
        <w:ind w:firstLine="567" w:firstLineChars="270"/>
        <w:jc w:val="left"/>
        <w:rPr>
          <w:rFonts w:ascii="宋体" w:hAnsi="宋体" w:cs="宋体"/>
          <w:kern w:val="0"/>
        </w:rPr>
      </w:pPr>
      <w:r>
        <w:rPr>
          <w:rFonts w:hint="eastAsia" w:ascii="宋体" w:hAnsi="宋体" w:cs="宋体"/>
          <w:kern w:val="0"/>
        </w:rPr>
        <w:t>说明：1.磋商人应按照相关法规规定如实做出声明。</w:t>
      </w:r>
    </w:p>
    <w:p>
      <w:pPr>
        <w:snapToGrid w:val="0"/>
        <w:spacing w:line="360" w:lineRule="exact"/>
        <w:ind w:firstLine="1134" w:firstLineChars="540"/>
        <w:jc w:val="left"/>
        <w:rPr>
          <w:rFonts w:ascii="宋体" w:hAnsi="宋体" w:cs="宋体"/>
          <w:kern w:val="0"/>
        </w:rPr>
      </w:pPr>
      <w:r>
        <w:rPr>
          <w:rFonts w:hint="eastAsia" w:ascii="宋体" w:hAnsi="宋体" w:cs="宋体"/>
          <w:kern w:val="0"/>
        </w:rPr>
        <w:t>2．按照采购文件的规定盖章（自然人参与磋商的无需盖章，需要签字）。</w:t>
      </w: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283" w:firstLineChars="135"/>
        <w:jc w:val="left"/>
        <w:rPr>
          <w:rFonts w:ascii="宋体" w:hAnsi="宋体" w:cs="宋体"/>
        </w:rPr>
      </w:pPr>
      <w:r>
        <w:rPr>
          <w:rFonts w:hint="eastAsia" w:ascii="宋体" w:hAnsi="宋体" w:cs="宋体"/>
        </w:rPr>
        <w:t xml:space="preserve">附件六 </w:t>
      </w:r>
      <w:r>
        <w:rPr>
          <w:rFonts w:ascii="宋体" w:hAnsi="宋体" w:cs="宋体"/>
        </w:rPr>
        <w:t>中小企业声明函。</w:t>
      </w:r>
    </w:p>
    <w:p>
      <w:pPr>
        <w:pStyle w:val="109"/>
        <w:spacing w:after="0"/>
        <w:rPr>
          <w:rFonts w:eastAsia="宋体"/>
        </w:rPr>
      </w:pPr>
      <w:r>
        <w:t>中小企业声明函（</w:t>
      </w:r>
      <w:r>
        <w:rPr>
          <w:rFonts w:hint="eastAsia"/>
        </w:rPr>
        <w:t>工程、服务</w:t>
      </w:r>
      <w:r>
        <w:t>）</w:t>
      </w:r>
    </w:p>
    <w:p>
      <w:pPr>
        <w:pStyle w:val="111"/>
        <w:spacing w:line="506" w:lineRule="exact"/>
        <w:ind w:firstLine="640"/>
        <w:jc w:val="both"/>
        <w:rPr>
          <w:sz w:val="21"/>
          <w:szCs w:val="21"/>
        </w:rPr>
      </w:pPr>
      <w:r>
        <w:rPr>
          <w:sz w:val="21"/>
          <w:szCs w:val="21"/>
        </w:rPr>
        <w:t>本公司（联合体）郑重声明，根据《政府采购促进中小企业发展管理办法》（财库〔2020 〕46号）的规定，本公司（联合体）参加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ascii="Calibri" w:hAnsi="Calibri"/>
          <w:sz w:val="21"/>
          <w:szCs w:val="21"/>
        </w:rPr>
        <w:t xml:space="preserve"> </w:t>
      </w:r>
      <w:r>
        <w:rPr>
          <w:sz w:val="21"/>
          <w:szCs w:val="21"/>
        </w:rPr>
        <w:t>工程的施工单位全部为符合政策要求的中小企业（或者：服务全部由符合政策要求的中小企业承接）。相关企业（含联合体中的中小企业、签订分包意向协议的中小企业） 的具体情况如下</w:t>
      </w:r>
      <w:r>
        <w:rPr>
          <w:rFonts w:hint="eastAsia"/>
          <w:sz w:val="21"/>
          <w:szCs w:val="21"/>
        </w:rPr>
        <w:t>：</w:t>
      </w:r>
    </w:p>
    <w:p>
      <w:pPr>
        <w:pStyle w:val="111"/>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rFonts w:hint="eastAsia"/>
          <w:sz w:val="21"/>
          <w:szCs w:val="21"/>
          <w:u w:val="single"/>
        </w:rPr>
        <w:t xml:space="preserve">     </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u w:val="single"/>
        </w:rPr>
        <w:tab/>
      </w:r>
      <w:r>
        <w:rPr>
          <w:rFonts w:hint="eastAsia"/>
          <w:sz w:val="21"/>
          <w:szCs w:val="21"/>
          <w:u w:val="single"/>
        </w:rPr>
        <w:t xml:space="preserve">  </w:t>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r>
        <w:rPr>
          <w:sz w:val="21"/>
          <w:szCs w:val="21"/>
        </w:rPr>
        <w:t xml:space="preserve"> </w:t>
      </w:r>
    </w:p>
    <w:p>
      <w:pPr>
        <w:pStyle w:val="111"/>
        <w:spacing w:line="506" w:lineRule="exact"/>
        <w:ind w:firstLine="640"/>
        <w:jc w:val="both"/>
        <w:rPr>
          <w:sz w:val="21"/>
          <w:szCs w:val="21"/>
        </w:rPr>
      </w:pPr>
      <w:r>
        <w:rPr>
          <w:rFonts w:hint="eastAsia"/>
          <w:sz w:val="21"/>
          <w:szCs w:val="21"/>
        </w:rPr>
        <w:t>2.</w:t>
      </w:r>
      <w:r>
        <w:rPr>
          <w:rFonts w:hint="eastAsia"/>
          <w:sz w:val="21"/>
          <w:szCs w:val="21"/>
          <w:u w:val="single"/>
        </w:rPr>
        <w:t xml:space="preserve">    </w:t>
      </w:r>
      <w:r>
        <w:rPr>
          <w:sz w:val="21"/>
          <w:szCs w:val="21"/>
          <w:u w:val="single"/>
        </w:rPr>
        <w:t>（标的名称）</w:t>
      </w:r>
      <w:r>
        <w:rPr>
          <w:rFonts w:hint="eastAsia"/>
          <w:sz w:val="21"/>
          <w:szCs w:val="21"/>
        </w:rPr>
        <w:t>，</w:t>
      </w:r>
      <w:r>
        <w:rPr>
          <w:sz w:val="21"/>
          <w:szCs w:val="21"/>
        </w:rPr>
        <w:t>属于</w:t>
      </w:r>
      <w:r>
        <w:rPr>
          <w:rFonts w:hint="eastAsia"/>
          <w:sz w:val="21"/>
          <w:szCs w:val="21"/>
          <w:u w:val="single"/>
        </w:rPr>
        <w:t xml:space="preserve">     </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sz w:val="21"/>
          <w:szCs w:val="21"/>
        </w:rPr>
        <w:t>、从业人员</w:t>
      </w:r>
      <w:r>
        <w:rPr>
          <w:sz w:val="21"/>
          <w:szCs w:val="21"/>
          <w:u w:val="single"/>
        </w:rPr>
        <w:tab/>
      </w:r>
      <w:r>
        <w:rPr>
          <w:sz w:val="21"/>
          <w:szCs w:val="21"/>
          <w:u w:val="single"/>
        </w:rPr>
        <w:tab/>
      </w:r>
      <w:r>
        <w:rPr>
          <w:rFonts w:hint="eastAsia"/>
          <w:sz w:val="21"/>
          <w:szCs w:val="21"/>
          <w:u w:val="single"/>
        </w:rPr>
        <w:t xml:space="preserve">  </w:t>
      </w:r>
      <w:r>
        <w:rPr>
          <w:sz w:val="21"/>
          <w:szCs w:val="21"/>
          <w:u w:val="single"/>
        </w:rPr>
        <w:tab/>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万元，属于</w:t>
      </w:r>
      <w:r>
        <w:rPr>
          <w:sz w:val="21"/>
          <w:szCs w:val="21"/>
          <w:u w:val="single"/>
        </w:rPr>
        <w:t>（中型企业、小型企业、微型企业）</w:t>
      </w:r>
      <w:r>
        <w:rPr>
          <w:rFonts w:hint="eastAsia"/>
          <w:sz w:val="21"/>
          <w:szCs w:val="21"/>
        </w:rPr>
        <w:t>；</w:t>
      </w:r>
    </w:p>
    <w:p>
      <w:pPr>
        <w:pStyle w:val="111"/>
        <w:spacing w:line="506" w:lineRule="exact"/>
        <w:ind w:firstLine="640"/>
        <w:jc w:val="both"/>
        <w:rPr>
          <w:sz w:val="21"/>
          <w:szCs w:val="21"/>
        </w:rPr>
      </w:pPr>
      <w:r>
        <w:rPr>
          <w:rFonts w:hint="eastAsia"/>
          <w:sz w:val="21"/>
          <w:szCs w:val="21"/>
        </w:rPr>
        <w:t>......</w:t>
      </w:r>
    </w:p>
    <w:p>
      <w:pPr>
        <w:pStyle w:val="111"/>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11"/>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11"/>
        <w:spacing w:after="40" w:line="499" w:lineRule="exact"/>
        <w:ind w:firstLine="640"/>
        <w:jc w:val="both"/>
        <w:rPr>
          <w:sz w:val="21"/>
          <w:szCs w:val="21"/>
        </w:rPr>
      </w:pPr>
    </w:p>
    <w:p>
      <w:pPr>
        <w:pStyle w:val="111"/>
        <w:spacing w:line="506" w:lineRule="exact"/>
        <w:ind w:firstLine="640"/>
        <w:jc w:val="both"/>
        <w:rPr>
          <w:sz w:val="21"/>
          <w:szCs w:val="21"/>
        </w:rPr>
      </w:pPr>
      <w:r>
        <w:rPr>
          <w:rFonts w:hint="eastAsia"/>
          <w:sz w:val="21"/>
          <w:szCs w:val="21"/>
        </w:rPr>
        <w:t xml:space="preserve">                          </w:t>
      </w:r>
      <w:r>
        <w:rPr>
          <w:sz w:val="21"/>
          <w:szCs w:val="21"/>
        </w:rPr>
        <w:t>企业名称（盖章）：</w:t>
      </w:r>
    </w:p>
    <w:p>
      <w:pPr>
        <w:pStyle w:val="111"/>
        <w:spacing w:line="506" w:lineRule="exact"/>
        <w:ind w:firstLine="640"/>
        <w:jc w:val="both"/>
        <w:rPr>
          <w:sz w:val="21"/>
          <w:szCs w:val="21"/>
        </w:rPr>
      </w:pPr>
      <w:r>
        <w:rPr>
          <w:rFonts w:hint="eastAsia"/>
          <w:sz w:val="21"/>
          <w:szCs w:val="21"/>
        </w:rPr>
        <w:t xml:space="preserve">                          日期：</w:t>
      </w:r>
    </w:p>
    <w:p>
      <w:pPr>
        <w:pStyle w:val="109"/>
        <w:spacing w:after="0"/>
      </w:pPr>
    </w:p>
    <w:p>
      <w:pPr>
        <w:pStyle w:val="109"/>
        <w:adjustRightInd w:val="0"/>
        <w:snapToGrid w:val="0"/>
        <w:spacing w:after="0" w:line="360" w:lineRule="exact"/>
        <w:jc w:val="left"/>
        <w:rPr>
          <w:sz w:val="21"/>
          <w:szCs w:val="21"/>
        </w:rPr>
      </w:pPr>
      <w:r>
        <w:rPr>
          <w:sz w:val="21"/>
          <w:szCs w:val="21"/>
        </w:rPr>
        <w:t>备注：</w:t>
      </w:r>
    </w:p>
    <w:p>
      <w:pPr>
        <w:pStyle w:val="109"/>
        <w:adjustRightInd w:val="0"/>
        <w:snapToGrid w:val="0"/>
        <w:spacing w:after="0" w:line="360" w:lineRule="exact"/>
        <w:jc w:val="left"/>
        <w:rPr>
          <w:rFonts w:eastAsia="宋体"/>
          <w:sz w:val="21"/>
          <w:szCs w:val="21"/>
        </w:rPr>
      </w:pPr>
      <w:r>
        <w:rPr>
          <w:rFonts w:hint="eastAsia"/>
          <w:sz w:val="21"/>
          <w:szCs w:val="21"/>
        </w:rPr>
        <w:t>1、</w:t>
      </w:r>
      <w:r>
        <w:rPr>
          <w:sz w:val="21"/>
          <w:szCs w:val="21"/>
        </w:rPr>
        <w:t>从业人员、营业收入、资产总额填报上一年度数据，无上一年度数据的新成立企业可不填报。</w:t>
      </w:r>
      <w:r>
        <w:rPr>
          <w:rFonts w:hint="eastAsia"/>
          <w:sz w:val="21"/>
          <w:szCs w:val="21"/>
        </w:rPr>
        <w:t>2、采购文件中明确的所属行业名称是根据《关于印发中小企业划型标准规定的通知》（工信部联企业[2011]300号）规定确定。</w:t>
      </w:r>
    </w:p>
    <w:p>
      <w:pPr>
        <w:pageBreakBefore/>
        <w:autoSpaceDE w:val="0"/>
        <w:autoSpaceDN w:val="0"/>
        <w:spacing w:line="300" w:lineRule="auto"/>
        <w:ind w:left="482" w:hanging="482"/>
        <w:rPr>
          <w:rFonts w:ascii="宋体" w:hAnsi="宋体"/>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pStyle w:val="2"/>
        <w:jc w:val="center"/>
        <w:rPr>
          <w:rFonts w:ascii="宋体" w:hAnsi="宋体"/>
        </w:rPr>
      </w:pPr>
      <w:bookmarkStart w:id="30" w:name="_Toc18481388"/>
      <w:r>
        <w:rPr>
          <w:rFonts w:hint="eastAsia" w:ascii="宋体" w:hAnsi="宋体"/>
        </w:rPr>
        <w:t>第五章  合同主要条款</w:t>
      </w:r>
      <w:bookmarkEnd w:id="30"/>
    </w:p>
    <w:p>
      <w:pPr>
        <w:spacing w:line="300" w:lineRule="auto"/>
        <w:ind w:left="420" w:hanging="420"/>
        <w:jc w:val="center"/>
        <w:rPr>
          <w:rFonts w:ascii="宋体" w:hAnsi="宋体"/>
          <w:b/>
          <w:kern w:val="0"/>
        </w:rPr>
      </w:pPr>
    </w:p>
    <w:p>
      <w:pPr>
        <w:pStyle w:val="19"/>
        <w:pageBreakBefore/>
        <w:jc w:val="center"/>
        <w:rPr>
          <w:rFonts w:hAnsi="宋体"/>
          <w:b/>
          <w:kern w:val="0"/>
        </w:rPr>
      </w:pPr>
    </w:p>
    <w:p>
      <w:pPr>
        <w:pStyle w:val="19"/>
        <w:jc w:val="center"/>
        <w:rPr>
          <w:rFonts w:hAnsi="宋体"/>
          <w:b/>
          <w:kern w:val="0"/>
        </w:rPr>
      </w:pPr>
    </w:p>
    <w:p>
      <w:pPr>
        <w:pStyle w:val="19"/>
        <w:jc w:val="center"/>
        <w:rPr>
          <w:rFonts w:hAnsi="宋体"/>
          <w:b/>
          <w:kern w:val="0"/>
        </w:rPr>
      </w:pPr>
    </w:p>
    <w:p>
      <w:pPr>
        <w:pStyle w:val="19"/>
        <w:jc w:val="center"/>
        <w:rPr>
          <w:rFonts w:hAnsi="宋体"/>
          <w:b/>
          <w:kern w:val="0"/>
        </w:rPr>
      </w:pPr>
    </w:p>
    <w:p>
      <w:pPr>
        <w:pStyle w:val="19"/>
        <w:jc w:val="center"/>
        <w:rPr>
          <w:rFonts w:hAnsi="宋体"/>
          <w:b/>
          <w:kern w:val="0"/>
        </w:rPr>
      </w:pPr>
    </w:p>
    <w:p>
      <w:pPr>
        <w:pStyle w:val="19"/>
        <w:jc w:val="center"/>
        <w:rPr>
          <w:rFonts w:hAnsi="宋体"/>
          <w:b/>
          <w:sz w:val="52"/>
          <w:szCs w:val="52"/>
        </w:rPr>
      </w:pPr>
      <w:r>
        <w:rPr>
          <w:rFonts w:hint="eastAsia" w:hAnsi="宋体"/>
          <w:b/>
          <w:sz w:val="52"/>
          <w:szCs w:val="52"/>
        </w:rPr>
        <w:t>广西壮族自治区政府采购合同</w:t>
      </w:r>
    </w:p>
    <w:p>
      <w:pPr>
        <w:pStyle w:val="19"/>
        <w:rPr>
          <w:rFonts w:hAnsi="宋体"/>
        </w:rPr>
      </w:pPr>
    </w:p>
    <w:p>
      <w:pPr>
        <w:pStyle w:val="19"/>
        <w:rPr>
          <w:rFonts w:hAnsi="宋体"/>
        </w:rPr>
      </w:pPr>
    </w:p>
    <w:p>
      <w:pPr>
        <w:pStyle w:val="19"/>
        <w:rPr>
          <w:rFonts w:hAnsi="宋体"/>
        </w:rPr>
      </w:pPr>
    </w:p>
    <w:p>
      <w:pPr>
        <w:pStyle w:val="19"/>
        <w:rPr>
          <w:rFonts w:hAnsi="宋体"/>
        </w:rPr>
      </w:pPr>
    </w:p>
    <w:p>
      <w:pPr>
        <w:pStyle w:val="19"/>
        <w:rPr>
          <w:rFonts w:hAnsi="宋体"/>
        </w:rPr>
      </w:pPr>
    </w:p>
    <w:p>
      <w:pPr>
        <w:tabs>
          <w:tab w:val="left" w:pos="721"/>
          <w:tab w:val="left" w:pos="7920"/>
        </w:tabs>
        <w:snapToGrid w:val="0"/>
        <w:spacing w:line="360" w:lineRule="exact"/>
        <w:ind w:firstLine="1305" w:firstLineChars="500"/>
        <w:rPr>
          <w:rFonts w:ascii="宋体" w:hAnsi="宋体"/>
          <w:b/>
          <w:sz w:val="30"/>
          <w:szCs w:val="30"/>
        </w:rPr>
      </w:pPr>
      <w:r>
        <w:rPr>
          <w:rFonts w:hint="eastAsia" w:ascii="宋体" w:hAnsi="宋体"/>
          <w:b/>
          <w:spacing w:val="-20"/>
          <w:sz w:val="30"/>
          <w:szCs w:val="30"/>
        </w:rPr>
        <w:t>合</w:t>
      </w:r>
      <w:r>
        <w:rPr>
          <w:rFonts w:ascii="宋体" w:hAnsi="宋体"/>
          <w:b/>
          <w:spacing w:val="-20"/>
          <w:sz w:val="30"/>
          <w:szCs w:val="30"/>
        </w:rPr>
        <w:t xml:space="preserve"> </w:t>
      </w:r>
      <w:r>
        <w:rPr>
          <w:rFonts w:hint="eastAsia" w:ascii="宋体" w:hAnsi="宋体"/>
          <w:b/>
          <w:spacing w:val="-20"/>
          <w:sz w:val="30"/>
          <w:szCs w:val="30"/>
        </w:rPr>
        <w:t>同</w:t>
      </w:r>
      <w:r>
        <w:rPr>
          <w:rFonts w:ascii="宋体" w:hAnsi="宋体"/>
          <w:b/>
          <w:spacing w:val="-20"/>
          <w:sz w:val="30"/>
          <w:szCs w:val="30"/>
        </w:rPr>
        <w:t xml:space="preserve"> </w:t>
      </w:r>
      <w:r>
        <w:rPr>
          <w:rFonts w:hint="eastAsia" w:ascii="宋体" w:hAnsi="宋体"/>
          <w:b/>
          <w:spacing w:val="-20"/>
          <w:sz w:val="30"/>
          <w:szCs w:val="30"/>
        </w:rPr>
        <w:t>名</w:t>
      </w:r>
      <w:r>
        <w:rPr>
          <w:rFonts w:ascii="宋体" w:hAnsi="宋体"/>
          <w:b/>
          <w:spacing w:val="-20"/>
          <w:sz w:val="30"/>
          <w:szCs w:val="30"/>
        </w:rPr>
        <w:t xml:space="preserve"> </w:t>
      </w:r>
      <w:r>
        <w:rPr>
          <w:rFonts w:hint="eastAsia" w:ascii="宋体" w:hAnsi="宋体"/>
          <w:b/>
          <w:spacing w:val="-20"/>
          <w:sz w:val="30"/>
          <w:szCs w:val="30"/>
        </w:rPr>
        <w:t>称：</w:t>
      </w:r>
      <w:r>
        <w:rPr>
          <w:rFonts w:ascii="宋体" w:hAnsi="宋体"/>
          <w:b/>
          <w:sz w:val="30"/>
          <w:szCs w:val="30"/>
          <w:u w:val="single"/>
        </w:rPr>
        <w:t xml:space="preserve">                                 </w:t>
      </w:r>
    </w:p>
    <w:p>
      <w:pPr>
        <w:tabs>
          <w:tab w:val="left" w:pos="721"/>
        </w:tabs>
        <w:snapToGrid w:val="0"/>
        <w:spacing w:line="360" w:lineRule="exact"/>
        <w:rPr>
          <w:rFonts w:ascii="宋体" w:hAnsi="宋体"/>
          <w:b/>
          <w:spacing w:val="-20"/>
          <w:sz w:val="30"/>
          <w:szCs w:val="30"/>
        </w:rPr>
      </w:pPr>
    </w:p>
    <w:p>
      <w:pPr>
        <w:tabs>
          <w:tab w:val="left" w:pos="721"/>
        </w:tabs>
        <w:snapToGrid w:val="0"/>
        <w:spacing w:line="360" w:lineRule="exact"/>
        <w:ind w:firstLine="1305" w:firstLineChars="500"/>
        <w:rPr>
          <w:rFonts w:ascii="宋体" w:hAnsi="宋体"/>
          <w:b/>
          <w:spacing w:val="-20"/>
          <w:sz w:val="30"/>
          <w:szCs w:val="30"/>
        </w:rPr>
      </w:pPr>
    </w:p>
    <w:p>
      <w:pPr>
        <w:tabs>
          <w:tab w:val="left" w:pos="721"/>
        </w:tabs>
        <w:snapToGrid w:val="0"/>
        <w:spacing w:line="360" w:lineRule="exact"/>
        <w:ind w:firstLine="1305" w:firstLineChars="500"/>
        <w:rPr>
          <w:rFonts w:ascii="宋体" w:hAnsi="宋体"/>
          <w:b/>
          <w:sz w:val="30"/>
          <w:szCs w:val="30"/>
          <w:u w:val="single"/>
        </w:rPr>
      </w:pPr>
      <w:r>
        <w:rPr>
          <w:rFonts w:hint="eastAsia" w:ascii="宋体" w:hAnsi="宋体"/>
          <w:b/>
          <w:spacing w:val="-20"/>
          <w:sz w:val="30"/>
          <w:szCs w:val="30"/>
        </w:rPr>
        <w:t>合</w:t>
      </w:r>
      <w:r>
        <w:rPr>
          <w:rFonts w:ascii="宋体" w:hAnsi="宋体"/>
          <w:b/>
          <w:spacing w:val="-20"/>
          <w:sz w:val="30"/>
          <w:szCs w:val="30"/>
        </w:rPr>
        <w:t xml:space="preserve"> </w:t>
      </w:r>
      <w:r>
        <w:rPr>
          <w:rFonts w:hint="eastAsia" w:ascii="宋体" w:hAnsi="宋体"/>
          <w:b/>
          <w:spacing w:val="-20"/>
          <w:sz w:val="30"/>
          <w:szCs w:val="30"/>
        </w:rPr>
        <w:t>同</w:t>
      </w:r>
      <w:r>
        <w:rPr>
          <w:rFonts w:ascii="宋体" w:hAnsi="宋体"/>
          <w:b/>
          <w:spacing w:val="-20"/>
          <w:sz w:val="30"/>
          <w:szCs w:val="30"/>
        </w:rPr>
        <w:t xml:space="preserve"> </w:t>
      </w:r>
      <w:r>
        <w:rPr>
          <w:rFonts w:hint="eastAsia" w:ascii="宋体" w:hAnsi="宋体"/>
          <w:b/>
          <w:spacing w:val="-20"/>
          <w:sz w:val="30"/>
          <w:szCs w:val="30"/>
        </w:rPr>
        <w:t>编</w:t>
      </w:r>
      <w:r>
        <w:rPr>
          <w:rFonts w:ascii="宋体" w:hAnsi="宋体"/>
          <w:b/>
          <w:spacing w:val="-20"/>
          <w:sz w:val="30"/>
          <w:szCs w:val="30"/>
        </w:rPr>
        <w:t xml:space="preserve"> </w:t>
      </w:r>
      <w:r>
        <w:rPr>
          <w:rFonts w:hint="eastAsia" w:ascii="宋体" w:hAnsi="宋体"/>
          <w:b/>
          <w:spacing w:val="-20"/>
          <w:sz w:val="30"/>
          <w:szCs w:val="30"/>
        </w:rPr>
        <w:t>号：</w:t>
      </w:r>
      <w:r>
        <w:rPr>
          <w:rFonts w:ascii="宋体" w:hAnsi="宋体"/>
          <w:b/>
          <w:sz w:val="30"/>
          <w:szCs w:val="30"/>
          <w:u w:val="single"/>
        </w:rPr>
        <w:t xml:space="preserve">                                  </w:t>
      </w:r>
    </w:p>
    <w:p>
      <w:pPr>
        <w:tabs>
          <w:tab w:val="left" w:pos="721"/>
        </w:tabs>
        <w:snapToGrid w:val="0"/>
        <w:spacing w:line="360" w:lineRule="exact"/>
        <w:rPr>
          <w:rFonts w:ascii="宋体" w:hAnsi="宋体"/>
          <w:b/>
          <w:sz w:val="30"/>
          <w:szCs w:val="30"/>
        </w:rPr>
      </w:pP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采购单位（甲方）</w:t>
      </w:r>
      <w:r>
        <w:rPr>
          <w:rFonts w:ascii="宋体" w:hAnsi="宋体"/>
          <w:b/>
          <w:sz w:val="30"/>
          <w:szCs w:val="30"/>
          <w:u w:val="single"/>
        </w:rPr>
        <w:t xml:space="preserve">                            </w:t>
      </w:r>
    </w:p>
    <w:p>
      <w:pPr>
        <w:tabs>
          <w:tab w:val="left" w:pos="721"/>
        </w:tabs>
        <w:snapToGrid w:val="0"/>
        <w:spacing w:before="312" w:beforeLines="100" w:line="360" w:lineRule="exact"/>
        <w:ind w:firstLine="1355" w:firstLineChars="450"/>
        <w:rPr>
          <w:rFonts w:ascii="宋体" w:hAnsi="宋体"/>
          <w:b/>
          <w:sz w:val="30"/>
          <w:szCs w:val="30"/>
        </w:rPr>
      </w:pPr>
      <w:r>
        <w:rPr>
          <w:rFonts w:hint="eastAsia" w:ascii="宋体" w:hAnsi="宋体"/>
          <w:b/>
          <w:sz w:val="30"/>
          <w:szCs w:val="30"/>
        </w:rPr>
        <w:t>住  所：</w:t>
      </w:r>
      <w:r>
        <w:rPr>
          <w:rFonts w:hint="eastAsia" w:ascii="宋体" w:hAnsi="宋体"/>
          <w:b/>
          <w:sz w:val="30"/>
          <w:szCs w:val="30"/>
          <w:u w:val="single"/>
        </w:rPr>
        <w:t xml:space="preserve">                                    </w:t>
      </w: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供</w:t>
      </w:r>
      <w:r>
        <w:rPr>
          <w:rFonts w:ascii="宋体" w:hAnsi="宋体"/>
          <w:b/>
          <w:sz w:val="30"/>
          <w:szCs w:val="30"/>
        </w:rPr>
        <w:t xml:space="preserve"> </w:t>
      </w:r>
      <w:r>
        <w:rPr>
          <w:rFonts w:hint="eastAsia" w:ascii="宋体" w:hAnsi="宋体"/>
          <w:b/>
          <w:sz w:val="30"/>
          <w:szCs w:val="30"/>
        </w:rPr>
        <w:t>应</w:t>
      </w:r>
      <w:r>
        <w:rPr>
          <w:rFonts w:ascii="宋体" w:hAnsi="宋体"/>
          <w:b/>
          <w:sz w:val="30"/>
          <w:szCs w:val="30"/>
        </w:rPr>
        <w:t xml:space="preserve"> </w:t>
      </w:r>
      <w:r>
        <w:rPr>
          <w:rFonts w:hint="eastAsia" w:ascii="宋体" w:hAnsi="宋体"/>
          <w:b/>
          <w:sz w:val="30"/>
          <w:szCs w:val="30"/>
        </w:rPr>
        <w:t>商（乙方）</w:t>
      </w:r>
      <w:r>
        <w:rPr>
          <w:rFonts w:ascii="宋体" w:hAnsi="宋体"/>
          <w:b/>
          <w:sz w:val="30"/>
          <w:szCs w:val="30"/>
          <w:u w:val="single"/>
        </w:rPr>
        <w:t xml:space="preserve">                            </w:t>
      </w:r>
      <w:r>
        <w:rPr>
          <w:rFonts w:ascii="宋体" w:hAnsi="宋体"/>
          <w:b/>
          <w:sz w:val="30"/>
          <w:szCs w:val="30"/>
        </w:rPr>
        <w:t xml:space="preserve"> </w:t>
      </w:r>
    </w:p>
    <w:p>
      <w:pPr>
        <w:tabs>
          <w:tab w:val="left" w:pos="721"/>
        </w:tabs>
        <w:snapToGrid w:val="0"/>
        <w:spacing w:before="312" w:beforeLines="100" w:line="360" w:lineRule="exact"/>
        <w:ind w:firstLine="1355" w:firstLineChars="450"/>
        <w:rPr>
          <w:rFonts w:ascii="宋体" w:hAnsi="宋体"/>
          <w:b/>
          <w:sz w:val="30"/>
          <w:szCs w:val="30"/>
          <w:u w:val="single"/>
        </w:rPr>
      </w:pPr>
      <w:r>
        <w:rPr>
          <w:rFonts w:hint="eastAsia" w:ascii="宋体" w:hAnsi="宋体"/>
          <w:b/>
          <w:sz w:val="30"/>
          <w:szCs w:val="30"/>
        </w:rPr>
        <w:t>住  所：</w:t>
      </w:r>
      <w:r>
        <w:rPr>
          <w:rFonts w:hint="eastAsia" w:ascii="宋体" w:hAnsi="宋体"/>
          <w:b/>
          <w:sz w:val="30"/>
          <w:szCs w:val="30"/>
          <w:u w:val="single"/>
        </w:rPr>
        <w:t xml:space="preserve">                                    </w:t>
      </w:r>
    </w:p>
    <w:p>
      <w:pPr>
        <w:tabs>
          <w:tab w:val="left" w:pos="721"/>
        </w:tabs>
        <w:snapToGrid w:val="0"/>
        <w:spacing w:line="360" w:lineRule="exact"/>
        <w:rPr>
          <w:rFonts w:ascii="宋体" w:hAnsi="宋体"/>
          <w:b/>
          <w:sz w:val="30"/>
          <w:szCs w:val="30"/>
        </w:rPr>
      </w:pP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签订合同地点：</w:t>
      </w:r>
      <w:r>
        <w:rPr>
          <w:rFonts w:ascii="宋体" w:hAnsi="宋体"/>
          <w:b/>
          <w:sz w:val="30"/>
          <w:szCs w:val="30"/>
          <w:u w:val="single"/>
        </w:rPr>
        <w:t xml:space="preserve">                              </w:t>
      </w:r>
    </w:p>
    <w:p>
      <w:pPr>
        <w:tabs>
          <w:tab w:val="left" w:pos="721"/>
        </w:tabs>
        <w:snapToGrid w:val="0"/>
        <w:spacing w:line="360" w:lineRule="exact"/>
        <w:rPr>
          <w:rFonts w:ascii="宋体" w:hAnsi="宋体"/>
          <w:b/>
          <w:sz w:val="30"/>
          <w:szCs w:val="30"/>
        </w:rPr>
      </w:pP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签订合同时间：</w:t>
      </w:r>
      <w:r>
        <w:rPr>
          <w:rFonts w:ascii="宋体" w:hAnsi="宋体"/>
          <w:b/>
          <w:sz w:val="30"/>
          <w:szCs w:val="30"/>
          <w:u w:val="single"/>
        </w:rPr>
        <w:t xml:space="preserve">                              </w:t>
      </w:r>
    </w:p>
    <w:p>
      <w:pPr>
        <w:pStyle w:val="19"/>
        <w:jc w:val="center"/>
        <w:rPr>
          <w:rFonts w:hAnsi="宋体"/>
        </w:rPr>
      </w:pPr>
      <w:r>
        <w:rPr>
          <w:rFonts w:hint="eastAsia" w:hAnsi="宋体"/>
        </w:rPr>
        <w:t xml:space="preserve"> </w:t>
      </w:r>
    </w:p>
    <w:p>
      <w:pPr>
        <w:pStyle w:val="19"/>
        <w:jc w:val="center"/>
        <w:rPr>
          <w:rFonts w:hAnsi="宋体"/>
        </w:rPr>
      </w:pPr>
    </w:p>
    <w:p>
      <w:pPr>
        <w:pStyle w:val="19"/>
        <w:jc w:val="center"/>
        <w:rPr>
          <w:rFonts w:hAnsi="宋体"/>
        </w:rPr>
      </w:pPr>
    </w:p>
    <w:p>
      <w:pPr>
        <w:pStyle w:val="19"/>
        <w:jc w:val="center"/>
        <w:rPr>
          <w:rFonts w:hAnsi="宋体"/>
        </w:rPr>
      </w:pPr>
    </w:p>
    <w:p>
      <w:pPr>
        <w:pStyle w:val="19"/>
        <w:jc w:val="center"/>
        <w:rPr>
          <w:rFonts w:hAnsi="宋体"/>
        </w:rPr>
      </w:pPr>
      <w:r>
        <w:rPr>
          <w:rFonts w:hint="eastAsia" w:hAnsi="宋体"/>
        </w:rPr>
        <w:t>合同使用说明：根据《中华人民共和国政府采购法》、《中华人民共和国民法典》等法律、法规规定，按照竞争性磋商文件规定条款和成交供应商竞争性磋商响应文件及其承诺，甲乙双方签订本合同。</w:t>
      </w:r>
    </w:p>
    <w:p>
      <w:pPr>
        <w:pageBreakBefore/>
        <w:spacing w:line="300" w:lineRule="auto"/>
        <w:ind w:left="420" w:hanging="420"/>
        <w:jc w:val="center"/>
        <w:rPr>
          <w:rFonts w:ascii="宋体" w:hAnsi="宋体"/>
          <w:b/>
          <w:sz w:val="36"/>
          <w:szCs w:val="36"/>
        </w:rPr>
      </w:pPr>
      <w:bookmarkStart w:id="31" w:name="_Ref450290713"/>
      <w:r>
        <w:rPr>
          <w:rFonts w:hint="eastAsia" w:ascii="宋体" w:hAnsi="宋体"/>
          <w:b/>
          <w:sz w:val="36"/>
          <w:szCs w:val="36"/>
        </w:rPr>
        <w:t>合 同 书</w:t>
      </w:r>
      <w:bookmarkEnd w:id="31"/>
      <w:r>
        <w:rPr>
          <w:rFonts w:hint="eastAsia" w:ascii="宋体" w:hAnsi="宋体"/>
          <w:b/>
          <w:sz w:val="36"/>
          <w:szCs w:val="36"/>
        </w:rPr>
        <w:t>（格式）</w:t>
      </w:r>
    </w:p>
    <w:p>
      <w:pPr>
        <w:spacing w:before="120" w:line="320" w:lineRule="atLeast"/>
        <w:ind w:firstLine="421" w:firstLineChars="200"/>
        <w:jc w:val="center"/>
        <w:outlineLvl w:val="1"/>
        <w:rPr>
          <w:b/>
          <w:bCs/>
          <w:kern w:val="0"/>
        </w:rPr>
      </w:pPr>
    </w:p>
    <w:p>
      <w:pPr>
        <w:snapToGrid w:val="0"/>
        <w:spacing w:line="360" w:lineRule="exact"/>
        <w:rPr>
          <w:rFonts w:ascii="Calibri" w:hAnsi="Calibri"/>
          <w:u w:val="single"/>
        </w:rPr>
      </w:pPr>
      <w:bookmarkStart w:id="32" w:name="_Hlk37749365"/>
      <w:r>
        <w:rPr>
          <w:rFonts w:ascii="Calibri" w:hAnsi="Calibri"/>
        </w:rPr>
        <w:t>采购单位（甲方）</w:t>
      </w:r>
      <w:r>
        <w:rPr>
          <w:rFonts w:ascii="Calibri" w:hAnsi="Calibri"/>
          <w:u w:val="single"/>
        </w:rPr>
        <w:t xml:space="preserve">                          </w:t>
      </w:r>
      <w:r>
        <w:rPr>
          <w:rFonts w:ascii="Calibri" w:hAnsi="Calibri"/>
        </w:rPr>
        <w:t xml:space="preserve">  </w:t>
      </w:r>
      <w:r>
        <w:rPr>
          <w:rFonts w:ascii="Calibri" w:hAnsi="Calibri"/>
          <w:spacing w:val="-20"/>
        </w:rPr>
        <w:t>采 购 计 划 号</w:t>
      </w:r>
      <w:r>
        <w:rPr>
          <w:rFonts w:ascii="Calibri" w:hAnsi="Calibri"/>
          <w:u w:val="single"/>
        </w:rPr>
        <w:t xml:space="preserve">                        </w:t>
      </w:r>
    </w:p>
    <w:p>
      <w:pPr>
        <w:snapToGrid w:val="0"/>
        <w:spacing w:line="360" w:lineRule="exact"/>
        <w:rPr>
          <w:rFonts w:ascii="Calibri" w:hAnsi="Calibri"/>
          <w:u w:val="single"/>
        </w:rPr>
      </w:pPr>
      <w:r>
        <w:rPr>
          <w:rFonts w:ascii="Calibri" w:hAnsi="Calibri"/>
        </w:rPr>
        <w:t>供 应 商（乙方）</w:t>
      </w:r>
      <w:r>
        <w:rPr>
          <w:rFonts w:ascii="Calibri" w:hAnsi="Calibri"/>
          <w:u w:val="single"/>
        </w:rPr>
        <w:t xml:space="preserve">                          </w:t>
      </w:r>
      <w:r>
        <w:rPr>
          <w:rFonts w:ascii="Calibri" w:hAnsi="Calibri"/>
        </w:rPr>
        <w:t xml:space="preserve">  项目名称</w:t>
      </w:r>
      <w:r>
        <w:rPr>
          <w:rFonts w:ascii="Calibri" w:hAnsi="Calibri"/>
          <w:spacing w:val="-20"/>
        </w:rPr>
        <w:t>编号</w:t>
      </w:r>
      <w:r>
        <w:rPr>
          <w:rFonts w:ascii="Calibri" w:hAnsi="Calibri"/>
          <w:u w:val="single"/>
        </w:rPr>
        <w:t xml:space="preserve">                       </w:t>
      </w:r>
    </w:p>
    <w:p>
      <w:pPr>
        <w:snapToGrid w:val="0"/>
        <w:spacing w:line="360" w:lineRule="exact"/>
        <w:rPr>
          <w:rFonts w:ascii="Calibri" w:hAnsi="Calibri"/>
          <w:u w:val="single"/>
        </w:rPr>
      </w:pPr>
      <w:r>
        <w:rPr>
          <w:rFonts w:ascii="Calibri" w:hAnsi="Calibri"/>
        </w:rPr>
        <w:t xml:space="preserve">签  订  地  点  </w:t>
      </w:r>
      <w:r>
        <w:rPr>
          <w:rFonts w:ascii="Calibri" w:hAnsi="Calibri"/>
          <w:u w:val="single"/>
        </w:rPr>
        <w:t xml:space="preserve">                          </w:t>
      </w:r>
      <w:r>
        <w:rPr>
          <w:rFonts w:ascii="Calibri" w:hAnsi="Calibri"/>
        </w:rPr>
        <w:t xml:space="preserve">  签 订 时 间</w:t>
      </w:r>
      <w:r>
        <w:rPr>
          <w:rFonts w:ascii="Calibri" w:hAnsi="Calibri"/>
          <w:u w:val="single"/>
        </w:rPr>
        <w:t xml:space="preserve">                       </w:t>
      </w:r>
    </w:p>
    <w:p>
      <w:pPr>
        <w:spacing w:line="420" w:lineRule="exact"/>
        <w:ind w:firstLine="420" w:firstLineChars="200"/>
      </w:pPr>
      <w:r>
        <w:t>根据《中华人民共和国政府采购法》、《中华人民共和国</w:t>
      </w:r>
      <w:r>
        <w:rPr>
          <w:rFonts w:hint="eastAsia"/>
        </w:rPr>
        <w:t>民法典</w:t>
      </w:r>
      <w:r>
        <w:t>》等法律、法规规定，按照磋商文件规定条款和乙方响应文件及其承诺，</w:t>
      </w:r>
      <w:r>
        <w:rPr>
          <w:rFonts w:hint="eastAsia"/>
        </w:rPr>
        <w:t>甲乙</w:t>
      </w:r>
      <w:r>
        <w:t>双方签订本合同。</w:t>
      </w:r>
    </w:p>
    <w:p>
      <w:pPr>
        <w:snapToGrid w:val="0"/>
        <w:spacing w:line="360" w:lineRule="exact"/>
        <w:ind w:firstLine="421" w:firstLineChars="200"/>
        <w:rPr>
          <w:rFonts w:ascii="Calibri" w:hAnsi="Calibri"/>
          <w:b/>
        </w:rPr>
      </w:pPr>
      <w:r>
        <w:rPr>
          <w:rFonts w:ascii="Calibri" w:hAnsi="Calibri"/>
          <w:b/>
        </w:rPr>
        <w:t>第一条　项目概况及服务范围</w:t>
      </w:r>
    </w:p>
    <w:p>
      <w:pPr>
        <w:snapToGrid w:val="0"/>
        <w:spacing w:line="360" w:lineRule="exact"/>
        <w:ind w:firstLine="420" w:firstLineChars="200"/>
        <w:rPr>
          <w:rFonts w:ascii="Calibri" w:hAnsi="Calibri"/>
          <w:u w:val="single"/>
        </w:rPr>
      </w:pPr>
      <w:r>
        <w:rPr>
          <w:rFonts w:ascii="Calibri" w:hAnsi="Calibri"/>
        </w:rPr>
        <w:t>1.项目名称：</w:t>
      </w:r>
      <w:r>
        <w:rPr>
          <w:rFonts w:hint="eastAsia" w:ascii="Calibri" w:hAnsi="Calibri"/>
          <w:kern w:val="0"/>
          <w:u w:val="single"/>
        </w:rPr>
        <w:t xml:space="preserve">                         </w:t>
      </w:r>
    </w:p>
    <w:p>
      <w:pPr>
        <w:snapToGrid w:val="0"/>
        <w:spacing w:line="360" w:lineRule="exact"/>
        <w:ind w:firstLine="420" w:firstLineChars="200"/>
        <w:rPr>
          <w:rFonts w:ascii="Calibri" w:hAnsi="Calibri"/>
        </w:rPr>
      </w:pPr>
      <w:r>
        <w:rPr>
          <w:rFonts w:ascii="Calibri" w:hAnsi="Calibri"/>
        </w:rPr>
        <w:t>2.服务内容及范围：</w:t>
      </w:r>
      <w:r>
        <w:rPr>
          <w:rFonts w:hint="eastAsia" w:ascii="Calibri" w:hAnsi="Calibri"/>
          <w:u w:val="single"/>
        </w:rPr>
        <w:t xml:space="preserve">                  </w:t>
      </w:r>
    </w:p>
    <w:p>
      <w:pPr>
        <w:snapToGrid w:val="0"/>
        <w:spacing w:line="360" w:lineRule="exact"/>
        <w:ind w:firstLine="420" w:firstLineChars="200"/>
        <w:rPr>
          <w:rFonts w:ascii="Calibri" w:hAnsi="Calibri"/>
        </w:rPr>
      </w:pPr>
      <w:r>
        <w:rPr>
          <w:rFonts w:ascii="Calibri" w:hAnsi="Calibri"/>
        </w:rPr>
        <w:t>3.服务期：</w:t>
      </w:r>
      <w:r>
        <w:rPr>
          <w:rFonts w:hint="eastAsia" w:ascii="Calibri" w:hAnsi="Calibri"/>
          <w:kern w:val="0"/>
          <w:u w:val="single"/>
        </w:rPr>
        <w:t xml:space="preserve">              </w:t>
      </w:r>
      <w:r>
        <w:rPr>
          <w:rFonts w:ascii="Calibri" w:hAnsi="Calibri"/>
          <w:u w:val="single"/>
        </w:rPr>
        <w:t xml:space="preserve"> </w:t>
      </w:r>
      <w:r>
        <w:rPr>
          <w:rFonts w:hint="eastAsia" w:ascii="Calibri" w:hAnsi="Calibri"/>
          <w:u w:val="single"/>
        </w:rPr>
        <w:t xml:space="preserve">         </w:t>
      </w:r>
    </w:p>
    <w:p>
      <w:pPr>
        <w:snapToGrid w:val="0"/>
        <w:spacing w:line="360" w:lineRule="exact"/>
        <w:ind w:firstLine="421" w:firstLineChars="200"/>
        <w:rPr>
          <w:rFonts w:ascii="Calibri" w:hAnsi="Calibri"/>
          <w:b/>
        </w:rPr>
      </w:pPr>
      <w:r>
        <w:rPr>
          <w:rFonts w:ascii="Calibri" w:hAnsi="Calibri"/>
          <w:b/>
        </w:rPr>
        <w:t>第二条　服务交付成果清单</w:t>
      </w:r>
    </w:p>
    <w:tbl>
      <w:tblPr>
        <w:tblStyle w:val="38"/>
        <w:tblW w:w="99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268"/>
        <w:gridCol w:w="993"/>
        <w:gridCol w:w="850"/>
        <w:gridCol w:w="1559"/>
        <w:gridCol w:w="226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7" w:hRule="atLeast"/>
        </w:trPr>
        <w:tc>
          <w:tcPr>
            <w:tcW w:w="747" w:type="dxa"/>
            <w:vAlign w:val="center"/>
          </w:tcPr>
          <w:p>
            <w:pPr>
              <w:snapToGrid w:val="0"/>
              <w:spacing w:line="240" w:lineRule="exact"/>
              <w:jc w:val="center"/>
              <w:rPr>
                <w:rFonts w:ascii="Calibri" w:hAnsi="Calibri"/>
              </w:rPr>
            </w:pPr>
            <w:r>
              <w:rPr>
                <w:rFonts w:ascii="Calibri" w:hAnsi="Calibri"/>
              </w:rPr>
              <w:t>序号</w:t>
            </w:r>
          </w:p>
        </w:tc>
        <w:tc>
          <w:tcPr>
            <w:tcW w:w="2268" w:type="dxa"/>
            <w:vAlign w:val="center"/>
          </w:tcPr>
          <w:p>
            <w:pPr>
              <w:snapToGrid w:val="0"/>
              <w:spacing w:line="240" w:lineRule="exact"/>
              <w:jc w:val="center"/>
              <w:rPr>
                <w:rFonts w:ascii="Calibri" w:hAnsi="Calibri"/>
              </w:rPr>
            </w:pPr>
            <w:r>
              <w:rPr>
                <w:rFonts w:ascii="Calibri" w:hAnsi="Calibri"/>
              </w:rPr>
              <w:t>服务交付成果名称</w:t>
            </w:r>
          </w:p>
        </w:tc>
        <w:tc>
          <w:tcPr>
            <w:tcW w:w="993" w:type="dxa"/>
            <w:vAlign w:val="center"/>
          </w:tcPr>
          <w:p>
            <w:pPr>
              <w:snapToGrid w:val="0"/>
              <w:spacing w:line="240" w:lineRule="exact"/>
              <w:jc w:val="center"/>
              <w:rPr>
                <w:rFonts w:ascii="Calibri" w:hAnsi="Calibri"/>
              </w:rPr>
            </w:pPr>
            <w:r>
              <w:rPr>
                <w:rFonts w:ascii="Calibri" w:hAnsi="Calibri"/>
              </w:rPr>
              <w:t>数 量</w:t>
            </w:r>
          </w:p>
        </w:tc>
        <w:tc>
          <w:tcPr>
            <w:tcW w:w="850" w:type="dxa"/>
            <w:vAlign w:val="center"/>
          </w:tcPr>
          <w:p>
            <w:pPr>
              <w:snapToGrid w:val="0"/>
              <w:spacing w:line="240" w:lineRule="exact"/>
              <w:jc w:val="center"/>
              <w:rPr>
                <w:rFonts w:ascii="Calibri" w:hAnsi="Calibri"/>
              </w:rPr>
            </w:pPr>
            <w:r>
              <w:rPr>
                <w:rFonts w:ascii="Calibri" w:hAnsi="Calibri"/>
              </w:rPr>
              <w:t>单位</w:t>
            </w:r>
          </w:p>
        </w:tc>
        <w:tc>
          <w:tcPr>
            <w:tcW w:w="1559" w:type="dxa"/>
          </w:tcPr>
          <w:p>
            <w:pPr>
              <w:snapToGrid w:val="0"/>
              <w:spacing w:line="240" w:lineRule="exact"/>
              <w:jc w:val="center"/>
              <w:rPr>
                <w:rFonts w:ascii="Calibri" w:hAnsi="Calibri"/>
              </w:rPr>
            </w:pPr>
            <w:r>
              <w:rPr>
                <w:rFonts w:ascii="Calibri" w:hAnsi="Calibri"/>
              </w:rPr>
              <w:t>单  价</w:t>
            </w:r>
          </w:p>
          <w:p>
            <w:pPr>
              <w:snapToGrid w:val="0"/>
              <w:spacing w:line="240" w:lineRule="exact"/>
              <w:jc w:val="center"/>
              <w:rPr>
                <w:rFonts w:ascii="Calibri" w:hAnsi="Calibri"/>
              </w:rPr>
            </w:pPr>
            <w:r>
              <w:rPr>
                <w:rFonts w:ascii="Calibri" w:hAnsi="Calibri"/>
              </w:rPr>
              <w:t>（元）</w:t>
            </w:r>
          </w:p>
        </w:tc>
        <w:tc>
          <w:tcPr>
            <w:tcW w:w="2265" w:type="dxa"/>
            <w:vAlign w:val="center"/>
          </w:tcPr>
          <w:p>
            <w:pPr>
              <w:snapToGrid w:val="0"/>
              <w:spacing w:line="240" w:lineRule="exact"/>
              <w:jc w:val="center"/>
              <w:rPr>
                <w:rFonts w:ascii="Calibri" w:hAnsi="Calibri"/>
              </w:rPr>
            </w:pPr>
            <w:r>
              <w:rPr>
                <w:rFonts w:hint="eastAsia" w:ascii="Calibri" w:hAnsi="Calibri"/>
              </w:rPr>
              <w:t xml:space="preserve">总 </w:t>
            </w:r>
            <w:r>
              <w:rPr>
                <w:rFonts w:ascii="Calibri" w:hAnsi="Calibri"/>
              </w:rPr>
              <w:t xml:space="preserve"> </w:t>
            </w:r>
            <w:r>
              <w:rPr>
                <w:rFonts w:hint="eastAsia" w:ascii="Calibri" w:hAnsi="Calibri"/>
              </w:rPr>
              <w:t>价</w:t>
            </w:r>
          </w:p>
          <w:p>
            <w:pPr>
              <w:snapToGrid w:val="0"/>
              <w:spacing w:line="240" w:lineRule="exact"/>
              <w:jc w:val="center"/>
              <w:rPr>
                <w:rFonts w:ascii="Calibri" w:hAnsi="Calibri"/>
              </w:rPr>
            </w:pPr>
            <w:r>
              <w:rPr>
                <w:rFonts w:ascii="Calibri" w:hAnsi="Calibri"/>
              </w:rPr>
              <w:t>（元）</w:t>
            </w:r>
          </w:p>
        </w:tc>
        <w:tc>
          <w:tcPr>
            <w:tcW w:w="1279" w:type="dxa"/>
          </w:tcPr>
          <w:p>
            <w:pPr>
              <w:snapToGrid w:val="0"/>
              <w:spacing w:line="240" w:lineRule="exact"/>
              <w:jc w:val="center"/>
              <w:rPr>
                <w:rFonts w:ascii="Calibri" w:hAnsi="Calibri"/>
              </w:rPr>
            </w:pPr>
            <w:r>
              <w:rPr>
                <w:rFonts w:ascii="Calibri" w:hAnsi="Calibri"/>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747" w:type="dxa"/>
            <w:vAlign w:val="center"/>
          </w:tcPr>
          <w:p>
            <w:pPr>
              <w:snapToGrid w:val="0"/>
              <w:spacing w:line="360" w:lineRule="exact"/>
              <w:jc w:val="center"/>
              <w:rPr>
                <w:rFonts w:ascii="Calibri" w:hAnsi="Calibri"/>
              </w:rPr>
            </w:pPr>
            <w:r>
              <w:rPr>
                <w:rFonts w:ascii="Calibri" w:hAnsi="Calibri"/>
              </w:rPr>
              <w:t>1</w:t>
            </w:r>
          </w:p>
        </w:tc>
        <w:tc>
          <w:tcPr>
            <w:tcW w:w="2268" w:type="dxa"/>
            <w:vAlign w:val="center"/>
          </w:tcPr>
          <w:p>
            <w:pPr>
              <w:snapToGrid w:val="0"/>
              <w:spacing w:line="360" w:lineRule="exact"/>
              <w:jc w:val="center"/>
              <w:rPr>
                <w:rFonts w:ascii="Calibri" w:hAnsi="Calibri"/>
              </w:rPr>
            </w:pPr>
          </w:p>
        </w:tc>
        <w:tc>
          <w:tcPr>
            <w:tcW w:w="993" w:type="dxa"/>
          </w:tcPr>
          <w:p>
            <w:pPr>
              <w:snapToGrid w:val="0"/>
              <w:spacing w:line="360" w:lineRule="exact"/>
              <w:jc w:val="center"/>
              <w:rPr>
                <w:rFonts w:ascii="Calibri" w:hAnsi="Calibri"/>
              </w:rPr>
            </w:pPr>
          </w:p>
        </w:tc>
        <w:tc>
          <w:tcPr>
            <w:tcW w:w="850" w:type="dxa"/>
          </w:tcPr>
          <w:p>
            <w:pPr>
              <w:snapToGrid w:val="0"/>
              <w:spacing w:line="360" w:lineRule="exact"/>
              <w:jc w:val="center"/>
              <w:rPr>
                <w:rFonts w:ascii="Calibri" w:hAnsi="Calibri"/>
              </w:rPr>
            </w:pPr>
          </w:p>
        </w:tc>
        <w:tc>
          <w:tcPr>
            <w:tcW w:w="1559" w:type="dxa"/>
          </w:tcPr>
          <w:p>
            <w:pPr>
              <w:snapToGrid w:val="0"/>
              <w:spacing w:line="360" w:lineRule="exact"/>
              <w:jc w:val="center"/>
              <w:rPr>
                <w:rFonts w:ascii="Calibri" w:hAnsi="Calibri"/>
              </w:rPr>
            </w:pPr>
          </w:p>
        </w:tc>
        <w:tc>
          <w:tcPr>
            <w:tcW w:w="2265" w:type="dxa"/>
            <w:vAlign w:val="center"/>
          </w:tcPr>
          <w:p>
            <w:pPr>
              <w:snapToGrid w:val="0"/>
              <w:spacing w:line="360" w:lineRule="exact"/>
              <w:jc w:val="center"/>
              <w:rPr>
                <w:rFonts w:ascii="Calibri" w:hAnsi="Calibri"/>
              </w:rPr>
            </w:pPr>
          </w:p>
        </w:tc>
        <w:tc>
          <w:tcPr>
            <w:tcW w:w="1279" w:type="dxa"/>
          </w:tcPr>
          <w:p>
            <w:pPr>
              <w:snapToGrid w:val="0"/>
              <w:spacing w:line="360" w:lineRule="exact"/>
              <w:jc w:val="left"/>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747" w:type="dxa"/>
            <w:vAlign w:val="center"/>
          </w:tcPr>
          <w:p>
            <w:pPr>
              <w:snapToGrid w:val="0"/>
              <w:spacing w:line="360" w:lineRule="exact"/>
              <w:jc w:val="center"/>
              <w:rPr>
                <w:rFonts w:ascii="Calibri" w:hAnsi="Calibri"/>
              </w:rPr>
            </w:pPr>
            <w:r>
              <w:rPr>
                <w:rFonts w:ascii="Calibri" w:hAnsi="Calibri"/>
              </w:rPr>
              <w:t>…</w:t>
            </w:r>
          </w:p>
        </w:tc>
        <w:tc>
          <w:tcPr>
            <w:tcW w:w="2268" w:type="dxa"/>
            <w:vAlign w:val="center"/>
          </w:tcPr>
          <w:p>
            <w:pPr>
              <w:snapToGrid w:val="0"/>
              <w:spacing w:line="360" w:lineRule="exact"/>
              <w:jc w:val="center"/>
              <w:rPr>
                <w:rFonts w:ascii="Calibri" w:hAnsi="Calibri"/>
              </w:rPr>
            </w:pPr>
          </w:p>
        </w:tc>
        <w:tc>
          <w:tcPr>
            <w:tcW w:w="993" w:type="dxa"/>
          </w:tcPr>
          <w:p>
            <w:pPr>
              <w:snapToGrid w:val="0"/>
              <w:spacing w:line="360" w:lineRule="exact"/>
              <w:jc w:val="center"/>
              <w:rPr>
                <w:rFonts w:ascii="Calibri" w:hAnsi="Calibri"/>
              </w:rPr>
            </w:pPr>
          </w:p>
        </w:tc>
        <w:tc>
          <w:tcPr>
            <w:tcW w:w="850" w:type="dxa"/>
          </w:tcPr>
          <w:p>
            <w:pPr>
              <w:snapToGrid w:val="0"/>
              <w:spacing w:line="360" w:lineRule="exact"/>
              <w:jc w:val="center"/>
              <w:rPr>
                <w:rFonts w:ascii="Calibri" w:hAnsi="Calibri"/>
              </w:rPr>
            </w:pPr>
          </w:p>
        </w:tc>
        <w:tc>
          <w:tcPr>
            <w:tcW w:w="1559" w:type="dxa"/>
          </w:tcPr>
          <w:p>
            <w:pPr>
              <w:snapToGrid w:val="0"/>
              <w:spacing w:line="360" w:lineRule="exact"/>
              <w:jc w:val="center"/>
              <w:rPr>
                <w:rFonts w:ascii="Calibri" w:hAnsi="Calibri"/>
              </w:rPr>
            </w:pPr>
          </w:p>
        </w:tc>
        <w:tc>
          <w:tcPr>
            <w:tcW w:w="2265" w:type="dxa"/>
            <w:vAlign w:val="center"/>
          </w:tcPr>
          <w:p>
            <w:pPr>
              <w:snapToGrid w:val="0"/>
              <w:spacing w:line="360" w:lineRule="exact"/>
              <w:jc w:val="center"/>
              <w:rPr>
                <w:rFonts w:ascii="Calibri" w:hAnsi="Calibri"/>
              </w:rPr>
            </w:pPr>
          </w:p>
        </w:tc>
        <w:tc>
          <w:tcPr>
            <w:tcW w:w="1279" w:type="dxa"/>
          </w:tcPr>
          <w:p>
            <w:pPr>
              <w:snapToGrid w:val="0"/>
              <w:spacing w:line="360" w:lineRule="exact"/>
              <w:jc w:val="cente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9961" w:type="dxa"/>
            <w:gridSpan w:val="7"/>
            <w:vAlign w:val="center"/>
          </w:tcPr>
          <w:p>
            <w:pPr>
              <w:snapToGrid w:val="0"/>
              <w:spacing w:line="360" w:lineRule="exact"/>
              <w:jc w:val="left"/>
              <w:rPr>
                <w:rFonts w:ascii="Calibri" w:hAnsi="Calibri"/>
              </w:rPr>
            </w:pPr>
            <w:r>
              <w:rPr>
                <w:rFonts w:ascii="Calibri" w:hAnsi="Calibri"/>
              </w:rPr>
              <w:t>人民币合计金额（大写）                          （小写）</w:t>
            </w:r>
          </w:p>
        </w:tc>
      </w:tr>
    </w:tbl>
    <w:p>
      <w:pPr>
        <w:snapToGrid w:val="0"/>
        <w:spacing w:line="360" w:lineRule="exact"/>
        <w:ind w:firstLine="421" w:firstLineChars="200"/>
        <w:rPr>
          <w:rFonts w:ascii="Calibri" w:hAnsi="Calibri"/>
          <w:b/>
        </w:rPr>
      </w:pPr>
      <w:r>
        <w:rPr>
          <w:rFonts w:ascii="Calibri" w:hAnsi="Calibri"/>
          <w:b/>
        </w:rPr>
        <w:t>第三条  甲方权利和义务</w:t>
      </w:r>
    </w:p>
    <w:p>
      <w:pPr>
        <w:snapToGrid w:val="0"/>
        <w:spacing w:line="360" w:lineRule="exact"/>
        <w:ind w:firstLine="420" w:firstLineChars="200"/>
        <w:rPr>
          <w:rFonts w:ascii="Calibri" w:hAnsi="Calibri"/>
        </w:rPr>
      </w:pPr>
      <w:r>
        <w:rPr>
          <w:rFonts w:ascii="Calibri" w:hAnsi="Calibri"/>
        </w:rPr>
        <w:t>1.甲方有权要求乙方按时、按质、按量、按计划与合同协议约定完成本项目，并有权对乙方工作情况进行监督。</w:t>
      </w:r>
    </w:p>
    <w:p>
      <w:pPr>
        <w:snapToGrid w:val="0"/>
        <w:spacing w:line="360" w:lineRule="exact"/>
        <w:ind w:firstLine="420" w:firstLineChars="200"/>
        <w:rPr>
          <w:rFonts w:ascii="Calibri" w:hAnsi="Calibri"/>
        </w:rPr>
      </w:pPr>
      <w:r>
        <w:rPr>
          <w:rFonts w:ascii="Calibri" w:hAnsi="Calibri"/>
        </w:rPr>
        <w:t>2.根据项目进度，甲方有权及时对乙方提交的方案提出修改意见，并要求乙方按修改意见完成服务工作。</w:t>
      </w:r>
    </w:p>
    <w:p>
      <w:pPr>
        <w:snapToGrid w:val="0"/>
        <w:spacing w:line="360" w:lineRule="exact"/>
        <w:ind w:firstLine="420" w:firstLineChars="200"/>
        <w:rPr>
          <w:rFonts w:ascii="Calibri" w:hAnsi="Calibri"/>
        </w:rPr>
      </w:pPr>
      <w:r>
        <w:rPr>
          <w:rFonts w:ascii="Calibri" w:hAnsi="Calibri"/>
        </w:rPr>
        <w:t>3.乙方配备的项目投入人员应得到甲方的认可；对派遣到甲方的服务人员进行管理、考核、检查与奖惩。</w:t>
      </w:r>
    </w:p>
    <w:p>
      <w:pPr>
        <w:snapToGrid w:val="0"/>
        <w:spacing w:line="360" w:lineRule="exact"/>
        <w:ind w:firstLine="420" w:firstLineChars="200"/>
        <w:rPr>
          <w:rFonts w:ascii="Calibri" w:hAnsi="Calibri"/>
        </w:rPr>
      </w:pPr>
      <w:r>
        <w:rPr>
          <w:rFonts w:hint="eastAsia" w:ascii="Calibri" w:hAnsi="Calibri"/>
        </w:rPr>
        <w:t>5</w:t>
      </w:r>
      <w:r>
        <w:rPr>
          <w:rFonts w:ascii="Calibri" w:hAnsi="Calibri"/>
        </w:rPr>
        <w:t>.甲方有权要求乙方更换不合格的工作人员。</w:t>
      </w:r>
    </w:p>
    <w:p>
      <w:pPr>
        <w:tabs>
          <w:tab w:val="left" w:pos="524"/>
        </w:tabs>
        <w:snapToGrid w:val="0"/>
        <w:spacing w:line="360" w:lineRule="exact"/>
        <w:ind w:firstLine="420" w:firstLineChars="200"/>
        <w:rPr>
          <w:rFonts w:ascii="Calibri" w:hAnsi="Calibri"/>
        </w:rPr>
      </w:pPr>
      <w:r>
        <w:rPr>
          <w:rFonts w:hint="eastAsia" w:ascii="Calibri" w:hAnsi="Calibri"/>
        </w:rPr>
        <w:t>6</w:t>
      </w:r>
      <w:r>
        <w:rPr>
          <w:rFonts w:ascii="Calibri" w:hAnsi="Calibri"/>
        </w:rPr>
        <w:t>.按合同要求及时向乙方支付产品和服务费用。</w:t>
      </w:r>
    </w:p>
    <w:p>
      <w:pPr>
        <w:snapToGrid w:val="0"/>
        <w:spacing w:line="360" w:lineRule="exact"/>
        <w:ind w:firstLine="421" w:firstLineChars="200"/>
        <w:rPr>
          <w:rFonts w:ascii="Calibri" w:hAnsi="Calibri"/>
          <w:b/>
        </w:rPr>
      </w:pPr>
      <w:r>
        <w:rPr>
          <w:rFonts w:ascii="Calibri" w:hAnsi="Calibri"/>
          <w:b/>
        </w:rPr>
        <w:t>第四条  乙方权利和义务</w:t>
      </w:r>
    </w:p>
    <w:p>
      <w:pPr>
        <w:snapToGrid w:val="0"/>
        <w:spacing w:line="360" w:lineRule="exact"/>
        <w:ind w:firstLine="420" w:firstLineChars="200"/>
        <w:rPr>
          <w:rFonts w:ascii="Calibri" w:hAnsi="Calibri"/>
        </w:rPr>
      </w:pPr>
      <w:r>
        <w:rPr>
          <w:rFonts w:ascii="Calibri" w:hAnsi="Calibri"/>
        </w:rPr>
        <w:t>1. 严格履行合同文件（含磋商文件、响应文件等）约定和承诺的服务内容和质量标准，保证甲方项目的相关工作质量和进度。</w:t>
      </w:r>
    </w:p>
    <w:p>
      <w:pPr>
        <w:snapToGrid w:val="0"/>
        <w:spacing w:line="360" w:lineRule="exact"/>
        <w:ind w:firstLine="420" w:firstLineChars="200"/>
        <w:rPr>
          <w:rFonts w:ascii="Calibri" w:hAnsi="Calibri"/>
        </w:rPr>
      </w:pPr>
      <w:r>
        <w:rPr>
          <w:rFonts w:ascii="Calibri" w:hAnsi="Calibri"/>
        </w:rPr>
        <w:t>2. 必须严格实施乙方响应文件中承诺的人力资源配置。在必须补充或更换人员时，必须补充或更换优于或等同于响应文件所承诺资质的服务人员，并需取得甲方书面同意。</w:t>
      </w:r>
    </w:p>
    <w:p>
      <w:pPr>
        <w:snapToGrid w:val="0"/>
        <w:spacing w:line="360" w:lineRule="exact"/>
        <w:ind w:firstLine="420" w:firstLineChars="200"/>
        <w:rPr>
          <w:rFonts w:ascii="Calibri" w:hAnsi="Calibri"/>
        </w:rPr>
      </w:pPr>
      <w:r>
        <w:rPr>
          <w:rFonts w:hint="eastAsia" w:ascii="Calibri" w:hAnsi="Calibri"/>
        </w:rPr>
        <w:t>3</w:t>
      </w:r>
      <w:r>
        <w:rPr>
          <w:rFonts w:ascii="Calibri" w:hAnsi="Calibri"/>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pPr>
        <w:snapToGrid w:val="0"/>
        <w:spacing w:line="360" w:lineRule="exact"/>
        <w:ind w:firstLine="420" w:firstLineChars="200"/>
        <w:rPr>
          <w:rFonts w:ascii="Calibri" w:hAnsi="Calibri"/>
        </w:rPr>
      </w:pPr>
      <w:r>
        <w:rPr>
          <w:rFonts w:hint="eastAsia" w:ascii="Calibri" w:hAnsi="Calibri"/>
        </w:rPr>
        <w:t>4</w:t>
      </w:r>
      <w:r>
        <w:rPr>
          <w:rFonts w:ascii="Calibri" w:hAnsi="Calibri"/>
        </w:rPr>
        <w:t>.乙方服务人员应履行保密义务。如乙方因违反本条约定给甲方造成损失的，乙方应当承担相应的法律责任，并赔偿由此给甲方造成的一切损失。</w:t>
      </w:r>
    </w:p>
    <w:p>
      <w:pPr>
        <w:snapToGrid w:val="0"/>
        <w:spacing w:line="360" w:lineRule="exact"/>
        <w:ind w:firstLine="420" w:firstLineChars="200"/>
        <w:rPr>
          <w:rFonts w:ascii="Calibri" w:hAnsi="Calibri"/>
        </w:rPr>
      </w:pPr>
      <w:r>
        <w:rPr>
          <w:rFonts w:hint="eastAsia" w:ascii="Calibri" w:hAnsi="Calibri"/>
        </w:rPr>
        <w:t>5</w:t>
      </w:r>
      <w:r>
        <w:rPr>
          <w:rFonts w:ascii="Calibri" w:hAnsi="Calibri"/>
        </w:rPr>
        <w:t>.按照合同约定收取服务费，当甲方出现无故拖欠费用时，乙方有权采取适当方式进行催缴，若甲方仍未支付费用，乙方有权停止工作。</w:t>
      </w:r>
    </w:p>
    <w:p>
      <w:pPr>
        <w:snapToGrid w:val="0"/>
        <w:spacing w:line="360" w:lineRule="exact"/>
        <w:ind w:firstLine="421" w:firstLineChars="200"/>
        <w:rPr>
          <w:rFonts w:ascii="Calibri" w:hAnsi="Calibri"/>
        </w:rPr>
      </w:pPr>
      <w:r>
        <w:rPr>
          <w:rFonts w:ascii="Calibri" w:hAnsi="Calibri"/>
          <w:b/>
        </w:rPr>
        <w:t>第</w:t>
      </w:r>
      <w:r>
        <w:rPr>
          <w:rFonts w:hint="eastAsia" w:ascii="Calibri" w:hAnsi="Calibri"/>
          <w:b/>
        </w:rPr>
        <w:t>五</w:t>
      </w:r>
      <w:r>
        <w:rPr>
          <w:rFonts w:ascii="Calibri" w:hAnsi="Calibri"/>
          <w:b/>
        </w:rPr>
        <w:t>条  交付和验收</w:t>
      </w:r>
    </w:p>
    <w:p>
      <w:pPr>
        <w:snapToGrid w:val="0"/>
        <w:spacing w:line="360" w:lineRule="exact"/>
        <w:ind w:firstLine="420" w:firstLineChars="200"/>
        <w:rPr>
          <w:rFonts w:ascii="Calibri" w:hAnsi="Calibri"/>
        </w:rPr>
      </w:pPr>
      <w:r>
        <w:rPr>
          <w:rFonts w:ascii="Calibri" w:hAnsi="Calibri"/>
        </w:rPr>
        <w:t>1.交付使用时间：按乙方响应文件中所承诺的时间；地点：甲方指定地点。</w:t>
      </w:r>
    </w:p>
    <w:p>
      <w:pPr>
        <w:snapToGrid w:val="0"/>
        <w:spacing w:line="360" w:lineRule="exact"/>
        <w:ind w:firstLine="420" w:firstLineChars="200"/>
        <w:rPr>
          <w:rFonts w:ascii="Calibri" w:hAnsi="Calibri"/>
        </w:rPr>
      </w:pPr>
      <w:r>
        <w:rPr>
          <w:rFonts w:ascii="Calibri" w:hAnsi="Calibri"/>
        </w:rPr>
        <w:t>2.乙方提供不符合磋商文件和本合同规定的交付成果或服务，甲方有权拒绝接受。</w:t>
      </w:r>
    </w:p>
    <w:p>
      <w:pPr>
        <w:snapToGrid w:val="0"/>
        <w:spacing w:line="360" w:lineRule="exact"/>
        <w:ind w:firstLine="420" w:firstLineChars="200"/>
        <w:rPr>
          <w:rFonts w:ascii="Calibri" w:hAnsi="Calibri"/>
        </w:rPr>
      </w:pPr>
      <w:r>
        <w:rPr>
          <w:rFonts w:hint="eastAsia" w:ascii="Calibri" w:hAnsi="Calibri"/>
        </w:rPr>
        <w:t>3.乙方逾期10日不能交付的，甲方有权解除合同，不支付合同款项，没收全部履约保证金，造成甲方损失的，甲方可依法向乙方追偿。</w:t>
      </w:r>
    </w:p>
    <w:p>
      <w:pPr>
        <w:snapToGrid w:val="0"/>
        <w:spacing w:line="360" w:lineRule="exact"/>
        <w:ind w:firstLine="421" w:firstLineChars="200"/>
        <w:rPr>
          <w:rFonts w:ascii="Calibri" w:hAnsi="Calibri"/>
          <w:b/>
        </w:rPr>
      </w:pPr>
      <w:r>
        <w:rPr>
          <w:rFonts w:ascii="Calibri" w:hAnsi="Calibri"/>
          <w:b/>
        </w:rPr>
        <w:t>第</w:t>
      </w:r>
      <w:r>
        <w:rPr>
          <w:rFonts w:hint="eastAsia" w:ascii="Calibri" w:hAnsi="Calibri"/>
          <w:b/>
        </w:rPr>
        <w:t>六</w:t>
      </w:r>
      <w:r>
        <w:rPr>
          <w:rFonts w:ascii="Calibri" w:hAnsi="Calibri"/>
          <w:b/>
        </w:rPr>
        <w:t>条  服务和培训</w:t>
      </w:r>
    </w:p>
    <w:p>
      <w:pPr>
        <w:snapToGrid w:val="0"/>
        <w:spacing w:line="360" w:lineRule="exact"/>
        <w:ind w:firstLine="420" w:firstLineChars="200"/>
        <w:rPr>
          <w:rFonts w:ascii="Calibri" w:hAnsi="Calibri"/>
        </w:rPr>
      </w:pPr>
      <w:r>
        <w:rPr>
          <w:rFonts w:ascii="Calibri" w:hAnsi="Calibri"/>
        </w:rPr>
        <w:t>1.甲方应提供必要服务条件（如场地、电源、水源等）。</w:t>
      </w:r>
    </w:p>
    <w:p>
      <w:pPr>
        <w:snapToGrid w:val="0"/>
        <w:spacing w:line="360" w:lineRule="exact"/>
        <w:ind w:firstLine="420" w:firstLineChars="200"/>
        <w:rPr>
          <w:rFonts w:ascii="Calibri" w:hAnsi="Calibri"/>
          <w:u w:val="single"/>
        </w:rPr>
      </w:pPr>
      <w:r>
        <w:rPr>
          <w:rFonts w:ascii="Calibri" w:hAnsi="Calibri"/>
        </w:rPr>
        <w:t>2.乙方负责甲方有关人员的培训。培训时间、地点：</w:t>
      </w:r>
      <w:r>
        <w:rPr>
          <w:rFonts w:ascii="Calibri" w:hAnsi="Calibri"/>
          <w:u w:val="single"/>
        </w:rPr>
        <w:t xml:space="preserve"> 由甲方决定。</w:t>
      </w:r>
    </w:p>
    <w:p>
      <w:pPr>
        <w:snapToGrid w:val="0"/>
        <w:spacing w:line="360" w:lineRule="exact"/>
        <w:ind w:firstLine="421" w:firstLineChars="200"/>
        <w:rPr>
          <w:rFonts w:ascii="Calibri" w:hAnsi="Calibri"/>
          <w:b/>
        </w:rPr>
      </w:pPr>
      <w:r>
        <w:rPr>
          <w:rFonts w:ascii="Calibri" w:hAnsi="Calibri"/>
          <w:b/>
        </w:rPr>
        <w:t>第</w:t>
      </w:r>
      <w:r>
        <w:rPr>
          <w:rFonts w:hint="eastAsia" w:ascii="Calibri" w:hAnsi="Calibri"/>
          <w:b/>
        </w:rPr>
        <w:t>七</w:t>
      </w:r>
      <w:r>
        <w:rPr>
          <w:rFonts w:ascii="Calibri" w:hAnsi="Calibri"/>
          <w:b/>
        </w:rPr>
        <w:t>条  售后服务</w:t>
      </w:r>
    </w:p>
    <w:p>
      <w:pPr>
        <w:snapToGrid w:val="0"/>
        <w:spacing w:line="360" w:lineRule="exact"/>
        <w:ind w:firstLine="420" w:firstLineChars="200"/>
        <w:rPr>
          <w:rFonts w:ascii="Calibri" w:hAnsi="Calibri"/>
        </w:rPr>
      </w:pPr>
      <w:r>
        <w:rPr>
          <w:rFonts w:ascii="Calibri" w:hAnsi="Calibri"/>
        </w:rPr>
        <w:t>1.乙方应按照国家有关法律法规和“三包”规定以及磋商文件和本合同附件，为甲方提供售后服务。</w:t>
      </w:r>
    </w:p>
    <w:p>
      <w:pPr>
        <w:snapToGrid w:val="0"/>
        <w:spacing w:line="360" w:lineRule="exact"/>
        <w:ind w:firstLine="420" w:firstLineChars="200"/>
        <w:rPr>
          <w:rFonts w:ascii="Calibri" w:hAnsi="Calibri"/>
        </w:rPr>
      </w:pPr>
      <w:r>
        <w:rPr>
          <w:rFonts w:ascii="Calibri" w:hAnsi="Calibri"/>
        </w:rPr>
        <w:t>2.乙方提供的服务承诺和售后服务责任等其它具体约定事项。（见合同附件）</w:t>
      </w:r>
    </w:p>
    <w:p>
      <w:pPr>
        <w:snapToGrid w:val="0"/>
        <w:spacing w:line="360" w:lineRule="exact"/>
        <w:ind w:firstLine="420" w:firstLineChars="200"/>
        <w:rPr>
          <w:rFonts w:ascii="Calibri" w:hAnsi="Calibri"/>
        </w:rPr>
      </w:pPr>
      <w:r>
        <w:rPr>
          <w:rFonts w:hint="eastAsia" w:ascii="Calibri" w:hAnsi="Calibri"/>
        </w:rPr>
        <w:t>3.服务期内乙方应按竞标时响应的需求参数、售后服务及合同条款等约定履行义务，如在服务期内乙方收到采购人的售后服务申请后未按要求履行售后服务的，采购人有权按每次1000元的金额扣除履约保证金。因乙方未提供售后服务，采购人有权委托第三方进行维护排除故障，由此产生的费用，采购人有权从履约保证金中扣除。其他违约责任在合同中约定。</w:t>
      </w:r>
    </w:p>
    <w:p>
      <w:pPr>
        <w:snapToGrid w:val="0"/>
        <w:spacing w:line="360" w:lineRule="exact"/>
        <w:ind w:firstLine="421" w:firstLineChars="200"/>
        <w:rPr>
          <w:rFonts w:ascii="Calibri" w:hAnsi="Calibri"/>
        </w:rPr>
      </w:pPr>
      <w:r>
        <w:rPr>
          <w:rFonts w:ascii="Calibri" w:hAnsi="Calibri"/>
          <w:b/>
        </w:rPr>
        <w:t>第</w:t>
      </w:r>
      <w:r>
        <w:rPr>
          <w:rFonts w:hint="eastAsia" w:ascii="Calibri" w:hAnsi="Calibri"/>
          <w:b/>
        </w:rPr>
        <w:t>八</w:t>
      </w:r>
      <w:r>
        <w:rPr>
          <w:rFonts w:ascii="Calibri" w:hAnsi="Calibri"/>
          <w:b/>
        </w:rPr>
        <w:t>条　付款方式</w:t>
      </w:r>
    </w:p>
    <w:p>
      <w:pPr>
        <w:snapToGrid w:val="0"/>
        <w:spacing w:line="360" w:lineRule="exact"/>
        <w:ind w:firstLine="420" w:firstLineChars="200"/>
        <w:rPr>
          <w:rFonts w:ascii="Calibri" w:hAnsi="Calibri"/>
        </w:rPr>
      </w:pPr>
      <w:r>
        <w:rPr>
          <w:rFonts w:ascii="Calibri" w:hAnsi="Calibri"/>
        </w:rPr>
        <w:t>1.资金性质：</w:t>
      </w:r>
      <w:r>
        <w:rPr>
          <w:rFonts w:ascii="Calibri" w:hAnsi="Calibri"/>
          <w:u w:val="single"/>
        </w:rPr>
        <w:t>财政性资金</w:t>
      </w:r>
      <w:r>
        <w:rPr>
          <w:rFonts w:ascii="Calibri" w:hAnsi="Calibri"/>
        </w:rPr>
        <w:t>。</w:t>
      </w:r>
    </w:p>
    <w:p>
      <w:pPr>
        <w:snapToGrid w:val="0"/>
        <w:spacing w:line="360" w:lineRule="exact"/>
        <w:ind w:firstLine="420" w:firstLineChars="200"/>
        <w:rPr>
          <w:rFonts w:ascii="Calibri" w:hAnsi="Calibri"/>
          <w:u w:val="single"/>
        </w:rPr>
      </w:pPr>
      <w:r>
        <w:rPr>
          <w:rFonts w:ascii="Calibri" w:hAnsi="Calibri"/>
        </w:rPr>
        <w:t>2.付款方式：</w:t>
      </w:r>
      <w:r>
        <w:rPr>
          <w:rFonts w:hint="eastAsia" w:ascii="Calibri" w:hAnsi="Calibri"/>
        </w:rPr>
        <w:t xml:space="preserve"> </w:t>
      </w:r>
      <w:r>
        <w:rPr>
          <w:rFonts w:hint="eastAsia" w:ascii="Calibri" w:hAnsi="Calibri"/>
          <w:u w:val="single"/>
        </w:rPr>
        <w:t xml:space="preserve">                                                                   。</w:t>
      </w:r>
    </w:p>
    <w:p>
      <w:pPr>
        <w:snapToGrid w:val="0"/>
        <w:spacing w:line="360" w:lineRule="exact"/>
        <w:ind w:firstLine="420" w:firstLineChars="200"/>
        <w:rPr>
          <w:rFonts w:ascii="Calibri" w:hAnsi="Calibri"/>
        </w:rPr>
      </w:pPr>
      <w:r>
        <w:rPr>
          <w:rFonts w:hint="eastAsia" w:ascii="Calibri" w:hAnsi="Calibri"/>
        </w:rPr>
        <w:t xml:space="preserve">3.履约保证金： </w:t>
      </w:r>
      <w:r>
        <w:rPr>
          <w:rFonts w:hint="eastAsia" w:ascii="Calibri" w:hAnsi="Calibri"/>
          <w:u w:val="single"/>
        </w:rPr>
        <w:t xml:space="preserve">                                                                 。 </w:t>
      </w:r>
    </w:p>
    <w:p>
      <w:pPr>
        <w:snapToGrid w:val="0"/>
        <w:spacing w:line="360" w:lineRule="exact"/>
        <w:ind w:firstLine="421" w:firstLineChars="200"/>
        <w:rPr>
          <w:rFonts w:ascii="Calibri" w:hAnsi="Calibri"/>
          <w:b/>
        </w:rPr>
      </w:pPr>
      <w:r>
        <w:rPr>
          <w:rFonts w:ascii="Calibri" w:hAnsi="Calibri"/>
          <w:b/>
        </w:rPr>
        <w:t>第</w:t>
      </w:r>
      <w:r>
        <w:rPr>
          <w:rFonts w:hint="eastAsia" w:ascii="Calibri" w:hAnsi="Calibri"/>
          <w:b/>
        </w:rPr>
        <w:t>九</w:t>
      </w:r>
      <w:r>
        <w:rPr>
          <w:rFonts w:ascii="Calibri" w:hAnsi="Calibri"/>
          <w:b/>
        </w:rPr>
        <w:t xml:space="preserve">条 </w:t>
      </w:r>
      <w:r>
        <w:rPr>
          <w:rFonts w:hint="eastAsia" w:ascii="Calibri" w:hAnsi="Calibri"/>
          <w:b/>
        </w:rPr>
        <w:t xml:space="preserve"> </w:t>
      </w:r>
      <w:r>
        <w:rPr>
          <w:rFonts w:ascii="Calibri" w:hAnsi="Calibri"/>
          <w:b/>
        </w:rPr>
        <w:t>税费</w:t>
      </w:r>
    </w:p>
    <w:p>
      <w:pPr>
        <w:snapToGrid w:val="0"/>
        <w:spacing w:line="360" w:lineRule="exact"/>
        <w:ind w:firstLine="420" w:firstLineChars="200"/>
        <w:rPr>
          <w:rFonts w:ascii="Calibri" w:hAnsi="Calibri"/>
        </w:rPr>
      </w:pPr>
      <w:r>
        <w:rPr>
          <w:rFonts w:ascii="Calibri" w:hAnsi="Calibri"/>
        </w:rPr>
        <w:t>本合同执行中相关的一切税费均由乙方负担。</w:t>
      </w:r>
    </w:p>
    <w:p>
      <w:pPr>
        <w:snapToGrid w:val="0"/>
        <w:spacing w:line="360" w:lineRule="exact"/>
        <w:ind w:firstLine="421" w:firstLineChars="200"/>
        <w:rPr>
          <w:rFonts w:ascii="Calibri" w:hAnsi="Calibri"/>
          <w:b/>
        </w:rPr>
      </w:pPr>
      <w:r>
        <w:rPr>
          <w:rFonts w:ascii="Calibri" w:hAnsi="Calibri"/>
          <w:b/>
        </w:rPr>
        <w:t>第</w:t>
      </w:r>
      <w:r>
        <w:rPr>
          <w:rFonts w:hint="eastAsia" w:ascii="Calibri" w:hAnsi="Calibri"/>
          <w:b/>
        </w:rPr>
        <w:t>十</w:t>
      </w:r>
      <w:r>
        <w:rPr>
          <w:rFonts w:ascii="Calibri" w:hAnsi="Calibri"/>
          <w:b/>
        </w:rPr>
        <w:t>条　违约责任</w:t>
      </w:r>
    </w:p>
    <w:p>
      <w:pPr>
        <w:snapToGrid w:val="0"/>
        <w:spacing w:line="360" w:lineRule="exact"/>
        <w:ind w:firstLine="420" w:firstLineChars="200"/>
        <w:rPr>
          <w:rFonts w:ascii="Calibri" w:hAnsi="Calibri"/>
        </w:rPr>
      </w:pPr>
      <w:r>
        <w:rPr>
          <w:rFonts w:ascii="Calibri" w:hAnsi="Calibri"/>
        </w:rPr>
        <w:t>1.若因乙方原因而未能履行合同或未达到合同约定的要求，甲方有权书面敦促乙方履行合同，乙方应在收到甲方书面通知之日起七日内给予书面答复并进行整改；如乙方在上述时间未答复，或无故拖延履行合同超过</w:t>
      </w:r>
      <w:r>
        <w:rPr>
          <w:rFonts w:hint="eastAsia" w:ascii="Calibri" w:hAnsi="Calibri"/>
          <w:u w:val="single"/>
        </w:rPr>
        <w:t xml:space="preserve">    </w:t>
      </w:r>
      <w:r>
        <w:rPr>
          <w:rFonts w:ascii="Calibri" w:hAnsi="Calibri"/>
        </w:rPr>
        <w:t>日，或经</w:t>
      </w:r>
      <w:r>
        <w:rPr>
          <w:rFonts w:hint="eastAsia" w:ascii="Calibri" w:hAnsi="Calibri"/>
          <w:u w:val="single"/>
        </w:rPr>
        <w:t xml:space="preserve">     </w:t>
      </w:r>
      <w:r>
        <w:rPr>
          <w:rFonts w:ascii="Calibri" w:hAnsi="Calibri"/>
        </w:rPr>
        <w:t>次整改后仍未达到甲方要求，甲方有权书面通知乙方解除服务合同，且无需支付合同解除后的合同后续费用。同时，乙方必须退还甲方已付出的所有服务费用，</w:t>
      </w:r>
      <w:r>
        <w:rPr>
          <w:rFonts w:hint="eastAsia" w:ascii="Calibri" w:hAnsi="Calibri"/>
        </w:rPr>
        <w:t>乙方向甲方支付合同总值     %的违约金，违约金不足以弥补采购人损失的，乙方还应负责赔偿。</w:t>
      </w:r>
    </w:p>
    <w:p>
      <w:pPr>
        <w:snapToGrid w:val="0"/>
        <w:spacing w:line="360" w:lineRule="exact"/>
        <w:ind w:firstLine="420" w:firstLineChars="200"/>
        <w:rPr>
          <w:rFonts w:ascii="Calibri" w:hAnsi="Calibri"/>
        </w:rPr>
      </w:pPr>
      <w:r>
        <w:rPr>
          <w:rFonts w:ascii="Calibri" w:hAnsi="Calibri"/>
        </w:rPr>
        <w:t>2.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pPr>
        <w:snapToGrid w:val="0"/>
        <w:spacing w:line="360" w:lineRule="exact"/>
        <w:ind w:firstLine="420" w:firstLineChars="200"/>
        <w:rPr>
          <w:rFonts w:ascii="Calibri" w:hAnsi="Calibri"/>
        </w:rPr>
      </w:pPr>
      <w:r>
        <w:rPr>
          <w:rFonts w:ascii="Calibri" w:hAnsi="Calibri"/>
        </w:rPr>
        <w:t>3.乙方或乙方人员违反保密义务时，甲方有权书面通知乙方解除</w:t>
      </w:r>
      <w:r>
        <w:rPr>
          <w:rFonts w:hint="eastAsia" w:ascii="Calibri" w:hAnsi="Calibri"/>
        </w:rPr>
        <w:t>服务</w:t>
      </w:r>
      <w:r>
        <w:rPr>
          <w:rFonts w:ascii="Calibri" w:hAnsi="Calibri"/>
        </w:rPr>
        <w:t>合同，且无需支付合同解除后的合同后续费用。同时，乙方必须退还甲方已付出的所有</w:t>
      </w:r>
      <w:r>
        <w:rPr>
          <w:rFonts w:hint="eastAsia" w:ascii="Calibri" w:hAnsi="Calibri"/>
        </w:rPr>
        <w:t>服务</w:t>
      </w:r>
      <w:r>
        <w:rPr>
          <w:rFonts w:ascii="Calibri" w:hAnsi="Calibri"/>
        </w:rPr>
        <w:t>费用，并赔偿由此给甲方造成的全部损失。</w:t>
      </w:r>
    </w:p>
    <w:p>
      <w:pPr>
        <w:snapToGrid w:val="0"/>
        <w:spacing w:line="360" w:lineRule="exact"/>
        <w:ind w:firstLine="420" w:firstLineChars="200"/>
        <w:jc w:val="left"/>
        <w:rPr>
          <w:rFonts w:ascii="Calibri" w:hAnsi="Calibri"/>
        </w:rPr>
      </w:pPr>
      <w:r>
        <w:rPr>
          <w:rFonts w:ascii="Calibri" w:hAnsi="Calibri"/>
        </w:rPr>
        <w:t>4.乙方提供的交付成果或服务如侵犯了第三方合法权益而引发的任何纠纷或诉讼，均由乙方负责交涉并承担全部责任。</w:t>
      </w:r>
    </w:p>
    <w:p>
      <w:pPr>
        <w:snapToGrid w:val="0"/>
        <w:spacing w:line="360" w:lineRule="exact"/>
        <w:ind w:firstLine="420" w:firstLineChars="200"/>
        <w:rPr>
          <w:rFonts w:ascii="Calibri" w:hAnsi="Calibri"/>
        </w:rPr>
      </w:pPr>
      <w:r>
        <w:rPr>
          <w:rFonts w:ascii="Calibri" w:hAnsi="Calibri"/>
        </w:rPr>
        <w:t>5.因包装、运输引起的交付成果或服务成果损坏，按质量不合格处罚。</w:t>
      </w:r>
    </w:p>
    <w:p>
      <w:pPr>
        <w:snapToGrid w:val="0"/>
        <w:spacing w:line="360" w:lineRule="exact"/>
        <w:ind w:firstLine="420" w:firstLineChars="200"/>
        <w:rPr>
          <w:rFonts w:ascii="Calibri" w:hAnsi="Calibri"/>
        </w:rPr>
      </w:pPr>
      <w:r>
        <w:rPr>
          <w:rFonts w:ascii="Calibri" w:hAnsi="Calibri"/>
        </w:rPr>
        <w:t>6.甲方无故延期接收服务交付成果、乙方逾期交付的，每天向对方偿付违约交付成果或服务费用金额的</w:t>
      </w:r>
      <w:r>
        <w:rPr>
          <w:rFonts w:hint="eastAsia" w:ascii="Calibri" w:hAnsi="Calibri"/>
          <w:u w:val="single"/>
        </w:rPr>
        <w:t xml:space="preserve">    </w:t>
      </w:r>
      <w:r>
        <w:rPr>
          <w:rFonts w:ascii="Calibri" w:hAnsi="Calibri"/>
        </w:rPr>
        <w:t>‰违约金，但违约金累计不得超过违约交付成果或服务费用金额的</w:t>
      </w:r>
      <w:r>
        <w:rPr>
          <w:rFonts w:hint="eastAsia" w:ascii="Calibri" w:hAnsi="Calibri"/>
          <w:u w:val="single"/>
        </w:rPr>
        <w:t xml:space="preserve">     </w:t>
      </w:r>
      <w:r>
        <w:rPr>
          <w:rFonts w:ascii="Calibri" w:hAnsi="Calibri"/>
          <w:u w:val="single"/>
        </w:rPr>
        <w:t>%</w:t>
      </w:r>
      <w:r>
        <w:rPr>
          <w:rFonts w:ascii="Calibri" w:hAnsi="Calibri"/>
        </w:rPr>
        <w:t>，超过</w:t>
      </w:r>
      <w:r>
        <w:rPr>
          <w:rFonts w:ascii="Calibri" w:hAnsi="Calibri"/>
          <w:u w:val="single"/>
        </w:rPr>
        <w:t xml:space="preserve"> </w:t>
      </w:r>
      <w:r>
        <w:rPr>
          <w:rFonts w:hint="eastAsia" w:ascii="Calibri" w:hAnsi="Calibri"/>
          <w:u w:val="single"/>
        </w:rPr>
        <w:t xml:space="preserve">    </w:t>
      </w:r>
      <w:r>
        <w:rPr>
          <w:rFonts w:ascii="Calibri" w:hAnsi="Calibri"/>
          <w:u w:val="single"/>
        </w:rPr>
        <w:t xml:space="preserve"> </w:t>
      </w:r>
      <w:r>
        <w:rPr>
          <w:rFonts w:ascii="Calibri" w:hAnsi="Calibri"/>
        </w:rPr>
        <w:t>天对方有权解除合同，违约方承担因此给对方造成经济损失；甲方延期付交付成果或服务费用金额的，每天向乙方偿付延期交付成果或服务费用金额的</w:t>
      </w:r>
      <w:r>
        <w:rPr>
          <w:rFonts w:hint="eastAsia" w:ascii="Calibri" w:hAnsi="Calibri"/>
          <w:u w:val="single"/>
        </w:rPr>
        <w:t xml:space="preserve">     </w:t>
      </w:r>
      <w:r>
        <w:rPr>
          <w:rFonts w:ascii="Calibri" w:hAnsi="Calibri"/>
          <w:u w:val="single"/>
        </w:rPr>
        <w:t xml:space="preserve">‰ </w:t>
      </w:r>
      <w:r>
        <w:rPr>
          <w:rFonts w:ascii="Calibri" w:hAnsi="Calibri"/>
        </w:rPr>
        <w:t>作为滞纳金，但滞纳金累计不得超过延期交付成果或服务费用金额的</w:t>
      </w:r>
      <w:r>
        <w:rPr>
          <w:rFonts w:hint="eastAsia" w:ascii="Calibri" w:hAnsi="Calibri"/>
          <w:u w:val="single"/>
        </w:rPr>
        <w:t xml:space="preserve">     </w:t>
      </w:r>
      <w:r>
        <w:rPr>
          <w:rFonts w:ascii="Calibri" w:hAnsi="Calibri"/>
          <w:u w:val="single"/>
        </w:rPr>
        <w:t>%</w:t>
      </w:r>
      <w:r>
        <w:rPr>
          <w:rFonts w:ascii="Calibri" w:hAnsi="Calibri"/>
        </w:rPr>
        <w:t>。</w:t>
      </w:r>
    </w:p>
    <w:p>
      <w:pPr>
        <w:snapToGrid w:val="0"/>
        <w:spacing w:line="360" w:lineRule="exact"/>
        <w:ind w:firstLine="420" w:firstLineChars="200"/>
        <w:rPr>
          <w:rFonts w:ascii="Calibri" w:hAnsi="Calibri"/>
        </w:rPr>
      </w:pPr>
      <w:r>
        <w:rPr>
          <w:rFonts w:ascii="Calibri" w:hAnsi="Calibri"/>
        </w:rPr>
        <w:t>7.乙方未按本合同和响应文件中规定的服务承诺提供售后服务的，乙方应按本合同合计金额</w:t>
      </w:r>
      <w:r>
        <w:rPr>
          <w:rFonts w:ascii="Calibri" w:hAnsi="Calibri"/>
          <w:u w:val="single"/>
        </w:rPr>
        <w:t xml:space="preserve"> </w:t>
      </w:r>
      <w:r>
        <w:rPr>
          <w:rFonts w:hint="eastAsia" w:ascii="Calibri" w:hAnsi="Calibri"/>
          <w:u w:val="single"/>
        </w:rPr>
        <w:t xml:space="preserve">   </w:t>
      </w:r>
      <w:r>
        <w:rPr>
          <w:rFonts w:ascii="Calibri" w:hAnsi="Calibri"/>
          <w:u w:val="single"/>
        </w:rPr>
        <w:t>%</w:t>
      </w:r>
      <w:r>
        <w:rPr>
          <w:rFonts w:ascii="Calibri" w:hAnsi="Calibri"/>
        </w:rPr>
        <w:t>向甲方支付违约金。</w:t>
      </w:r>
    </w:p>
    <w:p>
      <w:pPr>
        <w:snapToGrid w:val="0"/>
        <w:spacing w:line="360" w:lineRule="exact"/>
        <w:ind w:firstLine="420" w:firstLineChars="200"/>
        <w:rPr>
          <w:rFonts w:ascii="Calibri" w:hAnsi="Calibri"/>
        </w:rPr>
      </w:pPr>
      <w:r>
        <w:rPr>
          <w:rFonts w:hint="eastAsia" w:ascii="Calibri" w:hAnsi="Calibri"/>
        </w:rPr>
        <w:t>8</w:t>
      </w:r>
      <w:r>
        <w:rPr>
          <w:rFonts w:ascii="Calibri" w:hAnsi="Calibri"/>
        </w:rPr>
        <w:t>.其它违约行为按违约服务成果费用金额</w:t>
      </w:r>
      <w:r>
        <w:rPr>
          <w:rFonts w:hint="eastAsia" w:ascii="Calibri" w:hAnsi="Calibri"/>
        </w:rPr>
        <w:t xml:space="preserve"> </w:t>
      </w:r>
      <w:r>
        <w:rPr>
          <w:rFonts w:hint="eastAsia" w:ascii="Calibri" w:hAnsi="Calibri"/>
          <w:u w:val="single"/>
        </w:rPr>
        <w:t xml:space="preserve">     </w:t>
      </w:r>
      <w:r>
        <w:rPr>
          <w:rFonts w:ascii="Calibri" w:hAnsi="Calibri"/>
        </w:rPr>
        <w:t>%收取违约金并赔偿经济损失。</w:t>
      </w:r>
    </w:p>
    <w:p>
      <w:pPr>
        <w:snapToGrid w:val="0"/>
        <w:spacing w:line="360" w:lineRule="exact"/>
        <w:ind w:firstLine="420" w:firstLineChars="200"/>
        <w:rPr>
          <w:rFonts w:ascii="Calibri" w:hAnsi="Calibri"/>
        </w:rPr>
      </w:pPr>
      <w:r>
        <w:rPr>
          <w:rFonts w:hint="eastAsia" w:ascii="Calibri" w:hAnsi="Calibri"/>
        </w:rPr>
        <w:t>9.任何一方违约应赔偿对方经济损失，该损失包括但不限于直接损失，包括因违约方的违约行为而引起的律师费、诉讼费、保全及担保费、赔偿金、差旅费、公证鉴定费、调查取证费、罚款或罚金等在内的全部损失，以及守约方因违约方的违约行为对第三方支付的赔偿和违约金等。</w:t>
      </w:r>
    </w:p>
    <w:p>
      <w:pPr>
        <w:snapToGrid w:val="0"/>
        <w:spacing w:line="300" w:lineRule="exact"/>
        <w:ind w:firstLine="421" w:firstLineChars="200"/>
        <w:rPr>
          <w:rFonts w:ascii="Calibri" w:hAnsi="Calibri"/>
          <w:b/>
        </w:rPr>
      </w:pPr>
      <w:r>
        <w:rPr>
          <w:rFonts w:ascii="Calibri" w:hAnsi="Calibri"/>
          <w:b/>
        </w:rPr>
        <w:t>第十</w:t>
      </w:r>
      <w:r>
        <w:rPr>
          <w:rFonts w:hint="eastAsia" w:ascii="Calibri" w:hAnsi="Calibri"/>
          <w:b/>
        </w:rPr>
        <w:t>一</w:t>
      </w:r>
      <w:r>
        <w:rPr>
          <w:rFonts w:ascii="Calibri" w:hAnsi="Calibri"/>
          <w:b/>
        </w:rPr>
        <w:t>条 不可抗力事件处理</w:t>
      </w:r>
    </w:p>
    <w:p>
      <w:pPr>
        <w:snapToGrid w:val="0"/>
        <w:spacing w:line="360" w:lineRule="exact"/>
        <w:ind w:firstLine="420" w:firstLineChars="200"/>
        <w:rPr>
          <w:rFonts w:ascii="Calibri" w:hAnsi="Calibri"/>
        </w:rPr>
      </w:pPr>
      <w:r>
        <w:rPr>
          <w:rFonts w:ascii="Calibri" w:hAnsi="Calibri"/>
        </w:rPr>
        <w:t>1. 在合同有效期内，任何一方因不可抗力事件导致不能履行合同，则合同履行期可延长，其延长期与不可抗力影响期相同。</w:t>
      </w:r>
    </w:p>
    <w:p>
      <w:pPr>
        <w:snapToGrid w:val="0"/>
        <w:spacing w:line="360" w:lineRule="exact"/>
        <w:ind w:firstLine="420" w:firstLineChars="200"/>
        <w:rPr>
          <w:rFonts w:ascii="Calibri" w:hAnsi="Calibri"/>
        </w:rPr>
      </w:pPr>
      <w:r>
        <w:rPr>
          <w:rFonts w:ascii="Calibri" w:hAnsi="Calibri"/>
        </w:rPr>
        <w:t>2. 不可抗力事件发生后，应立即通知对方，并寄送有关权威机构出具的证明。</w:t>
      </w:r>
    </w:p>
    <w:p>
      <w:pPr>
        <w:snapToGrid w:val="0"/>
        <w:spacing w:line="360" w:lineRule="exact"/>
        <w:ind w:firstLine="420" w:firstLineChars="200"/>
        <w:rPr>
          <w:rFonts w:ascii="Calibri" w:hAnsi="Calibri"/>
        </w:rPr>
      </w:pPr>
      <w:r>
        <w:rPr>
          <w:rFonts w:ascii="Calibri" w:hAnsi="Calibri"/>
        </w:rPr>
        <w:t>3. 不可抗力事件延续一百二十天以上，双方应通过友好协商，确定是否继续履行合同。</w:t>
      </w:r>
    </w:p>
    <w:p>
      <w:pPr>
        <w:snapToGrid w:val="0"/>
        <w:spacing w:line="360" w:lineRule="exact"/>
        <w:ind w:firstLine="421" w:firstLineChars="200"/>
        <w:rPr>
          <w:rFonts w:ascii="Calibri" w:hAnsi="Calibri"/>
        </w:rPr>
      </w:pPr>
      <w:r>
        <w:rPr>
          <w:rFonts w:ascii="Calibri" w:hAnsi="Calibri"/>
          <w:b/>
        </w:rPr>
        <w:t>第十</w:t>
      </w:r>
      <w:r>
        <w:rPr>
          <w:rFonts w:hint="eastAsia" w:ascii="Calibri" w:hAnsi="Calibri"/>
          <w:b/>
        </w:rPr>
        <w:t>二</w:t>
      </w:r>
      <w:r>
        <w:rPr>
          <w:rFonts w:ascii="Calibri" w:hAnsi="Calibri"/>
          <w:b/>
        </w:rPr>
        <w:t>条  合同争议解决</w:t>
      </w:r>
    </w:p>
    <w:p>
      <w:pPr>
        <w:snapToGrid w:val="0"/>
        <w:spacing w:line="360" w:lineRule="exact"/>
        <w:ind w:firstLine="420" w:firstLineChars="200"/>
        <w:rPr>
          <w:rFonts w:ascii="Calibri" w:hAnsi="Calibri"/>
        </w:rPr>
      </w:pPr>
      <w:r>
        <w:rPr>
          <w:rFonts w:ascii="Calibri" w:hAnsi="Calibri"/>
        </w:rPr>
        <w:t>1 因交付成果或服务质量问题发生争议的，应邀请国家认</w:t>
      </w:r>
      <w:r>
        <w:rPr>
          <w:rFonts w:hint="eastAsia" w:ascii="Calibri" w:hAnsi="Calibri"/>
        </w:rPr>
        <w:t>定</w:t>
      </w:r>
      <w:r>
        <w:rPr>
          <w:rFonts w:ascii="Calibri" w:hAnsi="Calibri"/>
        </w:rPr>
        <w:t>的质量检测机构按照国家标准对交付成果或服务质量进行验收。交付成果或服务符合国家标准的，鉴定费由甲方承担；交付成果或服务不符合国家标准的，鉴定费由乙方承担。</w:t>
      </w:r>
    </w:p>
    <w:p>
      <w:pPr>
        <w:snapToGrid w:val="0"/>
        <w:spacing w:line="360" w:lineRule="exact"/>
        <w:ind w:firstLine="420" w:firstLineChars="200"/>
        <w:rPr>
          <w:rFonts w:ascii="Calibri" w:hAnsi="Calibri"/>
        </w:rPr>
      </w:pPr>
      <w:r>
        <w:rPr>
          <w:rFonts w:ascii="Calibri" w:hAnsi="Calibri"/>
        </w:rPr>
        <w:t>2 因履行本合同引起的或与本合同有关的争议，</w:t>
      </w:r>
      <w:r>
        <w:rPr>
          <w:rFonts w:hint="eastAsia" w:ascii="Calibri" w:hAnsi="Calibri"/>
        </w:rPr>
        <w:t>甲乙</w:t>
      </w:r>
      <w:r>
        <w:rPr>
          <w:rFonts w:ascii="Calibri" w:hAnsi="Calibri"/>
        </w:rPr>
        <w:t>双方应首先通过友好协商解决，如果协商不能解决，可向甲方所在地人民法院提起诉讼。</w:t>
      </w:r>
    </w:p>
    <w:p>
      <w:pPr>
        <w:snapToGrid w:val="0"/>
        <w:spacing w:line="360" w:lineRule="exact"/>
        <w:ind w:firstLine="420" w:firstLineChars="200"/>
        <w:rPr>
          <w:rFonts w:ascii="Calibri" w:hAnsi="Calibri"/>
        </w:rPr>
      </w:pPr>
      <w:r>
        <w:rPr>
          <w:rFonts w:ascii="Calibri" w:hAnsi="Calibri"/>
        </w:rPr>
        <w:t>3 诉讼期间，本合同继续履行。</w:t>
      </w:r>
    </w:p>
    <w:p>
      <w:pPr>
        <w:snapToGrid w:val="0"/>
        <w:spacing w:before="120" w:after="120" w:line="360" w:lineRule="exact"/>
        <w:ind w:firstLine="421" w:firstLineChars="200"/>
        <w:rPr>
          <w:b/>
        </w:rPr>
      </w:pPr>
      <w:r>
        <w:rPr>
          <w:b/>
        </w:rPr>
        <w:t>第十</w:t>
      </w:r>
      <w:r>
        <w:rPr>
          <w:rFonts w:hint="eastAsia"/>
          <w:b/>
        </w:rPr>
        <w:t>三</w:t>
      </w:r>
      <w:r>
        <w:rPr>
          <w:b/>
        </w:rPr>
        <w:t>条 合同生效及其它</w:t>
      </w:r>
    </w:p>
    <w:p>
      <w:pPr>
        <w:snapToGrid w:val="0"/>
        <w:spacing w:line="300" w:lineRule="exact"/>
        <w:ind w:firstLine="420" w:firstLineChars="200"/>
        <w:rPr>
          <w:rFonts w:ascii="Calibri" w:hAnsi="Calibri"/>
        </w:rPr>
      </w:pPr>
      <w:bookmarkStart w:id="33" w:name="_Hlk19199032"/>
      <w:r>
        <w:rPr>
          <w:rFonts w:ascii="Calibri" w:hAnsi="Calibri"/>
        </w:rPr>
        <w:t>1．本合同履行期限为：</w:t>
      </w:r>
      <w:r>
        <w:rPr>
          <w:rFonts w:hint="eastAsia" w:ascii="Calibri" w:hAnsi="Calibri"/>
          <w:u w:val="single"/>
        </w:rPr>
        <w:t xml:space="preserve">            </w:t>
      </w:r>
      <w:r>
        <w:rPr>
          <w:rFonts w:ascii="Calibri" w:hAnsi="Calibri"/>
        </w:rPr>
        <w:t>；合同履行地点为：</w:t>
      </w:r>
      <w:r>
        <w:rPr>
          <w:rFonts w:hint="eastAsia" w:ascii="Calibri" w:hAnsi="Calibri"/>
          <w:u w:val="single"/>
        </w:rPr>
        <w:t xml:space="preserve">广西南宁市 </w:t>
      </w:r>
      <w:r>
        <w:rPr>
          <w:rFonts w:ascii="Calibri" w:hAnsi="Calibri"/>
        </w:rPr>
        <w:t>；合同履行的方式：</w:t>
      </w:r>
      <w:r>
        <w:rPr>
          <w:rFonts w:ascii="Calibri" w:hAnsi="Calibri"/>
          <w:u w:val="single"/>
        </w:rPr>
        <w:t>按照本合同约定</w:t>
      </w:r>
      <w:r>
        <w:rPr>
          <w:rFonts w:ascii="Calibri" w:hAnsi="Calibri"/>
        </w:rPr>
        <w:t>。</w:t>
      </w:r>
    </w:p>
    <w:bookmarkEnd w:id="33"/>
    <w:p>
      <w:pPr>
        <w:snapToGrid w:val="0"/>
        <w:spacing w:line="360" w:lineRule="exact"/>
        <w:ind w:firstLine="420" w:firstLineChars="200"/>
        <w:rPr>
          <w:rFonts w:ascii="Calibri" w:hAnsi="Calibri"/>
        </w:rPr>
      </w:pPr>
      <w:r>
        <w:rPr>
          <w:rFonts w:ascii="Calibri" w:hAnsi="Calibri"/>
        </w:rPr>
        <w:t>2．合同经双方法定代表人或授权代表签字并加盖单位公章后生效。</w:t>
      </w:r>
    </w:p>
    <w:p>
      <w:pPr>
        <w:snapToGrid w:val="0"/>
        <w:spacing w:line="360" w:lineRule="exact"/>
        <w:ind w:firstLine="420" w:firstLineChars="200"/>
        <w:rPr>
          <w:rFonts w:ascii="Calibri" w:hAnsi="Calibri"/>
        </w:rPr>
      </w:pPr>
      <w:r>
        <w:rPr>
          <w:rFonts w:ascii="Calibri" w:hAnsi="Calibri"/>
        </w:rPr>
        <w:t>3．合同执行中涉及采购资金和采购内容修改或补充的，须经财政部门审批，并签书面补充协议报财政部门备案，方可作为主合同不可分割的一部分。</w:t>
      </w:r>
    </w:p>
    <w:p>
      <w:pPr>
        <w:snapToGrid w:val="0"/>
        <w:spacing w:line="360" w:lineRule="exact"/>
        <w:ind w:firstLine="420" w:firstLineChars="200"/>
        <w:rPr>
          <w:rFonts w:ascii="Calibri" w:hAnsi="Calibri"/>
        </w:rPr>
      </w:pPr>
      <w:r>
        <w:rPr>
          <w:rFonts w:ascii="Calibri" w:hAnsi="Calibri"/>
        </w:rPr>
        <w:t>4．本合同未尽事宜，遵照《</w:t>
      </w:r>
      <w:r>
        <w:rPr>
          <w:rFonts w:hint="eastAsia"/>
        </w:rPr>
        <w:t>民法典</w:t>
      </w:r>
      <w:r>
        <w:rPr>
          <w:rFonts w:ascii="Calibri" w:hAnsi="Calibri"/>
        </w:rPr>
        <w:t>》有关条文执行。</w:t>
      </w:r>
    </w:p>
    <w:p>
      <w:pPr>
        <w:snapToGrid w:val="0"/>
        <w:spacing w:line="360" w:lineRule="exact"/>
        <w:ind w:firstLine="527" w:firstLineChars="250"/>
        <w:rPr>
          <w:rFonts w:ascii="Calibri" w:hAnsi="Calibri"/>
          <w:b/>
        </w:rPr>
      </w:pPr>
      <w:r>
        <w:rPr>
          <w:rFonts w:ascii="Calibri" w:hAnsi="Calibri"/>
          <w:b/>
        </w:rPr>
        <w:t>第十</w:t>
      </w:r>
      <w:r>
        <w:rPr>
          <w:rFonts w:hint="eastAsia" w:ascii="Calibri" w:hAnsi="Calibri"/>
          <w:b/>
        </w:rPr>
        <w:t>四</w:t>
      </w:r>
      <w:r>
        <w:rPr>
          <w:rFonts w:ascii="Calibri" w:hAnsi="Calibri"/>
          <w:b/>
        </w:rPr>
        <w:t>条　合同的变更、终止与转让</w:t>
      </w:r>
    </w:p>
    <w:p>
      <w:pPr>
        <w:snapToGrid w:val="0"/>
        <w:spacing w:line="360" w:lineRule="exact"/>
        <w:ind w:firstLine="420" w:firstLineChars="200"/>
        <w:rPr>
          <w:rFonts w:ascii="Calibri" w:hAnsi="Calibri"/>
        </w:rPr>
      </w:pPr>
      <w:r>
        <w:rPr>
          <w:rFonts w:ascii="Calibri" w:hAnsi="Calibri"/>
        </w:rPr>
        <w:t>1.除《中华人民共和国政府采购法》第五十条规定的情形外，本合同一经签订，采购人成交供应商双方不得擅自变更、中止或终止。</w:t>
      </w:r>
    </w:p>
    <w:p>
      <w:pPr>
        <w:snapToGrid w:val="0"/>
        <w:spacing w:line="360" w:lineRule="exact"/>
        <w:ind w:firstLine="420" w:firstLineChars="200"/>
        <w:rPr>
          <w:rFonts w:ascii="Calibri" w:hAnsi="Calibri"/>
        </w:rPr>
      </w:pPr>
      <w:r>
        <w:rPr>
          <w:rFonts w:ascii="Calibri" w:hAnsi="Calibri"/>
        </w:rPr>
        <w:t>2.未经甲方书面同意，乙方不得擅自转让其应履行的合同义务。</w:t>
      </w:r>
    </w:p>
    <w:p>
      <w:pPr>
        <w:snapToGrid w:val="0"/>
        <w:spacing w:line="360" w:lineRule="exact"/>
        <w:ind w:firstLine="420" w:firstLineChars="200"/>
        <w:rPr>
          <w:rFonts w:ascii="Calibri" w:hAnsi="Calibri"/>
        </w:rPr>
      </w:pPr>
      <w:r>
        <w:rPr>
          <w:rFonts w:hint="eastAsia" w:ascii="Calibri" w:hAnsi="Calibri"/>
        </w:rPr>
        <w:t>3.如遇国家、自治区政策调整，应当对本项目相关内容进行调整、变更、中止或终止，双方可另行协商签订补充协议。</w:t>
      </w:r>
    </w:p>
    <w:p>
      <w:pPr>
        <w:snapToGrid w:val="0"/>
        <w:spacing w:line="360" w:lineRule="exact"/>
        <w:ind w:firstLine="527" w:firstLineChars="250"/>
        <w:rPr>
          <w:rFonts w:ascii="Calibri" w:hAnsi="Calibri"/>
          <w:b/>
        </w:rPr>
      </w:pPr>
      <w:r>
        <w:rPr>
          <w:rFonts w:ascii="Calibri" w:hAnsi="Calibri"/>
          <w:b/>
        </w:rPr>
        <w:t>第十</w:t>
      </w:r>
      <w:r>
        <w:rPr>
          <w:rFonts w:hint="eastAsia" w:ascii="Calibri" w:hAnsi="Calibri"/>
          <w:b/>
        </w:rPr>
        <w:t>五</w:t>
      </w:r>
      <w:r>
        <w:rPr>
          <w:rFonts w:ascii="Calibri" w:hAnsi="Calibri"/>
          <w:b/>
        </w:rPr>
        <w:t>条　签订本合同依据</w:t>
      </w:r>
    </w:p>
    <w:p>
      <w:pPr>
        <w:snapToGrid w:val="0"/>
        <w:spacing w:line="360" w:lineRule="exact"/>
        <w:ind w:firstLine="420" w:firstLineChars="200"/>
        <w:rPr>
          <w:rFonts w:ascii="Calibri" w:hAnsi="Calibri"/>
        </w:rPr>
      </w:pPr>
      <w:r>
        <w:rPr>
          <w:rFonts w:ascii="Calibri" w:hAnsi="Calibri"/>
        </w:rPr>
        <w:t>1.政府采购磋商文件；</w:t>
      </w:r>
    </w:p>
    <w:p>
      <w:pPr>
        <w:snapToGrid w:val="0"/>
        <w:spacing w:line="360" w:lineRule="exact"/>
        <w:ind w:firstLine="420" w:firstLineChars="200"/>
        <w:rPr>
          <w:rFonts w:ascii="Calibri" w:hAnsi="Calibri"/>
        </w:rPr>
      </w:pPr>
      <w:r>
        <w:rPr>
          <w:rFonts w:ascii="Calibri" w:hAnsi="Calibri"/>
        </w:rPr>
        <w:t>2.乙方提供的响应文件；</w:t>
      </w:r>
    </w:p>
    <w:p>
      <w:pPr>
        <w:snapToGrid w:val="0"/>
        <w:spacing w:line="360" w:lineRule="exact"/>
        <w:ind w:firstLine="420" w:firstLineChars="200"/>
        <w:rPr>
          <w:rFonts w:ascii="Calibri" w:hAnsi="Calibri"/>
        </w:rPr>
      </w:pPr>
      <w:r>
        <w:rPr>
          <w:rFonts w:ascii="Calibri" w:hAnsi="Calibri"/>
        </w:rPr>
        <w:t>3.响应承诺书；</w:t>
      </w:r>
    </w:p>
    <w:p>
      <w:pPr>
        <w:snapToGrid w:val="0"/>
        <w:spacing w:line="360" w:lineRule="exact"/>
        <w:ind w:firstLine="420" w:firstLineChars="200"/>
        <w:rPr>
          <w:rFonts w:ascii="Calibri" w:hAnsi="Calibri"/>
          <w:u w:val="single"/>
        </w:rPr>
      </w:pPr>
      <w:r>
        <w:rPr>
          <w:rFonts w:ascii="Calibri" w:hAnsi="Calibri"/>
        </w:rPr>
        <w:t>4.成交通知书。</w:t>
      </w:r>
    </w:p>
    <w:p>
      <w:pPr>
        <w:snapToGrid w:val="0"/>
        <w:spacing w:line="360" w:lineRule="exact"/>
        <w:ind w:firstLine="527" w:firstLineChars="250"/>
        <w:rPr>
          <w:rFonts w:ascii="Calibri" w:hAnsi="Calibri"/>
        </w:rPr>
      </w:pPr>
      <w:r>
        <w:rPr>
          <w:rFonts w:ascii="Calibri" w:hAnsi="Calibri"/>
          <w:b/>
        </w:rPr>
        <w:t>第十</w:t>
      </w:r>
      <w:r>
        <w:rPr>
          <w:rFonts w:hint="eastAsia" w:ascii="Calibri" w:hAnsi="Calibri"/>
          <w:b/>
        </w:rPr>
        <w:t>六</w:t>
      </w:r>
      <w:r>
        <w:rPr>
          <w:rFonts w:ascii="Calibri" w:hAnsi="Calibri"/>
          <w:b/>
        </w:rPr>
        <w:t>条　</w:t>
      </w:r>
      <w:r>
        <w:rPr>
          <w:rFonts w:ascii="Calibri" w:hAnsi="Calibri"/>
        </w:rPr>
        <w:t>本合同一式</w:t>
      </w:r>
      <w:r>
        <w:rPr>
          <w:rFonts w:hint="eastAsia" w:ascii="Calibri" w:hAnsi="Calibri"/>
        </w:rPr>
        <w:t>捌</w:t>
      </w:r>
      <w:r>
        <w:rPr>
          <w:rFonts w:ascii="Calibri" w:hAnsi="Calibri"/>
        </w:rPr>
        <w:t>份，具有同等法律效力。</w:t>
      </w:r>
      <w:r>
        <w:rPr>
          <w:rFonts w:ascii="Calibri" w:hAnsi="Calibri"/>
          <w:spacing w:val="4"/>
        </w:rPr>
        <w:t>政府采购监督管理部门、采购代理机构</w:t>
      </w:r>
      <w:r>
        <w:rPr>
          <w:rFonts w:ascii="Calibri" w:hAnsi="Calibri"/>
        </w:rPr>
        <w:t>各一份，甲方</w:t>
      </w:r>
      <w:r>
        <w:rPr>
          <w:rFonts w:hint="eastAsia" w:ascii="Calibri" w:hAnsi="Calibri"/>
        </w:rPr>
        <w:t>肆</w:t>
      </w:r>
      <w:r>
        <w:rPr>
          <w:rFonts w:ascii="Calibri" w:hAnsi="Calibri"/>
        </w:rPr>
        <w:t>份，乙方</w:t>
      </w:r>
      <w:r>
        <w:rPr>
          <w:rFonts w:hint="eastAsia" w:ascii="Calibri" w:hAnsi="Calibri"/>
        </w:rPr>
        <w:t>贰</w:t>
      </w:r>
      <w:r>
        <w:rPr>
          <w:rFonts w:ascii="Calibri" w:hAnsi="Calibri"/>
        </w:rPr>
        <w:t>份。</w:t>
      </w:r>
    </w:p>
    <w:p>
      <w:pPr>
        <w:snapToGrid w:val="0"/>
        <w:spacing w:line="360" w:lineRule="exact"/>
        <w:ind w:firstLine="420" w:firstLineChars="200"/>
        <w:rPr>
          <w:rFonts w:ascii="Calibri" w:hAnsi="Calibri"/>
        </w:rPr>
      </w:pPr>
      <w:r>
        <w:rPr>
          <w:rFonts w:ascii="Calibri" w:hAnsi="Calibri"/>
        </w:rPr>
        <w:t>本合同经采购人成交供应商双方法定代表人或被授权代表签字并加盖单位公章后生效。</w:t>
      </w:r>
      <w:bookmarkEnd w:id="32"/>
    </w:p>
    <w:p>
      <w:pPr>
        <w:snapToGrid w:val="0"/>
        <w:spacing w:line="360" w:lineRule="exact"/>
        <w:ind w:firstLine="420" w:firstLineChars="200"/>
        <w:rPr>
          <w:rFonts w:ascii="Calibri" w:hAnsi="Calibri"/>
        </w:rPr>
      </w:pP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4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431" w:type="pct"/>
            <w:vAlign w:val="center"/>
          </w:tcPr>
          <w:p>
            <w:pPr>
              <w:snapToGrid w:val="0"/>
              <w:spacing w:line="360" w:lineRule="exact"/>
              <w:rPr>
                <w:rFonts w:ascii="Calibri" w:hAnsi="Calibri"/>
              </w:rPr>
            </w:pPr>
            <w:r>
              <w:rPr>
                <w:rFonts w:ascii="Calibri" w:hAnsi="Calibri"/>
              </w:rPr>
              <w:t xml:space="preserve">甲方（章）           </w:t>
            </w:r>
          </w:p>
          <w:p>
            <w:pPr>
              <w:snapToGrid w:val="0"/>
              <w:spacing w:line="360" w:lineRule="exact"/>
              <w:rPr>
                <w:rFonts w:ascii="Calibri" w:hAnsi="Calibri"/>
              </w:rPr>
            </w:pPr>
          </w:p>
          <w:p>
            <w:pPr>
              <w:snapToGrid w:val="0"/>
              <w:spacing w:line="360" w:lineRule="exact"/>
              <w:ind w:firstLine="945" w:firstLineChars="450"/>
              <w:jc w:val="right"/>
              <w:rPr>
                <w:rFonts w:ascii="Calibri" w:hAnsi="Calibri"/>
              </w:rPr>
            </w:pPr>
            <w:r>
              <w:rPr>
                <w:rFonts w:ascii="Calibri" w:hAnsi="Calibri"/>
              </w:rPr>
              <w:t>年   月   日</w:t>
            </w:r>
          </w:p>
        </w:tc>
        <w:tc>
          <w:tcPr>
            <w:tcW w:w="2568" w:type="pct"/>
            <w:vAlign w:val="center"/>
          </w:tcPr>
          <w:p>
            <w:pPr>
              <w:snapToGrid w:val="0"/>
              <w:spacing w:line="360" w:lineRule="exact"/>
              <w:rPr>
                <w:rFonts w:ascii="Calibri" w:hAnsi="Calibri"/>
              </w:rPr>
            </w:pPr>
            <w:r>
              <w:rPr>
                <w:rFonts w:ascii="Calibri" w:hAnsi="Calibri"/>
              </w:rPr>
              <w:t xml:space="preserve">乙方（章）              </w:t>
            </w:r>
          </w:p>
          <w:p>
            <w:pPr>
              <w:snapToGrid w:val="0"/>
              <w:spacing w:line="360" w:lineRule="exact"/>
              <w:rPr>
                <w:rFonts w:ascii="Calibri" w:hAnsi="Calibri"/>
              </w:rPr>
            </w:pPr>
          </w:p>
          <w:p>
            <w:pPr>
              <w:snapToGrid w:val="0"/>
              <w:spacing w:line="360" w:lineRule="exact"/>
              <w:jc w:val="right"/>
              <w:rPr>
                <w:rFonts w:ascii="Calibri" w:hAnsi="Calibri"/>
              </w:rPr>
            </w:pPr>
            <w:r>
              <w:rPr>
                <w:rFonts w:ascii="Calibri" w:hAnsi="Calibri"/>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5" w:hRule="atLeast"/>
        </w:trPr>
        <w:tc>
          <w:tcPr>
            <w:tcW w:w="2431" w:type="pct"/>
            <w:vAlign w:val="center"/>
          </w:tcPr>
          <w:p>
            <w:pPr>
              <w:snapToGrid w:val="0"/>
              <w:spacing w:line="360" w:lineRule="exact"/>
              <w:rPr>
                <w:rFonts w:ascii="Calibri" w:hAnsi="Calibri"/>
              </w:rPr>
            </w:pPr>
            <w:r>
              <w:rPr>
                <w:rFonts w:ascii="Calibri" w:hAnsi="Calibri"/>
              </w:rPr>
              <w:t>单位地址：</w:t>
            </w:r>
          </w:p>
        </w:tc>
        <w:tc>
          <w:tcPr>
            <w:tcW w:w="2568" w:type="pct"/>
            <w:vAlign w:val="center"/>
          </w:tcPr>
          <w:p>
            <w:pPr>
              <w:snapToGrid w:val="0"/>
              <w:spacing w:line="360" w:lineRule="exact"/>
              <w:rPr>
                <w:rFonts w:ascii="Calibri" w:hAnsi="Calibri"/>
              </w:rPr>
            </w:pPr>
            <w:r>
              <w:rPr>
                <w:rFonts w:ascii="Calibri" w:hAnsi="Calibri"/>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431" w:type="pct"/>
            <w:vAlign w:val="center"/>
          </w:tcPr>
          <w:p>
            <w:pPr>
              <w:snapToGrid w:val="0"/>
              <w:spacing w:line="360" w:lineRule="exact"/>
              <w:rPr>
                <w:rFonts w:ascii="Calibri" w:hAnsi="Calibri"/>
              </w:rPr>
            </w:pPr>
            <w:r>
              <w:rPr>
                <w:rFonts w:ascii="Calibri" w:hAnsi="Calibri"/>
              </w:rPr>
              <w:t>法定代表人：</w:t>
            </w:r>
          </w:p>
        </w:tc>
        <w:tc>
          <w:tcPr>
            <w:tcW w:w="2568" w:type="pct"/>
            <w:vAlign w:val="center"/>
          </w:tcPr>
          <w:p>
            <w:pPr>
              <w:snapToGrid w:val="0"/>
              <w:spacing w:line="360" w:lineRule="exact"/>
              <w:rPr>
                <w:rFonts w:ascii="Calibri" w:hAnsi="Calibri"/>
              </w:rPr>
            </w:pPr>
            <w:r>
              <w:rPr>
                <w:rFonts w:ascii="Calibri" w:hAnsi="Calibri"/>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9" w:hRule="atLeast"/>
        </w:trPr>
        <w:tc>
          <w:tcPr>
            <w:tcW w:w="2431" w:type="pct"/>
            <w:vAlign w:val="center"/>
          </w:tcPr>
          <w:p>
            <w:pPr>
              <w:snapToGrid w:val="0"/>
              <w:spacing w:line="360" w:lineRule="exact"/>
              <w:rPr>
                <w:rFonts w:ascii="Calibri" w:hAnsi="Calibri"/>
              </w:rPr>
            </w:pPr>
            <w:r>
              <w:rPr>
                <w:rFonts w:ascii="Calibri" w:hAnsi="Calibri"/>
              </w:rPr>
              <w:t>委托代理人：</w:t>
            </w:r>
          </w:p>
        </w:tc>
        <w:tc>
          <w:tcPr>
            <w:tcW w:w="2568" w:type="pct"/>
            <w:vAlign w:val="center"/>
          </w:tcPr>
          <w:p>
            <w:pPr>
              <w:snapToGrid w:val="0"/>
              <w:spacing w:line="360" w:lineRule="exact"/>
              <w:rPr>
                <w:rFonts w:ascii="Calibri" w:hAnsi="Calibri"/>
              </w:rPr>
            </w:pPr>
            <w:r>
              <w:rPr>
                <w:rFonts w:ascii="Calibri" w:hAnsi="Calibri"/>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2431" w:type="pct"/>
            <w:vAlign w:val="center"/>
          </w:tcPr>
          <w:p>
            <w:pPr>
              <w:snapToGrid w:val="0"/>
              <w:spacing w:line="360" w:lineRule="exact"/>
              <w:rPr>
                <w:rFonts w:ascii="Calibri" w:hAnsi="Calibri"/>
              </w:rPr>
            </w:pPr>
            <w:r>
              <w:rPr>
                <w:rFonts w:ascii="Calibri" w:hAnsi="Calibri"/>
              </w:rPr>
              <w:t>电话：</w:t>
            </w:r>
          </w:p>
        </w:tc>
        <w:tc>
          <w:tcPr>
            <w:tcW w:w="2568" w:type="pct"/>
            <w:vAlign w:val="center"/>
          </w:tcPr>
          <w:p>
            <w:pPr>
              <w:snapToGrid w:val="0"/>
              <w:spacing w:line="360" w:lineRule="exact"/>
              <w:rPr>
                <w:rFonts w:ascii="Calibri" w:hAnsi="Calibri"/>
              </w:rPr>
            </w:pPr>
            <w:r>
              <w:rPr>
                <w:rFonts w:ascii="Calibri" w:hAnsi="Calibri"/>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7" w:hRule="atLeast"/>
        </w:trPr>
        <w:tc>
          <w:tcPr>
            <w:tcW w:w="2431" w:type="pct"/>
            <w:vAlign w:val="center"/>
          </w:tcPr>
          <w:p>
            <w:pPr>
              <w:snapToGrid w:val="0"/>
              <w:spacing w:line="360" w:lineRule="exact"/>
              <w:rPr>
                <w:rFonts w:ascii="Calibri" w:hAnsi="Calibri"/>
              </w:rPr>
            </w:pPr>
            <w:r>
              <w:rPr>
                <w:rFonts w:ascii="Calibri" w:hAnsi="Calibri"/>
              </w:rPr>
              <w:t>电子邮箱：</w:t>
            </w:r>
          </w:p>
        </w:tc>
        <w:tc>
          <w:tcPr>
            <w:tcW w:w="2568" w:type="pct"/>
            <w:vAlign w:val="center"/>
          </w:tcPr>
          <w:p>
            <w:pPr>
              <w:snapToGrid w:val="0"/>
              <w:spacing w:line="360" w:lineRule="exact"/>
              <w:rPr>
                <w:rFonts w:ascii="Calibri" w:hAnsi="Calibri"/>
              </w:rPr>
            </w:pPr>
            <w:r>
              <w:rPr>
                <w:rFonts w:ascii="Calibri" w:hAnsi="Calibri"/>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2431" w:type="pct"/>
            <w:vAlign w:val="center"/>
          </w:tcPr>
          <w:p>
            <w:pPr>
              <w:snapToGrid w:val="0"/>
              <w:spacing w:line="360" w:lineRule="exact"/>
              <w:rPr>
                <w:rFonts w:ascii="Calibri" w:hAnsi="Calibri"/>
              </w:rPr>
            </w:pPr>
            <w:r>
              <w:rPr>
                <w:rFonts w:ascii="Calibri" w:hAnsi="Calibri"/>
              </w:rPr>
              <w:t>开户银行：</w:t>
            </w:r>
          </w:p>
        </w:tc>
        <w:tc>
          <w:tcPr>
            <w:tcW w:w="2568" w:type="pct"/>
            <w:vAlign w:val="center"/>
          </w:tcPr>
          <w:p>
            <w:pPr>
              <w:snapToGrid w:val="0"/>
              <w:spacing w:line="360" w:lineRule="exact"/>
              <w:rPr>
                <w:rFonts w:ascii="Calibri" w:hAnsi="Calibri"/>
              </w:rPr>
            </w:pPr>
            <w:r>
              <w:rPr>
                <w:rFonts w:ascii="Calibri" w:hAnsi="Calibri"/>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3" w:hRule="atLeast"/>
        </w:trPr>
        <w:tc>
          <w:tcPr>
            <w:tcW w:w="2431" w:type="pct"/>
            <w:vAlign w:val="center"/>
          </w:tcPr>
          <w:p>
            <w:pPr>
              <w:snapToGrid w:val="0"/>
              <w:spacing w:line="360" w:lineRule="exact"/>
              <w:rPr>
                <w:rFonts w:ascii="Calibri" w:hAnsi="Calibri"/>
              </w:rPr>
            </w:pPr>
            <w:r>
              <w:rPr>
                <w:rFonts w:ascii="Calibri" w:hAnsi="Calibri"/>
              </w:rPr>
              <w:t>账号：</w:t>
            </w:r>
          </w:p>
        </w:tc>
        <w:tc>
          <w:tcPr>
            <w:tcW w:w="2568" w:type="pct"/>
            <w:vAlign w:val="center"/>
          </w:tcPr>
          <w:p>
            <w:pPr>
              <w:snapToGrid w:val="0"/>
              <w:spacing w:line="360" w:lineRule="exact"/>
              <w:rPr>
                <w:rFonts w:ascii="Calibri" w:hAnsi="Calibri"/>
              </w:rPr>
            </w:pPr>
            <w:r>
              <w:rPr>
                <w:rFonts w:ascii="Calibri" w:hAnsi="Calibri"/>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5000" w:type="pct"/>
            <w:gridSpan w:val="2"/>
          </w:tcPr>
          <w:p>
            <w:pPr>
              <w:snapToGrid w:val="0"/>
              <w:spacing w:line="360" w:lineRule="exact"/>
              <w:rPr>
                <w:rFonts w:ascii="Calibri" w:hAnsi="Calibri"/>
              </w:rPr>
            </w:pPr>
            <w:r>
              <w:rPr>
                <w:rFonts w:ascii="Calibri" w:hAnsi="Calibri"/>
              </w:rPr>
              <w:t>经办人：</w:t>
            </w:r>
          </w:p>
          <w:p>
            <w:pPr>
              <w:snapToGrid w:val="0"/>
              <w:spacing w:line="360" w:lineRule="exact"/>
              <w:ind w:firstLine="630" w:firstLineChars="300"/>
              <w:jc w:val="right"/>
              <w:rPr>
                <w:rFonts w:ascii="Calibri" w:hAnsi="Calibri"/>
              </w:rPr>
            </w:pPr>
          </w:p>
          <w:p>
            <w:pPr>
              <w:snapToGrid w:val="0"/>
              <w:spacing w:line="360" w:lineRule="exact"/>
              <w:ind w:firstLine="630" w:firstLineChars="300"/>
              <w:jc w:val="right"/>
              <w:rPr>
                <w:rFonts w:ascii="Calibri" w:hAnsi="Calibri"/>
              </w:rPr>
            </w:pPr>
          </w:p>
          <w:p>
            <w:pPr>
              <w:snapToGrid w:val="0"/>
              <w:spacing w:line="360" w:lineRule="exact"/>
              <w:ind w:firstLine="630" w:firstLineChars="300"/>
              <w:jc w:val="right"/>
              <w:rPr>
                <w:rFonts w:ascii="Calibri" w:hAnsi="Calibri"/>
              </w:rPr>
            </w:pPr>
            <w:r>
              <w:rPr>
                <w:rFonts w:ascii="Calibri" w:hAnsi="Calibri"/>
              </w:rPr>
              <w:t>年    月    日</w:t>
            </w:r>
          </w:p>
        </w:tc>
      </w:tr>
    </w:tbl>
    <w:p>
      <w:pPr>
        <w:pStyle w:val="19"/>
        <w:pageBreakBefore/>
        <w:spacing w:line="360" w:lineRule="exact"/>
        <w:jc w:val="center"/>
        <w:rPr>
          <w:rFonts w:hAnsi="宋体"/>
          <w:b/>
          <w:bCs/>
          <w:kern w:val="0"/>
        </w:rPr>
      </w:pPr>
      <w:r>
        <w:rPr>
          <w:rFonts w:hint="eastAsia" w:hAnsi="宋体"/>
          <w:b/>
          <w:bCs/>
          <w:kern w:val="0"/>
        </w:rPr>
        <w:t xml:space="preserve"> </w:t>
      </w:r>
    </w:p>
    <w:p>
      <w:pPr>
        <w:pStyle w:val="19"/>
        <w:spacing w:line="360" w:lineRule="exact"/>
        <w:jc w:val="center"/>
        <w:rPr>
          <w:rFonts w:hAnsi="宋体"/>
          <w:b/>
          <w:bCs/>
          <w:kern w:val="0"/>
        </w:rPr>
      </w:pPr>
      <w:r>
        <w:rPr>
          <w:rFonts w:hint="eastAsia" w:hAnsi="宋体"/>
          <w:b/>
          <w:bCs/>
          <w:kern w:val="0"/>
        </w:rPr>
        <w:t xml:space="preserve"> </w:t>
      </w:r>
    </w:p>
    <w:p>
      <w:pPr>
        <w:pStyle w:val="19"/>
        <w:spacing w:line="360" w:lineRule="exact"/>
        <w:jc w:val="center"/>
        <w:rPr>
          <w:rFonts w:hAnsi="宋体"/>
          <w:b/>
          <w:bCs/>
          <w:kern w:val="0"/>
        </w:rPr>
      </w:pPr>
      <w:r>
        <w:rPr>
          <w:rFonts w:hint="eastAsia" w:hAnsi="宋体"/>
          <w:b/>
          <w:bCs/>
          <w:kern w:val="0"/>
        </w:rPr>
        <w:t xml:space="preserve"> </w:t>
      </w:r>
    </w:p>
    <w:p>
      <w:pPr>
        <w:pStyle w:val="19"/>
        <w:spacing w:line="360" w:lineRule="exact"/>
        <w:jc w:val="center"/>
        <w:rPr>
          <w:rFonts w:hAnsi="宋体"/>
          <w:b/>
          <w:bCs/>
          <w:kern w:val="0"/>
        </w:rPr>
      </w:pPr>
      <w:r>
        <w:rPr>
          <w:rFonts w:hint="eastAsia" w:hAnsi="宋体"/>
          <w:b/>
          <w:bCs/>
          <w:kern w:val="0"/>
        </w:rPr>
        <w:t xml:space="preserve"> </w:t>
      </w:r>
    </w:p>
    <w:p>
      <w:pPr>
        <w:pStyle w:val="19"/>
        <w:spacing w:line="360" w:lineRule="exact"/>
        <w:jc w:val="center"/>
        <w:rPr>
          <w:rFonts w:hAnsi="宋体"/>
          <w:b/>
          <w:bCs/>
          <w:kern w:val="0"/>
        </w:rPr>
      </w:pPr>
      <w:r>
        <w:rPr>
          <w:rFonts w:hint="eastAsia" w:hAnsi="宋体"/>
          <w:b/>
          <w:bCs/>
          <w:kern w:val="0"/>
        </w:rPr>
        <w:t xml:space="preserve"> </w:t>
      </w:r>
    </w:p>
    <w:p>
      <w:pPr>
        <w:pStyle w:val="19"/>
        <w:spacing w:line="360" w:lineRule="exact"/>
        <w:jc w:val="center"/>
        <w:rPr>
          <w:rFonts w:hAnsi="宋体"/>
          <w:b/>
          <w:bCs/>
          <w:kern w:val="0"/>
        </w:rPr>
      </w:pPr>
      <w:r>
        <w:rPr>
          <w:rFonts w:hint="eastAsia" w:hAnsi="宋体"/>
          <w:b/>
          <w:bCs/>
          <w:kern w:val="0"/>
        </w:rPr>
        <w:t xml:space="preserve"> </w:t>
      </w:r>
    </w:p>
    <w:p>
      <w:pPr>
        <w:pStyle w:val="19"/>
        <w:spacing w:line="360" w:lineRule="exact"/>
        <w:jc w:val="center"/>
        <w:rPr>
          <w:rFonts w:hAnsi="宋体"/>
          <w:b/>
          <w:bCs/>
          <w:kern w:val="0"/>
        </w:rPr>
      </w:pPr>
      <w:r>
        <w:rPr>
          <w:rFonts w:hint="eastAsia" w:hAnsi="宋体"/>
          <w:b/>
          <w:bCs/>
          <w:kern w:val="0"/>
        </w:rPr>
        <w:t xml:space="preserve"> </w:t>
      </w:r>
    </w:p>
    <w:p>
      <w:pPr>
        <w:pStyle w:val="19"/>
        <w:spacing w:line="360" w:lineRule="exact"/>
        <w:jc w:val="center"/>
        <w:rPr>
          <w:rFonts w:hAnsi="宋体"/>
          <w:b/>
          <w:bCs/>
          <w:kern w:val="0"/>
        </w:rPr>
      </w:pPr>
      <w:r>
        <w:rPr>
          <w:rFonts w:hint="eastAsia" w:hAnsi="宋体"/>
          <w:b/>
          <w:bCs/>
          <w:kern w:val="0"/>
        </w:rPr>
        <w:t xml:space="preserve"> </w:t>
      </w:r>
    </w:p>
    <w:p>
      <w:pPr>
        <w:pStyle w:val="19"/>
        <w:spacing w:line="360" w:lineRule="exact"/>
        <w:jc w:val="center"/>
        <w:rPr>
          <w:rFonts w:hAnsi="宋体"/>
          <w:b/>
          <w:bCs/>
          <w:kern w:val="0"/>
        </w:rPr>
      </w:pPr>
      <w:r>
        <w:rPr>
          <w:rFonts w:hint="eastAsia" w:hAnsi="宋体"/>
          <w:b/>
          <w:bCs/>
          <w:kern w:val="0"/>
        </w:rPr>
        <w:t xml:space="preserve"> </w:t>
      </w:r>
    </w:p>
    <w:p>
      <w:pPr>
        <w:pStyle w:val="19"/>
        <w:spacing w:line="360" w:lineRule="exact"/>
        <w:jc w:val="center"/>
        <w:rPr>
          <w:rFonts w:hAnsi="宋体"/>
          <w:b/>
          <w:bCs/>
          <w:kern w:val="0"/>
        </w:rPr>
      </w:pPr>
    </w:p>
    <w:p>
      <w:pPr>
        <w:pStyle w:val="19"/>
        <w:spacing w:line="360" w:lineRule="exact"/>
        <w:jc w:val="center"/>
        <w:rPr>
          <w:rFonts w:hAnsi="宋体"/>
          <w:b/>
          <w:bCs/>
          <w:kern w:val="0"/>
        </w:rPr>
      </w:pPr>
      <w:r>
        <w:rPr>
          <w:rFonts w:hint="eastAsia" w:hAnsi="宋体"/>
          <w:b/>
          <w:bCs/>
          <w:kern w:val="0"/>
        </w:rPr>
        <w:t xml:space="preserve"> </w:t>
      </w:r>
    </w:p>
    <w:p>
      <w:pPr>
        <w:pStyle w:val="19"/>
        <w:spacing w:line="360" w:lineRule="exact"/>
        <w:jc w:val="center"/>
        <w:rPr>
          <w:rFonts w:hAnsi="宋体"/>
          <w:b/>
          <w:bCs/>
          <w:kern w:val="0"/>
        </w:rPr>
      </w:pPr>
      <w:r>
        <w:rPr>
          <w:rFonts w:hint="eastAsia" w:hAnsi="宋体"/>
          <w:b/>
          <w:bCs/>
          <w:kern w:val="0"/>
        </w:rPr>
        <w:t xml:space="preserve"> </w:t>
      </w:r>
    </w:p>
    <w:p>
      <w:pPr>
        <w:pStyle w:val="19"/>
        <w:spacing w:line="360" w:lineRule="exact"/>
        <w:jc w:val="center"/>
        <w:rPr>
          <w:rFonts w:hAnsi="宋体"/>
          <w:b/>
          <w:bCs/>
          <w:kern w:val="0"/>
        </w:rPr>
      </w:pPr>
      <w:r>
        <w:rPr>
          <w:rFonts w:hint="eastAsia" w:hAnsi="宋体"/>
          <w:b/>
          <w:bCs/>
          <w:kern w:val="0"/>
        </w:rPr>
        <w:t xml:space="preserve"> </w:t>
      </w:r>
    </w:p>
    <w:p>
      <w:pPr>
        <w:pStyle w:val="2"/>
        <w:jc w:val="center"/>
        <w:rPr>
          <w:rFonts w:ascii="宋体" w:hAnsi="宋体"/>
        </w:rPr>
      </w:pPr>
      <w:bookmarkStart w:id="34" w:name="_Toc18481389"/>
      <w:bookmarkEnd w:id="34"/>
      <w:r>
        <w:rPr>
          <w:rFonts w:hint="eastAsia" w:ascii="宋体" w:hAnsi="宋体"/>
        </w:rPr>
        <w:t>第六章   评审方法及评分标准</w:t>
      </w:r>
    </w:p>
    <w:p>
      <w:pPr>
        <w:pStyle w:val="29"/>
        <w:snapToGrid w:val="0"/>
        <w:spacing w:line="400" w:lineRule="exact"/>
        <w:ind w:firstLine="527"/>
        <w:rPr>
          <w:rFonts w:ascii="宋体" w:hAnsi="宋体"/>
          <w:b/>
          <w:bCs/>
          <w:color w:val="auto"/>
        </w:rPr>
      </w:pPr>
      <w:r>
        <w:rPr>
          <w:rFonts w:hint="eastAsia" w:ascii="宋体" w:hAnsi="宋体"/>
          <w:b/>
          <w:bCs/>
          <w:color w:val="auto"/>
        </w:rPr>
        <w:t xml:space="preserve"> </w:t>
      </w:r>
    </w:p>
    <w:p>
      <w:pPr>
        <w:pStyle w:val="29"/>
        <w:snapToGrid w:val="0"/>
        <w:spacing w:line="400" w:lineRule="exact"/>
        <w:ind w:firstLine="527"/>
        <w:rPr>
          <w:rFonts w:ascii="宋体" w:hAnsi="宋体"/>
          <w:b/>
          <w:bCs/>
          <w:color w:val="auto"/>
        </w:rPr>
      </w:pPr>
      <w:r>
        <w:rPr>
          <w:rFonts w:hint="eastAsia" w:ascii="宋体" w:hAnsi="宋体"/>
          <w:b/>
          <w:bCs/>
          <w:color w:val="auto"/>
        </w:rPr>
        <w:t xml:space="preserve"> </w:t>
      </w:r>
    </w:p>
    <w:p>
      <w:pPr>
        <w:pStyle w:val="19"/>
        <w:adjustRightInd w:val="0"/>
        <w:snapToGrid w:val="0"/>
        <w:spacing w:line="400" w:lineRule="exact"/>
        <w:ind w:firstLine="421" w:firstLineChars="200"/>
        <w:rPr>
          <w:rFonts w:hAnsi="宋体"/>
          <w:b/>
          <w:bCs/>
          <w:szCs w:val="21"/>
        </w:rPr>
      </w:pPr>
    </w:p>
    <w:p>
      <w:pPr>
        <w:pStyle w:val="19"/>
        <w:adjustRightInd w:val="0"/>
        <w:snapToGrid w:val="0"/>
        <w:spacing w:line="400" w:lineRule="exact"/>
        <w:ind w:firstLine="421" w:firstLineChars="200"/>
        <w:rPr>
          <w:rFonts w:hAnsi="宋体"/>
          <w:b/>
          <w:bCs/>
          <w:szCs w:val="21"/>
        </w:rPr>
      </w:pPr>
    </w:p>
    <w:p>
      <w:pPr>
        <w:pStyle w:val="19"/>
        <w:adjustRightInd w:val="0"/>
        <w:snapToGrid w:val="0"/>
        <w:spacing w:line="400" w:lineRule="exact"/>
        <w:ind w:firstLine="421" w:firstLineChars="200"/>
        <w:rPr>
          <w:rFonts w:hAnsi="宋体"/>
          <w:b/>
          <w:bCs/>
          <w:szCs w:val="21"/>
        </w:rPr>
      </w:pPr>
    </w:p>
    <w:p>
      <w:pPr>
        <w:pStyle w:val="19"/>
        <w:adjustRightInd w:val="0"/>
        <w:snapToGrid w:val="0"/>
        <w:spacing w:line="400" w:lineRule="exact"/>
        <w:ind w:firstLine="421" w:firstLineChars="200"/>
        <w:rPr>
          <w:rFonts w:hAnsi="宋体"/>
          <w:b/>
          <w:bCs/>
          <w:szCs w:val="21"/>
        </w:rPr>
      </w:pPr>
    </w:p>
    <w:p>
      <w:pPr>
        <w:pStyle w:val="19"/>
        <w:adjustRightInd w:val="0"/>
        <w:snapToGrid w:val="0"/>
        <w:spacing w:line="400" w:lineRule="exact"/>
        <w:ind w:firstLine="421" w:firstLineChars="200"/>
        <w:rPr>
          <w:rFonts w:hAnsi="宋体"/>
          <w:b/>
          <w:bCs/>
          <w:szCs w:val="21"/>
        </w:rPr>
      </w:pPr>
    </w:p>
    <w:p>
      <w:pPr>
        <w:pStyle w:val="19"/>
        <w:adjustRightInd w:val="0"/>
        <w:snapToGrid w:val="0"/>
        <w:spacing w:line="400" w:lineRule="exact"/>
        <w:ind w:firstLine="421" w:firstLineChars="200"/>
        <w:rPr>
          <w:rFonts w:hAnsi="宋体"/>
          <w:b/>
          <w:bCs/>
          <w:szCs w:val="21"/>
        </w:rPr>
      </w:pPr>
    </w:p>
    <w:p>
      <w:pPr>
        <w:pStyle w:val="19"/>
        <w:adjustRightInd w:val="0"/>
        <w:snapToGrid w:val="0"/>
        <w:spacing w:line="400" w:lineRule="exact"/>
        <w:ind w:firstLine="421" w:firstLineChars="200"/>
        <w:rPr>
          <w:rFonts w:hAnsi="宋体"/>
          <w:b/>
          <w:bCs/>
          <w:szCs w:val="21"/>
        </w:rPr>
      </w:pPr>
    </w:p>
    <w:p>
      <w:pPr>
        <w:pStyle w:val="19"/>
        <w:adjustRightInd w:val="0"/>
        <w:snapToGrid w:val="0"/>
        <w:spacing w:line="400" w:lineRule="exact"/>
        <w:ind w:firstLine="421" w:firstLineChars="200"/>
        <w:rPr>
          <w:rFonts w:hAnsi="宋体"/>
          <w:b/>
          <w:bCs/>
          <w:szCs w:val="21"/>
        </w:rPr>
      </w:pPr>
    </w:p>
    <w:p>
      <w:pPr>
        <w:pStyle w:val="19"/>
        <w:adjustRightInd w:val="0"/>
        <w:snapToGrid w:val="0"/>
        <w:spacing w:line="400" w:lineRule="exact"/>
        <w:ind w:firstLine="421" w:firstLineChars="200"/>
        <w:rPr>
          <w:rFonts w:hAnsi="宋体"/>
          <w:b/>
          <w:bCs/>
          <w:szCs w:val="21"/>
        </w:rPr>
      </w:pPr>
    </w:p>
    <w:p>
      <w:pPr>
        <w:pStyle w:val="19"/>
        <w:adjustRightInd w:val="0"/>
        <w:snapToGrid w:val="0"/>
        <w:spacing w:line="400" w:lineRule="exact"/>
        <w:ind w:firstLine="421" w:firstLineChars="200"/>
        <w:rPr>
          <w:rFonts w:hAnsi="宋体"/>
          <w:b/>
          <w:bCs/>
          <w:szCs w:val="21"/>
        </w:rPr>
      </w:pPr>
    </w:p>
    <w:p>
      <w:pPr>
        <w:pStyle w:val="19"/>
        <w:adjustRightInd w:val="0"/>
        <w:snapToGrid w:val="0"/>
        <w:spacing w:line="400" w:lineRule="exact"/>
        <w:ind w:firstLine="421" w:firstLineChars="200"/>
        <w:rPr>
          <w:rFonts w:hAnsi="宋体"/>
          <w:b/>
          <w:bCs/>
          <w:szCs w:val="21"/>
        </w:rPr>
      </w:pPr>
    </w:p>
    <w:p>
      <w:pPr>
        <w:pStyle w:val="19"/>
        <w:adjustRightInd w:val="0"/>
        <w:snapToGrid w:val="0"/>
        <w:spacing w:line="400" w:lineRule="exact"/>
        <w:ind w:firstLine="421" w:firstLineChars="200"/>
        <w:rPr>
          <w:rFonts w:hAnsi="宋体"/>
          <w:b/>
          <w:bCs/>
          <w:szCs w:val="21"/>
        </w:rPr>
      </w:pPr>
    </w:p>
    <w:p>
      <w:pPr>
        <w:pStyle w:val="19"/>
        <w:adjustRightInd w:val="0"/>
        <w:snapToGrid w:val="0"/>
        <w:spacing w:line="400" w:lineRule="exact"/>
        <w:ind w:firstLine="421" w:firstLineChars="200"/>
        <w:rPr>
          <w:rFonts w:hAnsi="宋体"/>
          <w:b/>
          <w:bCs/>
          <w:szCs w:val="21"/>
        </w:rPr>
      </w:pPr>
    </w:p>
    <w:p>
      <w:pPr>
        <w:pStyle w:val="19"/>
        <w:adjustRightInd w:val="0"/>
        <w:snapToGrid w:val="0"/>
        <w:spacing w:line="400" w:lineRule="exact"/>
        <w:ind w:firstLine="421" w:firstLineChars="200"/>
        <w:rPr>
          <w:rFonts w:hAnsi="宋体"/>
          <w:b/>
          <w:bCs/>
          <w:szCs w:val="21"/>
        </w:rPr>
      </w:pPr>
    </w:p>
    <w:p>
      <w:pPr>
        <w:pStyle w:val="19"/>
        <w:adjustRightInd w:val="0"/>
        <w:snapToGrid w:val="0"/>
        <w:spacing w:line="400" w:lineRule="exact"/>
        <w:ind w:firstLine="421" w:firstLineChars="200"/>
        <w:rPr>
          <w:rFonts w:hAnsi="宋体"/>
          <w:b/>
          <w:bCs/>
          <w:szCs w:val="21"/>
        </w:rPr>
      </w:pPr>
    </w:p>
    <w:p>
      <w:pPr>
        <w:pStyle w:val="19"/>
        <w:adjustRightInd w:val="0"/>
        <w:snapToGrid w:val="0"/>
        <w:spacing w:line="400" w:lineRule="exact"/>
        <w:ind w:firstLine="421" w:firstLineChars="200"/>
        <w:rPr>
          <w:rFonts w:hAnsi="宋体"/>
          <w:b/>
          <w:bCs/>
          <w:szCs w:val="21"/>
        </w:rPr>
      </w:pPr>
    </w:p>
    <w:p>
      <w:pPr>
        <w:pStyle w:val="19"/>
        <w:adjustRightInd w:val="0"/>
        <w:snapToGrid w:val="0"/>
        <w:spacing w:line="400" w:lineRule="exact"/>
        <w:ind w:firstLine="421" w:firstLineChars="200"/>
        <w:rPr>
          <w:rFonts w:hAnsi="宋体"/>
          <w:b/>
          <w:bCs/>
          <w:szCs w:val="21"/>
        </w:rPr>
      </w:pPr>
    </w:p>
    <w:p>
      <w:pPr>
        <w:pStyle w:val="19"/>
        <w:adjustRightInd w:val="0"/>
        <w:snapToGrid w:val="0"/>
        <w:spacing w:line="400" w:lineRule="exact"/>
        <w:ind w:firstLine="421" w:firstLineChars="200"/>
        <w:rPr>
          <w:rFonts w:hAnsi="宋体"/>
          <w:b/>
          <w:bCs/>
          <w:szCs w:val="21"/>
        </w:rPr>
      </w:pPr>
    </w:p>
    <w:p>
      <w:pPr>
        <w:pStyle w:val="19"/>
        <w:adjustRightInd w:val="0"/>
        <w:snapToGrid w:val="0"/>
        <w:spacing w:line="380" w:lineRule="exact"/>
        <w:ind w:firstLine="3312" w:firstLineChars="1100"/>
        <w:rPr>
          <w:rFonts w:hint="eastAsia" w:hAnsi="宋体" w:cs="宋体"/>
          <w:b/>
          <w:bCs/>
          <w:sz w:val="30"/>
          <w:szCs w:val="30"/>
        </w:rPr>
      </w:pPr>
      <w:r>
        <w:rPr>
          <w:rFonts w:hint="eastAsia" w:hAnsi="宋体" w:cs="宋体"/>
          <w:b/>
          <w:bCs/>
          <w:sz w:val="30"/>
          <w:szCs w:val="30"/>
        </w:rPr>
        <w:t>评审方法及评分标准</w:t>
      </w:r>
    </w:p>
    <w:p>
      <w:pPr>
        <w:pStyle w:val="19"/>
        <w:adjustRightInd w:val="0"/>
        <w:snapToGrid w:val="0"/>
        <w:spacing w:line="380" w:lineRule="exact"/>
        <w:rPr>
          <w:rFonts w:hAnsi="宋体" w:cs="宋体"/>
          <w:b/>
          <w:bCs/>
          <w:szCs w:val="21"/>
        </w:rPr>
      </w:pPr>
      <w:r>
        <w:rPr>
          <w:rFonts w:hint="eastAsia" w:hAnsi="宋体" w:cs="宋体"/>
          <w:b/>
          <w:bCs/>
          <w:szCs w:val="21"/>
        </w:rPr>
        <w:t>一、评标原则</w:t>
      </w:r>
    </w:p>
    <w:p>
      <w:pPr>
        <w:pStyle w:val="19"/>
        <w:adjustRightInd w:val="0"/>
        <w:snapToGrid w:val="0"/>
        <w:spacing w:line="380" w:lineRule="exact"/>
        <w:ind w:firstLine="420" w:firstLineChars="200"/>
        <w:rPr>
          <w:rFonts w:hAnsi="宋体" w:cs="宋体"/>
          <w:kern w:val="0"/>
          <w:szCs w:val="21"/>
        </w:rPr>
      </w:pPr>
      <w:r>
        <w:rPr>
          <w:rFonts w:hint="eastAsia" w:hAnsi="宋体" w:cs="宋体"/>
          <w:szCs w:val="21"/>
        </w:rPr>
        <w:t>(一) 磋商小组</w:t>
      </w:r>
      <w:r>
        <w:rPr>
          <w:rFonts w:hint="eastAsia" w:hAnsi="宋体" w:cs="宋体"/>
          <w:kern w:val="0"/>
          <w:szCs w:val="21"/>
        </w:rPr>
        <w:t>成员组成：本竞争性磋商采购项目的磋商小组由采购人代表和评审专家共三人以上的单数组成，其中评审专家的人数不得少于磋商小组成员总数的三分之二。</w:t>
      </w:r>
    </w:p>
    <w:p>
      <w:pPr>
        <w:pStyle w:val="19"/>
        <w:adjustRightInd w:val="0"/>
        <w:snapToGrid w:val="0"/>
        <w:spacing w:line="380" w:lineRule="exact"/>
        <w:ind w:firstLine="420" w:firstLineChars="200"/>
        <w:rPr>
          <w:rFonts w:hAnsi="宋体" w:cs="宋体"/>
          <w:kern w:val="0"/>
          <w:szCs w:val="21"/>
        </w:rPr>
      </w:pPr>
      <w:r>
        <w:rPr>
          <w:rFonts w:hint="eastAsia" w:hAnsi="宋体" w:cs="宋体"/>
          <w:kern w:val="0"/>
          <w:szCs w:val="21"/>
        </w:rPr>
        <w:t>(二) 评审依据：磋商小组以竞争性磋商文件和竞争性磋商响应文件为依据，对磋商人的内容按百分制打分。</w:t>
      </w:r>
    </w:p>
    <w:p>
      <w:pPr>
        <w:pStyle w:val="19"/>
        <w:adjustRightInd w:val="0"/>
        <w:snapToGrid w:val="0"/>
        <w:spacing w:line="380" w:lineRule="exact"/>
        <w:ind w:firstLine="359" w:firstLineChars="171"/>
        <w:rPr>
          <w:rFonts w:hAnsi="宋体" w:cs="宋体"/>
          <w:kern w:val="0"/>
          <w:szCs w:val="21"/>
        </w:rPr>
      </w:pPr>
      <w:r>
        <w:rPr>
          <w:rFonts w:hint="eastAsia" w:hAnsi="宋体" w:cs="宋体"/>
          <w:kern w:val="0"/>
          <w:szCs w:val="21"/>
        </w:rPr>
        <w:t>（三）评审方式：</w:t>
      </w:r>
      <w:r>
        <w:rPr>
          <w:rFonts w:hint="eastAsia" w:hAnsi="宋体"/>
          <w:bCs/>
        </w:rPr>
        <w:t>以封闭方式进行</w:t>
      </w:r>
      <w:r>
        <w:rPr>
          <w:rFonts w:hint="eastAsia" w:hAnsi="宋体" w:cs="宋体"/>
          <w:kern w:val="0"/>
          <w:szCs w:val="21"/>
        </w:rPr>
        <w:t>。</w:t>
      </w:r>
    </w:p>
    <w:p>
      <w:pPr>
        <w:pStyle w:val="19"/>
        <w:adjustRightInd w:val="0"/>
        <w:snapToGrid w:val="0"/>
        <w:spacing w:line="380" w:lineRule="exact"/>
        <w:rPr>
          <w:rFonts w:hAnsi="宋体" w:cs="宋体"/>
          <w:b/>
          <w:bCs/>
          <w:szCs w:val="21"/>
        </w:rPr>
      </w:pPr>
      <w:r>
        <w:rPr>
          <w:rFonts w:hint="eastAsia" w:hAnsi="宋体" w:cs="宋体"/>
          <w:b/>
          <w:bCs/>
          <w:szCs w:val="21"/>
        </w:rPr>
        <w:t>二、评</w:t>
      </w:r>
      <w:r>
        <w:rPr>
          <w:rFonts w:hint="eastAsia" w:hAnsi="宋体" w:cs="宋体"/>
          <w:b/>
          <w:bCs/>
          <w:szCs w:val="21"/>
          <w:lang w:eastAsia="zh-CN"/>
        </w:rPr>
        <w:t>审</w:t>
      </w:r>
      <w:r>
        <w:rPr>
          <w:rFonts w:hint="eastAsia" w:hAnsi="宋体" w:cs="宋体"/>
          <w:b/>
          <w:bCs/>
          <w:szCs w:val="21"/>
        </w:rPr>
        <w:t>方法</w:t>
      </w:r>
    </w:p>
    <w:p>
      <w:pPr>
        <w:pStyle w:val="19"/>
        <w:adjustRightInd w:val="0"/>
        <w:snapToGrid w:val="0"/>
        <w:spacing w:line="380" w:lineRule="exact"/>
        <w:rPr>
          <w:rFonts w:hAnsi="宋体" w:cs="宋体"/>
          <w:b/>
          <w:bCs/>
          <w:szCs w:val="21"/>
        </w:rPr>
      </w:pPr>
      <w:r>
        <w:rPr>
          <w:rFonts w:hint="eastAsia" w:hAnsi="宋体" w:cs="宋体"/>
          <w:b/>
          <w:bCs/>
          <w:szCs w:val="21"/>
        </w:rPr>
        <w:t xml:space="preserve">   （一）对进入详评的，采用百分制综合评分法。</w:t>
      </w:r>
    </w:p>
    <w:p>
      <w:pPr>
        <w:pStyle w:val="19"/>
        <w:adjustRightInd w:val="0"/>
        <w:snapToGrid w:val="0"/>
        <w:spacing w:line="380" w:lineRule="exact"/>
        <w:rPr>
          <w:rFonts w:hAnsi="宋体" w:cs="宋体"/>
          <w:b/>
          <w:bCs/>
          <w:szCs w:val="21"/>
        </w:rPr>
      </w:pPr>
      <w:r>
        <w:rPr>
          <w:rFonts w:hint="eastAsia" w:hAnsi="宋体" w:cs="宋体"/>
          <w:b/>
          <w:bCs/>
          <w:szCs w:val="21"/>
        </w:rPr>
        <w:t xml:space="preserve">   （二）计分办法（按四舍五入取至百分位）：</w:t>
      </w:r>
    </w:p>
    <w:p>
      <w:pPr>
        <w:pStyle w:val="33"/>
        <w:ind w:firstLine="422"/>
      </w:pPr>
      <w:r>
        <w:rPr>
          <w:rFonts w:hint="eastAsia"/>
        </w:rPr>
        <w:t>1、价格分………………………………………………………………………………</w:t>
      </w:r>
      <w:r>
        <w:rPr>
          <w:rFonts w:hint="eastAsia"/>
          <w:lang w:val="en-US" w:eastAsia="zh-CN"/>
        </w:rPr>
        <w:t>1</w:t>
      </w:r>
      <w:r>
        <w:rPr>
          <w:rFonts w:hint="eastAsia"/>
        </w:rPr>
        <w:t>0分</w:t>
      </w:r>
    </w:p>
    <w:p>
      <w:pPr>
        <w:pStyle w:val="33"/>
        <w:rPr>
          <w:b w:val="0"/>
          <w:bCs/>
        </w:rPr>
      </w:pPr>
      <w:r>
        <w:rPr>
          <w:rFonts w:hint="eastAsia"/>
          <w:b w:val="0"/>
          <w:bCs/>
        </w:rPr>
        <w:t>（1）符合《政府采购促进中小企业发展管理办法》（财库〔2020〕46号）的规定条件且按该办法中规定的格式提供了《中小企业声明函》的小型和微型企业，对投标价给予10%的扣除，扣除后的价格为评标价，即评标价=投标价×（1-10%）。除上述情况外，评标价=投标价。</w:t>
      </w:r>
    </w:p>
    <w:p>
      <w:pPr>
        <w:pStyle w:val="33"/>
        <w:rPr>
          <w:b w:val="0"/>
          <w:bCs/>
        </w:rPr>
      </w:pPr>
      <w:r>
        <w:rPr>
          <w:rFonts w:hint="eastAsia"/>
          <w:b w:val="0"/>
          <w:bCs/>
        </w:rPr>
        <w:t>投标产品生产企业或服务提供企业按《关于政府采购支持监狱企业发展有关问题的通知》(财库[2014]68号)认定为监狱企业的，在政府采购活动中，监狱企业视同小型、微型企业。磋商供应商应当提供由省级以上监狱管理局、戒毒管理局(含新疆生产建设兵团)出具的投标产品生产企业或服务提供企业属于监狱企业的证明文件，不再提供《中小企业声明函》。</w:t>
      </w:r>
    </w:p>
    <w:p>
      <w:pPr>
        <w:pStyle w:val="33"/>
        <w:rPr>
          <w:b w:val="0"/>
          <w:bCs/>
        </w:rPr>
      </w:pPr>
      <w:r>
        <w:rPr>
          <w:rFonts w:hint="eastAsia"/>
          <w:b w:val="0"/>
          <w:bCs/>
        </w:rPr>
        <w:t>投标产品生产单位或服务提供单位按《关于促进残疾人就业政府采购政策的通知》(财库〔2017〕141号)认定为残疾人福利性单位的，在政府采购活动中，残疾人福利性单位视同小型、微型企业。磋商供应商应当提供该通知规定的投标产品生产单位或服务提供单位属于残疾人福利性单位的《残疾人福利性单位声明函》，不再提供《中小企业声明函》。</w:t>
      </w:r>
    </w:p>
    <w:p>
      <w:pPr>
        <w:pStyle w:val="33"/>
        <w:rPr>
          <w:b w:val="0"/>
          <w:bCs/>
        </w:rPr>
      </w:pPr>
      <w:r>
        <w:rPr>
          <w:rFonts w:hint="eastAsia"/>
          <w:b w:val="0"/>
          <w:bCs/>
        </w:rPr>
        <w:t>（2）以进入评标的最低的评标报价为</w:t>
      </w:r>
      <w:r>
        <w:rPr>
          <w:rFonts w:hint="eastAsia"/>
          <w:b w:val="0"/>
          <w:bCs/>
          <w:lang w:val="en-US" w:eastAsia="zh-CN"/>
        </w:rPr>
        <w:t>1</w:t>
      </w:r>
      <w:r>
        <w:rPr>
          <w:rFonts w:hint="eastAsia"/>
          <w:b w:val="0"/>
          <w:bCs/>
        </w:rPr>
        <w:t>0分。</w:t>
      </w:r>
    </w:p>
    <w:p>
      <w:pPr>
        <w:pStyle w:val="33"/>
        <w:rPr>
          <w:b w:val="0"/>
          <w:bCs/>
        </w:rPr>
      </w:pPr>
      <w:r>
        <w:rPr>
          <w:rFonts w:hint="eastAsia"/>
          <w:b w:val="0"/>
          <w:bCs/>
        </w:rPr>
        <w:t>（3）某磋商供应商价格得分 = 磋商供应商最低评标价/某磋商供应商评标价×</w:t>
      </w:r>
      <w:r>
        <w:rPr>
          <w:rFonts w:hint="eastAsia"/>
          <w:b w:val="0"/>
          <w:bCs/>
          <w:lang w:val="en-US" w:eastAsia="zh-CN"/>
        </w:rPr>
        <w:t>1</w:t>
      </w:r>
      <w:r>
        <w:rPr>
          <w:rFonts w:hint="eastAsia"/>
          <w:b w:val="0"/>
          <w:bCs/>
        </w:rPr>
        <w:t>0分。</w:t>
      </w:r>
    </w:p>
    <w:p>
      <w:pPr>
        <w:pStyle w:val="33"/>
        <w:ind w:firstLine="422"/>
      </w:pPr>
      <w:r>
        <w:rPr>
          <w:rFonts w:hint="eastAsia"/>
        </w:rPr>
        <w:t>2、技术分………………………………………………………………………………</w:t>
      </w:r>
      <w:r>
        <w:rPr>
          <w:rFonts w:hint="eastAsia"/>
          <w:lang w:val="en-US" w:eastAsia="zh-CN"/>
        </w:rPr>
        <w:t>60</w:t>
      </w:r>
      <w:r>
        <w:rPr>
          <w:rFonts w:hint="eastAsia"/>
        </w:rPr>
        <w:t>分</w:t>
      </w:r>
    </w:p>
    <w:p>
      <w:pPr>
        <w:ind w:firstLine="421" w:firstLineChars="200"/>
        <w:rPr>
          <w:b/>
          <w:bCs w:val="0"/>
        </w:rPr>
      </w:pPr>
      <w:r>
        <w:rPr>
          <w:rFonts w:hint="eastAsia" w:ascii="宋体" w:hAnsi="宋体"/>
          <w:b/>
          <w:bCs w:val="0"/>
          <w:kern w:val="0"/>
        </w:rPr>
        <w:t>（1）技术方案分（满分</w:t>
      </w:r>
      <w:r>
        <w:rPr>
          <w:rFonts w:hint="eastAsia" w:ascii="宋体" w:hAnsi="宋体"/>
          <w:b/>
          <w:bCs w:val="0"/>
          <w:kern w:val="0"/>
          <w:lang w:val="en-US" w:eastAsia="zh-CN"/>
        </w:rPr>
        <w:t>11</w:t>
      </w:r>
      <w:r>
        <w:rPr>
          <w:rFonts w:hint="eastAsia" w:ascii="宋体" w:hAnsi="宋体"/>
          <w:b/>
          <w:bCs w:val="0"/>
          <w:kern w:val="0"/>
        </w:rPr>
        <w:t>分）</w:t>
      </w:r>
    </w:p>
    <w:p>
      <w:pPr>
        <w:pStyle w:val="19"/>
        <w:spacing w:line="400" w:lineRule="exact"/>
        <w:ind w:firstLine="420" w:firstLineChars="200"/>
        <w:outlineLvl w:val="0"/>
        <w:rPr>
          <w:rFonts w:hAnsi="宋体"/>
        </w:rPr>
      </w:pPr>
      <w:r>
        <w:rPr>
          <w:rFonts w:hint="eastAsia" w:hAnsi="宋体"/>
        </w:rPr>
        <w:t>未提供技术方案的得0分。</w:t>
      </w:r>
    </w:p>
    <w:p>
      <w:pPr>
        <w:pStyle w:val="19"/>
        <w:spacing w:line="400" w:lineRule="exact"/>
        <w:ind w:firstLine="420" w:firstLineChars="200"/>
        <w:outlineLvl w:val="0"/>
        <w:rPr>
          <w:rFonts w:hAnsi="宋体"/>
        </w:rPr>
      </w:pPr>
      <w:r>
        <w:rPr>
          <w:rFonts w:hAnsi="宋体"/>
        </w:rPr>
        <w:t>一档（</w:t>
      </w:r>
      <w:r>
        <w:rPr>
          <w:rFonts w:hint="eastAsia" w:hAnsi="宋体"/>
          <w:lang w:val="en-US" w:eastAsia="zh-CN"/>
        </w:rPr>
        <w:t>2</w:t>
      </w:r>
      <w:r>
        <w:rPr>
          <w:rFonts w:hAnsi="宋体"/>
        </w:rPr>
        <w:t>分）：技术方案论述基本准确，没有明显技术错误，提供简单总体技术方案的；光缆资源基本覆盖到所有前端点，并提供光缆资源分布图。</w:t>
      </w:r>
    </w:p>
    <w:p>
      <w:pPr>
        <w:pStyle w:val="19"/>
        <w:spacing w:line="400" w:lineRule="exact"/>
        <w:ind w:firstLine="420" w:firstLineChars="200"/>
        <w:outlineLvl w:val="0"/>
        <w:rPr>
          <w:rFonts w:hAnsi="宋体"/>
        </w:rPr>
      </w:pPr>
      <w:r>
        <w:rPr>
          <w:rFonts w:hAnsi="宋体"/>
        </w:rPr>
        <w:t>二档（</w:t>
      </w:r>
      <w:r>
        <w:rPr>
          <w:rFonts w:hint="eastAsia" w:hAnsi="宋体"/>
          <w:lang w:val="en-US" w:eastAsia="zh-CN"/>
        </w:rPr>
        <w:t>5</w:t>
      </w:r>
      <w:r>
        <w:rPr>
          <w:rFonts w:hAnsi="宋体"/>
        </w:rPr>
        <w:t>分）：提供总体技术方案，简述项目概况和需求分析，有网络系统的总体设计；并提供光缆资源分布图，提供的线路方案体现整体性、可靠性、兼容性</w:t>
      </w:r>
      <w:r>
        <w:rPr>
          <w:rFonts w:hint="eastAsia" w:hAnsi="宋体"/>
        </w:rPr>
        <w:t>、</w:t>
      </w:r>
      <w:r>
        <w:rPr>
          <w:rFonts w:hAnsi="宋体"/>
        </w:rPr>
        <w:t>安全性的。</w:t>
      </w:r>
      <w:r>
        <w:rPr>
          <w:rFonts w:hint="eastAsia" w:hAnsi="宋体"/>
        </w:rPr>
        <w:t>提供2名技术人员。</w:t>
      </w:r>
    </w:p>
    <w:p>
      <w:pPr>
        <w:pStyle w:val="19"/>
        <w:spacing w:line="400" w:lineRule="exact"/>
        <w:ind w:firstLine="420" w:firstLineChars="200"/>
        <w:outlineLvl w:val="0"/>
        <w:rPr>
          <w:rFonts w:hAnsi="宋体"/>
        </w:rPr>
      </w:pPr>
      <w:r>
        <w:rPr>
          <w:rFonts w:hAnsi="宋体"/>
        </w:rPr>
        <w:t>三档（</w:t>
      </w:r>
      <w:r>
        <w:rPr>
          <w:rFonts w:hint="eastAsia" w:hAnsi="宋体"/>
          <w:lang w:val="en-US" w:eastAsia="zh-CN"/>
        </w:rPr>
        <w:t>8</w:t>
      </w:r>
      <w:r>
        <w:rPr>
          <w:rFonts w:hAnsi="宋体"/>
        </w:rPr>
        <w:t>分）：提供总体技术方案，有项目概况和需求分析，有设计依据及技术标准和设计原则，有网络系统总体设计和系统详细设计；提供具有优异的系统维护安全性，稳定性及运行持续性，提供高效的技术服务。</w:t>
      </w:r>
      <w:r>
        <w:rPr>
          <w:rFonts w:hint="eastAsia" w:hAnsi="宋体"/>
        </w:rPr>
        <w:t>提供4名技术人员。</w:t>
      </w:r>
    </w:p>
    <w:p>
      <w:pPr>
        <w:ind w:firstLine="420" w:firstLineChars="200"/>
      </w:pPr>
      <w:r>
        <w:rPr>
          <w:rFonts w:hint="eastAsia" w:hAnsi="宋体"/>
        </w:rPr>
        <w:t>四</w:t>
      </w:r>
      <w:r>
        <w:rPr>
          <w:rFonts w:hAnsi="宋体"/>
        </w:rPr>
        <w:t>档（</w:t>
      </w:r>
      <w:r>
        <w:rPr>
          <w:rFonts w:hint="eastAsia" w:hAnsi="宋体"/>
          <w:lang w:val="en-US" w:eastAsia="zh-CN"/>
        </w:rPr>
        <w:t>11</w:t>
      </w:r>
      <w:r>
        <w:rPr>
          <w:rFonts w:hAnsi="宋体"/>
        </w:rPr>
        <w:t>分）：提供总体技术方案，有项目概况和需求分析，有设计依据及技术标准和设计原则，有网络系统总体设计和系统详细设计；提供具有优异的系统维护安全性，稳定性及运行持续性，提供高效的技术服务。</w:t>
      </w:r>
      <w:r>
        <w:rPr>
          <w:rFonts w:hint="eastAsia" w:hAnsi="宋体"/>
        </w:rPr>
        <w:t>提供6名技术人员。</w:t>
      </w:r>
    </w:p>
    <w:p>
      <w:pPr>
        <w:ind w:firstLine="421" w:firstLineChars="200"/>
        <w:rPr>
          <w:rFonts w:ascii="宋体" w:hAnsi="宋体"/>
          <w:b/>
          <w:bCs w:val="0"/>
          <w:kern w:val="0"/>
        </w:rPr>
      </w:pPr>
      <w:r>
        <w:rPr>
          <w:rFonts w:hint="eastAsia" w:ascii="宋体" w:hAnsi="宋体"/>
          <w:b/>
          <w:bCs w:val="0"/>
          <w:kern w:val="0"/>
        </w:rPr>
        <w:t>（2）实施方案分（满分</w:t>
      </w:r>
      <w:r>
        <w:rPr>
          <w:rFonts w:hint="eastAsia" w:ascii="宋体" w:hAnsi="宋体"/>
          <w:b/>
          <w:bCs w:val="0"/>
          <w:kern w:val="0"/>
          <w:lang w:val="en-US" w:eastAsia="zh-CN"/>
        </w:rPr>
        <w:t>12</w:t>
      </w:r>
      <w:r>
        <w:rPr>
          <w:rFonts w:hint="eastAsia" w:ascii="宋体" w:hAnsi="宋体"/>
          <w:b/>
          <w:bCs w:val="0"/>
          <w:kern w:val="0"/>
        </w:rPr>
        <w:t>分）</w:t>
      </w:r>
    </w:p>
    <w:p>
      <w:pPr>
        <w:pStyle w:val="19"/>
        <w:adjustRightInd w:val="0"/>
        <w:snapToGrid w:val="0"/>
        <w:spacing w:line="400" w:lineRule="exact"/>
        <w:ind w:firstLine="630" w:firstLineChars="300"/>
        <w:rPr>
          <w:rFonts w:hAnsi="宋体"/>
        </w:rPr>
      </w:pPr>
      <w:r>
        <w:rPr>
          <w:rFonts w:hint="eastAsia" w:hAnsi="宋体"/>
        </w:rPr>
        <w:t>未提供实施方案的得0分。</w:t>
      </w:r>
    </w:p>
    <w:p>
      <w:pPr>
        <w:pStyle w:val="19"/>
        <w:adjustRightInd w:val="0"/>
        <w:snapToGrid w:val="0"/>
        <w:spacing w:line="400" w:lineRule="exact"/>
        <w:ind w:firstLine="630" w:firstLineChars="300"/>
        <w:rPr>
          <w:rFonts w:hAnsi="宋体"/>
        </w:rPr>
      </w:pPr>
      <w:r>
        <w:rPr>
          <w:rFonts w:hAnsi="宋体"/>
        </w:rPr>
        <w:t>一档（</w:t>
      </w:r>
      <w:r>
        <w:rPr>
          <w:rFonts w:hint="eastAsia" w:hAnsi="宋体"/>
          <w:lang w:val="en-US" w:eastAsia="zh-CN"/>
        </w:rPr>
        <w:t>3</w:t>
      </w:r>
      <w:r>
        <w:rPr>
          <w:rFonts w:hAnsi="宋体"/>
        </w:rPr>
        <w:t>分）：提供项目的实施方案，方案中对系统建设、项目计划、验收方案有描述。提供的进度计划和工期保证措施，有质量控制保证方案。实施方案，有施工计划和人员分工计划等，提供</w:t>
      </w:r>
      <w:r>
        <w:rPr>
          <w:rFonts w:hint="eastAsia" w:hAnsi="宋体"/>
        </w:rPr>
        <w:t>实施人员</w:t>
      </w:r>
      <w:r>
        <w:rPr>
          <w:rFonts w:hAnsi="宋体"/>
        </w:rPr>
        <w:t>名单</w:t>
      </w:r>
      <w:r>
        <w:rPr>
          <w:rFonts w:hint="eastAsia" w:hAnsi="宋体"/>
        </w:rPr>
        <w:t>；</w:t>
      </w:r>
    </w:p>
    <w:p>
      <w:pPr>
        <w:pStyle w:val="19"/>
        <w:adjustRightInd w:val="0"/>
        <w:snapToGrid w:val="0"/>
        <w:spacing w:line="400" w:lineRule="exact"/>
        <w:ind w:firstLine="420" w:firstLineChars="200"/>
        <w:rPr>
          <w:rFonts w:hAnsi="宋体"/>
        </w:rPr>
      </w:pPr>
      <w:r>
        <w:rPr>
          <w:rFonts w:hAnsi="宋体"/>
        </w:rPr>
        <w:t>二档（</w:t>
      </w:r>
      <w:r>
        <w:rPr>
          <w:rFonts w:hint="eastAsia" w:hAnsi="宋体"/>
          <w:lang w:val="en-US" w:eastAsia="zh-CN"/>
        </w:rPr>
        <w:t>6</w:t>
      </w:r>
      <w:r>
        <w:rPr>
          <w:rFonts w:hAnsi="宋体"/>
        </w:rPr>
        <w:t>分）：提供基本项目实施方案，方案中对系统建设</w:t>
      </w:r>
      <w:r>
        <w:rPr>
          <w:rFonts w:hint="eastAsia" w:hAnsi="宋体"/>
          <w:lang w:eastAsia="zh-CN"/>
        </w:rPr>
        <w:t>、</w:t>
      </w:r>
      <w:r>
        <w:rPr>
          <w:rFonts w:hAnsi="宋体"/>
        </w:rPr>
        <w:t>设备部署、项目计划、功能方面测试方案、试运行方案、验收方案有基本描述。提供的进度计划和工期保证措施，有基本的质量控制保证方案。实施方案简单，有简单的施工计划和人员分工计划等，提供不少于</w:t>
      </w:r>
      <w:r>
        <w:rPr>
          <w:rFonts w:hint="eastAsia" w:hAnsi="宋体"/>
        </w:rPr>
        <w:t>3</w:t>
      </w:r>
      <w:r>
        <w:rPr>
          <w:rFonts w:hAnsi="宋体"/>
        </w:rPr>
        <w:t>个</w:t>
      </w:r>
      <w:r>
        <w:rPr>
          <w:rFonts w:hint="eastAsia" w:hAnsi="宋体"/>
        </w:rPr>
        <w:t>实施人员。</w:t>
      </w:r>
    </w:p>
    <w:p>
      <w:pPr>
        <w:pStyle w:val="19"/>
        <w:adjustRightInd w:val="0"/>
        <w:snapToGrid w:val="0"/>
        <w:spacing w:line="400" w:lineRule="exact"/>
        <w:ind w:firstLine="630" w:firstLineChars="300"/>
        <w:rPr>
          <w:rFonts w:hAnsi="宋体"/>
        </w:rPr>
      </w:pPr>
      <w:r>
        <w:rPr>
          <w:rFonts w:hAnsi="宋体"/>
        </w:rPr>
        <w:t>三档（</w:t>
      </w:r>
      <w:r>
        <w:rPr>
          <w:rFonts w:hint="eastAsia" w:hAnsi="宋体"/>
          <w:lang w:val="en-US" w:eastAsia="zh-CN"/>
        </w:rPr>
        <w:t>9</w:t>
      </w:r>
      <w:r>
        <w:rPr>
          <w:rFonts w:hAnsi="宋体"/>
        </w:rPr>
        <w:t>分）：在二档基础上，有基本的施工进度计划和工期保证措施；有基本的安全控制措施及安装质量控制保证方案。提供的项目实施方案，项目计划、功能方面测试方案、试运行方案及验收方案，内容可行、详细。提供的进度计划和工期保证措施，有质量保证措施、风险管理措施，提供不少于</w:t>
      </w:r>
      <w:r>
        <w:rPr>
          <w:rFonts w:hint="eastAsia" w:hAnsi="宋体"/>
        </w:rPr>
        <w:t>5</w:t>
      </w:r>
      <w:r>
        <w:rPr>
          <w:rFonts w:hAnsi="宋体"/>
        </w:rPr>
        <w:t>个</w:t>
      </w:r>
      <w:r>
        <w:rPr>
          <w:rFonts w:hint="eastAsia" w:hAnsi="宋体"/>
        </w:rPr>
        <w:t>实施</w:t>
      </w:r>
      <w:r>
        <w:rPr>
          <w:rFonts w:hAnsi="宋体"/>
        </w:rPr>
        <w:t>人员</w:t>
      </w:r>
      <w:r>
        <w:rPr>
          <w:rFonts w:hint="eastAsia" w:hAnsi="宋体"/>
        </w:rPr>
        <w:t>。</w:t>
      </w:r>
    </w:p>
    <w:p>
      <w:pPr>
        <w:ind w:firstLine="420" w:firstLineChars="200"/>
        <w:rPr>
          <w:rFonts w:hAnsi="宋体"/>
        </w:rPr>
      </w:pPr>
      <w:r>
        <w:rPr>
          <w:rFonts w:hAnsi="宋体"/>
        </w:rPr>
        <w:t>四档（</w:t>
      </w:r>
      <w:r>
        <w:rPr>
          <w:rFonts w:hint="eastAsia" w:hAnsi="宋体"/>
          <w:lang w:val="en-US" w:eastAsia="zh-CN"/>
        </w:rPr>
        <w:t>12</w:t>
      </w:r>
      <w:r>
        <w:rPr>
          <w:rFonts w:hAnsi="宋体"/>
        </w:rPr>
        <w:t>分）：在三档基础上，有更好的施工进度计划和工期保证措施；有安全控制措施及安装质量控制保证方案及实施质量保证措施及质量管理程序；实施人员充足，实施人员</w:t>
      </w:r>
      <w:r>
        <w:rPr>
          <w:rFonts w:hint="eastAsia" w:hAnsi="宋体"/>
        </w:rPr>
        <w:t>具备</w:t>
      </w:r>
      <w:r>
        <w:rPr>
          <w:rFonts w:hAnsi="宋体"/>
        </w:rPr>
        <w:t>线路</w:t>
      </w:r>
      <w:r>
        <w:rPr>
          <w:rFonts w:hint="eastAsia" w:hAnsi="宋体"/>
        </w:rPr>
        <w:t>专业</w:t>
      </w:r>
      <w:r>
        <w:rPr>
          <w:rFonts w:hAnsi="宋体"/>
        </w:rPr>
        <w:t>实施能力。提供更好的项目实施方案，方案中项目计划、试运行方案及验收方案，内容可行、详细，具有合理性、科学性，有进度计划和工期保证措施及赶工措施、实施安全保障措施、质量保证措施、风险管理措施。项目管理组织机构职能完全，满足要求，安排合理清晰，提供不少于</w:t>
      </w:r>
      <w:r>
        <w:rPr>
          <w:rFonts w:hint="eastAsia" w:hAnsi="宋体"/>
        </w:rPr>
        <w:t>7</w:t>
      </w:r>
      <w:r>
        <w:rPr>
          <w:rFonts w:hAnsi="宋体"/>
        </w:rPr>
        <w:t>个</w:t>
      </w:r>
      <w:r>
        <w:rPr>
          <w:rFonts w:hint="eastAsia" w:hAnsi="宋体"/>
        </w:rPr>
        <w:t>实施</w:t>
      </w:r>
      <w:r>
        <w:rPr>
          <w:rFonts w:hAnsi="宋体"/>
        </w:rPr>
        <w:t>人员</w:t>
      </w:r>
      <w:r>
        <w:rPr>
          <w:rFonts w:hint="eastAsia" w:hAnsi="宋体"/>
        </w:rPr>
        <w:t>。</w:t>
      </w:r>
    </w:p>
    <w:p>
      <w:pPr>
        <w:pStyle w:val="19"/>
        <w:adjustRightInd w:val="0"/>
        <w:snapToGrid w:val="0"/>
        <w:spacing w:line="400" w:lineRule="exact"/>
        <w:ind w:firstLine="421" w:firstLineChars="200"/>
        <w:rPr>
          <w:rFonts w:hAnsi="宋体"/>
          <w:b/>
          <w:bCs/>
        </w:rPr>
      </w:pPr>
      <w:r>
        <w:rPr>
          <w:rFonts w:hint="eastAsia" w:hAnsi="宋体"/>
          <w:b/>
          <w:bCs/>
        </w:rPr>
        <w:t>（3）互联网出口线路性能分（</w:t>
      </w:r>
      <w:r>
        <w:rPr>
          <w:rFonts w:hint="eastAsia" w:hAnsi="宋体"/>
          <w:b/>
          <w:bCs/>
          <w:lang w:val="en-US" w:eastAsia="zh-CN"/>
        </w:rPr>
        <w:t>2</w:t>
      </w:r>
      <w:r>
        <w:rPr>
          <w:rFonts w:hint="eastAsia" w:hAnsi="宋体"/>
          <w:b/>
          <w:bCs/>
        </w:rPr>
        <w:t>5分）</w:t>
      </w:r>
    </w:p>
    <w:p>
      <w:pPr>
        <w:pStyle w:val="19"/>
        <w:adjustRightInd w:val="0"/>
        <w:snapToGrid w:val="0"/>
        <w:spacing w:line="400" w:lineRule="exact"/>
        <w:ind w:firstLine="630" w:firstLineChars="300"/>
        <w:rPr>
          <w:rFonts w:hAnsi="宋体"/>
        </w:rPr>
      </w:pPr>
      <w:r>
        <w:rPr>
          <w:rFonts w:hint="eastAsia" w:hAnsi="宋体"/>
        </w:rPr>
        <w:t>供应商的互联网出口线路的固定宽带平均下载速率，满足97Mbit/s之后每超0.5Mbit/s加</w:t>
      </w:r>
      <w:r>
        <w:rPr>
          <w:rFonts w:hint="eastAsia" w:hAnsi="宋体"/>
          <w:lang w:val="en-US" w:eastAsia="zh-CN"/>
        </w:rPr>
        <w:t>5</w:t>
      </w:r>
      <w:r>
        <w:rPr>
          <w:rFonts w:hint="eastAsia" w:hAnsi="宋体"/>
        </w:rPr>
        <w:t>分，封顶</w:t>
      </w:r>
      <w:r>
        <w:rPr>
          <w:rFonts w:hint="eastAsia" w:hAnsi="宋体"/>
          <w:lang w:val="en-US" w:eastAsia="zh-CN"/>
        </w:rPr>
        <w:t>25</w:t>
      </w:r>
      <w:r>
        <w:rPr>
          <w:rFonts w:hint="eastAsia" w:hAnsi="宋体"/>
        </w:rPr>
        <w:t>分。（注：以宽带发展联盟发布的2024年第四季度第38期《中国宽带速率状况报告》为准，提供体现供应商固定宽带平均下载速率数据的报告截图，并加盖供应商公章。不提供不得分。）</w:t>
      </w:r>
    </w:p>
    <w:p>
      <w:pPr>
        <w:pStyle w:val="33"/>
        <w:ind w:firstLine="422"/>
        <w:rPr>
          <w:rFonts w:hAnsi="宋体"/>
          <w:bCs/>
          <w:kern w:val="0"/>
          <w:lang w:val="zh-TW"/>
        </w:rPr>
      </w:pPr>
      <w:r>
        <w:rPr>
          <w:rFonts w:hint="eastAsia" w:hAnsi="宋体"/>
          <w:bCs/>
          <w:kern w:val="0"/>
          <w:lang w:val="zh-TW"/>
        </w:rPr>
        <w:t>（</w:t>
      </w:r>
      <w:r>
        <w:rPr>
          <w:rFonts w:hint="eastAsia" w:hAnsi="宋体"/>
          <w:bCs/>
          <w:kern w:val="0"/>
        </w:rPr>
        <w:t>4</w:t>
      </w:r>
      <w:r>
        <w:rPr>
          <w:rFonts w:hint="eastAsia" w:hAnsi="宋体"/>
          <w:bCs/>
          <w:kern w:val="0"/>
          <w:lang w:val="zh-TW"/>
        </w:rPr>
        <w:t>）售后服务分（满分</w:t>
      </w:r>
      <w:r>
        <w:rPr>
          <w:rFonts w:hint="eastAsia" w:hAnsi="宋体"/>
          <w:bCs/>
          <w:kern w:val="0"/>
          <w:lang w:val="en-US" w:eastAsia="zh-CN"/>
        </w:rPr>
        <w:t>12</w:t>
      </w:r>
      <w:r>
        <w:rPr>
          <w:rFonts w:hint="eastAsia" w:hAnsi="宋体"/>
          <w:bCs/>
          <w:kern w:val="0"/>
          <w:lang w:val="zh-TW"/>
        </w:rPr>
        <w:t>分）</w:t>
      </w:r>
    </w:p>
    <w:p>
      <w:pPr>
        <w:pStyle w:val="19"/>
        <w:adjustRightInd w:val="0"/>
        <w:snapToGrid w:val="0"/>
        <w:spacing w:line="400" w:lineRule="exact"/>
        <w:ind w:firstLine="420" w:firstLineChars="200"/>
        <w:rPr>
          <w:rFonts w:hAnsi="宋体"/>
        </w:rPr>
      </w:pPr>
      <w:r>
        <w:rPr>
          <w:rFonts w:hAnsi="宋体"/>
        </w:rPr>
        <w:t>一档（</w:t>
      </w:r>
      <w:r>
        <w:rPr>
          <w:rFonts w:hint="eastAsia" w:hAnsi="宋体"/>
          <w:lang w:val="en-US" w:eastAsia="zh-CN"/>
        </w:rPr>
        <w:t>3</w:t>
      </w:r>
      <w:r>
        <w:rPr>
          <w:rFonts w:hAnsi="宋体"/>
        </w:rPr>
        <w:t xml:space="preserve">分）：满足采购文件售后服务实质性要求和条件确保设备正常运行，提供故障处理流程、维护保障流程及组织架构的；提供7×24小时热线服务电话和售后服务。 </w:t>
      </w:r>
    </w:p>
    <w:p>
      <w:pPr>
        <w:pStyle w:val="19"/>
        <w:adjustRightInd w:val="0"/>
        <w:snapToGrid w:val="0"/>
        <w:spacing w:line="400" w:lineRule="exact"/>
        <w:ind w:firstLine="420" w:firstLineChars="200"/>
        <w:rPr>
          <w:rFonts w:hAnsi="宋体"/>
        </w:rPr>
      </w:pPr>
      <w:r>
        <w:rPr>
          <w:rFonts w:hAnsi="宋体"/>
        </w:rPr>
        <w:t>二档（</w:t>
      </w:r>
      <w:r>
        <w:rPr>
          <w:rFonts w:hint="eastAsia" w:hAnsi="宋体"/>
          <w:lang w:val="en-US" w:eastAsia="zh-CN"/>
        </w:rPr>
        <w:t>6</w:t>
      </w:r>
      <w:r>
        <w:rPr>
          <w:rFonts w:hAnsi="宋体"/>
        </w:rPr>
        <w:t>分）：满足采购文件售后服务实质性要求和条件的，在系统维护、响应时间提供更优惠的条件，保证设备正常运行，提供故障处理流程、维护保障流程及组织架构, 提供7×24小时热线服务电话和售后服务。</w:t>
      </w:r>
      <w:r>
        <w:rPr>
          <w:rFonts w:hint="eastAsia" w:hAnsi="宋体"/>
        </w:rPr>
        <w:t>供应商</w:t>
      </w:r>
      <w:r>
        <w:rPr>
          <w:rFonts w:hAnsi="宋体"/>
        </w:rPr>
        <w:t>拟投入3名售后服务人员</w:t>
      </w:r>
      <w:r>
        <w:rPr>
          <w:rFonts w:hint="eastAsia" w:hAnsi="宋体"/>
        </w:rPr>
        <w:t>。</w:t>
      </w:r>
    </w:p>
    <w:p>
      <w:pPr>
        <w:pStyle w:val="19"/>
        <w:adjustRightInd w:val="0"/>
        <w:snapToGrid w:val="0"/>
        <w:spacing w:line="400" w:lineRule="exact"/>
        <w:ind w:firstLine="420" w:firstLineChars="200"/>
        <w:rPr>
          <w:rFonts w:hAnsi="宋体"/>
        </w:rPr>
      </w:pPr>
      <w:r>
        <w:rPr>
          <w:rFonts w:hAnsi="宋体"/>
        </w:rPr>
        <w:t>三档（</w:t>
      </w:r>
      <w:r>
        <w:rPr>
          <w:rFonts w:hint="eastAsia" w:hAnsi="宋体"/>
          <w:lang w:val="en-US" w:eastAsia="zh-CN"/>
        </w:rPr>
        <w:t>9</w:t>
      </w:r>
      <w:r>
        <w:rPr>
          <w:rFonts w:hAnsi="宋体"/>
        </w:rPr>
        <w:t>分）：满足采购文件售后服务所有要求和条件的，在系统维护、响应时间提供更优惠的条件，保证设备正常运行的，提供故障处理流程、维护保障流程及组织架构。提供7×24小时热线服务电话和售后服务，有良好的免费培训计划、培训场地的，具备光缆线路专业化日常维护及应急抢修队伍；故障时有替代产品、提供技术支持服务、定期回访的。</w:t>
      </w:r>
      <w:r>
        <w:rPr>
          <w:rFonts w:hint="eastAsia" w:hAnsi="宋体"/>
        </w:rPr>
        <w:t>供应商</w:t>
      </w:r>
      <w:r>
        <w:rPr>
          <w:rFonts w:hAnsi="宋体"/>
        </w:rPr>
        <w:t>拟投入</w:t>
      </w:r>
      <w:r>
        <w:rPr>
          <w:rFonts w:hint="eastAsia" w:hAnsi="宋体"/>
        </w:rPr>
        <w:t>5</w:t>
      </w:r>
      <w:r>
        <w:rPr>
          <w:rFonts w:hAnsi="宋体"/>
        </w:rPr>
        <w:t>名售后服务人员</w:t>
      </w:r>
      <w:r>
        <w:rPr>
          <w:rFonts w:hint="eastAsia" w:hAnsi="宋体"/>
        </w:rPr>
        <w:t>。</w:t>
      </w:r>
    </w:p>
    <w:p>
      <w:pPr>
        <w:ind w:firstLine="420" w:firstLineChars="200"/>
      </w:pPr>
      <w:r>
        <w:rPr>
          <w:rFonts w:ascii="宋体" w:hAnsi="宋体"/>
          <w:szCs w:val="20"/>
        </w:rPr>
        <w:t>四档（</w:t>
      </w:r>
      <w:r>
        <w:rPr>
          <w:rFonts w:hint="eastAsia" w:ascii="宋体" w:hAnsi="宋体"/>
          <w:szCs w:val="20"/>
          <w:lang w:val="en-US" w:eastAsia="zh-CN"/>
        </w:rPr>
        <w:t>12</w:t>
      </w:r>
      <w:r>
        <w:rPr>
          <w:rFonts w:ascii="宋体" w:hAnsi="宋体"/>
          <w:szCs w:val="20"/>
        </w:rPr>
        <w:t>分）：满足采购文件售后服务所有要求和条件的，在系统维护、响应时间提供更优惠的条件，保证设备正常运行的，提供故障处理流程、维护保障流程及组织架构; 提供7×24小时热线服务电话和售后服务。</w:t>
      </w:r>
      <w:r>
        <w:rPr>
          <w:rFonts w:hint="eastAsia" w:ascii="宋体" w:hAnsi="宋体"/>
          <w:szCs w:val="20"/>
        </w:rPr>
        <w:t>供应商</w:t>
      </w:r>
      <w:r>
        <w:rPr>
          <w:rFonts w:ascii="宋体" w:hAnsi="宋体"/>
          <w:szCs w:val="20"/>
        </w:rPr>
        <w:t>拟投入</w:t>
      </w:r>
      <w:r>
        <w:rPr>
          <w:rFonts w:hint="eastAsia" w:ascii="宋体" w:hAnsi="宋体"/>
          <w:szCs w:val="20"/>
        </w:rPr>
        <w:t>7</w:t>
      </w:r>
      <w:r>
        <w:rPr>
          <w:rFonts w:ascii="宋体" w:hAnsi="宋体"/>
          <w:szCs w:val="20"/>
        </w:rPr>
        <w:t>名售后服务人员</w:t>
      </w:r>
      <w:r>
        <w:rPr>
          <w:rFonts w:hint="eastAsia" w:ascii="宋体" w:hAnsi="宋体"/>
          <w:szCs w:val="20"/>
        </w:rPr>
        <w:t>。</w:t>
      </w:r>
    </w:p>
    <w:p>
      <w:pPr>
        <w:rPr>
          <w:rFonts w:hint="eastAsia"/>
        </w:rPr>
      </w:pPr>
      <w:r>
        <w:rPr>
          <w:rFonts w:hint="eastAsia"/>
        </w:rPr>
        <w:br w:type="page"/>
      </w:r>
    </w:p>
    <w:p>
      <w:pPr>
        <w:pStyle w:val="33"/>
        <w:ind w:firstLine="422"/>
      </w:pPr>
      <w:r>
        <w:rPr>
          <w:rFonts w:hint="eastAsia"/>
        </w:rPr>
        <w:t>3、商务分………………………………………………………………………………</w:t>
      </w:r>
      <w:r>
        <w:rPr>
          <w:rFonts w:hint="eastAsia"/>
          <w:lang w:val="en-US" w:eastAsia="zh-CN"/>
        </w:rPr>
        <w:t>30</w:t>
      </w:r>
      <w:r>
        <w:rPr>
          <w:rFonts w:hint="eastAsia"/>
        </w:rPr>
        <w:t>分</w:t>
      </w:r>
    </w:p>
    <w:p>
      <w:pPr>
        <w:spacing w:line="360" w:lineRule="auto"/>
        <w:ind w:firstLine="315" w:firstLineChars="150"/>
        <w:rPr>
          <w:rFonts w:hint="eastAsia" w:ascii="宋体" w:hAnsi="Courier New" w:eastAsia="宋体" w:cs="Times New Roman"/>
          <w:b w:val="0"/>
          <w:bCs/>
          <w:kern w:val="2"/>
          <w:szCs w:val="20"/>
        </w:rPr>
      </w:pPr>
      <w:r>
        <w:rPr>
          <w:rFonts w:hint="eastAsia" w:ascii="宋体" w:hAnsi="Courier New" w:eastAsia="宋体" w:cs="Times New Roman"/>
          <w:b w:val="0"/>
          <w:bCs/>
          <w:kern w:val="2"/>
          <w:szCs w:val="20"/>
          <w:lang w:eastAsia="zh-CN"/>
        </w:rPr>
        <w:t>（</w:t>
      </w:r>
      <w:r>
        <w:rPr>
          <w:rFonts w:hint="eastAsia" w:ascii="宋体" w:hAnsi="Courier New" w:eastAsia="宋体" w:cs="Times New Roman"/>
          <w:b w:val="0"/>
          <w:bCs/>
          <w:kern w:val="2"/>
          <w:szCs w:val="20"/>
          <w:lang w:val="en-US" w:eastAsia="zh-CN"/>
        </w:rPr>
        <w:t>1</w:t>
      </w:r>
      <w:r>
        <w:rPr>
          <w:rFonts w:hint="eastAsia" w:ascii="宋体" w:hAnsi="Courier New" w:eastAsia="宋体" w:cs="Times New Roman"/>
          <w:b w:val="0"/>
          <w:bCs/>
          <w:kern w:val="2"/>
          <w:szCs w:val="20"/>
          <w:lang w:eastAsia="zh-CN"/>
        </w:rPr>
        <w:t>）</w:t>
      </w:r>
      <w:r>
        <w:rPr>
          <w:rFonts w:hint="eastAsia" w:ascii="宋体" w:hAnsi="Courier New" w:eastAsia="宋体" w:cs="Times New Roman"/>
          <w:b w:val="0"/>
          <w:bCs/>
          <w:kern w:val="2"/>
          <w:szCs w:val="20"/>
        </w:rPr>
        <w:t>应急保障方案分（满分1</w:t>
      </w:r>
      <w:r>
        <w:rPr>
          <w:rFonts w:hint="eastAsia" w:ascii="宋体" w:hAnsi="Courier New" w:eastAsia="宋体" w:cs="Times New Roman"/>
          <w:b w:val="0"/>
          <w:bCs/>
          <w:kern w:val="2"/>
          <w:szCs w:val="20"/>
          <w:lang w:val="en-US" w:eastAsia="zh-CN"/>
        </w:rPr>
        <w:t>0</w:t>
      </w:r>
      <w:r>
        <w:rPr>
          <w:rFonts w:hint="eastAsia" w:ascii="宋体" w:hAnsi="Courier New" w:eastAsia="宋体" w:cs="Times New Roman"/>
          <w:b w:val="0"/>
          <w:bCs/>
          <w:kern w:val="2"/>
          <w:szCs w:val="20"/>
        </w:rPr>
        <w:t>分）</w:t>
      </w:r>
      <w:r>
        <w:rPr>
          <w:rFonts w:hint="eastAsia" w:ascii="宋体" w:hAnsi="Courier New" w:eastAsia="宋体" w:cs="Times New Roman"/>
          <w:b w:val="0"/>
          <w:bCs/>
          <w:kern w:val="2"/>
          <w:szCs w:val="20"/>
        </w:rPr>
        <w:tab/>
      </w:r>
    </w:p>
    <w:p>
      <w:pPr>
        <w:spacing w:line="360" w:lineRule="auto"/>
        <w:ind w:firstLine="315" w:firstLineChars="150"/>
        <w:rPr>
          <w:rFonts w:hint="eastAsia" w:ascii="宋体" w:hAnsi="Courier New" w:eastAsia="宋体" w:cs="Times New Roman"/>
          <w:bCs/>
          <w:kern w:val="2"/>
          <w:szCs w:val="20"/>
        </w:rPr>
      </w:pPr>
      <w:r>
        <w:rPr>
          <w:rFonts w:hint="eastAsia" w:ascii="宋体" w:hAnsi="Courier New" w:eastAsia="宋体" w:cs="Times New Roman"/>
          <w:bCs/>
          <w:kern w:val="2"/>
          <w:szCs w:val="20"/>
        </w:rPr>
        <w:t>不满足一档要求的不得分。</w:t>
      </w:r>
    </w:p>
    <w:p>
      <w:pPr>
        <w:spacing w:line="360" w:lineRule="auto"/>
        <w:ind w:firstLine="315" w:firstLineChars="150"/>
        <w:rPr>
          <w:rFonts w:hint="eastAsia" w:ascii="宋体" w:hAnsi="Courier New" w:eastAsia="宋体" w:cs="Times New Roman"/>
          <w:bCs/>
          <w:kern w:val="2"/>
          <w:szCs w:val="20"/>
        </w:rPr>
      </w:pPr>
      <w:r>
        <w:rPr>
          <w:rFonts w:hint="eastAsia" w:ascii="宋体" w:hAnsi="Courier New" w:eastAsia="宋体" w:cs="Times New Roman"/>
          <w:bCs/>
          <w:kern w:val="2"/>
          <w:szCs w:val="20"/>
        </w:rPr>
        <w:t>一档（</w:t>
      </w:r>
      <w:r>
        <w:rPr>
          <w:rFonts w:hint="eastAsia" w:ascii="宋体" w:hAnsi="Courier New" w:cs="Times New Roman"/>
          <w:bCs/>
          <w:kern w:val="2"/>
          <w:szCs w:val="20"/>
          <w:lang w:eastAsia="zh-CN"/>
        </w:rPr>
        <w:t>2</w:t>
      </w:r>
      <w:r>
        <w:rPr>
          <w:rFonts w:hint="eastAsia" w:ascii="宋体" w:hAnsi="Courier New" w:eastAsia="宋体" w:cs="Times New Roman"/>
          <w:bCs/>
          <w:kern w:val="2"/>
          <w:szCs w:val="20"/>
        </w:rPr>
        <w:t>分）提供详细应急保障方案，可派出</w:t>
      </w:r>
      <w:r>
        <w:rPr>
          <w:rFonts w:hint="eastAsia" w:ascii="宋体" w:hAnsi="Courier New" w:cs="Times New Roman"/>
          <w:bCs/>
          <w:kern w:val="2"/>
          <w:szCs w:val="20"/>
          <w:lang w:val="en-US" w:eastAsia="zh-CN"/>
        </w:rPr>
        <w:t>应急运维</w:t>
      </w:r>
      <w:r>
        <w:rPr>
          <w:rFonts w:hint="eastAsia" w:ascii="宋体" w:hAnsi="Courier New" w:eastAsia="宋体" w:cs="Times New Roman"/>
          <w:bCs/>
          <w:kern w:val="2"/>
          <w:szCs w:val="20"/>
        </w:rPr>
        <w:t>车辆不低于1辆。</w:t>
      </w:r>
    </w:p>
    <w:p>
      <w:pPr>
        <w:spacing w:line="360" w:lineRule="auto"/>
        <w:ind w:firstLine="315" w:firstLineChars="150"/>
        <w:rPr>
          <w:rFonts w:hint="eastAsia" w:ascii="宋体" w:hAnsi="Courier New" w:eastAsia="宋体" w:cs="Times New Roman"/>
          <w:bCs/>
          <w:kern w:val="2"/>
          <w:szCs w:val="20"/>
        </w:rPr>
      </w:pPr>
      <w:r>
        <w:rPr>
          <w:rFonts w:hint="eastAsia" w:ascii="宋体" w:hAnsi="Courier New" w:eastAsia="宋体" w:cs="Times New Roman"/>
          <w:bCs/>
          <w:kern w:val="2"/>
          <w:szCs w:val="20"/>
        </w:rPr>
        <w:t>二档（</w:t>
      </w:r>
      <w:r>
        <w:rPr>
          <w:rFonts w:hint="eastAsia" w:ascii="宋体" w:hAnsi="Courier New" w:cs="Times New Roman"/>
          <w:bCs/>
          <w:kern w:val="2"/>
          <w:szCs w:val="20"/>
          <w:lang w:eastAsia="zh-CN"/>
        </w:rPr>
        <w:t>6</w:t>
      </w:r>
      <w:r>
        <w:rPr>
          <w:rFonts w:hint="eastAsia" w:ascii="宋体" w:hAnsi="Courier New" w:eastAsia="宋体" w:cs="Times New Roman"/>
          <w:bCs/>
          <w:kern w:val="2"/>
          <w:szCs w:val="20"/>
        </w:rPr>
        <w:t>分）：提供详细应急保障方案，具备通讯保障能力，重大突发事件、重大节日可派出2辆（含）以上的</w:t>
      </w:r>
      <w:r>
        <w:rPr>
          <w:rFonts w:hint="eastAsia" w:ascii="宋体" w:hAnsi="Courier New" w:cs="Times New Roman"/>
          <w:bCs/>
          <w:kern w:val="2"/>
          <w:szCs w:val="20"/>
          <w:lang w:val="en-US" w:eastAsia="zh-CN"/>
        </w:rPr>
        <w:t>应急运维</w:t>
      </w:r>
      <w:r>
        <w:rPr>
          <w:rFonts w:hint="eastAsia" w:ascii="宋体" w:hAnsi="Courier New" w:eastAsia="宋体" w:cs="Times New Roman"/>
          <w:bCs/>
          <w:kern w:val="2"/>
          <w:szCs w:val="20"/>
        </w:rPr>
        <w:t>车辆；拟投入应急保障人员不少于</w:t>
      </w:r>
      <w:r>
        <w:rPr>
          <w:rFonts w:hint="eastAsia" w:ascii="宋体" w:hAnsi="Courier New" w:cs="Times New Roman"/>
          <w:bCs/>
          <w:kern w:val="2"/>
          <w:szCs w:val="20"/>
          <w:lang w:eastAsia="zh-CN"/>
        </w:rPr>
        <w:t>2</w:t>
      </w:r>
      <w:r>
        <w:rPr>
          <w:rFonts w:hint="eastAsia" w:ascii="宋体" w:hAnsi="Courier New" w:eastAsia="宋体" w:cs="Times New Roman"/>
          <w:bCs/>
          <w:kern w:val="2"/>
          <w:szCs w:val="20"/>
        </w:rPr>
        <w:t>名。</w:t>
      </w:r>
    </w:p>
    <w:p>
      <w:pPr>
        <w:adjustRightInd w:val="0"/>
        <w:snapToGrid w:val="0"/>
        <w:spacing w:line="360" w:lineRule="auto"/>
        <w:ind w:firstLine="315" w:firstLineChars="150"/>
        <w:rPr>
          <w:rFonts w:hint="eastAsia" w:ascii="宋体" w:hAnsi="Courier New"/>
          <w:bCs/>
          <w:color w:val="auto"/>
          <w:szCs w:val="20"/>
        </w:rPr>
      </w:pPr>
      <w:r>
        <w:rPr>
          <w:rFonts w:hint="eastAsia" w:ascii="宋体" w:hAnsi="Courier New" w:eastAsia="宋体" w:cs="Times New Roman"/>
          <w:bCs/>
          <w:kern w:val="2"/>
          <w:szCs w:val="20"/>
        </w:rPr>
        <w:t>三档（</w:t>
      </w:r>
      <w:r>
        <w:rPr>
          <w:rFonts w:hint="eastAsia" w:ascii="宋体" w:hAnsi="Courier New" w:cs="Times New Roman"/>
          <w:bCs/>
          <w:kern w:val="2"/>
          <w:szCs w:val="20"/>
          <w:lang w:eastAsia="zh-CN"/>
        </w:rPr>
        <w:t>1</w:t>
      </w:r>
      <w:r>
        <w:rPr>
          <w:rFonts w:hint="eastAsia" w:ascii="宋体" w:hAnsi="Courier New" w:cs="Times New Roman"/>
          <w:bCs/>
          <w:kern w:val="2"/>
          <w:szCs w:val="20"/>
          <w:lang w:val="en-US" w:eastAsia="zh-CN"/>
        </w:rPr>
        <w:t>0</w:t>
      </w:r>
      <w:r>
        <w:rPr>
          <w:rFonts w:hint="eastAsia" w:ascii="宋体" w:hAnsi="Courier New" w:eastAsia="宋体" w:cs="Times New Roman"/>
          <w:bCs/>
          <w:kern w:val="2"/>
          <w:szCs w:val="20"/>
        </w:rPr>
        <w:t>分）：提供详细应急保障方案，通讯保障能力突出，应对重大突发事件、重大节日、大型赛事或集会，可派出</w:t>
      </w:r>
      <w:r>
        <w:rPr>
          <w:rFonts w:hint="eastAsia" w:ascii="宋体" w:hAnsi="Courier New" w:cs="Times New Roman"/>
          <w:bCs/>
          <w:kern w:val="2"/>
          <w:szCs w:val="20"/>
          <w:lang w:eastAsia="zh-CN"/>
        </w:rPr>
        <w:t>3</w:t>
      </w:r>
      <w:r>
        <w:rPr>
          <w:rFonts w:hint="eastAsia" w:ascii="宋体" w:hAnsi="Courier New" w:eastAsia="宋体" w:cs="Times New Roman"/>
          <w:bCs/>
          <w:kern w:val="2"/>
          <w:szCs w:val="20"/>
        </w:rPr>
        <w:t>辆（含）以上的</w:t>
      </w:r>
      <w:r>
        <w:rPr>
          <w:rFonts w:hint="eastAsia" w:ascii="宋体" w:hAnsi="Courier New" w:cs="Times New Roman"/>
          <w:bCs/>
          <w:kern w:val="2"/>
          <w:szCs w:val="20"/>
          <w:lang w:val="en-US" w:eastAsia="zh-CN"/>
        </w:rPr>
        <w:t>应急运维</w:t>
      </w:r>
      <w:r>
        <w:rPr>
          <w:rFonts w:hint="eastAsia" w:ascii="宋体" w:hAnsi="Courier New" w:eastAsia="宋体" w:cs="Times New Roman"/>
          <w:bCs/>
          <w:kern w:val="2"/>
          <w:szCs w:val="20"/>
        </w:rPr>
        <w:t>车辆，应急保障人员不少于</w:t>
      </w:r>
      <w:r>
        <w:rPr>
          <w:rFonts w:hint="eastAsia" w:ascii="宋体" w:hAnsi="Courier New" w:cs="Times New Roman"/>
          <w:bCs/>
          <w:kern w:val="2"/>
          <w:szCs w:val="20"/>
          <w:lang w:eastAsia="zh-CN"/>
        </w:rPr>
        <w:t>3</w:t>
      </w:r>
      <w:r>
        <w:rPr>
          <w:rFonts w:hint="eastAsia" w:ascii="宋体" w:hAnsi="Courier New" w:eastAsia="宋体" w:cs="Times New Roman"/>
          <w:bCs/>
          <w:kern w:val="2"/>
          <w:szCs w:val="20"/>
        </w:rPr>
        <w:t>名，人员分工满足应急保障服务要求。</w:t>
      </w:r>
    </w:p>
    <w:p>
      <w:pPr>
        <w:pStyle w:val="19"/>
        <w:adjustRightInd w:val="0"/>
        <w:snapToGrid w:val="0"/>
        <w:spacing w:line="400" w:lineRule="exact"/>
        <w:ind w:firstLine="420" w:firstLineChars="200"/>
        <w:rPr>
          <w:rFonts w:hAnsi="宋体"/>
          <w:color w:val="auto"/>
        </w:rPr>
      </w:pPr>
      <w:r>
        <w:rPr>
          <w:rFonts w:hint="eastAsia" w:hAnsi="宋体"/>
          <w:color w:val="auto"/>
        </w:rPr>
        <w:t>（</w:t>
      </w:r>
      <w:r>
        <w:rPr>
          <w:rFonts w:hint="eastAsia" w:hAnsi="宋体"/>
          <w:color w:val="auto"/>
          <w:lang w:val="en-US" w:eastAsia="zh-CN"/>
        </w:rPr>
        <w:t>2</w:t>
      </w:r>
      <w:r>
        <w:rPr>
          <w:rFonts w:hint="eastAsia" w:hAnsi="宋体"/>
          <w:color w:val="auto"/>
        </w:rPr>
        <w:t>）</w:t>
      </w:r>
      <w:r>
        <w:rPr>
          <w:rFonts w:hint="eastAsia"/>
          <w:b w:val="0"/>
          <w:bCs/>
        </w:rPr>
        <w:t>供应商具有ISO27001（信息安全管理体系）认证、ISO 14001（环境管理体系）认证、ISO 45001（</w:t>
      </w:r>
      <w:r>
        <w:rPr>
          <w:rFonts w:hint="eastAsia" w:hAnsi="Courier New"/>
          <w:b w:val="0"/>
          <w:bCs/>
        </w:rPr>
        <w:t>职业健康安全管理体系）认证、ISO 20000-1（信息技术服务管理体系）认证、ISO 9001（质量管理体系）认证</w:t>
      </w:r>
      <w:r>
        <w:rPr>
          <w:rFonts w:hint="eastAsia" w:hAnsi="宋体"/>
          <w:color w:val="auto"/>
        </w:rPr>
        <w:t>，每项得2分，满分</w:t>
      </w:r>
      <w:r>
        <w:rPr>
          <w:rFonts w:hint="eastAsia" w:hAnsi="宋体"/>
          <w:color w:val="auto"/>
          <w:lang w:val="en-US" w:eastAsia="zh-CN"/>
        </w:rPr>
        <w:t>10</w:t>
      </w:r>
      <w:r>
        <w:rPr>
          <w:rFonts w:hint="eastAsia" w:hAnsi="宋体"/>
          <w:color w:val="auto"/>
        </w:rPr>
        <w:t>分。（须在响应文件中提供证明复印件并加盖公章）</w:t>
      </w:r>
    </w:p>
    <w:p>
      <w:pPr>
        <w:pStyle w:val="19"/>
        <w:adjustRightInd w:val="0"/>
        <w:snapToGrid w:val="0"/>
        <w:spacing w:line="400" w:lineRule="exact"/>
        <w:ind w:firstLine="420" w:firstLineChars="200"/>
        <w:rPr>
          <w:rFonts w:hAnsi="宋体"/>
          <w:color w:val="auto"/>
        </w:rPr>
      </w:pPr>
      <w:r>
        <w:rPr>
          <w:rFonts w:hint="eastAsia" w:hAnsi="宋体"/>
          <w:color w:val="auto"/>
        </w:rPr>
        <w:t>（</w:t>
      </w:r>
      <w:r>
        <w:rPr>
          <w:rFonts w:hint="eastAsia" w:hAnsi="宋体"/>
          <w:color w:val="auto"/>
          <w:lang w:val="en-US" w:eastAsia="zh-CN"/>
        </w:rPr>
        <w:t>3</w:t>
      </w:r>
      <w:r>
        <w:rPr>
          <w:rFonts w:hint="eastAsia" w:hAnsi="宋体"/>
          <w:color w:val="auto"/>
        </w:rPr>
        <w:t>）供应商202</w:t>
      </w:r>
      <w:r>
        <w:rPr>
          <w:rFonts w:hint="eastAsia" w:hAnsi="宋体"/>
          <w:color w:val="auto"/>
          <w:lang w:val="en-US" w:eastAsia="zh-CN"/>
        </w:rPr>
        <w:t>1</w:t>
      </w:r>
      <w:r>
        <w:rPr>
          <w:rFonts w:hint="eastAsia" w:hAnsi="宋体"/>
          <w:color w:val="auto"/>
        </w:rPr>
        <w:t>年</w:t>
      </w:r>
      <w:r>
        <w:rPr>
          <w:rFonts w:hint="eastAsia" w:hAnsi="宋体"/>
          <w:color w:val="auto"/>
          <w:lang w:val="en-US" w:eastAsia="zh-CN"/>
        </w:rPr>
        <w:t>1</w:t>
      </w:r>
      <w:r>
        <w:rPr>
          <w:rFonts w:hint="eastAsia" w:hAnsi="宋体"/>
          <w:color w:val="auto"/>
        </w:rPr>
        <w:t>月1日以来同类服务的业绩（以中标/成交通知书或合同复印件为准），每提供1</w:t>
      </w:r>
      <w:r>
        <w:rPr>
          <w:rFonts w:hint="eastAsia" w:hAnsi="宋体"/>
          <w:color w:val="auto"/>
          <w:lang w:val="en-US" w:eastAsia="zh-CN"/>
        </w:rPr>
        <w:t>项</w:t>
      </w:r>
      <w:r>
        <w:rPr>
          <w:rFonts w:hint="eastAsia" w:hAnsi="宋体"/>
          <w:color w:val="auto"/>
        </w:rPr>
        <w:t>得</w:t>
      </w:r>
      <w:r>
        <w:rPr>
          <w:rFonts w:hint="eastAsia" w:hAnsi="宋体"/>
          <w:color w:val="auto"/>
          <w:lang w:val="en-US" w:eastAsia="zh-CN"/>
        </w:rPr>
        <w:t>2</w:t>
      </w:r>
      <w:r>
        <w:rPr>
          <w:rFonts w:hint="eastAsia" w:hAnsi="宋体"/>
          <w:color w:val="auto"/>
        </w:rPr>
        <w:t>分，满分</w:t>
      </w:r>
      <w:r>
        <w:rPr>
          <w:rFonts w:hint="eastAsia" w:hAnsi="宋体"/>
          <w:color w:val="auto"/>
          <w:lang w:val="en-US" w:eastAsia="zh-CN"/>
        </w:rPr>
        <w:t>6</w:t>
      </w:r>
      <w:r>
        <w:rPr>
          <w:rFonts w:hint="eastAsia" w:hAnsi="宋体"/>
          <w:color w:val="auto"/>
        </w:rPr>
        <w:t>分。</w:t>
      </w:r>
    </w:p>
    <w:p>
      <w:pPr>
        <w:ind w:firstLine="420" w:firstLineChars="200"/>
        <w:rPr>
          <w:rFonts w:hint="eastAsia" w:hAnsi="宋体"/>
          <w:color w:val="auto"/>
        </w:rPr>
      </w:pPr>
      <w:r>
        <w:rPr>
          <w:rFonts w:hint="eastAsia" w:ascii="宋体" w:hAnsi="宋体" w:eastAsia="宋体" w:cs="宋体"/>
          <w:color w:val="auto"/>
        </w:rPr>
        <w:t>（</w:t>
      </w:r>
      <w:r>
        <w:rPr>
          <w:rFonts w:hint="eastAsia" w:ascii="宋体" w:hAnsi="宋体" w:cs="宋体"/>
          <w:color w:val="auto"/>
          <w:lang w:val="en-US" w:eastAsia="zh-CN"/>
        </w:rPr>
        <w:t>4</w:t>
      </w:r>
      <w:r>
        <w:rPr>
          <w:rFonts w:hint="eastAsia" w:ascii="宋体" w:hAnsi="宋体" w:eastAsia="宋体" w:cs="宋体"/>
          <w:color w:val="auto"/>
        </w:rPr>
        <w:t>）</w:t>
      </w:r>
      <w:r>
        <w:rPr>
          <w:rFonts w:hint="eastAsia" w:hAnsi="宋体"/>
          <w:color w:val="auto"/>
        </w:rPr>
        <w:t>供应商获得GB/T27922-2011商品售后服务评价体系认证</w:t>
      </w:r>
      <w:r>
        <w:rPr>
          <w:rFonts w:hint="eastAsia" w:hAnsi="宋体"/>
          <w:color w:val="auto"/>
          <w:lang w:eastAsia="zh-CN"/>
        </w:rPr>
        <w:t>（</w:t>
      </w:r>
      <w:r>
        <w:rPr>
          <w:rFonts w:hint="eastAsia" w:hAnsi="宋体"/>
          <w:color w:val="auto"/>
        </w:rPr>
        <w:t>认证范围</w:t>
      </w:r>
      <w:r>
        <w:rPr>
          <w:rFonts w:hint="eastAsia" w:hAnsi="宋体"/>
          <w:color w:val="auto"/>
          <w:highlight w:val="none"/>
          <w:lang w:eastAsia="zh-CN"/>
        </w:rPr>
        <w:t>包含但不限</w:t>
      </w:r>
      <w:r>
        <w:rPr>
          <w:rFonts w:hint="eastAsia" w:hAnsi="宋体"/>
          <w:color w:val="auto"/>
        </w:rPr>
        <w:t>：提供电信业务（资质许可范围内）</w:t>
      </w:r>
      <w:r>
        <w:rPr>
          <w:rFonts w:hint="eastAsia" w:hAnsi="宋体"/>
          <w:color w:val="auto"/>
          <w:lang w:eastAsia="zh-CN"/>
        </w:rPr>
        <w:t>）</w:t>
      </w:r>
      <w:r>
        <w:rPr>
          <w:rFonts w:hint="eastAsia" w:hAnsi="宋体"/>
          <w:color w:val="auto"/>
        </w:rPr>
        <w:t>；满分</w:t>
      </w:r>
      <w:r>
        <w:rPr>
          <w:rFonts w:hint="eastAsia" w:hAnsi="宋体"/>
          <w:color w:val="auto"/>
          <w:lang w:val="en-US" w:eastAsia="zh-CN"/>
        </w:rPr>
        <w:t>4</w:t>
      </w:r>
      <w:r>
        <w:rPr>
          <w:rFonts w:hint="eastAsia" w:hAnsi="宋体"/>
          <w:color w:val="auto"/>
        </w:rPr>
        <w:t>分（提供相关有效证书复印件并加盖磋商人公章）。</w:t>
      </w:r>
    </w:p>
    <w:p>
      <w:pPr>
        <w:ind w:firstLine="420" w:firstLineChars="200"/>
        <w:rPr>
          <w:rFonts w:hint="eastAsia" w:hAnsi="宋体"/>
          <w:color w:val="auto"/>
        </w:rPr>
      </w:pPr>
    </w:p>
    <w:p>
      <w:pPr>
        <w:rPr>
          <w:rFonts w:hint="eastAsia" w:ascii="宋体" w:hAnsi="Courier New" w:eastAsia="宋体"/>
          <w:b/>
          <w:color w:val="auto"/>
          <w:szCs w:val="20"/>
          <w:lang w:eastAsia="zh-CN"/>
        </w:rPr>
      </w:pPr>
      <w:r>
        <w:rPr>
          <w:rFonts w:hint="eastAsia" w:ascii="宋体" w:hAnsi="Courier New"/>
          <w:b/>
          <w:color w:val="auto"/>
          <w:szCs w:val="20"/>
        </w:rPr>
        <w:t xml:space="preserve">   </w:t>
      </w:r>
      <w:r>
        <w:rPr>
          <w:rFonts w:hint="eastAsia"/>
          <w:bCs/>
          <w:color w:val="auto"/>
        </w:rPr>
        <w:t xml:space="preserve"> （三）总得分＝1+2+3</w:t>
      </w:r>
      <w:r>
        <w:rPr>
          <w:rFonts w:hint="eastAsia"/>
          <w:bCs/>
          <w:color w:val="auto"/>
          <w:lang w:eastAsia="zh-CN"/>
        </w:rPr>
        <w:t>。</w:t>
      </w:r>
    </w:p>
    <w:p>
      <w:pPr>
        <w:spacing w:line="360" w:lineRule="auto"/>
        <w:ind w:firstLine="630" w:firstLineChars="300"/>
        <w:rPr>
          <w:rFonts w:ascii="宋体" w:hAnsi="宋体" w:cs="宋体"/>
          <w:bCs/>
          <w:color w:val="auto"/>
          <w:kern w:val="0"/>
          <w:szCs w:val="24"/>
        </w:rPr>
      </w:pPr>
      <w:r>
        <w:rPr>
          <w:rFonts w:hint="eastAsia" w:ascii="宋体" w:hAnsi="宋体" w:cs="宋体"/>
          <w:bCs/>
          <w:color w:val="auto"/>
          <w:kern w:val="0"/>
          <w:szCs w:val="24"/>
        </w:rPr>
        <w:t>三、成交候选人推荐原则</w:t>
      </w:r>
    </w:p>
    <w:p>
      <w:pPr>
        <w:spacing w:line="360" w:lineRule="auto"/>
        <w:ind w:firstLine="420" w:firstLineChars="200"/>
        <w:rPr>
          <w:rFonts w:ascii="宋体" w:hAnsi="宋体" w:cs="宋体"/>
          <w:bCs/>
          <w:kern w:val="0"/>
          <w:szCs w:val="24"/>
        </w:rPr>
      </w:pPr>
      <w:r>
        <w:rPr>
          <w:rFonts w:hint="eastAsia" w:ascii="宋体" w:hAnsi="宋体" w:cs="宋体"/>
          <w:bCs/>
          <w:kern w:val="0"/>
          <w:szCs w:val="24"/>
        </w:rPr>
        <w:t>（一）竞争性磋商响应文件在质量和服务均能满足竞争性磋商文件实质性响应要求时，磋商小组将根据得分由高到低排列次序（得分相同时，以最后报价由低到高顺序排列；得分相同且最后报价相同的，按服务方案优劣顺序排列）并推荐成交候选人。</w:t>
      </w:r>
    </w:p>
    <w:p>
      <w:pPr>
        <w:spacing w:line="360" w:lineRule="auto"/>
        <w:ind w:firstLine="420" w:firstLineChars="200"/>
        <w:rPr>
          <w:rFonts w:ascii="宋体" w:hAnsi="宋体" w:cs="宋体"/>
          <w:bCs/>
          <w:kern w:val="0"/>
          <w:szCs w:val="24"/>
        </w:rPr>
      </w:pPr>
      <w:r>
        <w:rPr>
          <w:rFonts w:hint="eastAsia" w:ascii="宋体" w:hAnsi="宋体" w:cs="宋体"/>
          <w:bCs/>
          <w:kern w:val="0"/>
          <w:szCs w:val="24"/>
        </w:rPr>
        <w:t>采购单位应当确定磋商小组推荐排名第一的成交候选人为成交人。排名第一的成交候选人放弃成交、因不可抗力提出不能履行协议的，或者竞争性磋商文件规定应当提交质量保证金而在规定的期限内未能提交的，采购单位可以确定排名第二的成交候人为成交人，其余以此类推。</w:t>
      </w:r>
    </w:p>
    <w:p>
      <w:pPr>
        <w:spacing w:line="360" w:lineRule="auto"/>
        <w:ind w:firstLine="420" w:firstLineChars="200"/>
        <w:rPr>
          <w:rFonts w:ascii="宋体" w:hAnsi="宋体" w:cs="宋体"/>
          <w:bCs/>
          <w:kern w:val="0"/>
          <w:szCs w:val="24"/>
        </w:rPr>
      </w:pPr>
      <w:r>
        <w:rPr>
          <w:rFonts w:hint="eastAsia" w:ascii="宋体" w:hAnsi="宋体" w:cs="宋体"/>
          <w:bCs/>
          <w:kern w:val="0"/>
          <w:szCs w:val="24"/>
        </w:rPr>
        <w:t>（二）磋商小组认为磋商供应商的报价明显低于其他满足磋商文件实质性响应要求供应商的报价，有可能影响产品质量或者不能诚信履约的，应当要求其在磋商现场合理的时间内提供书面说明，必要时提交相关证明材料；磋商供应商不能证明其报价合理性的，磋商小组将不推荐该磋商供应商为成交候选供应商。</w:t>
      </w:r>
    </w:p>
    <w:p>
      <w:pPr>
        <w:spacing w:line="360" w:lineRule="auto"/>
        <w:rPr>
          <w:rFonts w:ascii="宋体" w:hAnsi="宋体" w:cs="宋体"/>
          <w:bCs/>
          <w:kern w:val="0"/>
          <w:szCs w:val="24"/>
        </w:rPr>
      </w:pPr>
    </w:p>
    <w:sectPr>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13</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M6pebnPAAAABQEAAA8AAAAAAAAAAQAgAAAAOAAAAGRycy9kb3ducmV2LnhtbFBLAQIUABQAAAAI&#10;AIdO4kBCJLV/pwEAAD8DAAAOAAAAAAAAAAEAIAAAADQBAABkcnMvZTJvRG9jLnhtbFBLBQYAAAAA&#10;BgAGAFkBAABNBQ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M6pebnPAAAABQEAAA8AAAAAAAAAAQAgAAAAOAAAAGRycy9kb3ducmV2LnhtbFBLAQIUABQAAAAI&#10;AIdO4kDHYz7RpwEAAD8DAAAOAAAAAAAAAAEAIAAAADQBAABkcnMvZTJvRG9jLnhtbFBLBQYAAAAA&#10;BgAGAFkBAABNBQ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t xml:space="preserve">                    </w:t>
    </w:r>
    <w:r>
      <w:rPr>
        <w:rFonts w:hint="eastAsia"/>
      </w:rPr>
      <w:t xml:space="preserve">        </w:t>
    </w:r>
    <w:r>
      <w:rPr>
        <w:lang w:val="en"/>
      </w:rPr>
      <w:t xml:space="preserve"> </w:t>
    </w:r>
    <w:r>
      <w:rPr>
        <w:rFonts w:hint="eastAsia"/>
        <w:lang w:val="en"/>
      </w:rPr>
      <w:t>广西农业职业技术大学网络线路租赁服务采购</w:t>
    </w:r>
    <w:r>
      <w:rPr>
        <w:rFonts w:hint="eastAsia" w:cs="宋体"/>
      </w:rPr>
      <w:t>（</w:t>
    </w:r>
    <w:r>
      <w:rPr>
        <w:rFonts w:hint="eastAsia" w:ascii="微软雅黑" w:hAnsi="微软雅黑" w:eastAsia="微软雅黑"/>
        <w:color w:val="606060"/>
        <w:shd w:val="clear" w:color="auto" w:fill="FFFFFF"/>
        <w:lang w:val="en"/>
      </w:rPr>
      <w:t>GXZC2025-C3-00</w:t>
    </w:r>
    <w:r>
      <w:rPr>
        <w:rFonts w:hint="eastAsia" w:ascii="微软雅黑" w:hAnsi="微软雅黑" w:eastAsia="微软雅黑"/>
        <w:color w:val="606060"/>
        <w:shd w:val="clear" w:color="auto" w:fill="FFFFFF"/>
        <w:lang w:val="en-US" w:eastAsia="zh-CN"/>
      </w:rPr>
      <w:t>3517</w:t>
    </w:r>
    <w:r>
      <w:rPr>
        <w:rFonts w:hint="eastAsia" w:ascii="微软雅黑" w:hAnsi="微软雅黑" w:eastAsia="微软雅黑"/>
        <w:color w:val="606060"/>
        <w:shd w:val="clear" w:color="auto" w:fill="FFFFFF"/>
        <w:lang w:val="en"/>
      </w:rPr>
      <w:t>-CGZX</w:t>
    </w:r>
    <w:r>
      <w:rPr>
        <w:rFonts w:hint="eastAsia" w:cs="宋体"/>
      </w:rPr>
      <w:t>）</w: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wYTkyNTFkZjMwYzgzYTYyOGRlMzRlNWU1ZWVhYjcifQ=="/>
  </w:docVars>
  <w:rsids>
    <w:rsidRoot w:val="00172A27"/>
    <w:rsid w:val="00002E71"/>
    <w:rsid w:val="000046A2"/>
    <w:rsid w:val="00005AA5"/>
    <w:rsid w:val="00007BFC"/>
    <w:rsid w:val="00011411"/>
    <w:rsid w:val="00012946"/>
    <w:rsid w:val="000174B3"/>
    <w:rsid w:val="00021965"/>
    <w:rsid w:val="00022BF8"/>
    <w:rsid w:val="00022E20"/>
    <w:rsid w:val="000238B7"/>
    <w:rsid w:val="000335C0"/>
    <w:rsid w:val="00036169"/>
    <w:rsid w:val="00040014"/>
    <w:rsid w:val="0004257D"/>
    <w:rsid w:val="00043A5B"/>
    <w:rsid w:val="000443CD"/>
    <w:rsid w:val="000504BF"/>
    <w:rsid w:val="00052913"/>
    <w:rsid w:val="00056980"/>
    <w:rsid w:val="00057909"/>
    <w:rsid w:val="000600EB"/>
    <w:rsid w:val="00063A55"/>
    <w:rsid w:val="000662BF"/>
    <w:rsid w:val="00071D78"/>
    <w:rsid w:val="00072D28"/>
    <w:rsid w:val="000737A1"/>
    <w:rsid w:val="000742A7"/>
    <w:rsid w:val="0007467E"/>
    <w:rsid w:val="00076279"/>
    <w:rsid w:val="00076888"/>
    <w:rsid w:val="0007754A"/>
    <w:rsid w:val="00080EF3"/>
    <w:rsid w:val="000831CF"/>
    <w:rsid w:val="0008733C"/>
    <w:rsid w:val="00091754"/>
    <w:rsid w:val="00095139"/>
    <w:rsid w:val="00095981"/>
    <w:rsid w:val="0009678C"/>
    <w:rsid w:val="000973DB"/>
    <w:rsid w:val="000A05F5"/>
    <w:rsid w:val="000A4CEB"/>
    <w:rsid w:val="000A7AC0"/>
    <w:rsid w:val="000B3B7D"/>
    <w:rsid w:val="000B3FC6"/>
    <w:rsid w:val="000B45BB"/>
    <w:rsid w:val="000B516B"/>
    <w:rsid w:val="000C5480"/>
    <w:rsid w:val="000C5C7B"/>
    <w:rsid w:val="000C73DD"/>
    <w:rsid w:val="000D255B"/>
    <w:rsid w:val="000D2922"/>
    <w:rsid w:val="000D293A"/>
    <w:rsid w:val="000D297B"/>
    <w:rsid w:val="000D31CC"/>
    <w:rsid w:val="000D6F6A"/>
    <w:rsid w:val="000D70B6"/>
    <w:rsid w:val="000E25E3"/>
    <w:rsid w:val="000E3817"/>
    <w:rsid w:val="000E458B"/>
    <w:rsid w:val="000E4EB9"/>
    <w:rsid w:val="000E5E32"/>
    <w:rsid w:val="000E7AE6"/>
    <w:rsid w:val="000F53B3"/>
    <w:rsid w:val="000F6A68"/>
    <w:rsid w:val="000F6CC3"/>
    <w:rsid w:val="00104185"/>
    <w:rsid w:val="0010436B"/>
    <w:rsid w:val="00105CDE"/>
    <w:rsid w:val="0010780D"/>
    <w:rsid w:val="0011370E"/>
    <w:rsid w:val="0011550C"/>
    <w:rsid w:val="00117751"/>
    <w:rsid w:val="00120D77"/>
    <w:rsid w:val="00124679"/>
    <w:rsid w:val="001255FC"/>
    <w:rsid w:val="00126896"/>
    <w:rsid w:val="00127186"/>
    <w:rsid w:val="001301BD"/>
    <w:rsid w:val="00136C7C"/>
    <w:rsid w:val="001371AC"/>
    <w:rsid w:val="00137466"/>
    <w:rsid w:val="0013772D"/>
    <w:rsid w:val="00141D29"/>
    <w:rsid w:val="00143156"/>
    <w:rsid w:val="001441F2"/>
    <w:rsid w:val="00145FA2"/>
    <w:rsid w:val="0014681C"/>
    <w:rsid w:val="00150DAA"/>
    <w:rsid w:val="00152000"/>
    <w:rsid w:val="0015259B"/>
    <w:rsid w:val="0015263B"/>
    <w:rsid w:val="00155069"/>
    <w:rsid w:val="00155C97"/>
    <w:rsid w:val="00161BE7"/>
    <w:rsid w:val="00163A78"/>
    <w:rsid w:val="00163FB1"/>
    <w:rsid w:val="00166C7F"/>
    <w:rsid w:val="00172A27"/>
    <w:rsid w:val="00172A4B"/>
    <w:rsid w:val="0017496E"/>
    <w:rsid w:val="00175A9F"/>
    <w:rsid w:val="001772AA"/>
    <w:rsid w:val="00182BF5"/>
    <w:rsid w:val="00183B50"/>
    <w:rsid w:val="00185FA2"/>
    <w:rsid w:val="001879C7"/>
    <w:rsid w:val="001931FF"/>
    <w:rsid w:val="00193AB3"/>
    <w:rsid w:val="0019445C"/>
    <w:rsid w:val="001A05B5"/>
    <w:rsid w:val="001A6CF3"/>
    <w:rsid w:val="001B225C"/>
    <w:rsid w:val="001B50EE"/>
    <w:rsid w:val="001C1E35"/>
    <w:rsid w:val="001C3F8D"/>
    <w:rsid w:val="001C5E21"/>
    <w:rsid w:val="001C6DBD"/>
    <w:rsid w:val="001C7ACD"/>
    <w:rsid w:val="001C7DC3"/>
    <w:rsid w:val="001D0385"/>
    <w:rsid w:val="001D23DF"/>
    <w:rsid w:val="001D48BA"/>
    <w:rsid w:val="001D4BA2"/>
    <w:rsid w:val="001D688C"/>
    <w:rsid w:val="001E2371"/>
    <w:rsid w:val="001E3149"/>
    <w:rsid w:val="001E3B85"/>
    <w:rsid w:val="001E4D11"/>
    <w:rsid w:val="001E71BF"/>
    <w:rsid w:val="001E7D16"/>
    <w:rsid w:val="001E7D78"/>
    <w:rsid w:val="001F21D1"/>
    <w:rsid w:val="001F5AC0"/>
    <w:rsid w:val="001F7D43"/>
    <w:rsid w:val="0020177D"/>
    <w:rsid w:val="0020263D"/>
    <w:rsid w:val="002031B0"/>
    <w:rsid w:val="00210A63"/>
    <w:rsid w:val="00211875"/>
    <w:rsid w:val="00211B2A"/>
    <w:rsid w:val="002124A3"/>
    <w:rsid w:val="002127BE"/>
    <w:rsid w:val="0021485C"/>
    <w:rsid w:val="00216A53"/>
    <w:rsid w:val="00222278"/>
    <w:rsid w:val="002256A8"/>
    <w:rsid w:val="0023431F"/>
    <w:rsid w:val="002363C1"/>
    <w:rsid w:val="00237502"/>
    <w:rsid w:val="002409B1"/>
    <w:rsid w:val="002429F4"/>
    <w:rsid w:val="00242EC4"/>
    <w:rsid w:val="00244BA5"/>
    <w:rsid w:val="0024610D"/>
    <w:rsid w:val="00252A4D"/>
    <w:rsid w:val="00253740"/>
    <w:rsid w:val="00254982"/>
    <w:rsid w:val="00254D99"/>
    <w:rsid w:val="00255249"/>
    <w:rsid w:val="00261853"/>
    <w:rsid w:val="002634EC"/>
    <w:rsid w:val="00264507"/>
    <w:rsid w:val="00266AB5"/>
    <w:rsid w:val="00267F69"/>
    <w:rsid w:val="002715D1"/>
    <w:rsid w:val="00281E06"/>
    <w:rsid w:val="002829AB"/>
    <w:rsid w:val="00283A5F"/>
    <w:rsid w:val="00286AF4"/>
    <w:rsid w:val="00291A45"/>
    <w:rsid w:val="00295500"/>
    <w:rsid w:val="002A26D3"/>
    <w:rsid w:val="002A3883"/>
    <w:rsid w:val="002A5705"/>
    <w:rsid w:val="002A6591"/>
    <w:rsid w:val="002A67E2"/>
    <w:rsid w:val="002B18D9"/>
    <w:rsid w:val="002B1FB3"/>
    <w:rsid w:val="002B5779"/>
    <w:rsid w:val="002B5DCA"/>
    <w:rsid w:val="002B7247"/>
    <w:rsid w:val="002C2580"/>
    <w:rsid w:val="002C6A8A"/>
    <w:rsid w:val="002D0025"/>
    <w:rsid w:val="002D3A71"/>
    <w:rsid w:val="002D4AFB"/>
    <w:rsid w:val="002D6A5C"/>
    <w:rsid w:val="002D71AF"/>
    <w:rsid w:val="002E0D71"/>
    <w:rsid w:val="002E3662"/>
    <w:rsid w:val="002E3FA9"/>
    <w:rsid w:val="002F1234"/>
    <w:rsid w:val="002F2F37"/>
    <w:rsid w:val="002F49B5"/>
    <w:rsid w:val="002F53DB"/>
    <w:rsid w:val="002F604D"/>
    <w:rsid w:val="002F6BFD"/>
    <w:rsid w:val="0030282F"/>
    <w:rsid w:val="003029FA"/>
    <w:rsid w:val="00304F54"/>
    <w:rsid w:val="00304F96"/>
    <w:rsid w:val="00305512"/>
    <w:rsid w:val="003059E0"/>
    <w:rsid w:val="00305E35"/>
    <w:rsid w:val="00305E98"/>
    <w:rsid w:val="00307252"/>
    <w:rsid w:val="0031085E"/>
    <w:rsid w:val="00310DF4"/>
    <w:rsid w:val="00312720"/>
    <w:rsid w:val="0032125A"/>
    <w:rsid w:val="00322DC2"/>
    <w:rsid w:val="00323260"/>
    <w:rsid w:val="00323B80"/>
    <w:rsid w:val="00325E58"/>
    <w:rsid w:val="00327AE5"/>
    <w:rsid w:val="003333F8"/>
    <w:rsid w:val="00333684"/>
    <w:rsid w:val="00333E7B"/>
    <w:rsid w:val="003346F5"/>
    <w:rsid w:val="003409A4"/>
    <w:rsid w:val="00344FB8"/>
    <w:rsid w:val="00347CDE"/>
    <w:rsid w:val="0035047D"/>
    <w:rsid w:val="0035202F"/>
    <w:rsid w:val="003543D2"/>
    <w:rsid w:val="003604B9"/>
    <w:rsid w:val="00360F70"/>
    <w:rsid w:val="00364BC9"/>
    <w:rsid w:val="0036578D"/>
    <w:rsid w:val="00367108"/>
    <w:rsid w:val="00370296"/>
    <w:rsid w:val="00371F8B"/>
    <w:rsid w:val="00375DED"/>
    <w:rsid w:val="00377479"/>
    <w:rsid w:val="00383B4C"/>
    <w:rsid w:val="0038491F"/>
    <w:rsid w:val="00386789"/>
    <w:rsid w:val="00392BBC"/>
    <w:rsid w:val="00394761"/>
    <w:rsid w:val="0039646B"/>
    <w:rsid w:val="003A0833"/>
    <w:rsid w:val="003A41EA"/>
    <w:rsid w:val="003A619F"/>
    <w:rsid w:val="003A68FA"/>
    <w:rsid w:val="003B7BD9"/>
    <w:rsid w:val="003C0370"/>
    <w:rsid w:val="003C2888"/>
    <w:rsid w:val="003C2916"/>
    <w:rsid w:val="003C2DD7"/>
    <w:rsid w:val="003C304C"/>
    <w:rsid w:val="003C3555"/>
    <w:rsid w:val="003C3D6F"/>
    <w:rsid w:val="003C739E"/>
    <w:rsid w:val="003C7C88"/>
    <w:rsid w:val="003D0570"/>
    <w:rsid w:val="003D14A0"/>
    <w:rsid w:val="003D1C72"/>
    <w:rsid w:val="003D1E3A"/>
    <w:rsid w:val="003D683C"/>
    <w:rsid w:val="003E1802"/>
    <w:rsid w:val="003E55A5"/>
    <w:rsid w:val="003E787D"/>
    <w:rsid w:val="003F1E77"/>
    <w:rsid w:val="003F3A0F"/>
    <w:rsid w:val="003F4D7A"/>
    <w:rsid w:val="003F50FF"/>
    <w:rsid w:val="003F66C8"/>
    <w:rsid w:val="00401872"/>
    <w:rsid w:val="00401D7F"/>
    <w:rsid w:val="004023F4"/>
    <w:rsid w:val="00411067"/>
    <w:rsid w:val="00417AB2"/>
    <w:rsid w:val="004205B2"/>
    <w:rsid w:val="004214F5"/>
    <w:rsid w:val="004220B8"/>
    <w:rsid w:val="00422C6A"/>
    <w:rsid w:val="004303D6"/>
    <w:rsid w:val="00430C90"/>
    <w:rsid w:val="004340F6"/>
    <w:rsid w:val="00435EDC"/>
    <w:rsid w:val="0043740D"/>
    <w:rsid w:val="00447472"/>
    <w:rsid w:val="004516E9"/>
    <w:rsid w:val="00451EF3"/>
    <w:rsid w:val="0045278F"/>
    <w:rsid w:val="00455345"/>
    <w:rsid w:val="00455B68"/>
    <w:rsid w:val="00460134"/>
    <w:rsid w:val="004602C0"/>
    <w:rsid w:val="00464BAB"/>
    <w:rsid w:val="00477C37"/>
    <w:rsid w:val="0048166A"/>
    <w:rsid w:val="00481942"/>
    <w:rsid w:val="00482D2C"/>
    <w:rsid w:val="0048402E"/>
    <w:rsid w:val="0048466E"/>
    <w:rsid w:val="00484A7E"/>
    <w:rsid w:val="00486544"/>
    <w:rsid w:val="0048753E"/>
    <w:rsid w:val="00490D0D"/>
    <w:rsid w:val="004A0DC2"/>
    <w:rsid w:val="004B00F7"/>
    <w:rsid w:val="004B0795"/>
    <w:rsid w:val="004B099C"/>
    <w:rsid w:val="004B4466"/>
    <w:rsid w:val="004B5DC2"/>
    <w:rsid w:val="004C16F6"/>
    <w:rsid w:val="004C5025"/>
    <w:rsid w:val="004C7826"/>
    <w:rsid w:val="004D2A14"/>
    <w:rsid w:val="004D3C50"/>
    <w:rsid w:val="004D3EDA"/>
    <w:rsid w:val="004E138E"/>
    <w:rsid w:val="004E281E"/>
    <w:rsid w:val="004E28B4"/>
    <w:rsid w:val="004E62E4"/>
    <w:rsid w:val="004F2AA1"/>
    <w:rsid w:val="004F2DCC"/>
    <w:rsid w:val="004F34D1"/>
    <w:rsid w:val="004F78C9"/>
    <w:rsid w:val="0050404E"/>
    <w:rsid w:val="00507283"/>
    <w:rsid w:val="00510AEF"/>
    <w:rsid w:val="00513251"/>
    <w:rsid w:val="005167F9"/>
    <w:rsid w:val="0052344F"/>
    <w:rsid w:val="005253BB"/>
    <w:rsid w:val="00526165"/>
    <w:rsid w:val="0052646A"/>
    <w:rsid w:val="00531B25"/>
    <w:rsid w:val="0054049D"/>
    <w:rsid w:val="00542A72"/>
    <w:rsid w:val="0054323C"/>
    <w:rsid w:val="00545ADF"/>
    <w:rsid w:val="00550718"/>
    <w:rsid w:val="005510DD"/>
    <w:rsid w:val="005536A3"/>
    <w:rsid w:val="00553E34"/>
    <w:rsid w:val="00554497"/>
    <w:rsid w:val="00561E67"/>
    <w:rsid w:val="0056424E"/>
    <w:rsid w:val="00565001"/>
    <w:rsid w:val="00565E1C"/>
    <w:rsid w:val="00566B16"/>
    <w:rsid w:val="0057278A"/>
    <w:rsid w:val="00574CCA"/>
    <w:rsid w:val="00576B72"/>
    <w:rsid w:val="00580B33"/>
    <w:rsid w:val="00582939"/>
    <w:rsid w:val="00582F57"/>
    <w:rsid w:val="00584E1F"/>
    <w:rsid w:val="005A0524"/>
    <w:rsid w:val="005A38C9"/>
    <w:rsid w:val="005A70CD"/>
    <w:rsid w:val="005B2751"/>
    <w:rsid w:val="005B2B1E"/>
    <w:rsid w:val="005C00C7"/>
    <w:rsid w:val="005C2DD3"/>
    <w:rsid w:val="005C4904"/>
    <w:rsid w:val="005C62EE"/>
    <w:rsid w:val="005D1E46"/>
    <w:rsid w:val="005D289E"/>
    <w:rsid w:val="005D4BF6"/>
    <w:rsid w:val="005D66B8"/>
    <w:rsid w:val="005E451F"/>
    <w:rsid w:val="005F442C"/>
    <w:rsid w:val="00607087"/>
    <w:rsid w:val="006120C9"/>
    <w:rsid w:val="00616B1F"/>
    <w:rsid w:val="00621F9B"/>
    <w:rsid w:val="00623E61"/>
    <w:rsid w:val="00626465"/>
    <w:rsid w:val="00631A51"/>
    <w:rsid w:val="0063588F"/>
    <w:rsid w:val="00635994"/>
    <w:rsid w:val="00637B39"/>
    <w:rsid w:val="00637C81"/>
    <w:rsid w:val="00644E84"/>
    <w:rsid w:val="006451A1"/>
    <w:rsid w:val="00647615"/>
    <w:rsid w:val="00652076"/>
    <w:rsid w:val="00655872"/>
    <w:rsid w:val="0065769E"/>
    <w:rsid w:val="00660B76"/>
    <w:rsid w:val="00661310"/>
    <w:rsid w:val="00662755"/>
    <w:rsid w:val="00663E22"/>
    <w:rsid w:val="00676566"/>
    <w:rsid w:val="00676EE0"/>
    <w:rsid w:val="006801F7"/>
    <w:rsid w:val="0068404A"/>
    <w:rsid w:val="006903C5"/>
    <w:rsid w:val="00691874"/>
    <w:rsid w:val="006963B8"/>
    <w:rsid w:val="006A02A8"/>
    <w:rsid w:val="006A1FA8"/>
    <w:rsid w:val="006A51A2"/>
    <w:rsid w:val="006A6383"/>
    <w:rsid w:val="006B2C0C"/>
    <w:rsid w:val="006B3592"/>
    <w:rsid w:val="006B6507"/>
    <w:rsid w:val="006C01D7"/>
    <w:rsid w:val="006C3D78"/>
    <w:rsid w:val="006C62C6"/>
    <w:rsid w:val="006C7624"/>
    <w:rsid w:val="006D0E89"/>
    <w:rsid w:val="006D4489"/>
    <w:rsid w:val="006E0FBC"/>
    <w:rsid w:val="006E2595"/>
    <w:rsid w:val="006E6A3D"/>
    <w:rsid w:val="006E7329"/>
    <w:rsid w:val="006F0525"/>
    <w:rsid w:val="006F1B04"/>
    <w:rsid w:val="006F3D6E"/>
    <w:rsid w:val="006F45D7"/>
    <w:rsid w:val="007011F6"/>
    <w:rsid w:val="0070620C"/>
    <w:rsid w:val="00707397"/>
    <w:rsid w:val="00710BD0"/>
    <w:rsid w:val="007114DE"/>
    <w:rsid w:val="00714F9F"/>
    <w:rsid w:val="00715690"/>
    <w:rsid w:val="0072404B"/>
    <w:rsid w:val="00726FB1"/>
    <w:rsid w:val="0073541D"/>
    <w:rsid w:val="0073672A"/>
    <w:rsid w:val="00742F52"/>
    <w:rsid w:val="00743BBE"/>
    <w:rsid w:val="007453AF"/>
    <w:rsid w:val="00745913"/>
    <w:rsid w:val="0074654E"/>
    <w:rsid w:val="00747A03"/>
    <w:rsid w:val="007500DF"/>
    <w:rsid w:val="00751881"/>
    <w:rsid w:val="0075603E"/>
    <w:rsid w:val="00756C0E"/>
    <w:rsid w:val="00760617"/>
    <w:rsid w:val="00765117"/>
    <w:rsid w:val="00770898"/>
    <w:rsid w:val="00770A2A"/>
    <w:rsid w:val="00770FED"/>
    <w:rsid w:val="00773067"/>
    <w:rsid w:val="007733FE"/>
    <w:rsid w:val="00774B1C"/>
    <w:rsid w:val="00782861"/>
    <w:rsid w:val="007832B5"/>
    <w:rsid w:val="00786082"/>
    <w:rsid w:val="00786B01"/>
    <w:rsid w:val="00790535"/>
    <w:rsid w:val="00790563"/>
    <w:rsid w:val="00797707"/>
    <w:rsid w:val="00797B1C"/>
    <w:rsid w:val="007A6069"/>
    <w:rsid w:val="007A6480"/>
    <w:rsid w:val="007A6EE1"/>
    <w:rsid w:val="007B06B4"/>
    <w:rsid w:val="007B0A6A"/>
    <w:rsid w:val="007B33EA"/>
    <w:rsid w:val="007B44CA"/>
    <w:rsid w:val="007C1898"/>
    <w:rsid w:val="007C4425"/>
    <w:rsid w:val="007C443E"/>
    <w:rsid w:val="007D26AA"/>
    <w:rsid w:val="007D3245"/>
    <w:rsid w:val="007D4FDA"/>
    <w:rsid w:val="007D5166"/>
    <w:rsid w:val="007D593D"/>
    <w:rsid w:val="007D5CF1"/>
    <w:rsid w:val="007D6F21"/>
    <w:rsid w:val="007E029D"/>
    <w:rsid w:val="007E0703"/>
    <w:rsid w:val="007E1AE9"/>
    <w:rsid w:val="007E1E0A"/>
    <w:rsid w:val="007E1EB2"/>
    <w:rsid w:val="007E4654"/>
    <w:rsid w:val="007E5114"/>
    <w:rsid w:val="007F0B8C"/>
    <w:rsid w:val="007F4549"/>
    <w:rsid w:val="00803F21"/>
    <w:rsid w:val="008058F1"/>
    <w:rsid w:val="0080673A"/>
    <w:rsid w:val="00810196"/>
    <w:rsid w:val="008103C5"/>
    <w:rsid w:val="00812C89"/>
    <w:rsid w:val="00813512"/>
    <w:rsid w:val="008145A8"/>
    <w:rsid w:val="00814601"/>
    <w:rsid w:val="008206DF"/>
    <w:rsid w:val="00820EBF"/>
    <w:rsid w:val="00821781"/>
    <w:rsid w:val="0082597C"/>
    <w:rsid w:val="00830092"/>
    <w:rsid w:val="008355A9"/>
    <w:rsid w:val="008372E0"/>
    <w:rsid w:val="00837905"/>
    <w:rsid w:val="008429CE"/>
    <w:rsid w:val="0084501B"/>
    <w:rsid w:val="0084596D"/>
    <w:rsid w:val="00846123"/>
    <w:rsid w:val="00851360"/>
    <w:rsid w:val="008563A7"/>
    <w:rsid w:val="00856C1A"/>
    <w:rsid w:val="00857CD1"/>
    <w:rsid w:val="00857D21"/>
    <w:rsid w:val="0086002E"/>
    <w:rsid w:val="00861DDB"/>
    <w:rsid w:val="0086319E"/>
    <w:rsid w:val="008658BF"/>
    <w:rsid w:val="00867849"/>
    <w:rsid w:val="00867879"/>
    <w:rsid w:val="00867BD6"/>
    <w:rsid w:val="00870B47"/>
    <w:rsid w:val="00874464"/>
    <w:rsid w:val="008802BB"/>
    <w:rsid w:val="00886548"/>
    <w:rsid w:val="008866B4"/>
    <w:rsid w:val="00891D4A"/>
    <w:rsid w:val="008925A3"/>
    <w:rsid w:val="0089403C"/>
    <w:rsid w:val="00894EF2"/>
    <w:rsid w:val="00896E00"/>
    <w:rsid w:val="008A2EC1"/>
    <w:rsid w:val="008A3822"/>
    <w:rsid w:val="008A57DC"/>
    <w:rsid w:val="008A62C0"/>
    <w:rsid w:val="008A764A"/>
    <w:rsid w:val="008B254C"/>
    <w:rsid w:val="008B28F3"/>
    <w:rsid w:val="008B2B53"/>
    <w:rsid w:val="008B2F51"/>
    <w:rsid w:val="008B3DA5"/>
    <w:rsid w:val="008B751B"/>
    <w:rsid w:val="008C03FB"/>
    <w:rsid w:val="008C05E8"/>
    <w:rsid w:val="008C1F29"/>
    <w:rsid w:val="008C4436"/>
    <w:rsid w:val="008C6CE5"/>
    <w:rsid w:val="008C728E"/>
    <w:rsid w:val="008D09F9"/>
    <w:rsid w:val="008E3F4F"/>
    <w:rsid w:val="008E6228"/>
    <w:rsid w:val="008E72C7"/>
    <w:rsid w:val="008E7E97"/>
    <w:rsid w:val="008F1F0E"/>
    <w:rsid w:val="008F4162"/>
    <w:rsid w:val="008F7C8D"/>
    <w:rsid w:val="00903BC2"/>
    <w:rsid w:val="009046CB"/>
    <w:rsid w:val="00906673"/>
    <w:rsid w:val="00907581"/>
    <w:rsid w:val="00907F0E"/>
    <w:rsid w:val="00910112"/>
    <w:rsid w:val="009106F8"/>
    <w:rsid w:val="00912077"/>
    <w:rsid w:val="009132F0"/>
    <w:rsid w:val="00917B21"/>
    <w:rsid w:val="009222B9"/>
    <w:rsid w:val="0092368B"/>
    <w:rsid w:val="00924D8F"/>
    <w:rsid w:val="009255B7"/>
    <w:rsid w:val="00927389"/>
    <w:rsid w:val="00927AF5"/>
    <w:rsid w:val="00930B38"/>
    <w:rsid w:val="00932F47"/>
    <w:rsid w:val="0093374A"/>
    <w:rsid w:val="00936DC7"/>
    <w:rsid w:val="00940E37"/>
    <w:rsid w:val="00943FFD"/>
    <w:rsid w:val="00950B31"/>
    <w:rsid w:val="0095578E"/>
    <w:rsid w:val="00955F49"/>
    <w:rsid w:val="00957F76"/>
    <w:rsid w:val="0096164F"/>
    <w:rsid w:val="009621B2"/>
    <w:rsid w:val="00962323"/>
    <w:rsid w:val="00962C0C"/>
    <w:rsid w:val="00963A30"/>
    <w:rsid w:val="00963BE7"/>
    <w:rsid w:val="00965E88"/>
    <w:rsid w:val="009660C6"/>
    <w:rsid w:val="00967CEB"/>
    <w:rsid w:val="00973288"/>
    <w:rsid w:val="00975102"/>
    <w:rsid w:val="00977BE7"/>
    <w:rsid w:val="00983056"/>
    <w:rsid w:val="00986837"/>
    <w:rsid w:val="00987502"/>
    <w:rsid w:val="00996828"/>
    <w:rsid w:val="009A356B"/>
    <w:rsid w:val="009A5504"/>
    <w:rsid w:val="009A5EFC"/>
    <w:rsid w:val="009A7A13"/>
    <w:rsid w:val="009A7F02"/>
    <w:rsid w:val="009A7F34"/>
    <w:rsid w:val="009B05BE"/>
    <w:rsid w:val="009B266D"/>
    <w:rsid w:val="009B30CA"/>
    <w:rsid w:val="009B3FC2"/>
    <w:rsid w:val="009B4AE5"/>
    <w:rsid w:val="009B4F54"/>
    <w:rsid w:val="009B7E33"/>
    <w:rsid w:val="009C1042"/>
    <w:rsid w:val="009C200B"/>
    <w:rsid w:val="009C7453"/>
    <w:rsid w:val="009D242A"/>
    <w:rsid w:val="009D2B53"/>
    <w:rsid w:val="009D3EF4"/>
    <w:rsid w:val="009E033B"/>
    <w:rsid w:val="009E279D"/>
    <w:rsid w:val="009E3700"/>
    <w:rsid w:val="009F389B"/>
    <w:rsid w:val="009F779F"/>
    <w:rsid w:val="00A0160E"/>
    <w:rsid w:val="00A02796"/>
    <w:rsid w:val="00A028F7"/>
    <w:rsid w:val="00A02B7E"/>
    <w:rsid w:val="00A033BC"/>
    <w:rsid w:val="00A037FF"/>
    <w:rsid w:val="00A0506A"/>
    <w:rsid w:val="00A06A3C"/>
    <w:rsid w:val="00A136F0"/>
    <w:rsid w:val="00A13B1D"/>
    <w:rsid w:val="00A17B87"/>
    <w:rsid w:val="00A22E34"/>
    <w:rsid w:val="00A24A75"/>
    <w:rsid w:val="00A26B98"/>
    <w:rsid w:val="00A34F7B"/>
    <w:rsid w:val="00A40DE6"/>
    <w:rsid w:val="00A41AF3"/>
    <w:rsid w:val="00A43E27"/>
    <w:rsid w:val="00A44B7D"/>
    <w:rsid w:val="00A5143E"/>
    <w:rsid w:val="00A51D83"/>
    <w:rsid w:val="00A52201"/>
    <w:rsid w:val="00A524B8"/>
    <w:rsid w:val="00A54655"/>
    <w:rsid w:val="00A56D5F"/>
    <w:rsid w:val="00A600CD"/>
    <w:rsid w:val="00A6177E"/>
    <w:rsid w:val="00A6333F"/>
    <w:rsid w:val="00A64D61"/>
    <w:rsid w:val="00A67823"/>
    <w:rsid w:val="00A72157"/>
    <w:rsid w:val="00A72787"/>
    <w:rsid w:val="00A72A01"/>
    <w:rsid w:val="00A73499"/>
    <w:rsid w:val="00A73D80"/>
    <w:rsid w:val="00A7527E"/>
    <w:rsid w:val="00A8475F"/>
    <w:rsid w:val="00A85057"/>
    <w:rsid w:val="00A851E3"/>
    <w:rsid w:val="00A8663A"/>
    <w:rsid w:val="00A92856"/>
    <w:rsid w:val="00A96DA9"/>
    <w:rsid w:val="00AA3D3E"/>
    <w:rsid w:val="00AA6225"/>
    <w:rsid w:val="00AB0419"/>
    <w:rsid w:val="00AB045F"/>
    <w:rsid w:val="00AB12B8"/>
    <w:rsid w:val="00AB463E"/>
    <w:rsid w:val="00AC04E1"/>
    <w:rsid w:val="00AC0A53"/>
    <w:rsid w:val="00AC252E"/>
    <w:rsid w:val="00AC288F"/>
    <w:rsid w:val="00AC2BF6"/>
    <w:rsid w:val="00AC624A"/>
    <w:rsid w:val="00AC7421"/>
    <w:rsid w:val="00AC7EEC"/>
    <w:rsid w:val="00AD0ABD"/>
    <w:rsid w:val="00AD0B5A"/>
    <w:rsid w:val="00AD0FFD"/>
    <w:rsid w:val="00AD1717"/>
    <w:rsid w:val="00AD4D42"/>
    <w:rsid w:val="00AE2421"/>
    <w:rsid w:val="00AE4320"/>
    <w:rsid w:val="00AE48AF"/>
    <w:rsid w:val="00AE6E74"/>
    <w:rsid w:val="00AF06DF"/>
    <w:rsid w:val="00AF1452"/>
    <w:rsid w:val="00AF1819"/>
    <w:rsid w:val="00AF1A9B"/>
    <w:rsid w:val="00AF397E"/>
    <w:rsid w:val="00AF54E8"/>
    <w:rsid w:val="00AF5F63"/>
    <w:rsid w:val="00AF6F4F"/>
    <w:rsid w:val="00AF7603"/>
    <w:rsid w:val="00B010C5"/>
    <w:rsid w:val="00B0196B"/>
    <w:rsid w:val="00B01A88"/>
    <w:rsid w:val="00B0412C"/>
    <w:rsid w:val="00B125A3"/>
    <w:rsid w:val="00B1350C"/>
    <w:rsid w:val="00B13A84"/>
    <w:rsid w:val="00B160B5"/>
    <w:rsid w:val="00B17DAC"/>
    <w:rsid w:val="00B2161B"/>
    <w:rsid w:val="00B21E9A"/>
    <w:rsid w:val="00B27834"/>
    <w:rsid w:val="00B27D44"/>
    <w:rsid w:val="00B3637C"/>
    <w:rsid w:val="00B37A80"/>
    <w:rsid w:val="00B4044D"/>
    <w:rsid w:val="00B4118A"/>
    <w:rsid w:val="00B41749"/>
    <w:rsid w:val="00B42BB6"/>
    <w:rsid w:val="00B43075"/>
    <w:rsid w:val="00B435AD"/>
    <w:rsid w:val="00B43CF8"/>
    <w:rsid w:val="00B454AF"/>
    <w:rsid w:val="00B47B28"/>
    <w:rsid w:val="00B515D8"/>
    <w:rsid w:val="00B528F2"/>
    <w:rsid w:val="00B536AF"/>
    <w:rsid w:val="00B56A5E"/>
    <w:rsid w:val="00B56ADB"/>
    <w:rsid w:val="00B56C71"/>
    <w:rsid w:val="00B60016"/>
    <w:rsid w:val="00B61A7B"/>
    <w:rsid w:val="00B62E98"/>
    <w:rsid w:val="00B6316A"/>
    <w:rsid w:val="00B65BE0"/>
    <w:rsid w:val="00B733E9"/>
    <w:rsid w:val="00B73410"/>
    <w:rsid w:val="00B74F65"/>
    <w:rsid w:val="00B825C2"/>
    <w:rsid w:val="00B844F3"/>
    <w:rsid w:val="00B85A2A"/>
    <w:rsid w:val="00B87676"/>
    <w:rsid w:val="00B90B10"/>
    <w:rsid w:val="00B917B8"/>
    <w:rsid w:val="00B93D94"/>
    <w:rsid w:val="00B97607"/>
    <w:rsid w:val="00BA1C7B"/>
    <w:rsid w:val="00BA2209"/>
    <w:rsid w:val="00BA25E6"/>
    <w:rsid w:val="00BA57F8"/>
    <w:rsid w:val="00BB0856"/>
    <w:rsid w:val="00BB11D0"/>
    <w:rsid w:val="00BB23DF"/>
    <w:rsid w:val="00BB2B74"/>
    <w:rsid w:val="00BB2CA4"/>
    <w:rsid w:val="00BB4387"/>
    <w:rsid w:val="00BB512A"/>
    <w:rsid w:val="00BC41F2"/>
    <w:rsid w:val="00BC4F35"/>
    <w:rsid w:val="00BC56E9"/>
    <w:rsid w:val="00BC6746"/>
    <w:rsid w:val="00BD07B3"/>
    <w:rsid w:val="00BD1524"/>
    <w:rsid w:val="00BD2311"/>
    <w:rsid w:val="00BD49DB"/>
    <w:rsid w:val="00BD52FA"/>
    <w:rsid w:val="00BD68BF"/>
    <w:rsid w:val="00BD728A"/>
    <w:rsid w:val="00BD7755"/>
    <w:rsid w:val="00BE0214"/>
    <w:rsid w:val="00BE08BF"/>
    <w:rsid w:val="00BE40D6"/>
    <w:rsid w:val="00BF0DC8"/>
    <w:rsid w:val="00BF1ED5"/>
    <w:rsid w:val="00BF28AC"/>
    <w:rsid w:val="00BF33D6"/>
    <w:rsid w:val="00BF3B08"/>
    <w:rsid w:val="00BF417B"/>
    <w:rsid w:val="00BF429E"/>
    <w:rsid w:val="00BF60BE"/>
    <w:rsid w:val="00C017F8"/>
    <w:rsid w:val="00C15667"/>
    <w:rsid w:val="00C16BEE"/>
    <w:rsid w:val="00C16CD1"/>
    <w:rsid w:val="00C17064"/>
    <w:rsid w:val="00C171C2"/>
    <w:rsid w:val="00C17DBF"/>
    <w:rsid w:val="00C20F76"/>
    <w:rsid w:val="00C21161"/>
    <w:rsid w:val="00C23821"/>
    <w:rsid w:val="00C24CB6"/>
    <w:rsid w:val="00C24D3D"/>
    <w:rsid w:val="00C24E87"/>
    <w:rsid w:val="00C27982"/>
    <w:rsid w:val="00C32E3A"/>
    <w:rsid w:val="00C33334"/>
    <w:rsid w:val="00C358C2"/>
    <w:rsid w:val="00C37B63"/>
    <w:rsid w:val="00C404D5"/>
    <w:rsid w:val="00C41D9B"/>
    <w:rsid w:val="00C44380"/>
    <w:rsid w:val="00C44F1B"/>
    <w:rsid w:val="00C55DA6"/>
    <w:rsid w:val="00C5695C"/>
    <w:rsid w:val="00C56A85"/>
    <w:rsid w:val="00C570D3"/>
    <w:rsid w:val="00C57290"/>
    <w:rsid w:val="00C577B7"/>
    <w:rsid w:val="00C61E51"/>
    <w:rsid w:val="00C630F7"/>
    <w:rsid w:val="00C65448"/>
    <w:rsid w:val="00C656DB"/>
    <w:rsid w:val="00C66DEF"/>
    <w:rsid w:val="00C70611"/>
    <w:rsid w:val="00C72BF7"/>
    <w:rsid w:val="00C73924"/>
    <w:rsid w:val="00C81D97"/>
    <w:rsid w:val="00C834C4"/>
    <w:rsid w:val="00C85FA8"/>
    <w:rsid w:val="00C8660A"/>
    <w:rsid w:val="00C866C0"/>
    <w:rsid w:val="00C86F35"/>
    <w:rsid w:val="00C926D5"/>
    <w:rsid w:val="00CA0548"/>
    <w:rsid w:val="00CB115A"/>
    <w:rsid w:val="00CB1AB4"/>
    <w:rsid w:val="00CB1C04"/>
    <w:rsid w:val="00CB468A"/>
    <w:rsid w:val="00CB67A9"/>
    <w:rsid w:val="00CB6FA0"/>
    <w:rsid w:val="00CC13BF"/>
    <w:rsid w:val="00CC310C"/>
    <w:rsid w:val="00CC325B"/>
    <w:rsid w:val="00CC4A04"/>
    <w:rsid w:val="00CD2318"/>
    <w:rsid w:val="00CD5681"/>
    <w:rsid w:val="00CE2064"/>
    <w:rsid w:val="00CE20BE"/>
    <w:rsid w:val="00CE7036"/>
    <w:rsid w:val="00CF480A"/>
    <w:rsid w:val="00CF74B8"/>
    <w:rsid w:val="00D00832"/>
    <w:rsid w:val="00D00AA1"/>
    <w:rsid w:val="00D04E70"/>
    <w:rsid w:val="00D0682D"/>
    <w:rsid w:val="00D134C3"/>
    <w:rsid w:val="00D14632"/>
    <w:rsid w:val="00D14BFB"/>
    <w:rsid w:val="00D14E3E"/>
    <w:rsid w:val="00D17A09"/>
    <w:rsid w:val="00D200D1"/>
    <w:rsid w:val="00D24097"/>
    <w:rsid w:val="00D255EB"/>
    <w:rsid w:val="00D25FD8"/>
    <w:rsid w:val="00D26002"/>
    <w:rsid w:val="00D27FA5"/>
    <w:rsid w:val="00D333FD"/>
    <w:rsid w:val="00D33452"/>
    <w:rsid w:val="00D36D8F"/>
    <w:rsid w:val="00D418F5"/>
    <w:rsid w:val="00D41BA6"/>
    <w:rsid w:val="00D42862"/>
    <w:rsid w:val="00D433A7"/>
    <w:rsid w:val="00D45A00"/>
    <w:rsid w:val="00D53014"/>
    <w:rsid w:val="00D61485"/>
    <w:rsid w:val="00D65B2C"/>
    <w:rsid w:val="00D66C9E"/>
    <w:rsid w:val="00D7375A"/>
    <w:rsid w:val="00D7701C"/>
    <w:rsid w:val="00D80EB8"/>
    <w:rsid w:val="00D82220"/>
    <w:rsid w:val="00D82856"/>
    <w:rsid w:val="00D83193"/>
    <w:rsid w:val="00D83ABA"/>
    <w:rsid w:val="00D90E0C"/>
    <w:rsid w:val="00D90F50"/>
    <w:rsid w:val="00DA4E66"/>
    <w:rsid w:val="00DA5384"/>
    <w:rsid w:val="00DA6A75"/>
    <w:rsid w:val="00DA7AD9"/>
    <w:rsid w:val="00DB1BE4"/>
    <w:rsid w:val="00DB21EB"/>
    <w:rsid w:val="00DB237D"/>
    <w:rsid w:val="00DB6595"/>
    <w:rsid w:val="00DB6EEB"/>
    <w:rsid w:val="00DB783A"/>
    <w:rsid w:val="00DC46AB"/>
    <w:rsid w:val="00DC6DD5"/>
    <w:rsid w:val="00DD1E18"/>
    <w:rsid w:val="00DD2500"/>
    <w:rsid w:val="00DD29FF"/>
    <w:rsid w:val="00DD4B4D"/>
    <w:rsid w:val="00DD7531"/>
    <w:rsid w:val="00DE06CB"/>
    <w:rsid w:val="00DE08B1"/>
    <w:rsid w:val="00DE10A9"/>
    <w:rsid w:val="00DE2972"/>
    <w:rsid w:val="00DE40F5"/>
    <w:rsid w:val="00DE5272"/>
    <w:rsid w:val="00DE583E"/>
    <w:rsid w:val="00DE736C"/>
    <w:rsid w:val="00DF7A1D"/>
    <w:rsid w:val="00E02278"/>
    <w:rsid w:val="00E03958"/>
    <w:rsid w:val="00E03E32"/>
    <w:rsid w:val="00E05F23"/>
    <w:rsid w:val="00E102BE"/>
    <w:rsid w:val="00E118AB"/>
    <w:rsid w:val="00E12772"/>
    <w:rsid w:val="00E128DE"/>
    <w:rsid w:val="00E157A4"/>
    <w:rsid w:val="00E15880"/>
    <w:rsid w:val="00E158D6"/>
    <w:rsid w:val="00E15A90"/>
    <w:rsid w:val="00E15C6D"/>
    <w:rsid w:val="00E171DD"/>
    <w:rsid w:val="00E20085"/>
    <w:rsid w:val="00E23ED0"/>
    <w:rsid w:val="00E275E8"/>
    <w:rsid w:val="00E309FE"/>
    <w:rsid w:val="00E32AC1"/>
    <w:rsid w:val="00E370F7"/>
    <w:rsid w:val="00E429AD"/>
    <w:rsid w:val="00E441C8"/>
    <w:rsid w:val="00E44EBB"/>
    <w:rsid w:val="00E4643B"/>
    <w:rsid w:val="00E46F8B"/>
    <w:rsid w:val="00E47F2A"/>
    <w:rsid w:val="00E5057B"/>
    <w:rsid w:val="00E60BC2"/>
    <w:rsid w:val="00E621B0"/>
    <w:rsid w:val="00E62265"/>
    <w:rsid w:val="00E63FCC"/>
    <w:rsid w:val="00E70521"/>
    <w:rsid w:val="00E709D2"/>
    <w:rsid w:val="00E71709"/>
    <w:rsid w:val="00E74171"/>
    <w:rsid w:val="00E7589F"/>
    <w:rsid w:val="00E75A98"/>
    <w:rsid w:val="00E80EDF"/>
    <w:rsid w:val="00E815B0"/>
    <w:rsid w:val="00E86FFC"/>
    <w:rsid w:val="00E87F3A"/>
    <w:rsid w:val="00E90E42"/>
    <w:rsid w:val="00E94CEA"/>
    <w:rsid w:val="00E95E18"/>
    <w:rsid w:val="00E961DA"/>
    <w:rsid w:val="00E969AE"/>
    <w:rsid w:val="00EA6CF0"/>
    <w:rsid w:val="00EA7751"/>
    <w:rsid w:val="00EB0CD1"/>
    <w:rsid w:val="00EB63E8"/>
    <w:rsid w:val="00EB6E6A"/>
    <w:rsid w:val="00EC08D0"/>
    <w:rsid w:val="00EC2016"/>
    <w:rsid w:val="00EC20DF"/>
    <w:rsid w:val="00EC55A2"/>
    <w:rsid w:val="00EC57BB"/>
    <w:rsid w:val="00EC7C43"/>
    <w:rsid w:val="00ED15F8"/>
    <w:rsid w:val="00ED2C80"/>
    <w:rsid w:val="00ED5B80"/>
    <w:rsid w:val="00EE0EB1"/>
    <w:rsid w:val="00EE7B99"/>
    <w:rsid w:val="00EF6FB3"/>
    <w:rsid w:val="00F01C9F"/>
    <w:rsid w:val="00F035AB"/>
    <w:rsid w:val="00F071EC"/>
    <w:rsid w:val="00F13013"/>
    <w:rsid w:val="00F13FE7"/>
    <w:rsid w:val="00F16EA9"/>
    <w:rsid w:val="00F252C3"/>
    <w:rsid w:val="00F25464"/>
    <w:rsid w:val="00F255A6"/>
    <w:rsid w:val="00F25796"/>
    <w:rsid w:val="00F26040"/>
    <w:rsid w:val="00F26DE4"/>
    <w:rsid w:val="00F319B3"/>
    <w:rsid w:val="00F33422"/>
    <w:rsid w:val="00F36C68"/>
    <w:rsid w:val="00F427E7"/>
    <w:rsid w:val="00F472F5"/>
    <w:rsid w:val="00F47E6C"/>
    <w:rsid w:val="00F5100B"/>
    <w:rsid w:val="00F52193"/>
    <w:rsid w:val="00F5616E"/>
    <w:rsid w:val="00F611BC"/>
    <w:rsid w:val="00F636B0"/>
    <w:rsid w:val="00F6709B"/>
    <w:rsid w:val="00F67B3E"/>
    <w:rsid w:val="00F721E3"/>
    <w:rsid w:val="00F737AF"/>
    <w:rsid w:val="00F77065"/>
    <w:rsid w:val="00F82DB6"/>
    <w:rsid w:val="00F914C3"/>
    <w:rsid w:val="00F94AB8"/>
    <w:rsid w:val="00F94F65"/>
    <w:rsid w:val="00F965A0"/>
    <w:rsid w:val="00FA021D"/>
    <w:rsid w:val="00FA046A"/>
    <w:rsid w:val="00FA1429"/>
    <w:rsid w:val="00FA5730"/>
    <w:rsid w:val="00FA6FCF"/>
    <w:rsid w:val="00FB233A"/>
    <w:rsid w:val="00FB44C5"/>
    <w:rsid w:val="00FB51F2"/>
    <w:rsid w:val="00FB6FF4"/>
    <w:rsid w:val="00FC0696"/>
    <w:rsid w:val="00FC23BC"/>
    <w:rsid w:val="00FC514E"/>
    <w:rsid w:val="00FC63C3"/>
    <w:rsid w:val="00FC6814"/>
    <w:rsid w:val="00FD2A6B"/>
    <w:rsid w:val="00FD4BF0"/>
    <w:rsid w:val="00FE2DEC"/>
    <w:rsid w:val="00FE356F"/>
    <w:rsid w:val="00FF07F1"/>
    <w:rsid w:val="00FF0C03"/>
    <w:rsid w:val="00FF299A"/>
    <w:rsid w:val="00FF489C"/>
    <w:rsid w:val="00FF5E0B"/>
    <w:rsid w:val="012B0AF2"/>
    <w:rsid w:val="034E22E5"/>
    <w:rsid w:val="04010A71"/>
    <w:rsid w:val="05722DFB"/>
    <w:rsid w:val="068C79F0"/>
    <w:rsid w:val="06FB0720"/>
    <w:rsid w:val="073EA0F0"/>
    <w:rsid w:val="075AF563"/>
    <w:rsid w:val="07C43B4C"/>
    <w:rsid w:val="083FC648"/>
    <w:rsid w:val="08AF4D90"/>
    <w:rsid w:val="0B1D50BA"/>
    <w:rsid w:val="0B5548B2"/>
    <w:rsid w:val="0C6F5DE9"/>
    <w:rsid w:val="0DDCAF9B"/>
    <w:rsid w:val="0DF14AD2"/>
    <w:rsid w:val="0E235DB6"/>
    <w:rsid w:val="0EFD5E41"/>
    <w:rsid w:val="0FBE7ABC"/>
    <w:rsid w:val="10C300F7"/>
    <w:rsid w:val="11320F33"/>
    <w:rsid w:val="129836AE"/>
    <w:rsid w:val="139879D4"/>
    <w:rsid w:val="172C7CBE"/>
    <w:rsid w:val="177F1018"/>
    <w:rsid w:val="190E5EBD"/>
    <w:rsid w:val="19C17D7A"/>
    <w:rsid w:val="1A7813A7"/>
    <w:rsid w:val="1A7C602A"/>
    <w:rsid w:val="1A7F150A"/>
    <w:rsid w:val="1C3D052D"/>
    <w:rsid w:val="1CBD4EF4"/>
    <w:rsid w:val="1CF63924"/>
    <w:rsid w:val="1CFF02B6"/>
    <w:rsid w:val="1DBD7800"/>
    <w:rsid w:val="1E5716A9"/>
    <w:rsid w:val="1EC81D26"/>
    <w:rsid w:val="1FBE6ECF"/>
    <w:rsid w:val="1FF62406"/>
    <w:rsid w:val="1FFF3877"/>
    <w:rsid w:val="21FD87DA"/>
    <w:rsid w:val="22D7AD45"/>
    <w:rsid w:val="23FE7D27"/>
    <w:rsid w:val="24AF3F64"/>
    <w:rsid w:val="25630D8E"/>
    <w:rsid w:val="26BE689E"/>
    <w:rsid w:val="27F718F3"/>
    <w:rsid w:val="2A6F702B"/>
    <w:rsid w:val="2B9B4B0B"/>
    <w:rsid w:val="2BE54F05"/>
    <w:rsid w:val="2CE043F5"/>
    <w:rsid w:val="2D7FE649"/>
    <w:rsid w:val="2E9D18B8"/>
    <w:rsid w:val="2EAFFCE1"/>
    <w:rsid w:val="2EF61967"/>
    <w:rsid w:val="2F4D5528"/>
    <w:rsid w:val="2F4F461B"/>
    <w:rsid w:val="2F595F57"/>
    <w:rsid w:val="2FCE3BE0"/>
    <w:rsid w:val="2FE01EB7"/>
    <w:rsid w:val="2FFF68E0"/>
    <w:rsid w:val="331675CE"/>
    <w:rsid w:val="333A74CA"/>
    <w:rsid w:val="33B74CF1"/>
    <w:rsid w:val="33FE7EBE"/>
    <w:rsid w:val="345E5F51"/>
    <w:rsid w:val="34F0112A"/>
    <w:rsid w:val="351647A5"/>
    <w:rsid w:val="35703F72"/>
    <w:rsid w:val="35F3CD2C"/>
    <w:rsid w:val="36315CC2"/>
    <w:rsid w:val="367FA077"/>
    <w:rsid w:val="36EF7F54"/>
    <w:rsid w:val="36F62584"/>
    <w:rsid w:val="36F70F67"/>
    <w:rsid w:val="37F7EB7C"/>
    <w:rsid w:val="37FBAD11"/>
    <w:rsid w:val="389F6328"/>
    <w:rsid w:val="38F50CFF"/>
    <w:rsid w:val="399B5885"/>
    <w:rsid w:val="39FB651B"/>
    <w:rsid w:val="3A457520"/>
    <w:rsid w:val="3A81106F"/>
    <w:rsid w:val="3AF74835"/>
    <w:rsid w:val="3B77F6BA"/>
    <w:rsid w:val="3BDF4DB3"/>
    <w:rsid w:val="3BFDA1CC"/>
    <w:rsid w:val="3D6EC284"/>
    <w:rsid w:val="3DF4794C"/>
    <w:rsid w:val="3DF79206"/>
    <w:rsid w:val="3E762A6F"/>
    <w:rsid w:val="3EBF310E"/>
    <w:rsid w:val="3EDF7774"/>
    <w:rsid w:val="3EE7F35A"/>
    <w:rsid w:val="3EFBD29B"/>
    <w:rsid w:val="3F575F62"/>
    <w:rsid w:val="3F7F697F"/>
    <w:rsid w:val="3F913EB9"/>
    <w:rsid w:val="3FA7D0B9"/>
    <w:rsid w:val="3FAD2204"/>
    <w:rsid w:val="3FB7B825"/>
    <w:rsid w:val="3FBE0E5B"/>
    <w:rsid w:val="3FC69776"/>
    <w:rsid w:val="3FDFD5D0"/>
    <w:rsid w:val="3FE71D87"/>
    <w:rsid w:val="3FEE004F"/>
    <w:rsid w:val="3FFC01BD"/>
    <w:rsid w:val="3FFFC764"/>
    <w:rsid w:val="3FFFEF10"/>
    <w:rsid w:val="4075342D"/>
    <w:rsid w:val="41E607CA"/>
    <w:rsid w:val="422B3D00"/>
    <w:rsid w:val="451F4540"/>
    <w:rsid w:val="469D2F78"/>
    <w:rsid w:val="472A2E92"/>
    <w:rsid w:val="47FE6ED0"/>
    <w:rsid w:val="47FF9CFC"/>
    <w:rsid w:val="48521EAD"/>
    <w:rsid w:val="49942410"/>
    <w:rsid w:val="49B7DE0F"/>
    <w:rsid w:val="4A582E7A"/>
    <w:rsid w:val="4BCF652C"/>
    <w:rsid w:val="4CFB2E60"/>
    <w:rsid w:val="4CFEBCE4"/>
    <w:rsid w:val="4D6548BF"/>
    <w:rsid w:val="4D7ACCDD"/>
    <w:rsid w:val="4DBB4A2B"/>
    <w:rsid w:val="4ED37275"/>
    <w:rsid w:val="4EDF8A09"/>
    <w:rsid w:val="4F7F90A2"/>
    <w:rsid w:val="4FE2609D"/>
    <w:rsid w:val="4FEF1EF0"/>
    <w:rsid w:val="507563A4"/>
    <w:rsid w:val="53EE9518"/>
    <w:rsid w:val="53F0C5CB"/>
    <w:rsid w:val="541BCB13"/>
    <w:rsid w:val="553E2047"/>
    <w:rsid w:val="55B5F4FF"/>
    <w:rsid w:val="55DF9E23"/>
    <w:rsid w:val="55E76829"/>
    <w:rsid w:val="55EF5316"/>
    <w:rsid w:val="573BAD9D"/>
    <w:rsid w:val="57BB8B3C"/>
    <w:rsid w:val="57EBFFEE"/>
    <w:rsid w:val="57F6419B"/>
    <w:rsid w:val="58315214"/>
    <w:rsid w:val="591470C9"/>
    <w:rsid w:val="596EDF01"/>
    <w:rsid w:val="59777B81"/>
    <w:rsid w:val="59B855A8"/>
    <w:rsid w:val="59E20F76"/>
    <w:rsid w:val="59EA607C"/>
    <w:rsid w:val="59FFD34A"/>
    <w:rsid w:val="5ABE67E5"/>
    <w:rsid w:val="5B6D7546"/>
    <w:rsid w:val="5BAE8049"/>
    <w:rsid w:val="5BFB7457"/>
    <w:rsid w:val="5C174686"/>
    <w:rsid w:val="5C6A25D5"/>
    <w:rsid w:val="5D7E1939"/>
    <w:rsid w:val="5DA23475"/>
    <w:rsid w:val="5DCF5A6A"/>
    <w:rsid w:val="5DF6490C"/>
    <w:rsid w:val="5DFEF60E"/>
    <w:rsid w:val="5DFF21E2"/>
    <w:rsid w:val="5E6B877C"/>
    <w:rsid w:val="5E6C8CEB"/>
    <w:rsid w:val="5EE5824A"/>
    <w:rsid w:val="5EE5D609"/>
    <w:rsid w:val="5EEA4C23"/>
    <w:rsid w:val="5EEE99A5"/>
    <w:rsid w:val="5EF7C4C2"/>
    <w:rsid w:val="5EFB1336"/>
    <w:rsid w:val="5F6FE79E"/>
    <w:rsid w:val="5F79ED8D"/>
    <w:rsid w:val="5FB9D704"/>
    <w:rsid w:val="5FBB4A09"/>
    <w:rsid w:val="5FBF8B8E"/>
    <w:rsid w:val="5FCA0EFB"/>
    <w:rsid w:val="5FD3B468"/>
    <w:rsid w:val="5FD9210B"/>
    <w:rsid w:val="5FDF45E1"/>
    <w:rsid w:val="5FECC3A1"/>
    <w:rsid w:val="5FEDA2FE"/>
    <w:rsid w:val="5FEFCA0D"/>
    <w:rsid w:val="5FFD9428"/>
    <w:rsid w:val="5FFDEF85"/>
    <w:rsid w:val="5FFE4588"/>
    <w:rsid w:val="5FFE63DD"/>
    <w:rsid w:val="5FFF09F5"/>
    <w:rsid w:val="5FFFE86A"/>
    <w:rsid w:val="623D6B58"/>
    <w:rsid w:val="623F7235"/>
    <w:rsid w:val="62725EA2"/>
    <w:rsid w:val="62C34D2E"/>
    <w:rsid w:val="62ED21AA"/>
    <w:rsid w:val="633B8253"/>
    <w:rsid w:val="646172A2"/>
    <w:rsid w:val="657F0712"/>
    <w:rsid w:val="65837118"/>
    <w:rsid w:val="66E01C06"/>
    <w:rsid w:val="66EF6515"/>
    <w:rsid w:val="6776B792"/>
    <w:rsid w:val="67ACBE53"/>
    <w:rsid w:val="67E63D20"/>
    <w:rsid w:val="67F21865"/>
    <w:rsid w:val="6964370F"/>
    <w:rsid w:val="6965077C"/>
    <w:rsid w:val="69FD7386"/>
    <w:rsid w:val="6AEF297F"/>
    <w:rsid w:val="6AF34DBE"/>
    <w:rsid w:val="6B9B657B"/>
    <w:rsid w:val="6BB70A45"/>
    <w:rsid w:val="6BE7998C"/>
    <w:rsid w:val="6CD147FD"/>
    <w:rsid w:val="6CF77871"/>
    <w:rsid w:val="6D411AF3"/>
    <w:rsid w:val="6D512242"/>
    <w:rsid w:val="6D7D9BE4"/>
    <w:rsid w:val="6DAD2175"/>
    <w:rsid w:val="6DB5258D"/>
    <w:rsid w:val="6DEEF148"/>
    <w:rsid w:val="6E3EF6B5"/>
    <w:rsid w:val="6E4616F0"/>
    <w:rsid w:val="6E7DB819"/>
    <w:rsid w:val="6ECD1A62"/>
    <w:rsid w:val="6F37DF7B"/>
    <w:rsid w:val="6F392FC6"/>
    <w:rsid w:val="6F57C120"/>
    <w:rsid w:val="6F7EB0DF"/>
    <w:rsid w:val="6F7FE959"/>
    <w:rsid w:val="6FA32F07"/>
    <w:rsid w:val="6FEDED60"/>
    <w:rsid w:val="6FF53DE7"/>
    <w:rsid w:val="6FF5462D"/>
    <w:rsid w:val="6FF97A92"/>
    <w:rsid w:val="6FFE1697"/>
    <w:rsid w:val="6FFFDC82"/>
    <w:rsid w:val="70EB2CF8"/>
    <w:rsid w:val="71BEC72B"/>
    <w:rsid w:val="71BF5395"/>
    <w:rsid w:val="71C31235"/>
    <w:rsid w:val="71FF9DE8"/>
    <w:rsid w:val="72F91527"/>
    <w:rsid w:val="73135269"/>
    <w:rsid w:val="734779C3"/>
    <w:rsid w:val="73F066CF"/>
    <w:rsid w:val="7476515B"/>
    <w:rsid w:val="748FA538"/>
    <w:rsid w:val="74944D92"/>
    <w:rsid w:val="74F3B48E"/>
    <w:rsid w:val="74FB85BA"/>
    <w:rsid w:val="74FF5CE8"/>
    <w:rsid w:val="753F352D"/>
    <w:rsid w:val="757F7805"/>
    <w:rsid w:val="75BF6EBF"/>
    <w:rsid w:val="75DDB0BF"/>
    <w:rsid w:val="75EE6689"/>
    <w:rsid w:val="75EFF2DE"/>
    <w:rsid w:val="75FC367F"/>
    <w:rsid w:val="768B25D1"/>
    <w:rsid w:val="76D7D5B9"/>
    <w:rsid w:val="76FF3576"/>
    <w:rsid w:val="770420D4"/>
    <w:rsid w:val="773F13B1"/>
    <w:rsid w:val="775FBE79"/>
    <w:rsid w:val="77676090"/>
    <w:rsid w:val="7769D953"/>
    <w:rsid w:val="776EB91E"/>
    <w:rsid w:val="7777A8B9"/>
    <w:rsid w:val="777FB10A"/>
    <w:rsid w:val="779CED17"/>
    <w:rsid w:val="77A67D90"/>
    <w:rsid w:val="77DB524F"/>
    <w:rsid w:val="77DEE1D5"/>
    <w:rsid w:val="77DF1C6F"/>
    <w:rsid w:val="77F70684"/>
    <w:rsid w:val="77FDD8A3"/>
    <w:rsid w:val="77FF1138"/>
    <w:rsid w:val="77FFFD43"/>
    <w:rsid w:val="795B5DAC"/>
    <w:rsid w:val="79BF1D63"/>
    <w:rsid w:val="79FFDD40"/>
    <w:rsid w:val="7A9078B5"/>
    <w:rsid w:val="7ADD1A02"/>
    <w:rsid w:val="7AEE637E"/>
    <w:rsid w:val="7B5F542B"/>
    <w:rsid w:val="7B7455D7"/>
    <w:rsid w:val="7BB6D6A6"/>
    <w:rsid w:val="7BB901E2"/>
    <w:rsid w:val="7BBF6C9B"/>
    <w:rsid w:val="7BD30139"/>
    <w:rsid w:val="7BDCBB11"/>
    <w:rsid w:val="7BDF3042"/>
    <w:rsid w:val="7BF72E04"/>
    <w:rsid w:val="7BFAACB0"/>
    <w:rsid w:val="7C9DA66B"/>
    <w:rsid w:val="7CD37006"/>
    <w:rsid w:val="7CDFCC40"/>
    <w:rsid w:val="7CEE28E6"/>
    <w:rsid w:val="7CFEDFC1"/>
    <w:rsid w:val="7D1336C4"/>
    <w:rsid w:val="7D7E8CB0"/>
    <w:rsid w:val="7D7F7AA5"/>
    <w:rsid w:val="7DA79D13"/>
    <w:rsid w:val="7DC231DA"/>
    <w:rsid w:val="7DC43066"/>
    <w:rsid w:val="7DCB8770"/>
    <w:rsid w:val="7DD8E524"/>
    <w:rsid w:val="7DEEF755"/>
    <w:rsid w:val="7DEFF645"/>
    <w:rsid w:val="7DF024BC"/>
    <w:rsid w:val="7DFA3789"/>
    <w:rsid w:val="7DFBE81A"/>
    <w:rsid w:val="7DFD98BF"/>
    <w:rsid w:val="7DFE2F13"/>
    <w:rsid w:val="7E3F5B30"/>
    <w:rsid w:val="7E7F3B73"/>
    <w:rsid w:val="7EAE219C"/>
    <w:rsid w:val="7EB7E4BE"/>
    <w:rsid w:val="7ECC82A1"/>
    <w:rsid w:val="7EDDCC5D"/>
    <w:rsid w:val="7EDFD308"/>
    <w:rsid w:val="7EE6837C"/>
    <w:rsid w:val="7EF73F4B"/>
    <w:rsid w:val="7EFF67AA"/>
    <w:rsid w:val="7EFFEDE1"/>
    <w:rsid w:val="7F2FF4B4"/>
    <w:rsid w:val="7F3BC0AB"/>
    <w:rsid w:val="7F3BF027"/>
    <w:rsid w:val="7F5BCED6"/>
    <w:rsid w:val="7F5F5353"/>
    <w:rsid w:val="7F7B217C"/>
    <w:rsid w:val="7F7B3E6A"/>
    <w:rsid w:val="7F7EBB78"/>
    <w:rsid w:val="7F7FFC24"/>
    <w:rsid w:val="7FA678BA"/>
    <w:rsid w:val="7FB5B104"/>
    <w:rsid w:val="7FBFB83D"/>
    <w:rsid w:val="7FBFC7BD"/>
    <w:rsid w:val="7FBFE979"/>
    <w:rsid w:val="7FD57267"/>
    <w:rsid w:val="7FD6360B"/>
    <w:rsid w:val="7FD759A0"/>
    <w:rsid w:val="7FDE3514"/>
    <w:rsid w:val="7FDF99A8"/>
    <w:rsid w:val="7FDFF867"/>
    <w:rsid w:val="7FE77048"/>
    <w:rsid w:val="7FE7F756"/>
    <w:rsid w:val="7FEB01C4"/>
    <w:rsid w:val="7FEF6137"/>
    <w:rsid w:val="7FF30E6A"/>
    <w:rsid w:val="7FF512E2"/>
    <w:rsid w:val="7FF9E922"/>
    <w:rsid w:val="7FFAA578"/>
    <w:rsid w:val="7FFB092A"/>
    <w:rsid w:val="7FFC041A"/>
    <w:rsid w:val="7FFFAADE"/>
    <w:rsid w:val="7FFFBA8F"/>
    <w:rsid w:val="7FFFDCC0"/>
    <w:rsid w:val="8EDF4397"/>
    <w:rsid w:val="8FBFF54E"/>
    <w:rsid w:val="8FCF1DE1"/>
    <w:rsid w:val="94EF4F28"/>
    <w:rsid w:val="9A5ED525"/>
    <w:rsid w:val="9BFF8EBD"/>
    <w:rsid w:val="9EEE52EB"/>
    <w:rsid w:val="9FB30895"/>
    <w:rsid w:val="9FC7F6E5"/>
    <w:rsid w:val="9FFE718F"/>
    <w:rsid w:val="9FFF6784"/>
    <w:rsid w:val="9FFFFB2E"/>
    <w:rsid w:val="A26EB80E"/>
    <w:rsid w:val="A77FEE2B"/>
    <w:rsid w:val="ABF75CBB"/>
    <w:rsid w:val="AC7B7E0E"/>
    <w:rsid w:val="ADB78354"/>
    <w:rsid w:val="AED82A83"/>
    <w:rsid w:val="AEDD18FF"/>
    <w:rsid w:val="AF641D1C"/>
    <w:rsid w:val="AFECA635"/>
    <w:rsid w:val="AFFB0872"/>
    <w:rsid w:val="AFFE70F9"/>
    <w:rsid w:val="B0E6CF71"/>
    <w:rsid w:val="B0EB5A96"/>
    <w:rsid w:val="B134DDA8"/>
    <w:rsid w:val="B265D556"/>
    <w:rsid w:val="B2BE5DB0"/>
    <w:rsid w:val="B3571ACB"/>
    <w:rsid w:val="B36EAD7B"/>
    <w:rsid w:val="B77D3191"/>
    <w:rsid w:val="B7AEE049"/>
    <w:rsid w:val="B7CE57CD"/>
    <w:rsid w:val="B7D7983B"/>
    <w:rsid w:val="B7FE07E2"/>
    <w:rsid w:val="BB777A33"/>
    <w:rsid w:val="BBEE2051"/>
    <w:rsid w:val="BBF7FD6B"/>
    <w:rsid w:val="BDE876F0"/>
    <w:rsid w:val="BDEF522B"/>
    <w:rsid w:val="BEEEE457"/>
    <w:rsid w:val="BEFD99BF"/>
    <w:rsid w:val="BEFFABDB"/>
    <w:rsid w:val="BEFFDE38"/>
    <w:rsid w:val="BF35237C"/>
    <w:rsid w:val="BF9BF269"/>
    <w:rsid w:val="BFBEF5E5"/>
    <w:rsid w:val="BFCF441F"/>
    <w:rsid w:val="BFEB88F4"/>
    <w:rsid w:val="BFEF1803"/>
    <w:rsid w:val="BFF7758B"/>
    <w:rsid w:val="BFFB2989"/>
    <w:rsid w:val="BFFF2EC0"/>
    <w:rsid w:val="C3FE36A2"/>
    <w:rsid w:val="C4113FE5"/>
    <w:rsid w:val="C6EE5606"/>
    <w:rsid w:val="C6F986E4"/>
    <w:rsid w:val="C6FFDE2B"/>
    <w:rsid w:val="C7FDC1D0"/>
    <w:rsid w:val="C8FB0701"/>
    <w:rsid w:val="C9FCB202"/>
    <w:rsid w:val="CBEE748B"/>
    <w:rsid w:val="CE7E6F86"/>
    <w:rsid w:val="CF6F2140"/>
    <w:rsid w:val="CFAF11EC"/>
    <w:rsid w:val="CFDB72D1"/>
    <w:rsid w:val="CFEFA230"/>
    <w:rsid w:val="CFFF2694"/>
    <w:rsid w:val="D1BF747D"/>
    <w:rsid w:val="D39AA514"/>
    <w:rsid w:val="D6FFFE2D"/>
    <w:rsid w:val="D77DCD12"/>
    <w:rsid w:val="D7FBFC0F"/>
    <w:rsid w:val="D7FE0350"/>
    <w:rsid w:val="D7FE9A29"/>
    <w:rsid w:val="D7FFE6AF"/>
    <w:rsid w:val="D95E3A8F"/>
    <w:rsid w:val="D99504EF"/>
    <w:rsid w:val="DAFD7F6A"/>
    <w:rsid w:val="DB3E13DF"/>
    <w:rsid w:val="DBD6EB57"/>
    <w:rsid w:val="DBF62662"/>
    <w:rsid w:val="DBFC9C3A"/>
    <w:rsid w:val="DBFD1687"/>
    <w:rsid w:val="DBFF4858"/>
    <w:rsid w:val="DC7EB132"/>
    <w:rsid w:val="DCBEA0AF"/>
    <w:rsid w:val="DCEE8043"/>
    <w:rsid w:val="DD5EDB37"/>
    <w:rsid w:val="DE3FB864"/>
    <w:rsid w:val="DE9AB642"/>
    <w:rsid w:val="DEBB350F"/>
    <w:rsid w:val="DEEFF2F7"/>
    <w:rsid w:val="DEFF0091"/>
    <w:rsid w:val="DF1F6E04"/>
    <w:rsid w:val="DF4F1911"/>
    <w:rsid w:val="DF5F84C7"/>
    <w:rsid w:val="DF66EF8B"/>
    <w:rsid w:val="DF7BA630"/>
    <w:rsid w:val="DF7F2B8B"/>
    <w:rsid w:val="DFBB967D"/>
    <w:rsid w:val="DFBDA347"/>
    <w:rsid w:val="DFEB2C8E"/>
    <w:rsid w:val="DFFF02B9"/>
    <w:rsid w:val="E16C1E6F"/>
    <w:rsid w:val="E1D9A4FD"/>
    <w:rsid w:val="E737DD2F"/>
    <w:rsid w:val="E7BBA80D"/>
    <w:rsid w:val="E7F649D4"/>
    <w:rsid w:val="E99D7335"/>
    <w:rsid w:val="EAB5594E"/>
    <w:rsid w:val="EBB731DD"/>
    <w:rsid w:val="EBB75BBD"/>
    <w:rsid w:val="EBFD2BDB"/>
    <w:rsid w:val="EBFED5E6"/>
    <w:rsid w:val="EBFF6F11"/>
    <w:rsid w:val="EC93A452"/>
    <w:rsid w:val="EC958FEA"/>
    <w:rsid w:val="ECEFF239"/>
    <w:rsid w:val="ED3982E3"/>
    <w:rsid w:val="ED7DD499"/>
    <w:rsid w:val="ED7F4ED0"/>
    <w:rsid w:val="EDB7916B"/>
    <w:rsid w:val="EDEF5CBD"/>
    <w:rsid w:val="EDF3E8A6"/>
    <w:rsid w:val="EDFB0E00"/>
    <w:rsid w:val="EE57DB5C"/>
    <w:rsid w:val="EEAF4A7F"/>
    <w:rsid w:val="EEBFC13E"/>
    <w:rsid w:val="EEEF106B"/>
    <w:rsid w:val="EEFF82B4"/>
    <w:rsid w:val="EF57309C"/>
    <w:rsid w:val="EF5F7351"/>
    <w:rsid w:val="EF7276FB"/>
    <w:rsid w:val="EF7BD798"/>
    <w:rsid w:val="EFB5C78D"/>
    <w:rsid w:val="EFBE0AD5"/>
    <w:rsid w:val="EFE3EE7F"/>
    <w:rsid w:val="EFE74C92"/>
    <w:rsid w:val="EFF74666"/>
    <w:rsid w:val="F095C415"/>
    <w:rsid w:val="F0AFE35F"/>
    <w:rsid w:val="F2C2AB02"/>
    <w:rsid w:val="F37D9750"/>
    <w:rsid w:val="F3AAAAA1"/>
    <w:rsid w:val="F3CF4FB7"/>
    <w:rsid w:val="F41D7E64"/>
    <w:rsid w:val="F4BD875B"/>
    <w:rsid w:val="F4EFE9D3"/>
    <w:rsid w:val="F61B348A"/>
    <w:rsid w:val="F6520062"/>
    <w:rsid w:val="F6D54F91"/>
    <w:rsid w:val="F6D7EF78"/>
    <w:rsid w:val="F6FF567E"/>
    <w:rsid w:val="F6FF9E8C"/>
    <w:rsid w:val="F71E4865"/>
    <w:rsid w:val="F72C2E6D"/>
    <w:rsid w:val="F73E1329"/>
    <w:rsid w:val="F75BA114"/>
    <w:rsid w:val="F75DC1AD"/>
    <w:rsid w:val="F75F2C6D"/>
    <w:rsid w:val="F76FC25E"/>
    <w:rsid w:val="F787EABE"/>
    <w:rsid w:val="F7889B50"/>
    <w:rsid w:val="F7AE726D"/>
    <w:rsid w:val="F7BB7038"/>
    <w:rsid w:val="F7C5A586"/>
    <w:rsid w:val="F7EB7047"/>
    <w:rsid w:val="F7EF25D9"/>
    <w:rsid w:val="F7EF55F5"/>
    <w:rsid w:val="F7F410FC"/>
    <w:rsid w:val="F7FBA42E"/>
    <w:rsid w:val="F7FC9CC1"/>
    <w:rsid w:val="F7FE3CB0"/>
    <w:rsid w:val="F82D047F"/>
    <w:rsid w:val="F89F8BAB"/>
    <w:rsid w:val="F9CF988F"/>
    <w:rsid w:val="F9EEC4C8"/>
    <w:rsid w:val="F9FE7287"/>
    <w:rsid w:val="FA3F7082"/>
    <w:rsid w:val="FA4D8039"/>
    <w:rsid w:val="FA5DCEEC"/>
    <w:rsid w:val="FAA54045"/>
    <w:rsid w:val="FABFE58F"/>
    <w:rsid w:val="FAFD9633"/>
    <w:rsid w:val="FAFF9E26"/>
    <w:rsid w:val="FB5D2B99"/>
    <w:rsid w:val="FB639927"/>
    <w:rsid w:val="FB7AA3F6"/>
    <w:rsid w:val="FB7F19C1"/>
    <w:rsid w:val="FB7FD1FC"/>
    <w:rsid w:val="FBBDA8BB"/>
    <w:rsid w:val="FBBFEF49"/>
    <w:rsid w:val="FBED33A9"/>
    <w:rsid w:val="FBEF34C1"/>
    <w:rsid w:val="FBEF377D"/>
    <w:rsid w:val="FBEF56A3"/>
    <w:rsid w:val="FBF53AAE"/>
    <w:rsid w:val="FBFA9DF1"/>
    <w:rsid w:val="FBFB31ED"/>
    <w:rsid w:val="FBFEC1B3"/>
    <w:rsid w:val="FBFF4D7F"/>
    <w:rsid w:val="FBFFFB95"/>
    <w:rsid w:val="FD3FB3B4"/>
    <w:rsid w:val="FD5D2ADF"/>
    <w:rsid w:val="FD777AB5"/>
    <w:rsid w:val="FD7B8E0F"/>
    <w:rsid w:val="FDAF832B"/>
    <w:rsid w:val="FDB3DBAE"/>
    <w:rsid w:val="FDBBE41A"/>
    <w:rsid w:val="FDE760F1"/>
    <w:rsid w:val="FDFF5699"/>
    <w:rsid w:val="FDFF8840"/>
    <w:rsid w:val="FE3E6EDC"/>
    <w:rsid w:val="FE5E40FA"/>
    <w:rsid w:val="FE7995BA"/>
    <w:rsid w:val="FE7EC854"/>
    <w:rsid w:val="FE9F301F"/>
    <w:rsid w:val="FEB76F32"/>
    <w:rsid w:val="FEB7E16B"/>
    <w:rsid w:val="FEBE97FD"/>
    <w:rsid w:val="FEBF02CF"/>
    <w:rsid w:val="FEBF67C9"/>
    <w:rsid w:val="FEDD3735"/>
    <w:rsid w:val="FEDE60DC"/>
    <w:rsid w:val="FEEF028B"/>
    <w:rsid w:val="FEFD8236"/>
    <w:rsid w:val="FEFF957A"/>
    <w:rsid w:val="FEFFA922"/>
    <w:rsid w:val="FF0F17AC"/>
    <w:rsid w:val="FF2EED2C"/>
    <w:rsid w:val="FF5229E0"/>
    <w:rsid w:val="FF57EA7D"/>
    <w:rsid w:val="FF5FD92A"/>
    <w:rsid w:val="FF6C5DC1"/>
    <w:rsid w:val="FF7572E0"/>
    <w:rsid w:val="FF7D29E2"/>
    <w:rsid w:val="FF7E3EA0"/>
    <w:rsid w:val="FF7E43A2"/>
    <w:rsid w:val="FF7F49A8"/>
    <w:rsid w:val="FF7F7AB7"/>
    <w:rsid w:val="FF7F9B93"/>
    <w:rsid w:val="FF969CFD"/>
    <w:rsid w:val="FFA71530"/>
    <w:rsid w:val="FFA737CB"/>
    <w:rsid w:val="FFB1279E"/>
    <w:rsid w:val="FFB77E4A"/>
    <w:rsid w:val="FFBCDBAE"/>
    <w:rsid w:val="FFBF21B0"/>
    <w:rsid w:val="FFBF265E"/>
    <w:rsid w:val="FFCCA2F5"/>
    <w:rsid w:val="FFCF2CA0"/>
    <w:rsid w:val="FFCF8FAB"/>
    <w:rsid w:val="FFD51E64"/>
    <w:rsid w:val="FFD600FB"/>
    <w:rsid w:val="FFE35D9D"/>
    <w:rsid w:val="FFEB9E34"/>
    <w:rsid w:val="FFEBCD70"/>
    <w:rsid w:val="FFEF0C42"/>
    <w:rsid w:val="FFEF4BFA"/>
    <w:rsid w:val="FFF5F731"/>
    <w:rsid w:val="FFF6CE5B"/>
    <w:rsid w:val="FFFC62DF"/>
    <w:rsid w:val="FFFC74B9"/>
    <w:rsid w:val="FFFD6499"/>
    <w:rsid w:val="FFFEAD66"/>
    <w:rsid w:val="FFFF1E2F"/>
    <w:rsid w:val="FFFF6D30"/>
    <w:rsid w:val="FFFFE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49"/>
    <w:qFormat/>
    <w:uiPriority w:val="0"/>
    <w:pPr>
      <w:keepNext/>
      <w:keepLines/>
      <w:spacing w:before="260" w:after="260" w:line="416" w:lineRule="auto"/>
      <w:outlineLvl w:val="2"/>
    </w:pPr>
    <w:rPr>
      <w:b/>
      <w:bCs/>
      <w:sz w:val="32"/>
      <w:szCs w:val="32"/>
    </w:rPr>
  </w:style>
  <w:style w:type="paragraph" w:styleId="5">
    <w:name w:val="heading 4"/>
    <w:basedOn w:val="1"/>
    <w:next w:val="1"/>
    <w:link w:val="50"/>
    <w:qFormat/>
    <w:uiPriority w:val="0"/>
    <w:pPr>
      <w:keepNext/>
      <w:keepLines/>
      <w:widowControl/>
      <w:spacing w:before="120" w:after="120" w:line="360" w:lineRule="auto"/>
      <w:jc w:val="center"/>
      <w:outlineLvl w:val="3"/>
    </w:pPr>
    <w:rPr>
      <w:rFonts w:ascii="Arial" w:hAnsi="Arial" w:eastAsia="黑体"/>
      <w:sz w:val="28"/>
      <w:szCs w:val="24"/>
    </w:rPr>
  </w:style>
  <w:style w:type="paragraph" w:styleId="6">
    <w:name w:val="heading 5"/>
    <w:basedOn w:val="1"/>
    <w:next w:val="7"/>
    <w:link w:val="51"/>
    <w:qFormat/>
    <w:uiPriority w:val="0"/>
    <w:pPr>
      <w:keepNext/>
      <w:keepLines/>
      <w:spacing w:before="280" w:after="290" w:line="376" w:lineRule="auto"/>
      <w:outlineLvl w:val="4"/>
    </w:pPr>
    <w:rPr>
      <w:b/>
      <w:sz w:val="28"/>
      <w:szCs w:val="24"/>
    </w:rPr>
  </w:style>
  <w:style w:type="paragraph" w:styleId="8">
    <w:name w:val="heading 6"/>
    <w:basedOn w:val="1"/>
    <w:next w:val="7"/>
    <w:link w:val="53"/>
    <w:qFormat/>
    <w:uiPriority w:val="0"/>
    <w:pPr>
      <w:keepNext/>
      <w:keepLines/>
      <w:spacing w:before="240" w:after="64" w:line="320" w:lineRule="auto"/>
      <w:outlineLvl w:val="5"/>
    </w:pPr>
    <w:rPr>
      <w:rFonts w:ascii="Arial" w:hAnsi="Arial" w:eastAsia="黑体"/>
      <w:b/>
      <w:sz w:val="24"/>
      <w:szCs w:val="24"/>
    </w:rPr>
  </w:style>
  <w:style w:type="paragraph" w:styleId="9">
    <w:name w:val="heading 7"/>
    <w:basedOn w:val="1"/>
    <w:next w:val="7"/>
    <w:link w:val="54"/>
    <w:qFormat/>
    <w:uiPriority w:val="0"/>
    <w:pPr>
      <w:keepNext/>
      <w:keepLines/>
      <w:spacing w:before="240" w:after="64" w:line="320" w:lineRule="auto"/>
      <w:outlineLvl w:val="6"/>
    </w:pPr>
    <w:rPr>
      <w:b/>
      <w:sz w:val="24"/>
      <w:szCs w:val="24"/>
    </w:rPr>
  </w:style>
  <w:style w:type="paragraph" w:styleId="10">
    <w:name w:val="heading 8"/>
    <w:basedOn w:val="1"/>
    <w:next w:val="7"/>
    <w:link w:val="55"/>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7"/>
    <w:link w:val="56"/>
    <w:qFormat/>
    <w:uiPriority w:val="0"/>
    <w:pPr>
      <w:keepNext/>
      <w:keepLines/>
      <w:spacing w:before="240" w:after="64" w:line="320" w:lineRule="auto"/>
      <w:outlineLvl w:val="8"/>
    </w:pPr>
    <w:rPr>
      <w:rFonts w:ascii="Arial" w:hAnsi="Arial" w:eastAsia="黑体"/>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2"/>
    <w:qFormat/>
    <w:uiPriority w:val="0"/>
    <w:pPr>
      <w:ind w:firstLine="420"/>
    </w:pPr>
    <w:rPr>
      <w:rFonts w:ascii="Calibri" w:hAnsi="Calibri"/>
      <w:szCs w:val="20"/>
    </w:rPr>
  </w:style>
  <w:style w:type="paragraph" w:styleId="12">
    <w:name w:val="Document Map"/>
    <w:basedOn w:val="1"/>
    <w:link w:val="57"/>
    <w:qFormat/>
    <w:uiPriority w:val="0"/>
    <w:rPr>
      <w:rFonts w:ascii="宋体" w:hAnsi="Calibri"/>
      <w:sz w:val="18"/>
      <w:szCs w:val="20"/>
    </w:rPr>
  </w:style>
  <w:style w:type="paragraph" w:styleId="13">
    <w:name w:val="annotation text"/>
    <w:basedOn w:val="1"/>
    <w:link w:val="58"/>
    <w:qFormat/>
    <w:uiPriority w:val="0"/>
    <w:pPr>
      <w:jc w:val="left"/>
    </w:pPr>
  </w:style>
  <w:style w:type="paragraph" w:styleId="14">
    <w:name w:val="Salutation"/>
    <w:basedOn w:val="1"/>
    <w:next w:val="1"/>
    <w:link w:val="59"/>
    <w:qFormat/>
    <w:uiPriority w:val="0"/>
    <w:rPr>
      <w:sz w:val="28"/>
      <w:szCs w:val="24"/>
    </w:rPr>
  </w:style>
  <w:style w:type="paragraph" w:styleId="15">
    <w:name w:val="Body Text 3"/>
    <w:basedOn w:val="1"/>
    <w:link w:val="60"/>
    <w:qFormat/>
    <w:uiPriority w:val="0"/>
    <w:pPr>
      <w:spacing w:line="500" w:lineRule="exact"/>
    </w:pPr>
    <w:rPr>
      <w:b/>
      <w:bCs/>
      <w:sz w:val="24"/>
      <w:szCs w:val="24"/>
    </w:rPr>
  </w:style>
  <w:style w:type="paragraph" w:styleId="16">
    <w:name w:val="Body Text"/>
    <w:basedOn w:val="1"/>
    <w:next w:val="1"/>
    <w:link w:val="61"/>
    <w:qFormat/>
    <w:uiPriority w:val="0"/>
    <w:pPr>
      <w:spacing w:line="380" w:lineRule="exact"/>
    </w:pPr>
    <w:rPr>
      <w:sz w:val="24"/>
      <w:szCs w:val="24"/>
    </w:rPr>
  </w:style>
  <w:style w:type="paragraph" w:styleId="17">
    <w:name w:val="Body Text Indent"/>
    <w:basedOn w:val="1"/>
    <w:link w:val="62"/>
    <w:qFormat/>
    <w:uiPriority w:val="0"/>
    <w:pPr>
      <w:ind w:firstLine="830" w:firstLineChars="352"/>
    </w:pPr>
    <w:rPr>
      <w:rFonts w:ascii="仿宋_GB2312" w:eastAsia="仿宋_GB2312" w:cs="仿宋_GB2312"/>
      <w:sz w:val="32"/>
      <w:szCs w:val="32"/>
    </w:rPr>
  </w:style>
  <w:style w:type="paragraph" w:styleId="18">
    <w:name w:val="Block Text"/>
    <w:basedOn w:val="1"/>
    <w:qFormat/>
    <w:uiPriority w:val="0"/>
    <w:pPr>
      <w:adjustRightInd w:val="0"/>
      <w:spacing w:line="300" w:lineRule="auto"/>
      <w:ind w:left="958" w:right="-120" w:rightChars="-120"/>
      <w:jc w:val="left"/>
    </w:pPr>
    <w:rPr>
      <w:rFonts w:ascii="宋体" w:hAnsi="宋体" w:cs="宋体"/>
      <w:sz w:val="28"/>
      <w:szCs w:val="28"/>
    </w:rPr>
  </w:style>
  <w:style w:type="paragraph" w:styleId="19">
    <w:name w:val="Plain Text"/>
    <w:basedOn w:val="1"/>
    <w:next w:val="2"/>
    <w:link w:val="63"/>
    <w:qFormat/>
    <w:uiPriority w:val="0"/>
    <w:rPr>
      <w:rFonts w:ascii="宋体" w:hAnsi="Courier New"/>
      <w:szCs w:val="20"/>
    </w:rPr>
  </w:style>
  <w:style w:type="paragraph" w:styleId="20">
    <w:name w:val="Date"/>
    <w:basedOn w:val="1"/>
    <w:next w:val="1"/>
    <w:link w:val="64"/>
    <w:qFormat/>
    <w:uiPriority w:val="0"/>
    <w:pPr>
      <w:ind w:left="100" w:leftChars="2500"/>
    </w:pPr>
  </w:style>
  <w:style w:type="paragraph" w:styleId="21">
    <w:name w:val="Body Text Indent 2"/>
    <w:basedOn w:val="1"/>
    <w:link w:val="65"/>
    <w:qFormat/>
    <w:uiPriority w:val="0"/>
    <w:pPr>
      <w:ind w:firstLine="630"/>
    </w:pPr>
    <w:rPr>
      <w:sz w:val="32"/>
      <w:szCs w:val="20"/>
    </w:rPr>
  </w:style>
  <w:style w:type="paragraph" w:styleId="22">
    <w:name w:val="endnote text"/>
    <w:basedOn w:val="1"/>
    <w:link w:val="66"/>
    <w:qFormat/>
    <w:uiPriority w:val="0"/>
    <w:pPr>
      <w:snapToGrid w:val="0"/>
      <w:jc w:val="left"/>
    </w:pPr>
    <w:rPr>
      <w:rFonts w:ascii="Calibri" w:hAnsi="Calibri"/>
      <w:szCs w:val="22"/>
    </w:rPr>
  </w:style>
  <w:style w:type="paragraph" w:styleId="23">
    <w:name w:val="Balloon Text"/>
    <w:basedOn w:val="1"/>
    <w:link w:val="67"/>
    <w:qFormat/>
    <w:uiPriority w:val="0"/>
    <w:rPr>
      <w:sz w:val="18"/>
      <w:szCs w:val="18"/>
    </w:rPr>
  </w:style>
  <w:style w:type="paragraph" w:styleId="24">
    <w:name w:val="footer"/>
    <w:basedOn w:val="1"/>
    <w:link w:val="68"/>
    <w:qFormat/>
    <w:uiPriority w:val="0"/>
    <w:pPr>
      <w:tabs>
        <w:tab w:val="center" w:pos="4153"/>
        <w:tab w:val="right" w:pos="8306"/>
      </w:tabs>
      <w:snapToGrid w:val="0"/>
      <w:jc w:val="left"/>
    </w:pPr>
    <w:rPr>
      <w:sz w:val="18"/>
      <w:szCs w:val="18"/>
    </w:rPr>
  </w:style>
  <w:style w:type="paragraph" w:styleId="25">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Body Text Indent 3"/>
    <w:basedOn w:val="1"/>
    <w:link w:val="70"/>
    <w:qFormat/>
    <w:uiPriority w:val="0"/>
    <w:pPr>
      <w:spacing w:after="120"/>
      <w:ind w:left="420" w:leftChars="200"/>
    </w:pPr>
    <w:rPr>
      <w:sz w:val="16"/>
      <w:szCs w:val="16"/>
    </w:rPr>
  </w:style>
  <w:style w:type="paragraph" w:styleId="28">
    <w:name w:val="table of figures"/>
    <w:basedOn w:val="1"/>
    <w:next w:val="1"/>
    <w:qFormat/>
    <w:uiPriority w:val="0"/>
    <w:pPr>
      <w:ind w:left="200" w:leftChars="200" w:hanging="200" w:hangingChars="200"/>
    </w:pPr>
    <w:rPr>
      <w:rFonts w:ascii="宋体" w:hAnsi="Courier New" w:cs="宋体"/>
    </w:rPr>
  </w:style>
  <w:style w:type="paragraph" w:styleId="29">
    <w:name w:val="toc 9"/>
    <w:basedOn w:val="1"/>
    <w:next w:val="1"/>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30">
    <w:name w:val="Body Text 2"/>
    <w:basedOn w:val="1"/>
    <w:link w:val="71"/>
    <w:qFormat/>
    <w:uiPriority w:val="0"/>
    <w:pPr>
      <w:spacing w:after="120" w:line="480" w:lineRule="auto"/>
    </w:pPr>
    <w:rPr>
      <w:szCs w:val="24"/>
    </w:rPr>
  </w:style>
  <w:style w:type="paragraph" w:styleId="31">
    <w:name w:val="HTML Preformatted"/>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3">
    <w:name w:val="index 1"/>
    <w:basedOn w:val="1"/>
    <w:next w:val="1"/>
    <w:qFormat/>
    <w:uiPriority w:val="0"/>
    <w:pPr>
      <w:spacing w:line="400" w:lineRule="exact"/>
      <w:ind w:firstLine="420" w:firstLineChars="200"/>
    </w:pPr>
    <w:rPr>
      <w:rFonts w:ascii="宋体" w:hAnsi="Courier New"/>
      <w:b/>
      <w:szCs w:val="20"/>
    </w:rPr>
  </w:style>
  <w:style w:type="paragraph" w:styleId="34">
    <w:name w:val="Title"/>
    <w:basedOn w:val="1"/>
    <w:next w:val="1"/>
    <w:link w:val="73"/>
    <w:qFormat/>
    <w:uiPriority w:val="0"/>
    <w:pPr>
      <w:spacing w:before="240" w:after="60"/>
      <w:jc w:val="center"/>
      <w:outlineLvl w:val="0"/>
    </w:pPr>
    <w:rPr>
      <w:rFonts w:ascii="Arial" w:hAnsi="Arial"/>
      <w:b/>
      <w:bCs/>
      <w:sz w:val="32"/>
      <w:szCs w:val="32"/>
    </w:rPr>
  </w:style>
  <w:style w:type="paragraph" w:styleId="35">
    <w:name w:val="annotation subject"/>
    <w:basedOn w:val="13"/>
    <w:next w:val="13"/>
    <w:link w:val="74"/>
    <w:qFormat/>
    <w:uiPriority w:val="0"/>
    <w:rPr>
      <w:b/>
      <w:bCs/>
    </w:rPr>
  </w:style>
  <w:style w:type="paragraph" w:styleId="36">
    <w:name w:val="Body Text First Indent"/>
    <w:basedOn w:val="16"/>
    <w:qFormat/>
    <w:uiPriority w:val="0"/>
    <w:pPr>
      <w:spacing w:after="120" w:line="240" w:lineRule="auto"/>
      <w:ind w:firstLine="420" w:firstLineChars="100"/>
    </w:pPr>
    <w:rPr>
      <w:sz w:val="21"/>
    </w:rPr>
  </w:style>
  <w:style w:type="paragraph" w:styleId="37">
    <w:name w:val="Body Text First Indent 2"/>
    <w:basedOn w:val="17"/>
    <w:qFormat/>
    <w:uiPriority w:val="0"/>
    <w:pPr>
      <w:spacing w:after="120"/>
      <w:ind w:left="420" w:leftChars="200" w:firstLine="420" w:firstLineChars="200"/>
    </w:pPr>
    <w:rPr>
      <w:rFonts w:ascii="Times New Roman" w:eastAsia="宋体" w:cs="Times New Roman"/>
      <w:sz w:val="21"/>
      <w:szCs w:val="21"/>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ascii="Times New Roman" w:hAnsi="Times New Roman" w:eastAsia="宋体" w:cs="Times New Roman"/>
      <w:b/>
      <w:bCs/>
    </w:rPr>
  </w:style>
  <w:style w:type="character" w:styleId="42">
    <w:name w:val="page number"/>
    <w:qFormat/>
    <w:uiPriority w:val="0"/>
    <w:rPr>
      <w:rFonts w:ascii="Times New Roman" w:hAnsi="Times New Roman" w:eastAsia="宋体" w:cs="Times New Roman"/>
    </w:rPr>
  </w:style>
  <w:style w:type="character" w:styleId="43">
    <w:name w:val="FollowedHyperlink"/>
    <w:qFormat/>
    <w:uiPriority w:val="0"/>
    <w:rPr>
      <w:rFonts w:ascii="Times New Roman" w:hAnsi="Times New Roman" w:eastAsia="宋体" w:cs="Times New Roman"/>
      <w:color w:val="800080"/>
      <w:u w:val="single"/>
    </w:rPr>
  </w:style>
  <w:style w:type="character" w:styleId="44">
    <w:name w:val="Hyperlink"/>
    <w:qFormat/>
    <w:uiPriority w:val="0"/>
    <w:rPr>
      <w:rFonts w:ascii="Times New Roman" w:hAnsi="Times New Roman" w:eastAsia="宋体" w:cs="Times New Roman"/>
      <w:color w:val="0000FF"/>
      <w:u w:val="single"/>
    </w:rPr>
  </w:style>
  <w:style w:type="character" w:styleId="45">
    <w:name w:val="annotation reference"/>
    <w:qFormat/>
    <w:uiPriority w:val="0"/>
    <w:rPr>
      <w:rFonts w:ascii="Times New Roman" w:hAnsi="Times New Roman" w:eastAsia="宋体" w:cs="Times New Roman"/>
      <w:sz w:val="21"/>
      <w:szCs w:val="21"/>
    </w:rPr>
  </w:style>
  <w:style w:type="character" w:styleId="46">
    <w:name w:val="HTML Sample"/>
    <w:qFormat/>
    <w:uiPriority w:val="0"/>
    <w:rPr>
      <w:rFonts w:ascii="宋体" w:hAnsi="宋体" w:eastAsia="宋体" w:cs="宋体"/>
    </w:rPr>
  </w:style>
  <w:style w:type="character" w:customStyle="1" w:styleId="47">
    <w:name w:val="标题 1 字符"/>
    <w:link w:val="2"/>
    <w:qFormat/>
    <w:uiPriority w:val="0"/>
    <w:rPr>
      <w:rFonts w:ascii="Times New Roman" w:hAnsi="Times New Roman" w:eastAsia="宋体" w:cs="Times New Roman"/>
      <w:b/>
      <w:bCs/>
      <w:kern w:val="44"/>
      <w:sz w:val="44"/>
      <w:szCs w:val="44"/>
      <w:lang w:val="en-US" w:eastAsia="zh-CN" w:bidi="ar-SA"/>
    </w:rPr>
  </w:style>
  <w:style w:type="character" w:customStyle="1" w:styleId="48">
    <w:name w:val="标题 2 字符"/>
    <w:link w:val="3"/>
    <w:qFormat/>
    <w:uiPriority w:val="0"/>
    <w:rPr>
      <w:rFonts w:ascii="Calibri Light" w:hAnsi="Calibri Light" w:eastAsia="宋体" w:cs="Times New Roman"/>
      <w:b/>
      <w:bCs/>
      <w:kern w:val="2"/>
      <w:sz w:val="32"/>
      <w:szCs w:val="32"/>
      <w:lang w:val="en-US" w:eastAsia="zh-CN" w:bidi="ar-SA"/>
    </w:rPr>
  </w:style>
  <w:style w:type="character" w:customStyle="1" w:styleId="49">
    <w:name w:val="标题 3 字符"/>
    <w:link w:val="4"/>
    <w:qFormat/>
    <w:uiPriority w:val="0"/>
    <w:rPr>
      <w:rFonts w:ascii="Times New Roman" w:hAnsi="Times New Roman" w:eastAsia="宋体" w:cs="Times New Roman"/>
      <w:b/>
      <w:bCs/>
      <w:kern w:val="2"/>
      <w:sz w:val="32"/>
      <w:szCs w:val="32"/>
      <w:lang w:val="en-US" w:eastAsia="zh-CN" w:bidi="ar-SA"/>
    </w:rPr>
  </w:style>
  <w:style w:type="character" w:customStyle="1" w:styleId="50">
    <w:name w:val="标题 4 字符"/>
    <w:link w:val="5"/>
    <w:qFormat/>
    <w:uiPriority w:val="0"/>
    <w:rPr>
      <w:rFonts w:ascii="Arial" w:hAnsi="Arial" w:eastAsia="黑体" w:cs="Times New Roman"/>
      <w:kern w:val="2"/>
      <w:sz w:val="28"/>
      <w:szCs w:val="24"/>
      <w:lang w:val="en-US" w:eastAsia="zh-CN" w:bidi="ar-SA"/>
    </w:rPr>
  </w:style>
  <w:style w:type="character" w:customStyle="1" w:styleId="51">
    <w:name w:val="标题 5 字符"/>
    <w:link w:val="6"/>
    <w:qFormat/>
    <w:uiPriority w:val="0"/>
    <w:rPr>
      <w:rFonts w:ascii="Times New Roman" w:hAnsi="Times New Roman" w:eastAsia="宋体" w:cs="Times New Roman"/>
      <w:b/>
      <w:kern w:val="2"/>
      <w:sz w:val="28"/>
      <w:szCs w:val="24"/>
      <w:lang w:val="en-US" w:eastAsia="zh-CN" w:bidi="ar-SA"/>
    </w:rPr>
  </w:style>
  <w:style w:type="character" w:customStyle="1" w:styleId="52">
    <w:name w:val="正文缩进 字符"/>
    <w:link w:val="7"/>
    <w:qFormat/>
    <w:uiPriority w:val="0"/>
    <w:rPr>
      <w:rFonts w:ascii="Calibri" w:hAnsi="Calibri" w:eastAsia="宋体" w:cs="Times New Roman"/>
      <w:kern w:val="2"/>
      <w:sz w:val="21"/>
      <w:lang w:val="en-US" w:eastAsia="zh-CN" w:bidi="ar-SA"/>
    </w:rPr>
  </w:style>
  <w:style w:type="character" w:customStyle="1" w:styleId="53">
    <w:name w:val="标题 6 字符"/>
    <w:link w:val="8"/>
    <w:qFormat/>
    <w:uiPriority w:val="0"/>
    <w:rPr>
      <w:rFonts w:ascii="Arial" w:hAnsi="Arial" w:eastAsia="黑体" w:cs="Times New Roman"/>
      <w:b/>
      <w:kern w:val="2"/>
      <w:sz w:val="24"/>
      <w:szCs w:val="24"/>
      <w:lang w:val="en-US" w:eastAsia="zh-CN" w:bidi="ar-SA"/>
    </w:rPr>
  </w:style>
  <w:style w:type="character" w:customStyle="1" w:styleId="54">
    <w:name w:val="标题 7 字符"/>
    <w:link w:val="9"/>
    <w:qFormat/>
    <w:uiPriority w:val="0"/>
    <w:rPr>
      <w:rFonts w:ascii="Times New Roman" w:hAnsi="Times New Roman" w:eastAsia="宋体" w:cs="Times New Roman"/>
      <w:b/>
      <w:kern w:val="2"/>
      <w:sz w:val="24"/>
      <w:szCs w:val="24"/>
      <w:lang w:val="en-US" w:eastAsia="zh-CN" w:bidi="ar-SA"/>
    </w:rPr>
  </w:style>
  <w:style w:type="character" w:customStyle="1" w:styleId="55">
    <w:name w:val="标题 8 字符"/>
    <w:link w:val="10"/>
    <w:qFormat/>
    <w:uiPriority w:val="0"/>
    <w:rPr>
      <w:rFonts w:ascii="Arial" w:hAnsi="Arial" w:eastAsia="黑体" w:cs="Times New Roman"/>
      <w:kern w:val="2"/>
      <w:sz w:val="24"/>
      <w:szCs w:val="24"/>
      <w:lang w:val="en-US" w:eastAsia="zh-CN" w:bidi="ar-SA"/>
    </w:rPr>
  </w:style>
  <w:style w:type="character" w:customStyle="1" w:styleId="56">
    <w:name w:val="标题 9 字符"/>
    <w:link w:val="11"/>
    <w:qFormat/>
    <w:uiPriority w:val="0"/>
    <w:rPr>
      <w:rFonts w:ascii="Arial" w:hAnsi="Arial" w:eastAsia="黑体" w:cs="Times New Roman"/>
      <w:kern w:val="2"/>
      <w:sz w:val="21"/>
      <w:szCs w:val="24"/>
      <w:lang w:val="en-US" w:eastAsia="zh-CN" w:bidi="ar-SA"/>
    </w:rPr>
  </w:style>
  <w:style w:type="character" w:customStyle="1" w:styleId="57">
    <w:name w:val="文档结构图 字符"/>
    <w:link w:val="12"/>
    <w:qFormat/>
    <w:uiPriority w:val="0"/>
    <w:rPr>
      <w:rFonts w:ascii="宋体" w:hAnsi="Calibri" w:eastAsia="宋体" w:cs="Times New Roman"/>
      <w:kern w:val="2"/>
      <w:sz w:val="18"/>
      <w:lang w:val="en-US" w:eastAsia="zh-CN" w:bidi="ar-SA"/>
    </w:rPr>
  </w:style>
  <w:style w:type="character" w:customStyle="1" w:styleId="58">
    <w:name w:val="批注文字 字符"/>
    <w:link w:val="13"/>
    <w:qFormat/>
    <w:uiPriority w:val="0"/>
    <w:rPr>
      <w:rFonts w:ascii="Times New Roman" w:hAnsi="Times New Roman" w:eastAsia="宋体" w:cs="Times New Roman"/>
      <w:kern w:val="2"/>
      <w:sz w:val="21"/>
      <w:szCs w:val="21"/>
      <w:lang w:val="en-US" w:eastAsia="zh-CN" w:bidi="ar-SA"/>
    </w:rPr>
  </w:style>
  <w:style w:type="character" w:customStyle="1" w:styleId="59">
    <w:name w:val="称呼 字符"/>
    <w:link w:val="14"/>
    <w:qFormat/>
    <w:uiPriority w:val="0"/>
    <w:rPr>
      <w:rFonts w:ascii="Times New Roman" w:hAnsi="Times New Roman" w:eastAsia="宋体" w:cs="Times New Roman"/>
      <w:kern w:val="2"/>
      <w:sz w:val="28"/>
      <w:szCs w:val="24"/>
      <w:lang w:bidi="ar-SA"/>
    </w:rPr>
  </w:style>
  <w:style w:type="character" w:customStyle="1" w:styleId="60">
    <w:name w:val="正文文本 3 字符"/>
    <w:link w:val="15"/>
    <w:qFormat/>
    <w:uiPriority w:val="0"/>
    <w:rPr>
      <w:rFonts w:ascii="Times New Roman" w:hAnsi="Times New Roman" w:eastAsia="宋体" w:cs="Times New Roman"/>
      <w:b/>
      <w:bCs/>
      <w:kern w:val="2"/>
      <w:sz w:val="24"/>
      <w:szCs w:val="24"/>
      <w:lang w:val="en-US" w:eastAsia="zh-CN" w:bidi="ar-SA"/>
    </w:rPr>
  </w:style>
  <w:style w:type="character" w:customStyle="1" w:styleId="61">
    <w:name w:val="正文文本 字符"/>
    <w:link w:val="16"/>
    <w:qFormat/>
    <w:uiPriority w:val="0"/>
    <w:rPr>
      <w:rFonts w:ascii="Times New Roman" w:hAnsi="Times New Roman" w:eastAsia="宋体" w:cs="Times New Roman"/>
      <w:kern w:val="2"/>
      <w:sz w:val="24"/>
      <w:szCs w:val="24"/>
      <w:lang w:val="en-US" w:eastAsia="zh-CN" w:bidi="ar-SA"/>
    </w:rPr>
  </w:style>
  <w:style w:type="character" w:customStyle="1" w:styleId="62">
    <w:name w:val="正文文本缩进 字符"/>
    <w:link w:val="17"/>
    <w:qFormat/>
    <w:uiPriority w:val="0"/>
    <w:rPr>
      <w:rFonts w:ascii="仿宋_GB2312" w:hAnsi="Times New Roman" w:eastAsia="仿宋_GB2312" w:cs="仿宋_GB2312"/>
      <w:kern w:val="2"/>
      <w:sz w:val="32"/>
      <w:szCs w:val="32"/>
      <w:lang w:val="en-US" w:eastAsia="zh-CN" w:bidi="ar-SA"/>
    </w:rPr>
  </w:style>
  <w:style w:type="character" w:customStyle="1" w:styleId="63">
    <w:name w:val="纯文本 字符"/>
    <w:link w:val="19"/>
    <w:qFormat/>
    <w:uiPriority w:val="0"/>
    <w:rPr>
      <w:rFonts w:ascii="宋体" w:hAnsi="Courier New" w:eastAsia="宋体" w:cs="Times New Roman"/>
      <w:kern w:val="2"/>
      <w:sz w:val="21"/>
      <w:lang w:val="en-US" w:eastAsia="zh-CN" w:bidi="ar-SA"/>
    </w:rPr>
  </w:style>
  <w:style w:type="character" w:customStyle="1" w:styleId="64">
    <w:name w:val="日期 字符"/>
    <w:link w:val="20"/>
    <w:qFormat/>
    <w:uiPriority w:val="0"/>
    <w:rPr>
      <w:rFonts w:ascii="Times New Roman" w:hAnsi="Times New Roman" w:eastAsia="宋体" w:cs="Times New Roman"/>
      <w:kern w:val="2"/>
      <w:sz w:val="21"/>
      <w:szCs w:val="21"/>
      <w:lang w:val="en-US" w:eastAsia="zh-CN" w:bidi="ar-SA"/>
    </w:rPr>
  </w:style>
  <w:style w:type="character" w:customStyle="1" w:styleId="65">
    <w:name w:val="正文文本缩进 2 字符"/>
    <w:link w:val="21"/>
    <w:qFormat/>
    <w:uiPriority w:val="0"/>
    <w:rPr>
      <w:rFonts w:ascii="Times New Roman" w:hAnsi="Times New Roman" w:eastAsia="宋体" w:cs="Times New Roman"/>
      <w:kern w:val="2"/>
      <w:sz w:val="32"/>
      <w:lang w:val="en-US" w:eastAsia="zh-CN" w:bidi="ar-SA"/>
    </w:rPr>
  </w:style>
  <w:style w:type="character" w:customStyle="1" w:styleId="66">
    <w:name w:val="尾注文本 字符"/>
    <w:link w:val="22"/>
    <w:qFormat/>
    <w:uiPriority w:val="0"/>
    <w:rPr>
      <w:rFonts w:ascii="Calibri" w:hAnsi="Calibri" w:eastAsia="宋体" w:cs="Times New Roman"/>
      <w:kern w:val="2"/>
      <w:sz w:val="21"/>
      <w:szCs w:val="22"/>
      <w:lang w:bidi="ar-SA"/>
    </w:rPr>
  </w:style>
  <w:style w:type="character" w:customStyle="1" w:styleId="67">
    <w:name w:val="批注框文本 字符"/>
    <w:link w:val="23"/>
    <w:qFormat/>
    <w:uiPriority w:val="0"/>
    <w:rPr>
      <w:rFonts w:ascii="Times New Roman" w:hAnsi="Times New Roman" w:eastAsia="宋体" w:cs="Times New Roman"/>
      <w:kern w:val="2"/>
      <w:sz w:val="18"/>
      <w:szCs w:val="18"/>
      <w:lang w:val="en-US" w:eastAsia="zh-CN" w:bidi="ar-SA"/>
    </w:rPr>
  </w:style>
  <w:style w:type="character" w:customStyle="1" w:styleId="68">
    <w:name w:val="页脚 字符"/>
    <w:link w:val="24"/>
    <w:qFormat/>
    <w:uiPriority w:val="0"/>
    <w:rPr>
      <w:rFonts w:ascii="Times New Roman" w:hAnsi="Times New Roman" w:eastAsia="宋体" w:cs="Times New Roman"/>
      <w:kern w:val="2"/>
      <w:sz w:val="18"/>
      <w:szCs w:val="18"/>
      <w:lang w:val="en-US" w:eastAsia="zh-CN" w:bidi="ar-SA"/>
    </w:rPr>
  </w:style>
  <w:style w:type="character" w:customStyle="1" w:styleId="69">
    <w:name w:val="页眉 字符"/>
    <w:link w:val="25"/>
    <w:qFormat/>
    <w:uiPriority w:val="0"/>
    <w:rPr>
      <w:rFonts w:ascii="Times New Roman" w:hAnsi="Times New Roman" w:eastAsia="宋体" w:cs="Times New Roman"/>
      <w:kern w:val="2"/>
      <w:sz w:val="18"/>
      <w:szCs w:val="18"/>
      <w:lang w:val="en-US" w:eastAsia="zh-CN" w:bidi="ar-SA"/>
    </w:rPr>
  </w:style>
  <w:style w:type="character" w:customStyle="1" w:styleId="70">
    <w:name w:val="正文文本缩进 3 字符"/>
    <w:link w:val="27"/>
    <w:qFormat/>
    <w:uiPriority w:val="0"/>
    <w:rPr>
      <w:rFonts w:ascii="Times New Roman" w:hAnsi="Times New Roman" w:eastAsia="宋体" w:cs="Times New Roman"/>
      <w:kern w:val="2"/>
      <w:sz w:val="16"/>
      <w:szCs w:val="16"/>
      <w:lang w:val="en-US" w:eastAsia="zh-CN" w:bidi="ar-SA"/>
    </w:rPr>
  </w:style>
  <w:style w:type="character" w:customStyle="1" w:styleId="71">
    <w:name w:val="正文文本 2 字符"/>
    <w:link w:val="30"/>
    <w:qFormat/>
    <w:uiPriority w:val="0"/>
    <w:rPr>
      <w:rFonts w:ascii="Times New Roman" w:hAnsi="Times New Roman" w:eastAsia="宋体" w:cs="Times New Roman"/>
      <w:kern w:val="2"/>
      <w:sz w:val="21"/>
      <w:szCs w:val="24"/>
      <w:lang w:val="en-US" w:eastAsia="zh-CN" w:bidi="ar-SA"/>
    </w:rPr>
  </w:style>
  <w:style w:type="character" w:customStyle="1" w:styleId="72">
    <w:name w:val="HTML 预设格式 字符"/>
    <w:link w:val="31"/>
    <w:qFormat/>
    <w:uiPriority w:val="0"/>
    <w:rPr>
      <w:rFonts w:ascii="黑体" w:hAnsi="Courier New" w:eastAsia="黑体" w:cs="Courier New"/>
      <w:lang w:val="en-US" w:eastAsia="zh-CN" w:bidi="ar-SA"/>
    </w:rPr>
  </w:style>
  <w:style w:type="character" w:customStyle="1" w:styleId="73">
    <w:name w:val="标题 字符"/>
    <w:link w:val="34"/>
    <w:qFormat/>
    <w:uiPriority w:val="0"/>
    <w:rPr>
      <w:rFonts w:ascii="Arial" w:hAnsi="Arial" w:eastAsia="宋体" w:cs="Times New Roman"/>
      <w:b/>
      <w:bCs/>
      <w:kern w:val="2"/>
      <w:sz w:val="32"/>
      <w:szCs w:val="32"/>
      <w:lang w:bidi="ar-SA"/>
    </w:rPr>
  </w:style>
  <w:style w:type="character" w:customStyle="1" w:styleId="74">
    <w:name w:val="批注主题 字符"/>
    <w:link w:val="35"/>
    <w:qFormat/>
    <w:uiPriority w:val="0"/>
    <w:rPr>
      <w:rFonts w:ascii="Times New Roman" w:hAnsi="Times New Roman" w:eastAsia="宋体" w:cs="Times New Roman"/>
      <w:b/>
      <w:bCs/>
      <w:kern w:val="2"/>
      <w:sz w:val="21"/>
      <w:szCs w:val="21"/>
      <w:lang w:val="en-US" w:eastAsia="zh-CN" w:bidi="ar-SA"/>
    </w:rPr>
  </w:style>
  <w:style w:type="paragraph" w:customStyle="1" w:styleId="75">
    <w:name w:val="样式 0正文 + 首行缩进:  2 字符1"/>
    <w:basedOn w:val="1"/>
    <w:qFormat/>
    <w:uiPriority w:val="0"/>
    <w:pPr>
      <w:spacing w:line="360" w:lineRule="auto"/>
      <w:ind w:firstLine="200" w:firstLineChars="200"/>
    </w:pPr>
    <w:rPr>
      <w:szCs w:val="20"/>
    </w:rPr>
  </w:style>
  <w:style w:type="character" w:customStyle="1" w:styleId="76">
    <w:name w:val="15"/>
    <w:qFormat/>
    <w:uiPriority w:val="0"/>
    <w:rPr>
      <w:rFonts w:hint="default" w:ascii="Times New Roman" w:hAnsi="Times New Roman" w:eastAsia="宋体" w:cs="Times New Roman"/>
      <w:color w:val="0000FF"/>
      <w:u w:val="single"/>
    </w:rPr>
  </w:style>
  <w:style w:type="character" w:customStyle="1" w:styleId="77">
    <w:name w:val="bookmark-item uuid-1595987359344 code-00004 addword single-line-text-input-box-cls"/>
    <w:qFormat/>
    <w:uiPriority w:val="0"/>
    <w:rPr>
      <w:rFonts w:ascii="Times New Roman" w:hAnsi="Times New Roman" w:eastAsia="宋体" w:cs="Times New Roman"/>
    </w:rPr>
  </w:style>
  <w:style w:type="character" w:customStyle="1" w:styleId="78">
    <w:name w:val="bookmark-item uuid-1595987369689 code-00003 addword single-line-text-input-box-cls"/>
    <w:qFormat/>
    <w:uiPriority w:val="0"/>
    <w:rPr>
      <w:rFonts w:ascii="Times New Roman" w:hAnsi="Times New Roman" w:eastAsia="宋体" w:cs="Times New Roman"/>
    </w:rPr>
  </w:style>
  <w:style w:type="character" w:customStyle="1" w:styleId="79">
    <w:name w:val="bookmark-item uuid-1595987387629 code-am01400034 addword numeric-input-box-cls"/>
    <w:qFormat/>
    <w:uiPriority w:val="0"/>
    <w:rPr>
      <w:rFonts w:ascii="Times New Roman" w:hAnsi="Times New Roman" w:eastAsia="宋体" w:cs="Times New Roman"/>
    </w:rPr>
  </w:style>
  <w:style w:type="character" w:customStyle="1" w:styleId="80">
    <w:name w:val="bookmark-item uuid-1593432150293 code-am014biditemname editdisable single-line-text-input-box-cls"/>
    <w:qFormat/>
    <w:uiPriority w:val="0"/>
    <w:rPr>
      <w:rFonts w:ascii="Times New Roman" w:hAnsi="Times New Roman" w:eastAsia="宋体" w:cs="Times New Roman"/>
    </w:rPr>
  </w:style>
  <w:style w:type="character" w:customStyle="1" w:styleId="81">
    <w:name w:val="bookmark-item uuid-1595941076685 code-am014biditemcount editdisable single-line-text-input-box-cls"/>
    <w:qFormat/>
    <w:uiPriority w:val="0"/>
    <w:rPr>
      <w:rFonts w:ascii="Times New Roman" w:hAnsi="Times New Roman" w:eastAsia="宋体" w:cs="Times New Roman"/>
    </w:rPr>
  </w:style>
  <w:style w:type="character" w:customStyle="1" w:styleId="82">
    <w:name w:val="bookmark-item uuid-1593421137256 code-am014budgetprice editdisable single-line-text-input-box-cls"/>
    <w:qFormat/>
    <w:uiPriority w:val="0"/>
    <w:rPr>
      <w:rFonts w:ascii="Times New Roman" w:hAnsi="Times New Roman" w:eastAsia="宋体" w:cs="Times New Roman"/>
    </w:rPr>
  </w:style>
  <w:style w:type="character" w:customStyle="1" w:styleId="83">
    <w:name w:val="bookmark-item uuid-1593421202487 code-am014briefspecificationdesc editdisable single-line-text-input-box-cls"/>
    <w:qFormat/>
    <w:uiPriority w:val="0"/>
    <w:rPr>
      <w:rFonts w:ascii="Times New Roman" w:hAnsi="Times New Roman" w:eastAsia="宋体" w:cs="Times New Roman"/>
    </w:rPr>
  </w:style>
  <w:style w:type="character" w:customStyle="1" w:styleId="84">
    <w:name w:val="bookmark-item uuid-1593432166973 code-am014remarks editdisable single-line-text-input-box-cls"/>
    <w:qFormat/>
    <w:uiPriority w:val="0"/>
    <w:rPr>
      <w:rFonts w:ascii="Times New Roman" w:hAnsi="Times New Roman" w:eastAsia="宋体" w:cs="Times New Roman"/>
    </w:rPr>
  </w:style>
  <w:style w:type="character" w:customStyle="1" w:styleId="85">
    <w:name w:val="bookmark-item uuid-1595987425520 code-23021 editdisable multi-line-text-input-box-cls readonly"/>
    <w:qFormat/>
    <w:uiPriority w:val="0"/>
    <w:rPr>
      <w:rFonts w:ascii="Times New Roman" w:hAnsi="Times New Roman" w:eastAsia="宋体" w:cs="Times New Roman"/>
    </w:rPr>
  </w:style>
  <w:style w:type="character" w:customStyle="1" w:styleId="86">
    <w:name w:val="bookmark-item uuid-1596276761070 code-22002 editdisable multi-line-text-input-box-cls readonly"/>
    <w:qFormat/>
    <w:uiPriority w:val="0"/>
    <w:rPr>
      <w:rFonts w:ascii="Times New Roman" w:hAnsi="Times New Roman" w:eastAsia="宋体" w:cs="Times New Roman"/>
    </w:rPr>
  </w:style>
  <w:style w:type="character" w:customStyle="1" w:styleId="87">
    <w:name w:val="bookmark-item uuid-1595987985571 code-25003 addword date-selection-cls"/>
    <w:qFormat/>
    <w:uiPriority w:val="0"/>
    <w:rPr>
      <w:rFonts w:ascii="Times New Roman" w:hAnsi="Times New Roman" w:eastAsia="宋体" w:cs="Times New Roman"/>
    </w:rPr>
  </w:style>
  <w:style w:type="character" w:customStyle="1" w:styleId="88">
    <w:name w:val="bookmark-item uuid-1595987959773 code-25004 editdisable date-selection-cls readonly"/>
    <w:qFormat/>
    <w:uiPriority w:val="0"/>
    <w:rPr>
      <w:rFonts w:ascii="Times New Roman" w:hAnsi="Times New Roman" w:eastAsia="宋体" w:cs="Times New Roman"/>
    </w:rPr>
  </w:style>
  <w:style w:type="character" w:customStyle="1" w:styleId="89">
    <w:name w:val="bookmark-item uuid-1595988019709 code-25005 addword morning-time-section-selection-cls"/>
    <w:qFormat/>
    <w:uiPriority w:val="0"/>
    <w:rPr>
      <w:rFonts w:ascii="Times New Roman" w:hAnsi="Times New Roman" w:eastAsia="宋体" w:cs="Times New Roman"/>
    </w:rPr>
  </w:style>
  <w:style w:type="character" w:customStyle="1" w:styleId="90">
    <w:name w:val="bookmark-item uuid-1595988030421 code-25006 addword afternoon-time-section-selection-cls"/>
    <w:qFormat/>
    <w:uiPriority w:val="0"/>
    <w:rPr>
      <w:rFonts w:ascii="Times New Roman" w:hAnsi="Times New Roman" w:eastAsia="宋体" w:cs="Times New Roman"/>
    </w:rPr>
  </w:style>
  <w:style w:type="character" w:customStyle="1" w:styleId="91">
    <w:name w:val="bookmark-item uuid-1595988073673 code-25007 editdisable single-line-text-input-box-cls readonly"/>
    <w:qFormat/>
    <w:uiPriority w:val="0"/>
    <w:rPr>
      <w:rFonts w:ascii="Times New Roman" w:hAnsi="Times New Roman" w:eastAsia="宋体" w:cs="Times New Roman"/>
    </w:rPr>
  </w:style>
  <w:style w:type="character" w:customStyle="1" w:styleId="92">
    <w:name w:val="bookmark-item uuid-1595988080611 code-25008 editdisable single-line-text-input-box-cls readonly"/>
    <w:qFormat/>
    <w:uiPriority w:val="0"/>
    <w:rPr>
      <w:rFonts w:ascii="Times New Roman" w:hAnsi="Times New Roman" w:eastAsia="宋体" w:cs="Times New Roman"/>
    </w:rPr>
  </w:style>
  <w:style w:type="character" w:customStyle="1" w:styleId="93">
    <w:name w:val="bookmark-item uuid-1595988095908 code-25009 addword numeric-input-box-cls"/>
    <w:qFormat/>
    <w:uiPriority w:val="0"/>
    <w:rPr>
      <w:rFonts w:ascii="Times New Roman" w:hAnsi="Times New Roman" w:eastAsia="宋体" w:cs="Times New Roman"/>
    </w:rPr>
  </w:style>
  <w:style w:type="character" w:customStyle="1" w:styleId="94">
    <w:name w:val="bookmark-item uuid-1595988122451 code-25011 addword date-time-selection-cls"/>
    <w:qFormat/>
    <w:uiPriority w:val="0"/>
    <w:rPr>
      <w:rFonts w:ascii="Times New Roman" w:hAnsi="Times New Roman" w:eastAsia="宋体" w:cs="Times New Roman"/>
    </w:rPr>
  </w:style>
  <w:style w:type="character" w:customStyle="1" w:styleId="95">
    <w:name w:val="bookmark-item uuid-1595988200124 code-25012 editdisable single-line-text-input-box-cls readonly"/>
    <w:qFormat/>
    <w:uiPriority w:val="0"/>
    <w:rPr>
      <w:rFonts w:ascii="Times New Roman" w:hAnsi="Times New Roman" w:eastAsia="宋体" w:cs="Times New Roman"/>
    </w:rPr>
  </w:style>
  <w:style w:type="character" w:customStyle="1" w:styleId="96">
    <w:name w:val="bookmark-item uuid-1595988227171 code-25011 addword date-time-selection-cls"/>
    <w:qFormat/>
    <w:uiPriority w:val="0"/>
    <w:rPr>
      <w:rFonts w:ascii="Times New Roman" w:hAnsi="Times New Roman" w:eastAsia="宋体" w:cs="Times New Roman"/>
    </w:rPr>
  </w:style>
  <w:style w:type="character" w:customStyle="1" w:styleId="97">
    <w:name w:val="bookmark-item uuid-1595988252461 code-25015 editdisable single-line-text-input-box-cls readonly"/>
    <w:qFormat/>
    <w:uiPriority w:val="0"/>
    <w:rPr>
      <w:rFonts w:ascii="Times New Roman" w:hAnsi="Times New Roman" w:eastAsia="宋体" w:cs="Times New Roman"/>
    </w:rPr>
  </w:style>
  <w:style w:type="character" w:customStyle="1" w:styleId="98">
    <w:name w:val="bookmark-item uuid-1589194982864 code-31006 addword multi-line-text-input-box-cls"/>
    <w:qFormat/>
    <w:uiPriority w:val="0"/>
    <w:rPr>
      <w:rFonts w:ascii="Times New Roman" w:hAnsi="Times New Roman" w:eastAsia="宋体" w:cs="Times New Roman"/>
    </w:rPr>
  </w:style>
  <w:style w:type="character" w:customStyle="1" w:styleId="99">
    <w:name w:val="bookmark-item uuid-1596004663203 code-00014 editdisable interval-text-box-cls readonly"/>
    <w:qFormat/>
    <w:uiPriority w:val="0"/>
    <w:rPr>
      <w:rFonts w:ascii="Times New Roman" w:hAnsi="Times New Roman" w:eastAsia="宋体" w:cs="Times New Roman"/>
    </w:rPr>
  </w:style>
  <w:style w:type="character" w:customStyle="1" w:styleId="100">
    <w:name w:val="bookmark-item uuid-1596004672274 code-00018 addword single-line-text-input-box-cls"/>
    <w:qFormat/>
    <w:uiPriority w:val="0"/>
    <w:rPr>
      <w:rFonts w:ascii="Times New Roman" w:hAnsi="Times New Roman" w:eastAsia="宋体" w:cs="Times New Roman"/>
    </w:rPr>
  </w:style>
  <w:style w:type="character" w:customStyle="1" w:styleId="101">
    <w:name w:val="bookmark-item uuid-1596004688403 code-00015 editdisable single-line-text-input-box-cls readonly"/>
    <w:qFormat/>
    <w:uiPriority w:val="0"/>
    <w:rPr>
      <w:rFonts w:ascii="Times New Roman" w:hAnsi="Times New Roman" w:eastAsia="宋体" w:cs="Times New Roman"/>
    </w:rPr>
  </w:style>
  <w:style w:type="character" w:customStyle="1" w:styleId="102">
    <w:name w:val="bookmark-item uuid-1596004695990 code-00016 editdisable single-line-text-input-box-cls readonly"/>
    <w:qFormat/>
    <w:uiPriority w:val="0"/>
    <w:rPr>
      <w:rFonts w:ascii="Times New Roman" w:hAnsi="Times New Roman" w:eastAsia="宋体" w:cs="Times New Roman"/>
    </w:rPr>
  </w:style>
  <w:style w:type="character" w:customStyle="1" w:styleId="103">
    <w:name w:val="bookmark-item uuid-1596004721081 code-00009 addword interval-text-box-cls"/>
    <w:qFormat/>
    <w:uiPriority w:val="0"/>
    <w:rPr>
      <w:rFonts w:ascii="Times New Roman" w:hAnsi="Times New Roman" w:eastAsia="宋体" w:cs="Times New Roman"/>
    </w:rPr>
  </w:style>
  <w:style w:type="character" w:customStyle="1" w:styleId="104">
    <w:name w:val="bookmark-item uuid-1596004728442 code-00013 editdisable single-line-text-input-box-cls readonly"/>
    <w:qFormat/>
    <w:uiPriority w:val="0"/>
    <w:rPr>
      <w:rFonts w:ascii="Times New Roman" w:hAnsi="Times New Roman" w:eastAsia="宋体" w:cs="Times New Roman"/>
    </w:rPr>
  </w:style>
  <w:style w:type="character" w:customStyle="1" w:styleId="105">
    <w:name w:val="bookmark-item uuid-1596004745033 code-00010 editdisable single-line-text-input-box-cls readonly"/>
    <w:qFormat/>
    <w:uiPriority w:val="0"/>
    <w:rPr>
      <w:rFonts w:ascii="Times New Roman" w:hAnsi="Times New Roman" w:eastAsia="宋体" w:cs="Times New Roman"/>
    </w:rPr>
  </w:style>
  <w:style w:type="character" w:customStyle="1" w:styleId="106">
    <w:name w:val="bookmark-item uuid-1596004753055 code-00011 addword single-line-text-input-box-cls"/>
    <w:qFormat/>
    <w:uiPriority w:val="0"/>
    <w:rPr>
      <w:rFonts w:ascii="Times New Roman" w:hAnsi="Times New Roman" w:eastAsia="宋体" w:cs="Times New Roman"/>
    </w:rPr>
  </w:style>
  <w:style w:type="paragraph" w:customStyle="1" w:styleId="107">
    <w:name w:val="1"/>
    <w:basedOn w:val="1"/>
    <w:next w:val="19"/>
    <w:qFormat/>
    <w:uiPriority w:val="0"/>
    <w:rPr>
      <w:rFonts w:ascii="宋体" w:hAnsi="Courier New" w:cs="宋体"/>
    </w:rPr>
  </w:style>
  <w:style w:type="character" w:customStyle="1" w:styleId="108">
    <w:name w:val="Body text|3_"/>
    <w:link w:val="109"/>
    <w:qFormat/>
    <w:uiPriority w:val="0"/>
    <w:rPr>
      <w:rFonts w:ascii="宋体" w:hAnsi="宋体" w:eastAsia="宋体" w:cs="Times New Roman"/>
      <w:sz w:val="34"/>
      <w:szCs w:val="34"/>
      <w:lang w:bidi="ar-SA"/>
    </w:rPr>
  </w:style>
  <w:style w:type="paragraph" w:customStyle="1" w:styleId="109">
    <w:name w:val="Body text|3"/>
    <w:basedOn w:val="1"/>
    <w:link w:val="108"/>
    <w:qFormat/>
    <w:uiPriority w:val="0"/>
    <w:pPr>
      <w:spacing w:after="460"/>
      <w:jc w:val="center"/>
    </w:pPr>
    <w:rPr>
      <w:rFonts w:ascii="宋体" w:hAnsi="宋体" w:eastAsia="Times New Roman"/>
      <w:kern w:val="0"/>
      <w:sz w:val="34"/>
      <w:szCs w:val="34"/>
    </w:rPr>
  </w:style>
  <w:style w:type="character" w:customStyle="1" w:styleId="110">
    <w:name w:val="Body text|1_"/>
    <w:link w:val="111"/>
    <w:qFormat/>
    <w:uiPriority w:val="0"/>
    <w:rPr>
      <w:rFonts w:ascii="宋体" w:hAnsi="宋体" w:eastAsia="宋体" w:cs="Times New Roman"/>
      <w:sz w:val="30"/>
      <w:szCs w:val="30"/>
      <w:lang w:bidi="ar-SA"/>
    </w:rPr>
  </w:style>
  <w:style w:type="paragraph" w:customStyle="1" w:styleId="111">
    <w:name w:val="Body text|1"/>
    <w:basedOn w:val="1"/>
    <w:link w:val="110"/>
    <w:qFormat/>
    <w:uiPriority w:val="0"/>
    <w:pPr>
      <w:spacing w:line="352" w:lineRule="auto"/>
      <w:ind w:firstLine="400"/>
      <w:jc w:val="left"/>
    </w:pPr>
    <w:rPr>
      <w:rFonts w:ascii="宋体" w:hAnsi="宋体" w:eastAsia="Times New Roman"/>
      <w:kern w:val="0"/>
      <w:sz w:val="30"/>
      <w:szCs w:val="30"/>
    </w:rPr>
  </w:style>
  <w:style w:type="character" w:customStyle="1" w:styleId="112">
    <w:name w:val="纯文本 Char1"/>
    <w:qFormat/>
    <w:uiPriority w:val="0"/>
    <w:rPr>
      <w:rFonts w:ascii="宋体" w:hAnsi="Courier New" w:eastAsia="宋体" w:cs="Times New Roman"/>
      <w:kern w:val="2"/>
      <w:sz w:val="21"/>
      <w:lang w:val="en-US" w:eastAsia="zh-CN"/>
    </w:rPr>
  </w:style>
  <w:style w:type="character" w:customStyle="1" w:styleId="113">
    <w:name w:val="param-name"/>
    <w:qFormat/>
    <w:uiPriority w:val="0"/>
    <w:rPr>
      <w:rFonts w:ascii="Times New Roman" w:hAnsi="Times New Roman" w:eastAsia="宋体" w:cs="Times New Roman"/>
    </w:rPr>
  </w:style>
  <w:style w:type="character" w:customStyle="1" w:styleId="114">
    <w:name w:val="1ji Char"/>
    <w:link w:val="115"/>
    <w:qFormat/>
    <w:uiPriority w:val="0"/>
    <w:rPr>
      <w:rFonts w:ascii="宋体" w:hAnsi="宋体" w:eastAsia="宋体" w:cs="Times New Roman"/>
      <w:b/>
      <w:kern w:val="44"/>
      <w:sz w:val="44"/>
      <w:lang w:val="en-US" w:eastAsia="zh-CN" w:bidi="ar-SA"/>
    </w:rPr>
  </w:style>
  <w:style w:type="paragraph" w:customStyle="1" w:styleId="115">
    <w:name w:val="1ji"/>
    <w:basedOn w:val="2"/>
    <w:link w:val="114"/>
    <w:qFormat/>
    <w:uiPriority w:val="0"/>
    <w:pPr>
      <w:keepLines w:val="0"/>
      <w:widowControl/>
      <w:spacing w:before="0" w:after="0" w:line="240" w:lineRule="auto"/>
      <w:jc w:val="center"/>
    </w:pPr>
    <w:rPr>
      <w:rFonts w:ascii="宋体" w:hAnsi="宋体"/>
      <w:bCs w:val="0"/>
      <w:szCs w:val="20"/>
    </w:rPr>
  </w:style>
  <w:style w:type="character" w:customStyle="1" w:styleId="116">
    <w:name w:val="文档结构图 Char"/>
    <w:qFormat/>
    <w:uiPriority w:val="0"/>
    <w:rPr>
      <w:rFonts w:ascii="宋体" w:hAnsi="Times New Roman" w:eastAsia="宋体" w:cs="Times New Roman"/>
      <w:kern w:val="2"/>
      <w:sz w:val="18"/>
    </w:rPr>
  </w:style>
  <w:style w:type="character" w:customStyle="1" w:styleId="117">
    <w:name w:val="标题 1 Char1"/>
    <w:qFormat/>
    <w:uiPriority w:val="0"/>
    <w:rPr>
      <w:rFonts w:ascii="Calibri" w:hAnsi="Calibri" w:eastAsia="宋体" w:cs="Times New Roman"/>
      <w:b/>
      <w:kern w:val="44"/>
      <w:sz w:val="24"/>
    </w:rPr>
  </w:style>
  <w:style w:type="character" w:customStyle="1" w:styleId="118">
    <w:name w:val="纯文本 Char"/>
    <w:qFormat/>
    <w:uiPriority w:val="0"/>
    <w:rPr>
      <w:rFonts w:ascii="宋体" w:hAnsi="Courier New" w:eastAsia="宋体" w:cs="Times New Roman"/>
      <w:kern w:val="2"/>
      <w:sz w:val="21"/>
      <w:lang w:val="en-US" w:eastAsia="zh-CN"/>
    </w:rPr>
  </w:style>
  <w:style w:type="paragraph" w:customStyle="1" w:styleId="119">
    <w:name w:val="列出段落1"/>
    <w:basedOn w:val="1"/>
    <w:qFormat/>
    <w:uiPriority w:val="0"/>
    <w:pPr>
      <w:widowControl/>
      <w:spacing w:after="160" w:line="259" w:lineRule="auto"/>
      <w:ind w:left="720"/>
      <w:jc w:val="left"/>
    </w:pPr>
    <w:rPr>
      <w:rFonts w:ascii="Calibri" w:hAnsi="Calibri" w:cs="Calibri"/>
      <w:kern w:val="0"/>
      <w:sz w:val="22"/>
      <w:szCs w:val="22"/>
    </w:rPr>
  </w:style>
  <w:style w:type="paragraph" w:customStyle="1" w:styleId="120">
    <w:name w:val="p0"/>
    <w:basedOn w:val="1"/>
    <w:qFormat/>
    <w:uiPriority w:val="0"/>
    <w:pPr>
      <w:widowControl/>
    </w:pPr>
    <w:rPr>
      <w:kern w:val="0"/>
    </w:rPr>
  </w:style>
  <w:style w:type="paragraph" w:customStyle="1" w:styleId="121">
    <w:name w:val="列出段落11"/>
    <w:basedOn w:val="1"/>
    <w:qFormat/>
    <w:uiPriority w:val="0"/>
    <w:pPr>
      <w:ind w:firstLine="420" w:firstLineChars="200"/>
    </w:pPr>
    <w:rPr>
      <w:rFonts w:ascii="Calibri" w:hAnsi="Calibri" w:cs="Calibri"/>
    </w:rPr>
  </w:style>
  <w:style w:type="paragraph" w:customStyle="1" w:styleId="122">
    <w:name w:val="修订1"/>
    <w:qFormat/>
    <w:uiPriority w:val="0"/>
    <w:rPr>
      <w:rFonts w:ascii="Times New Roman" w:hAnsi="Times New Roman" w:eastAsia="宋体" w:cs="Times New Roman"/>
      <w:kern w:val="2"/>
      <w:sz w:val="21"/>
      <w:szCs w:val="21"/>
      <w:lang w:val="en-US" w:eastAsia="zh-CN" w:bidi="ar-SA"/>
    </w:rPr>
  </w:style>
  <w:style w:type="paragraph" w:customStyle="1" w:styleId="123">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character" w:customStyle="1" w:styleId="124">
    <w:name w:val="Heading 1 Char"/>
    <w:qFormat/>
    <w:uiPriority w:val="0"/>
    <w:rPr>
      <w:rFonts w:ascii="Times New Roman" w:hAnsi="Times New Roman" w:eastAsia="宋体" w:cs="Times New Roman"/>
      <w:b/>
      <w:bCs/>
      <w:kern w:val="44"/>
      <w:sz w:val="44"/>
      <w:szCs w:val="44"/>
      <w:lang w:val="en-US" w:eastAsia="zh-CN" w:bidi="ar-SA"/>
    </w:rPr>
  </w:style>
  <w:style w:type="character" w:customStyle="1" w:styleId="125">
    <w:name w:val="Plain Text Char"/>
    <w:qFormat/>
    <w:uiPriority w:val="0"/>
    <w:rPr>
      <w:rFonts w:ascii="宋体" w:hAnsi="Courier New" w:eastAsia="宋体" w:cs="Courier New"/>
      <w:kern w:val="2"/>
      <w:sz w:val="21"/>
      <w:szCs w:val="21"/>
      <w:lang w:val="en-US" w:eastAsia="zh-CN" w:bidi="ar-SA"/>
    </w:rPr>
  </w:style>
  <w:style w:type="paragraph" w:customStyle="1" w:styleId="126">
    <w:name w:val="列出段落2"/>
    <w:basedOn w:val="1"/>
    <w:qFormat/>
    <w:uiPriority w:val="0"/>
    <w:pPr>
      <w:ind w:firstLine="420" w:firstLineChars="200"/>
    </w:pPr>
  </w:style>
  <w:style w:type="paragraph" w:customStyle="1" w:styleId="127">
    <w:name w:val="p15"/>
    <w:basedOn w:val="1"/>
    <w:qFormat/>
    <w:uiPriority w:val="0"/>
    <w:pPr>
      <w:widowControl/>
    </w:pPr>
    <w:rPr>
      <w:rFonts w:ascii="宋体" w:hAnsi="宋体" w:cs="宋体"/>
      <w:kern w:val="0"/>
    </w:rPr>
  </w:style>
  <w:style w:type="character" w:customStyle="1" w:styleId="128">
    <w:name w:val="Char Char22"/>
    <w:qFormat/>
    <w:uiPriority w:val="0"/>
    <w:rPr>
      <w:rFonts w:ascii="Times New Roman" w:hAnsi="Times New Roman" w:eastAsia="宋体" w:cs="Times New Roman"/>
      <w:sz w:val="24"/>
      <w:lang w:bidi="ar-SA"/>
    </w:rPr>
  </w:style>
  <w:style w:type="character" w:customStyle="1" w:styleId="129">
    <w:name w:val="Plain Text Char1"/>
    <w:qFormat/>
    <w:uiPriority w:val="0"/>
    <w:rPr>
      <w:rFonts w:ascii="宋体" w:hAnsi="Courier New" w:eastAsia="宋体" w:cs="Times New Roman"/>
      <w:kern w:val="2"/>
      <w:sz w:val="21"/>
      <w:lang w:val="en-US" w:eastAsia="zh-CN"/>
    </w:rPr>
  </w:style>
  <w:style w:type="character" w:customStyle="1" w:styleId="130">
    <w:name w:val="无间隔 字符"/>
    <w:link w:val="131"/>
    <w:qFormat/>
    <w:uiPriority w:val="0"/>
    <w:rPr>
      <w:rFonts w:ascii="Calibri" w:hAnsi="Calibri" w:eastAsia="Times New Roman" w:cs="Times New Roman"/>
      <w:sz w:val="22"/>
      <w:szCs w:val="22"/>
      <w:lang w:val="en-US" w:eastAsia="zh-CN" w:bidi="ar-SA"/>
    </w:rPr>
  </w:style>
  <w:style w:type="paragraph" w:styleId="131">
    <w:name w:val="No Spacing"/>
    <w:link w:val="130"/>
    <w:qFormat/>
    <w:uiPriority w:val="0"/>
    <w:rPr>
      <w:rFonts w:ascii="Calibri" w:hAnsi="Calibri" w:eastAsia="Times New Roman" w:cs="Times New Roman"/>
      <w:sz w:val="22"/>
      <w:szCs w:val="22"/>
      <w:lang w:val="en-US" w:eastAsia="zh-CN" w:bidi="ar-SA"/>
    </w:rPr>
  </w:style>
  <w:style w:type="character" w:customStyle="1" w:styleId="132">
    <w:name w:val="自定义标题一 Char Char Char"/>
    <w:link w:val="133"/>
    <w:qFormat/>
    <w:uiPriority w:val="0"/>
    <w:rPr>
      <w:rFonts w:ascii="黑体" w:hAnsi="黑体" w:eastAsia="黑体" w:cs="Times New Roman"/>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33">
    <w:name w:val="自定义标题一"/>
    <w:basedOn w:val="2"/>
    <w:link w:val="132"/>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34">
    <w:name w:val="Plain Text Char Char"/>
    <w:link w:val="135"/>
    <w:qFormat/>
    <w:uiPriority w:val="0"/>
    <w:rPr>
      <w:rFonts w:ascii="宋体" w:hAnsi="Courier New" w:eastAsia="宋体" w:cs="Times New Roman"/>
      <w:kern w:val="2"/>
      <w:sz w:val="21"/>
      <w:lang w:bidi="ar-SA"/>
    </w:rPr>
  </w:style>
  <w:style w:type="paragraph" w:customStyle="1" w:styleId="135">
    <w:name w:val="纯文本1"/>
    <w:basedOn w:val="1"/>
    <w:link w:val="134"/>
    <w:qFormat/>
    <w:uiPriority w:val="0"/>
    <w:rPr>
      <w:rFonts w:ascii="宋体" w:hAnsi="Courier New"/>
      <w:szCs w:val="20"/>
    </w:rPr>
  </w:style>
  <w:style w:type="character" w:customStyle="1" w:styleId="136">
    <w:name w:val="列出段落 字符"/>
    <w:link w:val="137"/>
    <w:qFormat/>
    <w:uiPriority w:val="0"/>
    <w:rPr>
      <w:rFonts w:ascii="Calibri" w:hAnsi="Calibri" w:eastAsia="宋体" w:cs="Times New Roman"/>
      <w:kern w:val="2"/>
      <w:sz w:val="21"/>
      <w:szCs w:val="22"/>
      <w:lang w:val="en-US" w:eastAsia="zh-CN" w:bidi="ar-SA"/>
    </w:rPr>
  </w:style>
  <w:style w:type="paragraph" w:styleId="137">
    <w:name w:val="List Paragraph"/>
    <w:basedOn w:val="1"/>
    <w:link w:val="136"/>
    <w:qFormat/>
    <w:uiPriority w:val="0"/>
    <w:pPr>
      <w:ind w:firstLine="420" w:firstLineChars="200"/>
    </w:pPr>
    <w:rPr>
      <w:rFonts w:ascii="Calibri" w:hAnsi="Calibri"/>
      <w:szCs w:val="22"/>
    </w:rPr>
  </w:style>
  <w:style w:type="paragraph" w:customStyle="1" w:styleId="138">
    <w:name w:val="标题3"/>
    <w:basedOn w:val="4"/>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样式 正文文字 + 小四 段后: 0 磅 行距: 1.5 倍行距"/>
    <w:basedOn w:val="16"/>
    <w:qFormat/>
    <w:uiPriority w:val="0"/>
    <w:pPr>
      <w:spacing w:line="360" w:lineRule="auto"/>
      <w:ind w:firstLine="480" w:firstLineChars="200"/>
    </w:pPr>
    <w:rPr>
      <w:rFonts w:cs="宋体"/>
      <w:szCs w:val="20"/>
    </w:rPr>
  </w:style>
  <w:style w:type="character" w:customStyle="1" w:styleId="141">
    <w:name w:val="纯文本 Char3"/>
    <w:qFormat/>
    <w:uiPriority w:val="0"/>
    <w:rPr>
      <w:rFonts w:ascii="宋体" w:hAnsi="Courier New" w:eastAsia="宋体" w:cs="Courier New"/>
      <w:kern w:val="2"/>
      <w:sz w:val="21"/>
      <w:szCs w:val="21"/>
      <w:lang w:val="en-US" w:eastAsia="zh-CN" w:bidi="ar-SA"/>
    </w:rPr>
  </w:style>
  <w:style w:type="character" w:customStyle="1" w:styleId="142">
    <w:name w:val="bookmark-item"/>
    <w:qFormat/>
    <w:uiPriority w:val="0"/>
    <w:rPr>
      <w:rFonts w:ascii="Times New Roman" w:hAnsi="Times New Roman" w:eastAsia="宋体" w:cs="Times New Roman"/>
    </w:rPr>
  </w:style>
  <w:style w:type="paragraph" w:customStyle="1" w:styleId="143">
    <w:name w:val="样式1"/>
    <w:basedOn w:val="37"/>
    <w:next w:val="1"/>
    <w:qFormat/>
    <w:uiPriority w:val="0"/>
    <w:pPr>
      <w:spacing w:after="0"/>
      <w:ind w:left="0" w:leftChars="0"/>
    </w:pPr>
    <w:rPr>
      <w:rFonts w:ascii="仿宋_GB2312" w:hAnsi="仿宋_GB2312" w:eastAsia="仿宋" w:cs="仿宋_GB2312"/>
      <w:sz w:val="28"/>
      <w:szCs w:val="28"/>
    </w:rPr>
  </w:style>
  <w:style w:type="character" w:customStyle="1" w:styleId="144">
    <w:name w:val="Char Char15"/>
    <w:qFormat/>
    <w:uiPriority w:val="0"/>
    <w:rPr>
      <w:rFonts w:ascii="宋体" w:hAnsi="宋体" w:eastAsia="宋体" w:cs="Times New Roman"/>
      <w:kern w:val="2"/>
      <w:sz w:val="21"/>
      <w:szCs w:val="21"/>
      <w:lang w:val="en-US" w:eastAsia="zh-CN" w:bidi="ar-SA"/>
    </w:rPr>
  </w:style>
  <w:style w:type="character" w:customStyle="1" w:styleId="145">
    <w:name w:val="NormalCharacter"/>
    <w:qFormat/>
    <w:uiPriority w:val="0"/>
    <w:rPr>
      <w:rFonts w:ascii="Times New Roman" w:hAnsi="Times New Roman" w:eastAsia="宋体" w:cs="Times New Roman"/>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表内文字"/>
    <w:basedOn w:val="1"/>
    <w:qFormat/>
    <w:uiPriority w:val="0"/>
    <w:pPr>
      <w:snapToGrid w:val="0"/>
      <w:spacing w:line="360" w:lineRule="exact"/>
    </w:pPr>
    <w:rPr>
      <w:rFonts w:ascii="宋体" w:hAnsi="宋体"/>
      <w:b/>
      <w:color w:val="0000FF"/>
    </w:rPr>
  </w:style>
  <w:style w:type="character" w:customStyle="1" w:styleId="148">
    <w:name w:val="Footer Char"/>
    <w:qFormat/>
    <w:uiPriority w:val="0"/>
    <w:rPr>
      <w:rFonts w:ascii="Times New Roman" w:hAnsi="Times New Roman" w:eastAsia="宋体" w:cs="Times New Roman"/>
      <w:kern w:val="2"/>
      <w:sz w:val="18"/>
      <w:szCs w:val="18"/>
      <w:lang w:val="en-US" w:eastAsia="zh-CN" w:bidi="ar-SA"/>
    </w:rPr>
  </w:style>
  <w:style w:type="character" w:customStyle="1" w:styleId="149">
    <w:name w:val="Header Char"/>
    <w:qFormat/>
    <w:uiPriority w:val="0"/>
    <w:rPr>
      <w:rFonts w:ascii="Times New Roman" w:hAnsi="Times New Roman" w:eastAsia="宋体" w:cs="Times New Roman"/>
      <w:kern w:val="2"/>
      <w:sz w:val="18"/>
      <w:szCs w:val="18"/>
      <w:lang w:val="en-US" w:eastAsia="zh-CN" w:bidi="ar-SA"/>
    </w:rPr>
  </w:style>
  <w:style w:type="character" w:customStyle="1" w:styleId="150">
    <w:name w:val="Body Text Char"/>
    <w:qFormat/>
    <w:uiPriority w:val="0"/>
    <w:rPr>
      <w:rFonts w:ascii="Times New Roman" w:hAnsi="Times New Roman" w:eastAsia="宋体" w:cs="Times New Roman"/>
      <w:sz w:val="24"/>
      <w:lang w:bidi="ar-SA"/>
    </w:rPr>
  </w:style>
  <w:style w:type="character" w:customStyle="1" w:styleId="151">
    <w:name w:val="Char Char28"/>
    <w:qFormat/>
    <w:uiPriority w:val="0"/>
    <w:rPr>
      <w:rFonts w:ascii="Times New Roman" w:hAnsi="Times New Roman" w:eastAsia="宋体" w:cs="Times New Roman"/>
      <w:b/>
      <w:bCs/>
      <w:kern w:val="44"/>
      <w:sz w:val="44"/>
      <w:szCs w:val="44"/>
      <w:lang w:val="en-US" w:eastAsia="zh-CN" w:bidi="ar-SA"/>
    </w:rPr>
  </w:style>
  <w:style w:type="paragraph" w:customStyle="1" w:styleId="152">
    <w:name w:val="表格文字"/>
    <w:basedOn w:val="1"/>
    <w:qFormat/>
    <w:uiPriority w:val="0"/>
    <w:pPr>
      <w:spacing w:before="25" w:after="25"/>
      <w:jc w:val="left"/>
    </w:pPr>
    <w:rPr>
      <w:bCs/>
      <w:spacing w:val="10"/>
      <w:kern w:val="0"/>
      <w:sz w:val="24"/>
    </w:rPr>
  </w:style>
  <w:style w:type="character" w:customStyle="1" w:styleId="153">
    <w:name w:val="bookmark-item uuid-1588129973591 code-23015 addword single-line-text-input-box-cls readonly"/>
    <w:qFormat/>
    <w:uiPriority w:val="0"/>
  </w:style>
  <w:style w:type="paragraph" w:customStyle="1" w:styleId="154">
    <w:name w:val="TOC 标题2"/>
    <w:next w:val="1"/>
    <w:qFormat/>
    <w:uiPriority w:val="99"/>
    <w:pPr>
      <w:wordWrap w:val="0"/>
    </w:pPr>
    <w:rPr>
      <w:rFonts w:ascii="Calibri" w:hAnsi="Calibri" w:eastAsia="宋体" w:cs="Times New Roman"/>
      <w:sz w:val="32"/>
      <w:lang w:val="en-US" w:eastAsia="zh-CN" w:bidi="ar-SA"/>
    </w:rPr>
  </w:style>
  <w:style w:type="paragraph" w:customStyle="1" w:styleId="155">
    <w:name w:val="列出段落3"/>
    <w:basedOn w:val="1"/>
    <w:qFormat/>
    <w:uiPriority w:val="34"/>
    <w:pPr>
      <w:ind w:firstLine="420" w:firstLineChars="200"/>
    </w:pPr>
    <w:rPr>
      <w:rFonts w:ascii="Calibri" w:hAnsi="Calibri"/>
      <w:szCs w:val="22"/>
    </w:rPr>
  </w:style>
  <w:style w:type="paragraph" w:customStyle="1" w:styleId="156">
    <w:name w:val="正文首行缩进1"/>
    <w:basedOn w:val="1"/>
    <w:qFormat/>
    <w:uiPriority w:val="0"/>
    <w:pPr>
      <w:spacing w:after="120"/>
      <w:ind w:firstLine="420" w:firstLineChars="100"/>
    </w:pPr>
  </w:style>
  <w:style w:type="paragraph" w:customStyle="1" w:styleId="157">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11172</Words>
  <Characters>12290</Characters>
  <Lines>181</Lines>
  <Paragraphs>51</Paragraphs>
  <TotalTime>32</TotalTime>
  <ScaleCrop>false</ScaleCrop>
  <LinksUpToDate>false</LinksUpToDate>
  <CharactersWithSpaces>12572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2025-09-23T19:41:00Z</dcterms:created>
  <dc:creator>GZH</dc:creator>
  <cp:lastModifiedBy>gxxc</cp:lastModifiedBy>
  <dcterms:modified xsi:type="dcterms:W3CDTF">2025-11-17T11:05:07Z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D731A06F40A24FEE9A10F125403D7611_13</vt:lpwstr>
  </property>
  <property fmtid="{D5CDD505-2E9C-101B-9397-08002B2CF9AE}" pid="4" name="KSOTemplateDocerSaveRecord">
    <vt:lpwstr>eyJoZGlkIjoiMjRmMjc2YjgyODExOWY4NjNkYjAyYzJmNmZlYzU0NGYiLCJ1c2VySWQiOiIyNzcyNTgxOTIifQ==</vt:lpwstr>
  </property>
</Properties>
</file>