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4B0F9">
      <w:pPr>
        <w:pStyle w:val="6"/>
        <w:ind w:left="0" w:leftChars="0" w:firstLine="0" w:firstLineChars="0"/>
        <w:jc w:val="center"/>
        <w:rPr>
          <w:rFonts w:hint="eastAsia" w:asciiTheme="majorEastAsia" w:hAnsiTheme="majorEastAsia" w:eastAsiaTheme="majorEastAsia" w:cstheme="majorEastAsia"/>
          <w:b/>
          <w:color w:val="auto"/>
          <w:sz w:val="52"/>
          <w:szCs w:val="52"/>
          <w:highlight w:val="none"/>
          <w:lang w:val="en-US" w:eastAsia="zh-CN"/>
        </w:rPr>
      </w:pPr>
      <w:r>
        <w:rPr>
          <w:rFonts w:hint="eastAsia" w:asciiTheme="majorEastAsia" w:hAnsiTheme="majorEastAsia" w:eastAsiaTheme="majorEastAsia" w:cstheme="majorEastAsia"/>
          <w:b/>
          <w:color w:val="auto"/>
          <w:sz w:val="52"/>
          <w:szCs w:val="52"/>
          <w:highlight w:val="none"/>
          <w:lang w:val="en-US" w:eastAsia="zh-CN"/>
        </w:rPr>
        <w:t>政 府 采 购</w:t>
      </w:r>
    </w:p>
    <w:p w14:paraId="7241AD37">
      <w:pPr>
        <w:jc w:val="center"/>
        <w:rPr>
          <w:rFonts w:hint="eastAsia" w:hAnsi="宋体" w:cs="宋体"/>
          <w:b/>
          <w:color w:val="auto"/>
          <w:sz w:val="48"/>
          <w:szCs w:val="48"/>
          <w:highlight w:val="none"/>
          <w:lang w:val="en-US" w:eastAsia="zh-CN"/>
        </w:rPr>
      </w:pPr>
    </w:p>
    <w:p w14:paraId="4612E11F">
      <w:pPr>
        <w:pStyle w:val="6"/>
        <w:ind w:left="0" w:leftChars="0" w:firstLine="0" w:firstLineChars="0"/>
        <w:jc w:val="center"/>
        <w:rPr>
          <w:rFonts w:hint="eastAsia" w:hAnsi="宋体" w:cs="宋体"/>
          <w:b/>
          <w:color w:val="auto"/>
          <w:sz w:val="100"/>
          <w:szCs w:val="100"/>
          <w:highlight w:val="none"/>
          <w:lang w:val="en-US" w:eastAsia="zh-CN"/>
        </w:rPr>
      </w:pPr>
      <w:r>
        <w:rPr>
          <w:rFonts w:hint="eastAsia" w:hAnsi="宋体" w:cs="宋体"/>
          <w:b/>
          <w:color w:val="auto"/>
          <w:sz w:val="84"/>
          <w:szCs w:val="84"/>
          <w:highlight w:val="none"/>
          <w:lang w:val="en-US" w:eastAsia="zh-CN"/>
        </w:rPr>
        <w:t>征 集 文 件</w:t>
      </w:r>
    </w:p>
    <w:p w14:paraId="6A4D96DB">
      <w:pPr>
        <w:pStyle w:val="6"/>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（全流程电子化评标）</w:t>
      </w:r>
    </w:p>
    <w:p w14:paraId="61F18B43">
      <w:pPr>
        <w:rPr>
          <w:rFonts w:hint="eastAsia"/>
          <w:color w:val="auto"/>
          <w:highlight w:val="none"/>
          <w:lang w:val="en-US" w:eastAsia="zh-CN"/>
        </w:rPr>
      </w:pPr>
    </w:p>
    <w:p w14:paraId="18E96C27">
      <w:pPr>
        <w:pStyle w:val="6"/>
        <w:rPr>
          <w:rFonts w:hint="eastAsia"/>
          <w:color w:val="auto"/>
          <w:highlight w:val="none"/>
          <w:lang w:val="en-US" w:eastAsia="zh-CN"/>
        </w:rPr>
      </w:pPr>
    </w:p>
    <w:p w14:paraId="78A77EC3">
      <w:pPr>
        <w:pStyle w:val="6"/>
        <w:rPr>
          <w:rFonts w:hint="eastAsia"/>
          <w:color w:val="auto"/>
          <w:highlight w:val="none"/>
          <w:lang w:val="en-US" w:eastAsia="zh-CN"/>
        </w:rPr>
      </w:pPr>
    </w:p>
    <w:p w14:paraId="75266CB3">
      <w:pPr>
        <w:rPr>
          <w:rFonts w:hint="eastAsia"/>
          <w:color w:val="auto"/>
          <w:highlight w:val="none"/>
          <w:lang w:val="en-US" w:eastAsia="zh-CN"/>
        </w:rPr>
      </w:pPr>
    </w:p>
    <w:p w14:paraId="6CFC227D">
      <w:pPr>
        <w:pStyle w:val="6"/>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项目名称：广西—东盟经济技术开发区2025-2027年度预算单位车辆维修和保养服务框架协议采购</w:t>
      </w:r>
    </w:p>
    <w:p w14:paraId="4DAC724B">
      <w:pPr>
        <w:pStyle w:val="6"/>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项目编号：NNZC2025-K3-510013-GXJL</w:t>
      </w:r>
    </w:p>
    <w:p w14:paraId="0AF87983">
      <w:pPr>
        <w:pStyle w:val="6"/>
        <w:rPr>
          <w:rFonts w:hint="eastAsia" w:ascii="宋体" w:hAnsi="宋体" w:eastAsia="宋体" w:cs="宋体"/>
          <w:color w:val="auto"/>
          <w:sz w:val="32"/>
          <w:szCs w:val="32"/>
          <w:highlight w:val="none"/>
          <w:u w:val="none"/>
          <w:lang w:val="en-US" w:eastAsia="zh-CN"/>
        </w:rPr>
      </w:pPr>
      <w:r>
        <w:rPr>
          <w:rFonts w:hint="eastAsia" w:ascii="宋体" w:hAnsi="宋体" w:eastAsia="宋体" w:cs="宋体"/>
          <w:color w:val="auto"/>
          <w:sz w:val="32"/>
          <w:szCs w:val="32"/>
          <w:highlight w:val="none"/>
          <w:lang w:val="en-US" w:eastAsia="zh-CN"/>
        </w:rPr>
        <w:t>项目所属区划：</w:t>
      </w:r>
      <w:r>
        <w:rPr>
          <w:rFonts w:hint="eastAsia" w:ascii="宋体" w:hAnsi="宋体" w:eastAsia="宋体" w:cs="宋体"/>
          <w:color w:val="auto"/>
          <w:sz w:val="32"/>
          <w:szCs w:val="32"/>
          <w:highlight w:val="none"/>
          <w:u w:val="none"/>
          <w:lang w:val="en-US" w:eastAsia="zh-CN"/>
        </w:rPr>
        <w:t xml:space="preserve">广西—东盟经济技术开发区    </w:t>
      </w:r>
    </w:p>
    <w:p w14:paraId="78B65BF0">
      <w:pPr>
        <w:rPr>
          <w:rFonts w:hint="eastAsia" w:ascii="宋体" w:hAnsi="宋体" w:eastAsia="宋体" w:cs="宋体"/>
          <w:color w:val="auto"/>
          <w:sz w:val="32"/>
          <w:szCs w:val="32"/>
          <w:highlight w:val="none"/>
          <w:u w:val="none"/>
          <w:lang w:val="en-US" w:eastAsia="zh-CN"/>
        </w:rPr>
      </w:pPr>
    </w:p>
    <w:p w14:paraId="42923E46">
      <w:pPr>
        <w:pStyle w:val="4"/>
        <w:rPr>
          <w:rFonts w:hint="default"/>
          <w:color w:val="auto"/>
          <w:highlight w:val="none"/>
          <w:lang w:val="en-US" w:eastAsia="zh-CN"/>
        </w:rPr>
      </w:pPr>
    </w:p>
    <w:p w14:paraId="2847255A">
      <w:pPr>
        <w:pStyle w:val="6"/>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征   集   人：广西—东盟经济技术开发区（南宁华侨投资区）后勤服务中心</w:t>
      </w:r>
    </w:p>
    <w:p w14:paraId="65A8153E">
      <w:pPr>
        <w:pStyle w:val="6"/>
        <w:rPr>
          <w:rFonts w:hint="eastAsia"/>
          <w:color w:val="auto"/>
          <w:sz w:val="32"/>
          <w:szCs w:val="32"/>
          <w:highlight w:val="none"/>
          <w:lang w:val="en-US" w:eastAsia="zh-CN"/>
        </w:rPr>
      </w:pPr>
      <w:r>
        <w:rPr>
          <w:rFonts w:hint="eastAsia" w:ascii="宋体" w:hAnsi="宋体" w:eastAsia="宋体" w:cs="宋体"/>
          <w:color w:val="auto"/>
          <w:sz w:val="32"/>
          <w:szCs w:val="32"/>
          <w:highlight w:val="none"/>
          <w:lang w:val="en-US" w:eastAsia="zh-CN"/>
        </w:rPr>
        <w:t>采购代理机构：广西建隆工程咨询有限公司</w:t>
      </w:r>
    </w:p>
    <w:p w14:paraId="7AD342C8">
      <w:pPr>
        <w:pStyle w:val="6"/>
        <w:rPr>
          <w:rFonts w:hint="default"/>
          <w:color w:val="auto"/>
          <w:sz w:val="32"/>
          <w:szCs w:val="32"/>
          <w:highlight w:val="none"/>
          <w:lang w:val="en-US" w:eastAsia="zh-CN"/>
        </w:rPr>
      </w:pPr>
    </w:p>
    <w:p w14:paraId="455274DE">
      <w:pPr>
        <w:jc w:val="center"/>
        <w:rPr>
          <w:rFonts w:hint="default"/>
          <w:color w:val="auto"/>
          <w:sz w:val="32"/>
          <w:szCs w:val="32"/>
          <w:highlight w:val="none"/>
          <w:lang w:val="en-US" w:eastAsia="zh-CN"/>
        </w:rPr>
        <w:sectPr>
          <w:footerReference r:id="rId4" w:type="first"/>
          <w:footerReference r:id="rId3" w:type="default"/>
          <w:pgSz w:w="11906" w:h="16838"/>
          <w:pgMar w:top="1134" w:right="1134" w:bottom="1134" w:left="1134" w:header="720" w:footer="720" w:gutter="0"/>
          <w:pgNumType w:fmt="decimal" w:start="1"/>
          <w:cols w:space="720" w:num="1"/>
          <w:docGrid w:type="lines" w:linePitch="331" w:charSpace="0"/>
        </w:sectPr>
      </w:pPr>
      <w:r>
        <w:rPr>
          <w:rFonts w:hint="eastAsia"/>
          <w:color w:val="auto"/>
          <w:sz w:val="32"/>
          <w:szCs w:val="32"/>
          <w:highlight w:val="none"/>
          <w:lang w:val="en-US" w:eastAsia="zh-CN"/>
        </w:rPr>
        <w:t>2025年07月15日</w:t>
      </w:r>
    </w:p>
    <w:p w14:paraId="3A9BC4FE">
      <w:pPr>
        <w:pStyle w:val="16"/>
        <w:snapToGrid w:val="0"/>
        <w:spacing w:before="50" w:after="120" w:line="360" w:lineRule="auto"/>
        <w:jc w:val="center"/>
        <w:rPr>
          <w:rFonts w:hAnsi="宋体" w:cs="宋体"/>
          <w:b/>
          <w:color w:val="auto"/>
          <w:sz w:val="22"/>
          <w:szCs w:val="22"/>
          <w:highlight w:val="none"/>
        </w:rPr>
      </w:pPr>
      <w:r>
        <w:rPr>
          <w:rFonts w:hint="eastAsia" w:hAnsi="宋体" w:cs="宋体"/>
          <w:b/>
          <w:color w:val="auto"/>
          <w:sz w:val="48"/>
          <w:szCs w:val="48"/>
          <w:highlight w:val="none"/>
        </w:rPr>
        <w:t>目     录</w:t>
      </w:r>
      <w:bookmarkStart w:id="128" w:name="_GoBack"/>
      <w:bookmarkEnd w:id="128"/>
    </w:p>
    <w:p w14:paraId="4D6B7F15">
      <w:pPr>
        <w:pStyle w:val="19"/>
        <w:tabs>
          <w:tab w:val="right" w:leader="dot" w:pos="9638"/>
        </w:tabs>
        <w:rPr>
          <w:color w:val="auto"/>
          <w:highlight w:val="none"/>
        </w:rPr>
      </w:pPr>
      <w:r>
        <w:rPr>
          <w:rFonts w:hint="eastAsia" w:ascii="宋体" w:hAnsi="宋体" w:cs="宋体"/>
          <w:b w:val="0"/>
          <w:bCs w:val="0"/>
          <w:caps w:val="0"/>
          <w:color w:val="auto"/>
          <w:sz w:val="28"/>
          <w:szCs w:val="28"/>
          <w:highlight w:val="none"/>
        </w:rPr>
        <w:fldChar w:fldCharType="begin"/>
      </w:r>
      <w:r>
        <w:rPr>
          <w:rFonts w:hint="eastAsia" w:ascii="宋体" w:hAnsi="宋体" w:cs="宋体"/>
          <w:b w:val="0"/>
          <w:bCs w:val="0"/>
          <w:caps w:val="0"/>
          <w:color w:val="auto"/>
          <w:sz w:val="28"/>
          <w:szCs w:val="28"/>
          <w:highlight w:val="none"/>
        </w:rPr>
        <w:instrText xml:space="preserve"> TOC \o "1-3" \h \z \u </w:instrText>
      </w:r>
      <w:r>
        <w:rPr>
          <w:rFonts w:hint="eastAsia" w:ascii="宋体" w:hAnsi="宋体" w:cs="宋体"/>
          <w:b w:val="0"/>
          <w:bCs w:val="0"/>
          <w:caps w:val="0"/>
          <w:color w:val="auto"/>
          <w:sz w:val="28"/>
          <w:szCs w:val="28"/>
          <w:highlight w:val="none"/>
        </w:rPr>
        <w:fldChar w:fldCharType="separate"/>
      </w:r>
      <w:r>
        <w:rPr>
          <w:rFonts w:hint="eastAsia" w:ascii="宋体" w:hAnsi="宋体" w:cs="宋体"/>
          <w:bCs w:val="0"/>
          <w:caps w:val="0"/>
          <w:color w:val="auto"/>
          <w:szCs w:val="28"/>
          <w:highlight w:val="none"/>
        </w:rPr>
        <w:fldChar w:fldCharType="begin"/>
      </w:r>
      <w:r>
        <w:rPr>
          <w:rFonts w:hint="eastAsia" w:ascii="宋体" w:hAnsi="宋体" w:cs="宋体"/>
          <w:bCs w:val="0"/>
          <w:caps w:val="0"/>
          <w:color w:val="auto"/>
          <w:szCs w:val="28"/>
          <w:highlight w:val="none"/>
        </w:rPr>
        <w:instrText xml:space="preserve"> HYPERLINK \l _Toc2535 </w:instrText>
      </w:r>
      <w:r>
        <w:rPr>
          <w:rFonts w:hint="eastAsia" w:ascii="宋体" w:hAnsi="宋体" w:cs="宋体"/>
          <w:bCs w:val="0"/>
          <w:caps w:val="0"/>
          <w:color w:val="auto"/>
          <w:szCs w:val="28"/>
          <w:highlight w:val="none"/>
        </w:rPr>
        <w:fldChar w:fldCharType="separate"/>
      </w:r>
      <w:r>
        <w:rPr>
          <w:rFonts w:hint="eastAsia" w:hAnsi="宋体" w:cs="宋体"/>
          <w:color w:val="auto"/>
          <w:highlight w:val="none"/>
        </w:rPr>
        <w:t>第一章  征集公告</w:t>
      </w:r>
      <w:r>
        <w:rPr>
          <w:color w:val="auto"/>
          <w:highlight w:val="none"/>
        </w:rPr>
        <w:tab/>
      </w:r>
      <w:r>
        <w:rPr>
          <w:color w:val="auto"/>
          <w:highlight w:val="none"/>
        </w:rPr>
        <w:fldChar w:fldCharType="begin"/>
      </w:r>
      <w:r>
        <w:rPr>
          <w:color w:val="auto"/>
          <w:highlight w:val="none"/>
        </w:rPr>
        <w:instrText xml:space="preserve"> PAGEREF _Toc2535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aps w:val="0"/>
          <w:color w:val="auto"/>
          <w:szCs w:val="28"/>
          <w:highlight w:val="none"/>
        </w:rPr>
        <w:fldChar w:fldCharType="end"/>
      </w:r>
    </w:p>
    <w:p w14:paraId="339F398A">
      <w:pPr>
        <w:pStyle w:val="19"/>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_Toc8377 </w:instrText>
      </w:r>
      <w:r>
        <w:rPr>
          <w:rFonts w:hint="eastAsia" w:hAnsi="宋体" w:cs="宋体"/>
          <w:bCs/>
          <w:caps/>
          <w:color w:val="auto"/>
          <w:szCs w:val="28"/>
          <w:highlight w:val="none"/>
        </w:rPr>
        <w:fldChar w:fldCharType="separate"/>
      </w:r>
      <w:r>
        <w:rPr>
          <w:rFonts w:hint="eastAsia" w:hAnsi="宋体" w:cs="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_Toc8377 </w:instrText>
      </w:r>
      <w:r>
        <w:rPr>
          <w:color w:val="auto"/>
          <w:highlight w:val="none"/>
        </w:rPr>
        <w:fldChar w:fldCharType="separate"/>
      </w:r>
      <w:r>
        <w:rPr>
          <w:color w:val="auto"/>
          <w:highlight w:val="none"/>
        </w:rPr>
        <w:t>5</w:t>
      </w:r>
      <w:r>
        <w:rPr>
          <w:color w:val="auto"/>
          <w:highlight w:val="none"/>
        </w:rPr>
        <w:fldChar w:fldCharType="end"/>
      </w:r>
      <w:r>
        <w:rPr>
          <w:rFonts w:hint="eastAsia" w:hAnsi="宋体" w:cs="宋体"/>
          <w:bCs/>
          <w:caps/>
          <w:color w:val="auto"/>
          <w:szCs w:val="28"/>
          <w:highlight w:val="none"/>
          <w:u w:val="single"/>
        </w:rPr>
        <w:fldChar w:fldCharType="end"/>
      </w:r>
    </w:p>
    <w:p w14:paraId="7134F41B">
      <w:pPr>
        <w:pStyle w:val="19"/>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_Toc4313 </w:instrText>
      </w:r>
      <w:r>
        <w:rPr>
          <w:rFonts w:hint="eastAsia" w:hAnsi="宋体" w:cs="宋体"/>
          <w:bCs/>
          <w:caps/>
          <w:color w:val="auto"/>
          <w:szCs w:val="28"/>
          <w:highlight w:val="none"/>
        </w:rPr>
        <w:fldChar w:fldCharType="separate"/>
      </w:r>
      <w:r>
        <w:rPr>
          <w:rFonts w:hint="eastAsia" w:hAnsi="宋体" w:cs="宋体"/>
          <w:color w:val="auto"/>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_Toc4313 </w:instrText>
      </w:r>
      <w:r>
        <w:rPr>
          <w:color w:val="auto"/>
          <w:highlight w:val="none"/>
        </w:rPr>
        <w:fldChar w:fldCharType="separate"/>
      </w:r>
      <w:r>
        <w:rPr>
          <w:color w:val="auto"/>
          <w:highlight w:val="none"/>
        </w:rPr>
        <w:t>15</w:t>
      </w:r>
      <w:r>
        <w:rPr>
          <w:color w:val="auto"/>
          <w:highlight w:val="none"/>
        </w:rPr>
        <w:fldChar w:fldCharType="end"/>
      </w:r>
      <w:r>
        <w:rPr>
          <w:rFonts w:hint="eastAsia" w:hAnsi="宋体" w:cs="宋体"/>
          <w:bCs/>
          <w:caps/>
          <w:color w:val="auto"/>
          <w:szCs w:val="28"/>
          <w:highlight w:val="none"/>
          <w:u w:val="single"/>
        </w:rPr>
        <w:fldChar w:fldCharType="end"/>
      </w:r>
    </w:p>
    <w:p w14:paraId="0077454D">
      <w:pPr>
        <w:pStyle w:val="21"/>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_Toc17008 </w:instrText>
      </w:r>
      <w:r>
        <w:rPr>
          <w:rFonts w:hint="eastAsia" w:hAnsi="宋体" w:cs="宋体"/>
          <w:bCs/>
          <w:caps/>
          <w:color w:val="auto"/>
          <w:szCs w:val="28"/>
          <w:highlight w:val="none"/>
        </w:rPr>
        <w:fldChar w:fldCharType="separate"/>
      </w:r>
      <w:r>
        <w:rPr>
          <w:rFonts w:hint="eastAsia" w:ascii="Times New Roman" w:hAnsi="Times New Roman"/>
          <w:color w:val="auto"/>
          <w:szCs w:val="30"/>
          <w:highlight w:val="none"/>
        </w:rPr>
        <w:t>第一节</w:t>
      </w:r>
      <w:r>
        <w:rPr>
          <w:rFonts w:ascii="Times New Roman" w:hAnsi="Times New Roman"/>
          <w:color w:val="auto"/>
          <w:szCs w:val="30"/>
          <w:highlight w:val="none"/>
        </w:rPr>
        <w:t xml:space="preserve"> </w:t>
      </w:r>
      <w:r>
        <w:rPr>
          <w:rFonts w:hint="eastAsia" w:ascii="Times New Roman" w:hAnsi="Times New Roman"/>
          <w:color w:val="auto"/>
          <w:szCs w:val="30"/>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_Toc17008 </w:instrText>
      </w:r>
      <w:r>
        <w:rPr>
          <w:color w:val="auto"/>
          <w:highlight w:val="none"/>
        </w:rPr>
        <w:fldChar w:fldCharType="separate"/>
      </w:r>
      <w:r>
        <w:rPr>
          <w:color w:val="auto"/>
          <w:highlight w:val="none"/>
        </w:rPr>
        <w:t>15</w:t>
      </w:r>
      <w:r>
        <w:rPr>
          <w:color w:val="auto"/>
          <w:highlight w:val="none"/>
        </w:rPr>
        <w:fldChar w:fldCharType="end"/>
      </w:r>
      <w:r>
        <w:rPr>
          <w:rFonts w:hint="eastAsia" w:hAnsi="宋体" w:cs="宋体"/>
          <w:bCs/>
          <w:caps/>
          <w:color w:val="auto"/>
          <w:szCs w:val="28"/>
          <w:highlight w:val="none"/>
          <w:u w:val="single"/>
        </w:rPr>
        <w:fldChar w:fldCharType="end"/>
      </w:r>
    </w:p>
    <w:p w14:paraId="6D0E0448">
      <w:pPr>
        <w:pStyle w:val="21"/>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_Toc22009 </w:instrText>
      </w:r>
      <w:r>
        <w:rPr>
          <w:rFonts w:hint="eastAsia" w:hAnsi="宋体" w:cs="宋体"/>
          <w:bCs/>
          <w:caps/>
          <w:color w:val="auto"/>
          <w:szCs w:val="28"/>
          <w:highlight w:val="none"/>
        </w:rPr>
        <w:fldChar w:fldCharType="separate"/>
      </w:r>
      <w:r>
        <w:rPr>
          <w:rFonts w:hint="eastAsia" w:ascii="Arial" w:hAnsi="Arial" w:eastAsia="黑体"/>
          <w:bCs/>
          <w:color w:val="auto"/>
          <w:szCs w:val="32"/>
          <w:highlight w:val="none"/>
        </w:rPr>
        <w:t>第二节</w:t>
      </w:r>
      <w:r>
        <w:rPr>
          <w:rFonts w:ascii="Arial" w:hAnsi="Arial" w:eastAsia="黑体"/>
          <w:bCs/>
          <w:color w:val="auto"/>
          <w:szCs w:val="32"/>
          <w:highlight w:val="none"/>
        </w:rPr>
        <w:t xml:space="preserve"> </w:t>
      </w:r>
      <w:r>
        <w:rPr>
          <w:rFonts w:hint="eastAsia" w:ascii="Arial" w:hAnsi="Arial" w:eastAsia="黑体"/>
          <w:bCs/>
          <w:color w:val="auto"/>
          <w:szCs w:val="32"/>
          <w:highlight w:val="none"/>
        </w:rPr>
        <w:t>供应商须知正文</w:t>
      </w:r>
      <w:r>
        <w:rPr>
          <w:color w:val="auto"/>
          <w:highlight w:val="none"/>
        </w:rPr>
        <w:tab/>
      </w:r>
      <w:r>
        <w:rPr>
          <w:color w:val="auto"/>
          <w:highlight w:val="none"/>
        </w:rPr>
        <w:fldChar w:fldCharType="begin"/>
      </w:r>
      <w:r>
        <w:rPr>
          <w:color w:val="auto"/>
          <w:highlight w:val="none"/>
        </w:rPr>
        <w:instrText xml:space="preserve"> PAGEREF _Toc22009 </w:instrText>
      </w:r>
      <w:r>
        <w:rPr>
          <w:color w:val="auto"/>
          <w:highlight w:val="none"/>
        </w:rPr>
        <w:fldChar w:fldCharType="separate"/>
      </w:r>
      <w:r>
        <w:rPr>
          <w:color w:val="auto"/>
          <w:highlight w:val="none"/>
        </w:rPr>
        <w:t>20</w:t>
      </w:r>
      <w:r>
        <w:rPr>
          <w:color w:val="auto"/>
          <w:highlight w:val="none"/>
        </w:rPr>
        <w:fldChar w:fldCharType="end"/>
      </w:r>
      <w:r>
        <w:rPr>
          <w:rFonts w:hint="eastAsia" w:hAnsi="宋体" w:cs="宋体"/>
          <w:bCs/>
          <w:caps/>
          <w:color w:val="auto"/>
          <w:szCs w:val="28"/>
          <w:highlight w:val="none"/>
          <w:u w:val="single"/>
        </w:rPr>
        <w:fldChar w:fldCharType="end"/>
      </w:r>
    </w:p>
    <w:p w14:paraId="565C329A">
      <w:pPr>
        <w:pStyle w:val="15"/>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_Toc22498 </w:instrText>
      </w:r>
      <w:r>
        <w:rPr>
          <w:rFonts w:hint="eastAsia" w:hAnsi="宋体" w:cs="宋体"/>
          <w:bCs/>
          <w:caps/>
          <w:color w:val="auto"/>
          <w:szCs w:val="28"/>
          <w:highlight w:val="none"/>
        </w:rPr>
        <w:fldChar w:fldCharType="separate"/>
      </w:r>
      <w:r>
        <w:rPr>
          <w:rFonts w:hint="eastAsia" w:ascii="Times New Roman" w:hAnsi="Times New Roman"/>
          <w:bCs/>
          <w:color w:val="auto"/>
          <w:szCs w:val="32"/>
          <w:highlight w:val="none"/>
        </w:rPr>
        <w:t>一、总</w:t>
      </w:r>
      <w:r>
        <w:rPr>
          <w:rFonts w:ascii="Times New Roman" w:hAnsi="Times New Roman"/>
          <w:bCs/>
          <w:color w:val="auto"/>
          <w:szCs w:val="32"/>
          <w:highlight w:val="none"/>
        </w:rPr>
        <w:t xml:space="preserve">  </w:t>
      </w:r>
      <w:r>
        <w:rPr>
          <w:rFonts w:hint="eastAsia" w:ascii="Times New Roman" w:hAnsi="Times New Roman"/>
          <w:bCs/>
          <w:color w:val="auto"/>
          <w:szCs w:val="32"/>
          <w:highlight w:val="none"/>
        </w:rPr>
        <w:t>则</w:t>
      </w:r>
      <w:r>
        <w:rPr>
          <w:color w:val="auto"/>
          <w:highlight w:val="none"/>
        </w:rPr>
        <w:tab/>
      </w:r>
      <w:r>
        <w:rPr>
          <w:color w:val="auto"/>
          <w:highlight w:val="none"/>
        </w:rPr>
        <w:fldChar w:fldCharType="begin"/>
      </w:r>
      <w:r>
        <w:rPr>
          <w:color w:val="auto"/>
          <w:highlight w:val="none"/>
        </w:rPr>
        <w:instrText xml:space="preserve"> PAGEREF _Toc22498 </w:instrText>
      </w:r>
      <w:r>
        <w:rPr>
          <w:color w:val="auto"/>
          <w:highlight w:val="none"/>
        </w:rPr>
        <w:fldChar w:fldCharType="separate"/>
      </w:r>
      <w:r>
        <w:rPr>
          <w:color w:val="auto"/>
          <w:highlight w:val="none"/>
        </w:rPr>
        <w:t>20</w:t>
      </w:r>
      <w:r>
        <w:rPr>
          <w:color w:val="auto"/>
          <w:highlight w:val="none"/>
        </w:rPr>
        <w:fldChar w:fldCharType="end"/>
      </w:r>
      <w:r>
        <w:rPr>
          <w:rFonts w:hint="eastAsia" w:hAnsi="宋体" w:cs="宋体"/>
          <w:bCs/>
          <w:caps/>
          <w:color w:val="auto"/>
          <w:szCs w:val="28"/>
          <w:highlight w:val="none"/>
          <w:u w:val="single"/>
        </w:rPr>
        <w:fldChar w:fldCharType="end"/>
      </w:r>
    </w:p>
    <w:p w14:paraId="79519F17">
      <w:pPr>
        <w:pStyle w:val="15"/>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_Toc15435 </w:instrText>
      </w:r>
      <w:r>
        <w:rPr>
          <w:rFonts w:hint="eastAsia" w:hAnsi="宋体" w:cs="宋体"/>
          <w:bCs/>
          <w:caps/>
          <w:color w:val="auto"/>
          <w:szCs w:val="28"/>
          <w:highlight w:val="none"/>
        </w:rPr>
        <w:fldChar w:fldCharType="separate"/>
      </w:r>
      <w:r>
        <w:rPr>
          <w:rFonts w:hint="eastAsia" w:ascii="Times New Roman" w:hAnsi="Times New Roman"/>
          <w:bCs/>
          <w:color w:val="auto"/>
          <w:szCs w:val="32"/>
          <w:highlight w:val="none"/>
        </w:rPr>
        <w:t>二、第一阶段（入围阶段）</w:t>
      </w:r>
      <w:r>
        <w:rPr>
          <w:color w:val="auto"/>
          <w:highlight w:val="none"/>
        </w:rPr>
        <w:tab/>
      </w:r>
      <w:r>
        <w:rPr>
          <w:color w:val="auto"/>
          <w:highlight w:val="none"/>
        </w:rPr>
        <w:fldChar w:fldCharType="begin"/>
      </w:r>
      <w:r>
        <w:rPr>
          <w:color w:val="auto"/>
          <w:highlight w:val="none"/>
        </w:rPr>
        <w:instrText xml:space="preserve"> PAGEREF _Toc15435 </w:instrText>
      </w:r>
      <w:r>
        <w:rPr>
          <w:color w:val="auto"/>
          <w:highlight w:val="none"/>
        </w:rPr>
        <w:fldChar w:fldCharType="separate"/>
      </w:r>
      <w:r>
        <w:rPr>
          <w:color w:val="auto"/>
          <w:highlight w:val="none"/>
        </w:rPr>
        <w:t>22</w:t>
      </w:r>
      <w:r>
        <w:rPr>
          <w:color w:val="auto"/>
          <w:highlight w:val="none"/>
        </w:rPr>
        <w:fldChar w:fldCharType="end"/>
      </w:r>
      <w:r>
        <w:rPr>
          <w:rFonts w:hint="eastAsia" w:hAnsi="宋体" w:cs="宋体"/>
          <w:bCs/>
          <w:caps/>
          <w:color w:val="auto"/>
          <w:szCs w:val="28"/>
          <w:highlight w:val="none"/>
          <w:u w:val="single"/>
        </w:rPr>
        <w:fldChar w:fldCharType="end"/>
      </w:r>
    </w:p>
    <w:p w14:paraId="715986BD">
      <w:pPr>
        <w:pStyle w:val="15"/>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_Toc12694 </w:instrText>
      </w:r>
      <w:r>
        <w:rPr>
          <w:rFonts w:hint="eastAsia" w:hAnsi="宋体" w:cs="宋体"/>
          <w:bCs/>
          <w:caps/>
          <w:color w:val="auto"/>
          <w:szCs w:val="28"/>
          <w:highlight w:val="none"/>
        </w:rPr>
        <w:fldChar w:fldCharType="separate"/>
      </w:r>
      <w:r>
        <w:rPr>
          <w:rFonts w:hint="eastAsia" w:ascii="Times New Roman" w:hAnsi="Times New Roman"/>
          <w:bCs/>
          <w:color w:val="auto"/>
          <w:szCs w:val="32"/>
          <w:highlight w:val="none"/>
        </w:rPr>
        <w:t>（一）征集文件</w:t>
      </w:r>
      <w:r>
        <w:rPr>
          <w:color w:val="auto"/>
          <w:highlight w:val="none"/>
        </w:rPr>
        <w:tab/>
      </w:r>
      <w:r>
        <w:rPr>
          <w:color w:val="auto"/>
          <w:highlight w:val="none"/>
        </w:rPr>
        <w:fldChar w:fldCharType="begin"/>
      </w:r>
      <w:r>
        <w:rPr>
          <w:color w:val="auto"/>
          <w:highlight w:val="none"/>
        </w:rPr>
        <w:instrText xml:space="preserve"> PAGEREF _Toc12694 </w:instrText>
      </w:r>
      <w:r>
        <w:rPr>
          <w:color w:val="auto"/>
          <w:highlight w:val="none"/>
        </w:rPr>
        <w:fldChar w:fldCharType="separate"/>
      </w:r>
      <w:r>
        <w:rPr>
          <w:color w:val="auto"/>
          <w:highlight w:val="none"/>
        </w:rPr>
        <w:t>22</w:t>
      </w:r>
      <w:r>
        <w:rPr>
          <w:color w:val="auto"/>
          <w:highlight w:val="none"/>
        </w:rPr>
        <w:fldChar w:fldCharType="end"/>
      </w:r>
      <w:r>
        <w:rPr>
          <w:rFonts w:hint="eastAsia" w:hAnsi="宋体" w:cs="宋体"/>
          <w:bCs/>
          <w:caps/>
          <w:color w:val="auto"/>
          <w:szCs w:val="28"/>
          <w:highlight w:val="none"/>
          <w:u w:val="single"/>
        </w:rPr>
        <w:fldChar w:fldCharType="end"/>
      </w:r>
    </w:p>
    <w:p w14:paraId="39105738">
      <w:pPr>
        <w:pStyle w:val="15"/>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_Toc1877 </w:instrText>
      </w:r>
      <w:r>
        <w:rPr>
          <w:rFonts w:hint="eastAsia" w:hAnsi="宋体" w:cs="宋体"/>
          <w:bCs/>
          <w:caps/>
          <w:color w:val="auto"/>
          <w:szCs w:val="28"/>
          <w:highlight w:val="none"/>
        </w:rPr>
        <w:fldChar w:fldCharType="separate"/>
      </w:r>
      <w:r>
        <w:rPr>
          <w:rFonts w:hint="eastAsia" w:ascii="宋体" w:hAnsi="宋体" w:cs="宋体"/>
          <w:color w:val="auto"/>
          <w:highlight w:val="none"/>
        </w:rPr>
        <w:t>（二）响应文件的编制</w:t>
      </w:r>
      <w:r>
        <w:rPr>
          <w:color w:val="auto"/>
          <w:highlight w:val="none"/>
        </w:rPr>
        <w:tab/>
      </w:r>
      <w:r>
        <w:rPr>
          <w:color w:val="auto"/>
          <w:highlight w:val="none"/>
        </w:rPr>
        <w:fldChar w:fldCharType="begin"/>
      </w:r>
      <w:r>
        <w:rPr>
          <w:color w:val="auto"/>
          <w:highlight w:val="none"/>
        </w:rPr>
        <w:instrText xml:space="preserve"> PAGEREF _Toc1877 </w:instrText>
      </w:r>
      <w:r>
        <w:rPr>
          <w:color w:val="auto"/>
          <w:highlight w:val="none"/>
        </w:rPr>
        <w:fldChar w:fldCharType="separate"/>
      </w:r>
      <w:r>
        <w:rPr>
          <w:color w:val="auto"/>
          <w:highlight w:val="none"/>
        </w:rPr>
        <w:t>23</w:t>
      </w:r>
      <w:r>
        <w:rPr>
          <w:color w:val="auto"/>
          <w:highlight w:val="none"/>
        </w:rPr>
        <w:fldChar w:fldCharType="end"/>
      </w:r>
      <w:r>
        <w:rPr>
          <w:rFonts w:hint="eastAsia" w:hAnsi="宋体" w:cs="宋体"/>
          <w:bCs/>
          <w:caps/>
          <w:color w:val="auto"/>
          <w:szCs w:val="28"/>
          <w:highlight w:val="none"/>
          <w:u w:val="single"/>
        </w:rPr>
        <w:fldChar w:fldCharType="end"/>
      </w:r>
    </w:p>
    <w:p w14:paraId="0210710A">
      <w:pPr>
        <w:pStyle w:val="15"/>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_Toc19881 </w:instrText>
      </w:r>
      <w:r>
        <w:rPr>
          <w:rFonts w:hint="eastAsia" w:hAnsi="宋体" w:cs="宋体"/>
          <w:bCs/>
          <w:caps/>
          <w:color w:val="auto"/>
          <w:szCs w:val="28"/>
          <w:highlight w:val="none"/>
        </w:rPr>
        <w:fldChar w:fldCharType="separate"/>
      </w:r>
      <w:r>
        <w:rPr>
          <w:rFonts w:hint="eastAsia" w:ascii="Times New Roman" w:hAnsi="Times New Roman"/>
          <w:bCs/>
          <w:color w:val="auto"/>
          <w:szCs w:val="32"/>
          <w:highlight w:val="none"/>
        </w:rPr>
        <w:t>（三）开</w:t>
      </w:r>
      <w:r>
        <w:rPr>
          <w:rFonts w:ascii="Times New Roman" w:hAnsi="Times New Roman"/>
          <w:bCs/>
          <w:color w:val="auto"/>
          <w:szCs w:val="32"/>
          <w:highlight w:val="none"/>
        </w:rPr>
        <w:t xml:space="preserve">    </w:t>
      </w:r>
      <w:r>
        <w:rPr>
          <w:rFonts w:hint="eastAsia" w:ascii="Times New Roman" w:hAnsi="Times New Roman"/>
          <w:bCs/>
          <w:color w:val="auto"/>
          <w:szCs w:val="32"/>
          <w:highlight w:val="none"/>
        </w:rPr>
        <w:t>标</w:t>
      </w:r>
      <w:r>
        <w:rPr>
          <w:color w:val="auto"/>
          <w:highlight w:val="none"/>
        </w:rPr>
        <w:tab/>
      </w:r>
      <w:r>
        <w:rPr>
          <w:color w:val="auto"/>
          <w:highlight w:val="none"/>
        </w:rPr>
        <w:fldChar w:fldCharType="begin"/>
      </w:r>
      <w:r>
        <w:rPr>
          <w:color w:val="auto"/>
          <w:highlight w:val="none"/>
        </w:rPr>
        <w:instrText xml:space="preserve"> PAGEREF _Toc19881 </w:instrText>
      </w:r>
      <w:r>
        <w:rPr>
          <w:color w:val="auto"/>
          <w:highlight w:val="none"/>
        </w:rPr>
        <w:fldChar w:fldCharType="separate"/>
      </w:r>
      <w:r>
        <w:rPr>
          <w:color w:val="auto"/>
          <w:highlight w:val="none"/>
        </w:rPr>
        <w:t>26</w:t>
      </w:r>
      <w:r>
        <w:rPr>
          <w:color w:val="auto"/>
          <w:highlight w:val="none"/>
        </w:rPr>
        <w:fldChar w:fldCharType="end"/>
      </w:r>
      <w:r>
        <w:rPr>
          <w:rFonts w:hint="eastAsia" w:hAnsi="宋体" w:cs="宋体"/>
          <w:bCs/>
          <w:caps/>
          <w:color w:val="auto"/>
          <w:szCs w:val="28"/>
          <w:highlight w:val="none"/>
          <w:u w:val="single"/>
        </w:rPr>
        <w:fldChar w:fldCharType="end"/>
      </w:r>
    </w:p>
    <w:p w14:paraId="0FFE18D7">
      <w:pPr>
        <w:pStyle w:val="15"/>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_Toc10917 </w:instrText>
      </w:r>
      <w:r>
        <w:rPr>
          <w:rFonts w:hint="eastAsia" w:hAnsi="宋体" w:cs="宋体"/>
          <w:bCs/>
          <w:caps/>
          <w:color w:val="auto"/>
          <w:szCs w:val="28"/>
          <w:highlight w:val="none"/>
        </w:rPr>
        <w:fldChar w:fldCharType="separate"/>
      </w:r>
      <w:r>
        <w:rPr>
          <w:rFonts w:hint="eastAsia" w:ascii="Times New Roman" w:hAnsi="Times New Roman"/>
          <w:bCs/>
          <w:color w:val="auto"/>
          <w:szCs w:val="32"/>
          <w:highlight w:val="none"/>
        </w:rPr>
        <w:t>（四）资格审查</w:t>
      </w:r>
      <w:r>
        <w:rPr>
          <w:color w:val="auto"/>
          <w:highlight w:val="none"/>
        </w:rPr>
        <w:tab/>
      </w:r>
      <w:r>
        <w:rPr>
          <w:color w:val="auto"/>
          <w:highlight w:val="none"/>
        </w:rPr>
        <w:fldChar w:fldCharType="begin"/>
      </w:r>
      <w:r>
        <w:rPr>
          <w:color w:val="auto"/>
          <w:highlight w:val="none"/>
        </w:rPr>
        <w:instrText xml:space="preserve"> PAGEREF _Toc10917 </w:instrText>
      </w:r>
      <w:r>
        <w:rPr>
          <w:color w:val="auto"/>
          <w:highlight w:val="none"/>
        </w:rPr>
        <w:fldChar w:fldCharType="separate"/>
      </w:r>
      <w:r>
        <w:rPr>
          <w:color w:val="auto"/>
          <w:highlight w:val="none"/>
        </w:rPr>
        <w:t>27</w:t>
      </w:r>
      <w:r>
        <w:rPr>
          <w:color w:val="auto"/>
          <w:highlight w:val="none"/>
        </w:rPr>
        <w:fldChar w:fldCharType="end"/>
      </w:r>
      <w:r>
        <w:rPr>
          <w:rFonts w:hint="eastAsia" w:hAnsi="宋体" w:cs="宋体"/>
          <w:bCs/>
          <w:caps/>
          <w:color w:val="auto"/>
          <w:szCs w:val="28"/>
          <w:highlight w:val="none"/>
          <w:u w:val="single"/>
        </w:rPr>
        <w:fldChar w:fldCharType="end"/>
      </w:r>
    </w:p>
    <w:p w14:paraId="3F49B41F">
      <w:pPr>
        <w:pStyle w:val="15"/>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_Toc12212 </w:instrText>
      </w:r>
      <w:r>
        <w:rPr>
          <w:rFonts w:hint="eastAsia" w:hAnsi="宋体" w:cs="宋体"/>
          <w:bCs/>
          <w:caps/>
          <w:color w:val="auto"/>
          <w:szCs w:val="28"/>
          <w:highlight w:val="none"/>
        </w:rPr>
        <w:fldChar w:fldCharType="separate"/>
      </w:r>
      <w:r>
        <w:rPr>
          <w:rFonts w:hint="eastAsia" w:ascii="Times New Roman" w:hAnsi="Times New Roman"/>
          <w:bCs/>
          <w:color w:val="auto"/>
          <w:szCs w:val="32"/>
          <w:highlight w:val="none"/>
        </w:rPr>
        <w:t>（五）评</w:t>
      </w:r>
      <w:r>
        <w:rPr>
          <w:rFonts w:ascii="Times New Roman" w:hAnsi="Times New Roman"/>
          <w:bCs/>
          <w:color w:val="auto"/>
          <w:szCs w:val="32"/>
          <w:highlight w:val="none"/>
        </w:rPr>
        <w:t xml:space="preserve">   </w:t>
      </w:r>
      <w:r>
        <w:rPr>
          <w:rFonts w:hint="eastAsia" w:ascii="Times New Roman" w:hAnsi="Times New Roman"/>
          <w:bCs/>
          <w:color w:val="auto"/>
          <w:szCs w:val="32"/>
          <w:highlight w:val="none"/>
        </w:rPr>
        <w:t>标</w:t>
      </w:r>
      <w:r>
        <w:rPr>
          <w:color w:val="auto"/>
          <w:highlight w:val="none"/>
        </w:rPr>
        <w:tab/>
      </w:r>
      <w:r>
        <w:rPr>
          <w:color w:val="auto"/>
          <w:highlight w:val="none"/>
        </w:rPr>
        <w:fldChar w:fldCharType="begin"/>
      </w:r>
      <w:r>
        <w:rPr>
          <w:color w:val="auto"/>
          <w:highlight w:val="none"/>
        </w:rPr>
        <w:instrText xml:space="preserve"> PAGEREF _Toc12212 </w:instrText>
      </w:r>
      <w:r>
        <w:rPr>
          <w:color w:val="auto"/>
          <w:highlight w:val="none"/>
        </w:rPr>
        <w:fldChar w:fldCharType="separate"/>
      </w:r>
      <w:r>
        <w:rPr>
          <w:color w:val="auto"/>
          <w:highlight w:val="none"/>
        </w:rPr>
        <w:t>27</w:t>
      </w:r>
      <w:r>
        <w:rPr>
          <w:color w:val="auto"/>
          <w:highlight w:val="none"/>
        </w:rPr>
        <w:fldChar w:fldCharType="end"/>
      </w:r>
      <w:r>
        <w:rPr>
          <w:rFonts w:hint="eastAsia" w:hAnsi="宋体" w:cs="宋体"/>
          <w:bCs/>
          <w:caps/>
          <w:color w:val="auto"/>
          <w:szCs w:val="28"/>
          <w:highlight w:val="none"/>
          <w:u w:val="single"/>
        </w:rPr>
        <w:fldChar w:fldCharType="end"/>
      </w:r>
    </w:p>
    <w:p w14:paraId="371E0024">
      <w:pPr>
        <w:pStyle w:val="15"/>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_Toc2228 </w:instrText>
      </w:r>
      <w:r>
        <w:rPr>
          <w:rFonts w:hint="eastAsia" w:hAnsi="宋体" w:cs="宋体"/>
          <w:bCs/>
          <w:caps/>
          <w:color w:val="auto"/>
          <w:szCs w:val="28"/>
          <w:highlight w:val="none"/>
        </w:rPr>
        <w:fldChar w:fldCharType="separate"/>
      </w:r>
      <w:r>
        <w:rPr>
          <w:rFonts w:hint="eastAsia" w:ascii="宋体" w:hAnsi="宋体" w:cs="宋体"/>
          <w:color w:val="auto"/>
          <w:highlight w:val="none"/>
        </w:rPr>
        <w:t>（六）入围和框架协议</w:t>
      </w:r>
      <w:r>
        <w:rPr>
          <w:color w:val="auto"/>
          <w:highlight w:val="none"/>
        </w:rPr>
        <w:tab/>
      </w:r>
      <w:r>
        <w:rPr>
          <w:color w:val="auto"/>
          <w:highlight w:val="none"/>
        </w:rPr>
        <w:fldChar w:fldCharType="begin"/>
      </w:r>
      <w:r>
        <w:rPr>
          <w:color w:val="auto"/>
          <w:highlight w:val="none"/>
        </w:rPr>
        <w:instrText xml:space="preserve"> PAGEREF _Toc2228 </w:instrText>
      </w:r>
      <w:r>
        <w:rPr>
          <w:color w:val="auto"/>
          <w:highlight w:val="none"/>
        </w:rPr>
        <w:fldChar w:fldCharType="separate"/>
      </w:r>
      <w:r>
        <w:rPr>
          <w:color w:val="auto"/>
          <w:highlight w:val="none"/>
        </w:rPr>
        <w:t>28</w:t>
      </w:r>
      <w:r>
        <w:rPr>
          <w:color w:val="auto"/>
          <w:highlight w:val="none"/>
        </w:rPr>
        <w:fldChar w:fldCharType="end"/>
      </w:r>
      <w:r>
        <w:rPr>
          <w:rFonts w:hint="eastAsia" w:hAnsi="宋体" w:cs="宋体"/>
          <w:bCs/>
          <w:caps/>
          <w:color w:val="auto"/>
          <w:szCs w:val="28"/>
          <w:highlight w:val="none"/>
          <w:u w:val="single"/>
        </w:rPr>
        <w:fldChar w:fldCharType="end"/>
      </w:r>
    </w:p>
    <w:p w14:paraId="653610AB">
      <w:pPr>
        <w:pStyle w:val="15"/>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_Toc20638 </w:instrText>
      </w:r>
      <w:r>
        <w:rPr>
          <w:rFonts w:hint="eastAsia" w:hAnsi="宋体" w:cs="宋体"/>
          <w:bCs/>
          <w:caps/>
          <w:color w:val="auto"/>
          <w:szCs w:val="28"/>
          <w:highlight w:val="none"/>
        </w:rPr>
        <w:fldChar w:fldCharType="separate"/>
      </w:r>
      <w:r>
        <w:rPr>
          <w:rFonts w:hint="eastAsia" w:ascii="宋体" w:hAnsi="宋体" w:cs="宋体"/>
          <w:bCs/>
          <w:color w:val="auto"/>
          <w:szCs w:val="32"/>
          <w:highlight w:val="none"/>
        </w:rPr>
        <w:t>三、第二阶段（成交阶段）</w:t>
      </w:r>
      <w:r>
        <w:rPr>
          <w:color w:val="auto"/>
          <w:highlight w:val="none"/>
        </w:rPr>
        <w:tab/>
      </w:r>
      <w:r>
        <w:rPr>
          <w:color w:val="auto"/>
          <w:highlight w:val="none"/>
        </w:rPr>
        <w:fldChar w:fldCharType="begin"/>
      </w:r>
      <w:r>
        <w:rPr>
          <w:color w:val="auto"/>
          <w:highlight w:val="none"/>
        </w:rPr>
        <w:instrText xml:space="preserve"> PAGEREF _Toc20638 </w:instrText>
      </w:r>
      <w:r>
        <w:rPr>
          <w:color w:val="auto"/>
          <w:highlight w:val="none"/>
        </w:rPr>
        <w:fldChar w:fldCharType="separate"/>
      </w:r>
      <w:r>
        <w:rPr>
          <w:color w:val="auto"/>
          <w:highlight w:val="none"/>
        </w:rPr>
        <w:t>33</w:t>
      </w:r>
      <w:r>
        <w:rPr>
          <w:color w:val="auto"/>
          <w:highlight w:val="none"/>
        </w:rPr>
        <w:fldChar w:fldCharType="end"/>
      </w:r>
      <w:r>
        <w:rPr>
          <w:rFonts w:hint="eastAsia" w:hAnsi="宋体" w:cs="宋体"/>
          <w:bCs/>
          <w:caps/>
          <w:color w:val="auto"/>
          <w:szCs w:val="28"/>
          <w:highlight w:val="none"/>
          <w:u w:val="single"/>
        </w:rPr>
        <w:fldChar w:fldCharType="end"/>
      </w:r>
    </w:p>
    <w:p w14:paraId="477131A5">
      <w:pPr>
        <w:pStyle w:val="15"/>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_Toc7629 </w:instrText>
      </w:r>
      <w:r>
        <w:rPr>
          <w:rFonts w:hint="eastAsia" w:hAnsi="宋体" w:cs="宋体"/>
          <w:bCs/>
          <w:caps/>
          <w:color w:val="auto"/>
          <w:szCs w:val="28"/>
          <w:highlight w:val="none"/>
        </w:rPr>
        <w:fldChar w:fldCharType="separate"/>
      </w:r>
      <w:r>
        <w:rPr>
          <w:rFonts w:hint="eastAsia" w:ascii="宋体" w:hAnsi="宋体" w:cs="宋体"/>
          <w:color w:val="auto"/>
          <w:highlight w:val="none"/>
        </w:rPr>
        <w:t>四、其他事项</w:t>
      </w:r>
      <w:r>
        <w:rPr>
          <w:color w:val="auto"/>
          <w:highlight w:val="none"/>
        </w:rPr>
        <w:tab/>
      </w:r>
      <w:r>
        <w:rPr>
          <w:color w:val="auto"/>
          <w:highlight w:val="none"/>
        </w:rPr>
        <w:fldChar w:fldCharType="begin"/>
      </w:r>
      <w:r>
        <w:rPr>
          <w:color w:val="auto"/>
          <w:highlight w:val="none"/>
        </w:rPr>
        <w:instrText xml:space="preserve"> PAGEREF _Toc7629 </w:instrText>
      </w:r>
      <w:r>
        <w:rPr>
          <w:color w:val="auto"/>
          <w:highlight w:val="none"/>
        </w:rPr>
        <w:fldChar w:fldCharType="separate"/>
      </w:r>
      <w:r>
        <w:rPr>
          <w:color w:val="auto"/>
          <w:highlight w:val="none"/>
        </w:rPr>
        <w:t>34</w:t>
      </w:r>
      <w:r>
        <w:rPr>
          <w:color w:val="auto"/>
          <w:highlight w:val="none"/>
        </w:rPr>
        <w:fldChar w:fldCharType="end"/>
      </w:r>
      <w:r>
        <w:rPr>
          <w:rFonts w:hint="eastAsia" w:hAnsi="宋体" w:cs="宋体"/>
          <w:bCs/>
          <w:caps/>
          <w:color w:val="auto"/>
          <w:szCs w:val="28"/>
          <w:highlight w:val="none"/>
          <w:u w:val="single"/>
        </w:rPr>
        <w:fldChar w:fldCharType="end"/>
      </w:r>
    </w:p>
    <w:p w14:paraId="209EFDDE">
      <w:pPr>
        <w:pStyle w:val="19"/>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_Toc11881 </w:instrText>
      </w:r>
      <w:r>
        <w:rPr>
          <w:rFonts w:hint="eastAsia" w:hAnsi="宋体" w:cs="宋体"/>
          <w:bCs/>
          <w:caps/>
          <w:color w:val="auto"/>
          <w:szCs w:val="28"/>
          <w:highlight w:val="none"/>
        </w:rPr>
        <w:fldChar w:fldCharType="separate"/>
      </w:r>
      <w:r>
        <w:rPr>
          <w:rFonts w:hint="eastAsia" w:hAnsi="宋体" w:cs="宋体"/>
          <w:color w:val="auto"/>
          <w:highlight w:val="none"/>
        </w:rPr>
        <w:t>第四章  评审方法及评分标准</w:t>
      </w:r>
      <w:r>
        <w:rPr>
          <w:color w:val="auto"/>
          <w:highlight w:val="none"/>
        </w:rPr>
        <w:tab/>
      </w:r>
      <w:r>
        <w:rPr>
          <w:color w:val="auto"/>
          <w:highlight w:val="none"/>
        </w:rPr>
        <w:fldChar w:fldCharType="begin"/>
      </w:r>
      <w:r>
        <w:rPr>
          <w:color w:val="auto"/>
          <w:highlight w:val="none"/>
        </w:rPr>
        <w:instrText xml:space="preserve"> PAGEREF _Toc11881 </w:instrText>
      </w:r>
      <w:r>
        <w:rPr>
          <w:color w:val="auto"/>
          <w:highlight w:val="none"/>
        </w:rPr>
        <w:fldChar w:fldCharType="separate"/>
      </w:r>
      <w:r>
        <w:rPr>
          <w:color w:val="auto"/>
          <w:highlight w:val="none"/>
        </w:rPr>
        <w:t>36</w:t>
      </w:r>
      <w:r>
        <w:rPr>
          <w:color w:val="auto"/>
          <w:highlight w:val="none"/>
        </w:rPr>
        <w:fldChar w:fldCharType="end"/>
      </w:r>
      <w:r>
        <w:rPr>
          <w:rFonts w:hint="eastAsia" w:hAnsi="宋体" w:cs="宋体"/>
          <w:bCs/>
          <w:caps/>
          <w:color w:val="auto"/>
          <w:szCs w:val="28"/>
          <w:highlight w:val="none"/>
          <w:u w:val="single"/>
        </w:rPr>
        <w:fldChar w:fldCharType="end"/>
      </w:r>
    </w:p>
    <w:p w14:paraId="194E359B">
      <w:pPr>
        <w:pStyle w:val="21"/>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_Toc8010 </w:instrText>
      </w:r>
      <w:r>
        <w:rPr>
          <w:rFonts w:hint="eastAsia" w:hAnsi="宋体" w:cs="宋体"/>
          <w:bCs/>
          <w:caps/>
          <w:color w:val="auto"/>
          <w:szCs w:val="28"/>
          <w:highlight w:val="none"/>
        </w:rPr>
        <w:fldChar w:fldCharType="separate"/>
      </w:r>
      <w:r>
        <w:rPr>
          <w:rFonts w:hint="eastAsia" w:hAnsi="宋体" w:cs="宋体"/>
          <w:bCs/>
          <w:color w:val="auto"/>
          <w:szCs w:val="32"/>
          <w:highlight w:val="none"/>
        </w:rPr>
        <w:t>第一节 评审方法</w:t>
      </w:r>
      <w:r>
        <w:rPr>
          <w:color w:val="auto"/>
          <w:highlight w:val="none"/>
        </w:rPr>
        <w:tab/>
      </w:r>
      <w:r>
        <w:rPr>
          <w:color w:val="auto"/>
          <w:highlight w:val="none"/>
        </w:rPr>
        <w:fldChar w:fldCharType="begin"/>
      </w:r>
      <w:r>
        <w:rPr>
          <w:color w:val="auto"/>
          <w:highlight w:val="none"/>
        </w:rPr>
        <w:instrText xml:space="preserve"> PAGEREF _Toc8010 </w:instrText>
      </w:r>
      <w:r>
        <w:rPr>
          <w:color w:val="auto"/>
          <w:highlight w:val="none"/>
        </w:rPr>
        <w:fldChar w:fldCharType="separate"/>
      </w:r>
      <w:r>
        <w:rPr>
          <w:color w:val="auto"/>
          <w:highlight w:val="none"/>
        </w:rPr>
        <w:t>36</w:t>
      </w:r>
      <w:r>
        <w:rPr>
          <w:color w:val="auto"/>
          <w:highlight w:val="none"/>
        </w:rPr>
        <w:fldChar w:fldCharType="end"/>
      </w:r>
      <w:r>
        <w:rPr>
          <w:rFonts w:hint="eastAsia" w:hAnsi="宋体" w:cs="宋体"/>
          <w:bCs/>
          <w:caps/>
          <w:color w:val="auto"/>
          <w:szCs w:val="28"/>
          <w:highlight w:val="none"/>
          <w:u w:val="single"/>
        </w:rPr>
        <w:fldChar w:fldCharType="end"/>
      </w:r>
    </w:p>
    <w:p w14:paraId="327D6440">
      <w:pPr>
        <w:pStyle w:val="21"/>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_Toc761 </w:instrText>
      </w:r>
      <w:r>
        <w:rPr>
          <w:rFonts w:hint="eastAsia" w:hAnsi="宋体" w:cs="宋体"/>
          <w:bCs/>
          <w:caps/>
          <w:color w:val="auto"/>
          <w:szCs w:val="28"/>
          <w:highlight w:val="none"/>
        </w:rPr>
        <w:fldChar w:fldCharType="separate"/>
      </w:r>
      <w:r>
        <w:rPr>
          <w:rFonts w:hint="eastAsia" w:hAnsi="宋体" w:cs="宋体"/>
          <w:bCs/>
          <w:color w:val="auto"/>
          <w:szCs w:val="32"/>
          <w:highlight w:val="none"/>
        </w:rPr>
        <w:t>第二节 评审程序</w:t>
      </w:r>
      <w:r>
        <w:rPr>
          <w:color w:val="auto"/>
          <w:highlight w:val="none"/>
        </w:rPr>
        <w:tab/>
      </w:r>
      <w:r>
        <w:rPr>
          <w:color w:val="auto"/>
          <w:highlight w:val="none"/>
        </w:rPr>
        <w:fldChar w:fldCharType="begin"/>
      </w:r>
      <w:r>
        <w:rPr>
          <w:color w:val="auto"/>
          <w:highlight w:val="none"/>
        </w:rPr>
        <w:instrText xml:space="preserve"> PAGEREF _Toc761 </w:instrText>
      </w:r>
      <w:r>
        <w:rPr>
          <w:color w:val="auto"/>
          <w:highlight w:val="none"/>
        </w:rPr>
        <w:fldChar w:fldCharType="separate"/>
      </w:r>
      <w:r>
        <w:rPr>
          <w:color w:val="auto"/>
          <w:highlight w:val="none"/>
        </w:rPr>
        <w:t>36</w:t>
      </w:r>
      <w:r>
        <w:rPr>
          <w:color w:val="auto"/>
          <w:highlight w:val="none"/>
        </w:rPr>
        <w:fldChar w:fldCharType="end"/>
      </w:r>
      <w:r>
        <w:rPr>
          <w:rFonts w:hint="eastAsia" w:hAnsi="宋体" w:cs="宋体"/>
          <w:bCs/>
          <w:caps/>
          <w:color w:val="auto"/>
          <w:szCs w:val="28"/>
          <w:highlight w:val="none"/>
          <w:u w:val="single"/>
        </w:rPr>
        <w:fldChar w:fldCharType="end"/>
      </w:r>
    </w:p>
    <w:p w14:paraId="2EC50426">
      <w:pPr>
        <w:pStyle w:val="15"/>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_Toc6567 </w:instrText>
      </w:r>
      <w:r>
        <w:rPr>
          <w:rFonts w:hint="eastAsia" w:hAnsi="宋体" w:cs="宋体"/>
          <w:bCs/>
          <w:caps/>
          <w:color w:val="auto"/>
          <w:szCs w:val="28"/>
          <w:highlight w:val="none"/>
        </w:rPr>
        <w:fldChar w:fldCharType="separate"/>
      </w:r>
      <w:r>
        <w:rPr>
          <w:rFonts w:hint="eastAsia" w:ascii="宋体" w:hAnsi="宋体" w:cs="宋体"/>
          <w:color w:val="auto"/>
          <w:szCs w:val="21"/>
          <w:highlight w:val="none"/>
        </w:rPr>
        <w:t>1.资格审查</w:t>
      </w:r>
      <w:r>
        <w:rPr>
          <w:color w:val="auto"/>
          <w:highlight w:val="none"/>
        </w:rPr>
        <w:tab/>
      </w:r>
      <w:r>
        <w:rPr>
          <w:color w:val="auto"/>
          <w:highlight w:val="none"/>
        </w:rPr>
        <w:fldChar w:fldCharType="begin"/>
      </w:r>
      <w:r>
        <w:rPr>
          <w:color w:val="auto"/>
          <w:highlight w:val="none"/>
        </w:rPr>
        <w:instrText xml:space="preserve"> PAGEREF _Toc6567 </w:instrText>
      </w:r>
      <w:r>
        <w:rPr>
          <w:color w:val="auto"/>
          <w:highlight w:val="none"/>
        </w:rPr>
        <w:fldChar w:fldCharType="separate"/>
      </w:r>
      <w:r>
        <w:rPr>
          <w:color w:val="auto"/>
          <w:highlight w:val="none"/>
        </w:rPr>
        <w:t>36</w:t>
      </w:r>
      <w:r>
        <w:rPr>
          <w:color w:val="auto"/>
          <w:highlight w:val="none"/>
        </w:rPr>
        <w:fldChar w:fldCharType="end"/>
      </w:r>
      <w:r>
        <w:rPr>
          <w:rFonts w:hint="eastAsia" w:hAnsi="宋体" w:cs="宋体"/>
          <w:bCs/>
          <w:caps/>
          <w:color w:val="auto"/>
          <w:szCs w:val="28"/>
          <w:highlight w:val="none"/>
          <w:u w:val="single"/>
        </w:rPr>
        <w:fldChar w:fldCharType="end"/>
      </w:r>
    </w:p>
    <w:p w14:paraId="29D37D40">
      <w:pPr>
        <w:pStyle w:val="15"/>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_Toc8795 </w:instrText>
      </w:r>
      <w:r>
        <w:rPr>
          <w:rFonts w:hint="eastAsia" w:hAnsi="宋体" w:cs="宋体"/>
          <w:bCs/>
          <w:caps/>
          <w:color w:val="auto"/>
          <w:szCs w:val="28"/>
          <w:highlight w:val="none"/>
        </w:rPr>
        <w:fldChar w:fldCharType="separate"/>
      </w:r>
      <w:r>
        <w:rPr>
          <w:rFonts w:hint="eastAsia" w:ascii="宋体" w:hAnsi="宋体" w:cs="宋体"/>
          <w:color w:val="auto"/>
          <w:szCs w:val="21"/>
          <w:highlight w:val="none"/>
        </w:rPr>
        <w:t>2.符合性审查</w:t>
      </w:r>
      <w:r>
        <w:rPr>
          <w:color w:val="auto"/>
          <w:highlight w:val="none"/>
        </w:rPr>
        <w:tab/>
      </w:r>
      <w:r>
        <w:rPr>
          <w:color w:val="auto"/>
          <w:highlight w:val="none"/>
        </w:rPr>
        <w:fldChar w:fldCharType="begin"/>
      </w:r>
      <w:r>
        <w:rPr>
          <w:color w:val="auto"/>
          <w:highlight w:val="none"/>
        </w:rPr>
        <w:instrText xml:space="preserve"> PAGEREF _Toc8795 </w:instrText>
      </w:r>
      <w:r>
        <w:rPr>
          <w:color w:val="auto"/>
          <w:highlight w:val="none"/>
        </w:rPr>
        <w:fldChar w:fldCharType="separate"/>
      </w:r>
      <w:r>
        <w:rPr>
          <w:color w:val="auto"/>
          <w:highlight w:val="none"/>
        </w:rPr>
        <w:t>37</w:t>
      </w:r>
      <w:r>
        <w:rPr>
          <w:color w:val="auto"/>
          <w:highlight w:val="none"/>
        </w:rPr>
        <w:fldChar w:fldCharType="end"/>
      </w:r>
      <w:r>
        <w:rPr>
          <w:rFonts w:hint="eastAsia" w:hAnsi="宋体" w:cs="宋体"/>
          <w:bCs/>
          <w:caps/>
          <w:color w:val="auto"/>
          <w:szCs w:val="28"/>
          <w:highlight w:val="none"/>
          <w:u w:val="single"/>
        </w:rPr>
        <w:fldChar w:fldCharType="end"/>
      </w:r>
    </w:p>
    <w:p w14:paraId="38455061">
      <w:pPr>
        <w:pStyle w:val="15"/>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_Toc11320 </w:instrText>
      </w:r>
      <w:r>
        <w:rPr>
          <w:rFonts w:hint="eastAsia" w:hAnsi="宋体" w:cs="宋体"/>
          <w:bCs/>
          <w:caps/>
          <w:color w:val="auto"/>
          <w:szCs w:val="28"/>
          <w:highlight w:val="none"/>
        </w:rPr>
        <w:fldChar w:fldCharType="separate"/>
      </w:r>
      <w:r>
        <w:rPr>
          <w:rFonts w:hint="eastAsia" w:ascii="宋体" w:hAnsi="宋体" w:cs="宋体"/>
          <w:color w:val="auto"/>
          <w:szCs w:val="21"/>
          <w:highlight w:val="none"/>
        </w:rPr>
        <w:t>3.符合性审查不通过而导致响应无效的情形</w:t>
      </w:r>
      <w:r>
        <w:rPr>
          <w:color w:val="auto"/>
          <w:highlight w:val="none"/>
        </w:rPr>
        <w:tab/>
      </w:r>
      <w:r>
        <w:rPr>
          <w:color w:val="auto"/>
          <w:highlight w:val="none"/>
        </w:rPr>
        <w:fldChar w:fldCharType="begin"/>
      </w:r>
      <w:r>
        <w:rPr>
          <w:color w:val="auto"/>
          <w:highlight w:val="none"/>
        </w:rPr>
        <w:instrText xml:space="preserve"> PAGEREF _Toc11320 </w:instrText>
      </w:r>
      <w:r>
        <w:rPr>
          <w:color w:val="auto"/>
          <w:highlight w:val="none"/>
        </w:rPr>
        <w:fldChar w:fldCharType="separate"/>
      </w:r>
      <w:r>
        <w:rPr>
          <w:color w:val="auto"/>
          <w:highlight w:val="none"/>
        </w:rPr>
        <w:t>37</w:t>
      </w:r>
      <w:r>
        <w:rPr>
          <w:color w:val="auto"/>
          <w:highlight w:val="none"/>
        </w:rPr>
        <w:fldChar w:fldCharType="end"/>
      </w:r>
      <w:r>
        <w:rPr>
          <w:rFonts w:hint="eastAsia" w:hAnsi="宋体" w:cs="宋体"/>
          <w:bCs/>
          <w:caps/>
          <w:color w:val="auto"/>
          <w:szCs w:val="28"/>
          <w:highlight w:val="none"/>
          <w:u w:val="single"/>
        </w:rPr>
        <w:fldChar w:fldCharType="end"/>
      </w:r>
    </w:p>
    <w:p w14:paraId="7AAE7811">
      <w:pPr>
        <w:pStyle w:val="15"/>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_Toc17443 </w:instrText>
      </w:r>
      <w:r>
        <w:rPr>
          <w:rFonts w:hint="eastAsia" w:hAnsi="宋体" w:cs="宋体"/>
          <w:bCs/>
          <w:caps/>
          <w:color w:val="auto"/>
          <w:szCs w:val="28"/>
          <w:highlight w:val="none"/>
        </w:rPr>
        <w:fldChar w:fldCharType="separate"/>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.澄清补正、说明或者补正</w:t>
      </w:r>
      <w:r>
        <w:rPr>
          <w:color w:val="auto"/>
          <w:highlight w:val="none"/>
        </w:rPr>
        <w:tab/>
      </w:r>
      <w:r>
        <w:rPr>
          <w:color w:val="auto"/>
          <w:highlight w:val="none"/>
        </w:rPr>
        <w:fldChar w:fldCharType="begin"/>
      </w:r>
      <w:r>
        <w:rPr>
          <w:color w:val="auto"/>
          <w:highlight w:val="none"/>
        </w:rPr>
        <w:instrText xml:space="preserve"> PAGEREF _Toc17443 </w:instrText>
      </w:r>
      <w:r>
        <w:rPr>
          <w:color w:val="auto"/>
          <w:highlight w:val="none"/>
        </w:rPr>
        <w:fldChar w:fldCharType="separate"/>
      </w:r>
      <w:r>
        <w:rPr>
          <w:color w:val="auto"/>
          <w:highlight w:val="none"/>
        </w:rPr>
        <w:t>38</w:t>
      </w:r>
      <w:r>
        <w:rPr>
          <w:color w:val="auto"/>
          <w:highlight w:val="none"/>
        </w:rPr>
        <w:fldChar w:fldCharType="end"/>
      </w:r>
      <w:r>
        <w:rPr>
          <w:rFonts w:hint="eastAsia" w:hAnsi="宋体" w:cs="宋体"/>
          <w:bCs/>
          <w:caps/>
          <w:color w:val="auto"/>
          <w:szCs w:val="28"/>
          <w:highlight w:val="none"/>
          <w:u w:val="single"/>
        </w:rPr>
        <w:fldChar w:fldCharType="end"/>
      </w:r>
    </w:p>
    <w:p w14:paraId="35A1CF25">
      <w:pPr>
        <w:pStyle w:val="15"/>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_Toc14216 </w:instrText>
      </w:r>
      <w:r>
        <w:rPr>
          <w:rFonts w:hint="eastAsia" w:hAnsi="宋体" w:cs="宋体"/>
          <w:bCs/>
          <w:caps/>
          <w:color w:val="auto"/>
          <w:szCs w:val="28"/>
          <w:highlight w:val="none"/>
        </w:rPr>
        <w:fldChar w:fldCharType="separate"/>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.比较与评价</w:t>
      </w:r>
      <w:r>
        <w:rPr>
          <w:color w:val="auto"/>
          <w:highlight w:val="none"/>
        </w:rPr>
        <w:tab/>
      </w:r>
      <w:r>
        <w:rPr>
          <w:color w:val="auto"/>
          <w:highlight w:val="none"/>
        </w:rPr>
        <w:fldChar w:fldCharType="begin"/>
      </w:r>
      <w:r>
        <w:rPr>
          <w:color w:val="auto"/>
          <w:highlight w:val="none"/>
        </w:rPr>
        <w:instrText xml:space="preserve"> PAGEREF _Toc14216 </w:instrText>
      </w:r>
      <w:r>
        <w:rPr>
          <w:color w:val="auto"/>
          <w:highlight w:val="none"/>
        </w:rPr>
        <w:fldChar w:fldCharType="separate"/>
      </w:r>
      <w:r>
        <w:rPr>
          <w:color w:val="auto"/>
          <w:highlight w:val="none"/>
        </w:rPr>
        <w:t>38</w:t>
      </w:r>
      <w:r>
        <w:rPr>
          <w:color w:val="auto"/>
          <w:highlight w:val="none"/>
        </w:rPr>
        <w:fldChar w:fldCharType="end"/>
      </w:r>
      <w:r>
        <w:rPr>
          <w:rFonts w:hint="eastAsia" w:hAnsi="宋体" w:cs="宋体"/>
          <w:bCs/>
          <w:caps/>
          <w:color w:val="auto"/>
          <w:szCs w:val="28"/>
          <w:highlight w:val="none"/>
          <w:u w:val="single"/>
        </w:rPr>
        <w:fldChar w:fldCharType="end"/>
      </w:r>
    </w:p>
    <w:p w14:paraId="6F71DD71">
      <w:pPr>
        <w:pStyle w:val="21"/>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_Toc22743 </w:instrText>
      </w:r>
      <w:r>
        <w:rPr>
          <w:rFonts w:hint="eastAsia" w:hAnsi="宋体" w:cs="宋体"/>
          <w:bCs/>
          <w:caps/>
          <w:color w:val="auto"/>
          <w:szCs w:val="28"/>
          <w:highlight w:val="none"/>
        </w:rPr>
        <w:fldChar w:fldCharType="separate"/>
      </w:r>
      <w:r>
        <w:rPr>
          <w:rFonts w:hint="eastAsia" w:ascii="宋体" w:hAnsi="宋体" w:eastAsia="宋体" w:cs="宋体"/>
          <w:bCs w:val="0"/>
          <w:color w:val="auto"/>
          <w:szCs w:val="30"/>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_Toc22743 </w:instrText>
      </w:r>
      <w:r>
        <w:rPr>
          <w:color w:val="auto"/>
          <w:highlight w:val="none"/>
        </w:rPr>
        <w:fldChar w:fldCharType="separate"/>
      </w:r>
      <w:r>
        <w:rPr>
          <w:color w:val="auto"/>
          <w:highlight w:val="none"/>
        </w:rPr>
        <w:t>39</w:t>
      </w:r>
      <w:r>
        <w:rPr>
          <w:color w:val="auto"/>
          <w:highlight w:val="none"/>
        </w:rPr>
        <w:fldChar w:fldCharType="end"/>
      </w:r>
      <w:r>
        <w:rPr>
          <w:rFonts w:hint="eastAsia" w:hAnsi="宋体" w:cs="宋体"/>
          <w:bCs/>
          <w:caps/>
          <w:color w:val="auto"/>
          <w:szCs w:val="28"/>
          <w:highlight w:val="none"/>
          <w:u w:val="single"/>
        </w:rPr>
        <w:fldChar w:fldCharType="end"/>
      </w:r>
    </w:p>
    <w:p w14:paraId="6EB9441B">
      <w:pPr>
        <w:pStyle w:val="21"/>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_Toc15270 </w:instrText>
      </w:r>
      <w:r>
        <w:rPr>
          <w:rFonts w:hint="eastAsia" w:hAnsi="宋体" w:cs="宋体"/>
          <w:bCs/>
          <w:caps/>
          <w:color w:val="auto"/>
          <w:szCs w:val="28"/>
          <w:highlight w:val="none"/>
        </w:rPr>
        <w:fldChar w:fldCharType="separate"/>
      </w:r>
      <w:r>
        <w:rPr>
          <w:rFonts w:hint="eastAsia" w:ascii="宋体" w:hAnsi="宋体" w:eastAsia="宋体" w:cs="宋体"/>
          <w:bCs w:val="0"/>
          <w:color w:val="auto"/>
          <w:szCs w:val="30"/>
          <w:highlight w:val="none"/>
        </w:rPr>
        <w:t>第四节 入围候选人推荐原则</w:t>
      </w:r>
      <w:r>
        <w:rPr>
          <w:color w:val="auto"/>
          <w:highlight w:val="none"/>
        </w:rPr>
        <w:tab/>
      </w:r>
      <w:r>
        <w:rPr>
          <w:color w:val="auto"/>
          <w:highlight w:val="none"/>
        </w:rPr>
        <w:fldChar w:fldCharType="begin"/>
      </w:r>
      <w:r>
        <w:rPr>
          <w:color w:val="auto"/>
          <w:highlight w:val="none"/>
        </w:rPr>
        <w:instrText xml:space="preserve"> PAGEREF _Toc15270 </w:instrText>
      </w:r>
      <w:r>
        <w:rPr>
          <w:color w:val="auto"/>
          <w:highlight w:val="none"/>
        </w:rPr>
        <w:fldChar w:fldCharType="separate"/>
      </w:r>
      <w:r>
        <w:rPr>
          <w:color w:val="auto"/>
          <w:highlight w:val="none"/>
        </w:rPr>
        <w:t>41</w:t>
      </w:r>
      <w:r>
        <w:rPr>
          <w:color w:val="auto"/>
          <w:highlight w:val="none"/>
        </w:rPr>
        <w:fldChar w:fldCharType="end"/>
      </w:r>
      <w:r>
        <w:rPr>
          <w:rFonts w:hint="eastAsia" w:hAnsi="宋体" w:cs="宋体"/>
          <w:bCs/>
          <w:caps/>
          <w:color w:val="auto"/>
          <w:szCs w:val="28"/>
          <w:highlight w:val="none"/>
          <w:u w:val="single"/>
        </w:rPr>
        <w:fldChar w:fldCharType="end"/>
      </w:r>
    </w:p>
    <w:p w14:paraId="08C43F31">
      <w:pPr>
        <w:pStyle w:val="21"/>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_Toc21369 </w:instrText>
      </w:r>
      <w:r>
        <w:rPr>
          <w:rFonts w:hint="eastAsia" w:hAnsi="宋体" w:cs="宋体"/>
          <w:bCs/>
          <w:caps/>
          <w:color w:val="auto"/>
          <w:szCs w:val="28"/>
          <w:highlight w:val="none"/>
        </w:rPr>
        <w:fldChar w:fldCharType="separate"/>
      </w:r>
      <w:r>
        <w:rPr>
          <w:rFonts w:hint="eastAsia" w:ascii="宋体" w:hAnsi="宋体" w:eastAsia="宋体" w:cs="宋体"/>
          <w:bCs w:val="0"/>
          <w:color w:val="auto"/>
          <w:szCs w:val="30"/>
          <w:highlight w:val="none"/>
        </w:rPr>
        <w:t>第五节 评审报告</w:t>
      </w:r>
      <w:r>
        <w:rPr>
          <w:color w:val="auto"/>
          <w:highlight w:val="none"/>
        </w:rPr>
        <w:tab/>
      </w:r>
      <w:r>
        <w:rPr>
          <w:color w:val="auto"/>
          <w:highlight w:val="none"/>
        </w:rPr>
        <w:fldChar w:fldCharType="begin"/>
      </w:r>
      <w:r>
        <w:rPr>
          <w:color w:val="auto"/>
          <w:highlight w:val="none"/>
        </w:rPr>
        <w:instrText xml:space="preserve"> PAGEREF _Toc21369 </w:instrText>
      </w:r>
      <w:r>
        <w:rPr>
          <w:color w:val="auto"/>
          <w:highlight w:val="none"/>
        </w:rPr>
        <w:fldChar w:fldCharType="separate"/>
      </w:r>
      <w:r>
        <w:rPr>
          <w:color w:val="auto"/>
          <w:highlight w:val="none"/>
        </w:rPr>
        <w:t>42</w:t>
      </w:r>
      <w:r>
        <w:rPr>
          <w:color w:val="auto"/>
          <w:highlight w:val="none"/>
        </w:rPr>
        <w:fldChar w:fldCharType="end"/>
      </w:r>
      <w:r>
        <w:rPr>
          <w:rFonts w:hint="eastAsia" w:hAnsi="宋体" w:cs="宋体"/>
          <w:bCs/>
          <w:caps/>
          <w:color w:val="auto"/>
          <w:szCs w:val="28"/>
          <w:highlight w:val="none"/>
          <w:u w:val="single"/>
        </w:rPr>
        <w:fldChar w:fldCharType="end"/>
      </w:r>
    </w:p>
    <w:p w14:paraId="2E71897F">
      <w:pPr>
        <w:pStyle w:val="15"/>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_Toc19950 </w:instrText>
      </w:r>
      <w:r>
        <w:rPr>
          <w:rFonts w:hint="eastAsia" w:hAnsi="宋体" w:cs="宋体"/>
          <w:bCs/>
          <w:caps/>
          <w:color w:val="auto"/>
          <w:szCs w:val="28"/>
          <w:highlight w:val="none"/>
        </w:rPr>
        <w:fldChar w:fldCharType="separate"/>
      </w:r>
      <w:r>
        <w:rPr>
          <w:rFonts w:hint="eastAsia" w:ascii="宋体" w:hAnsi="宋体" w:cs="宋体"/>
          <w:bCs/>
          <w:color w:val="auto"/>
          <w:szCs w:val="24"/>
          <w:highlight w:val="none"/>
        </w:rPr>
        <w:t>（一）评审报告与推荐入围候选人</w:t>
      </w:r>
      <w:r>
        <w:rPr>
          <w:color w:val="auto"/>
          <w:highlight w:val="none"/>
        </w:rPr>
        <w:tab/>
      </w:r>
      <w:r>
        <w:rPr>
          <w:color w:val="auto"/>
          <w:highlight w:val="none"/>
        </w:rPr>
        <w:fldChar w:fldCharType="begin"/>
      </w:r>
      <w:r>
        <w:rPr>
          <w:color w:val="auto"/>
          <w:highlight w:val="none"/>
        </w:rPr>
        <w:instrText xml:space="preserve"> PAGEREF _Toc19950 </w:instrText>
      </w:r>
      <w:r>
        <w:rPr>
          <w:color w:val="auto"/>
          <w:highlight w:val="none"/>
        </w:rPr>
        <w:fldChar w:fldCharType="separate"/>
      </w:r>
      <w:r>
        <w:rPr>
          <w:color w:val="auto"/>
          <w:highlight w:val="none"/>
        </w:rPr>
        <w:t>42</w:t>
      </w:r>
      <w:r>
        <w:rPr>
          <w:color w:val="auto"/>
          <w:highlight w:val="none"/>
        </w:rPr>
        <w:fldChar w:fldCharType="end"/>
      </w:r>
      <w:r>
        <w:rPr>
          <w:rFonts w:hint="eastAsia" w:hAnsi="宋体" w:cs="宋体"/>
          <w:bCs/>
          <w:caps/>
          <w:color w:val="auto"/>
          <w:szCs w:val="28"/>
          <w:highlight w:val="none"/>
          <w:u w:val="single"/>
        </w:rPr>
        <w:fldChar w:fldCharType="end"/>
      </w:r>
    </w:p>
    <w:p w14:paraId="36FFC01F">
      <w:pPr>
        <w:pStyle w:val="15"/>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_Toc20663 </w:instrText>
      </w:r>
      <w:r>
        <w:rPr>
          <w:rFonts w:hint="eastAsia" w:hAnsi="宋体" w:cs="宋体"/>
          <w:bCs/>
          <w:caps/>
          <w:color w:val="auto"/>
          <w:szCs w:val="28"/>
          <w:highlight w:val="none"/>
        </w:rPr>
        <w:fldChar w:fldCharType="separate"/>
      </w:r>
      <w:r>
        <w:rPr>
          <w:rFonts w:hint="eastAsia" w:ascii="宋体" w:hAnsi="宋体" w:cs="宋体"/>
          <w:bCs/>
          <w:color w:val="auto"/>
          <w:highlight w:val="none"/>
        </w:rPr>
        <w:t>（二）评审争议事项处理</w:t>
      </w:r>
      <w:r>
        <w:rPr>
          <w:color w:val="auto"/>
          <w:highlight w:val="none"/>
        </w:rPr>
        <w:tab/>
      </w:r>
      <w:r>
        <w:rPr>
          <w:color w:val="auto"/>
          <w:highlight w:val="none"/>
        </w:rPr>
        <w:fldChar w:fldCharType="begin"/>
      </w:r>
      <w:r>
        <w:rPr>
          <w:color w:val="auto"/>
          <w:highlight w:val="none"/>
        </w:rPr>
        <w:instrText xml:space="preserve"> PAGEREF _Toc20663 </w:instrText>
      </w:r>
      <w:r>
        <w:rPr>
          <w:color w:val="auto"/>
          <w:highlight w:val="none"/>
        </w:rPr>
        <w:fldChar w:fldCharType="separate"/>
      </w:r>
      <w:r>
        <w:rPr>
          <w:color w:val="auto"/>
          <w:highlight w:val="none"/>
        </w:rPr>
        <w:t>42</w:t>
      </w:r>
      <w:r>
        <w:rPr>
          <w:color w:val="auto"/>
          <w:highlight w:val="none"/>
        </w:rPr>
        <w:fldChar w:fldCharType="end"/>
      </w:r>
      <w:r>
        <w:rPr>
          <w:rFonts w:hint="eastAsia" w:hAnsi="宋体" w:cs="宋体"/>
          <w:bCs/>
          <w:caps/>
          <w:color w:val="auto"/>
          <w:szCs w:val="28"/>
          <w:highlight w:val="none"/>
          <w:u w:val="single"/>
        </w:rPr>
        <w:fldChar w:fldCharType="end"/>
      </w:r>
    </w:p>
    <w:p w14:paraId="5D869DA6">
      <w:pPr>
        <w:pStyle w:val="19"/>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_Toc2578 </w:instrText>
      </w:r>
      <w:r>
        <w:rPr>
          <w:rFonts w:hint="eastAsia" w:hAnsi="宋体" w:cs="宋体"/>
          <w:bCs/>
          <w:caps/>
          <w:color w:val="auto"/>
          <w:szCs w:val="28"/>
          <w:highlight w:val="none"/>
        </w:rPr>
        <w:fldChar w:fldCharType="separate"/>
      </w:r>
      <w:r>
        <w:rPr>
          <w:rFonts w:hint="eastAsia" w:hAnsi="宋体" w:cs="宋体"/>
          <w:color w:val="auto"/>
          <w:highlight w:val="none"/>
        </w:rPr>
        <w:t>第五章 拟签订的框架协议文本</w:t>
      </w:r>
      <w:r>
        <w:rPr>
          <w:color w:val="auto"/>
          <w:highlight w:val="none"/>
        </w:rPr>
        <w:tab/>
      </w:r>
      <w:r>
        <w:rPr>
          <w:color w:val="auto"/>
          <w:highlight w:val="none"/>
        </w:rPr>
        <w:fldChar w:fldCharType="begin"/>
      </w:r>
      <w:r>
        <w:rPr>
          <w:color w:val="auto"/>
          <w:highlight w:val="none"/>
        </w:rPr>
        <w:instrText xml:space="preserve"> PAGEREF _Toc2578 </w:instrText>
      </w:r>
      <w:r>
        <w:rPr>
          <w:color w:val="auto"/>
          <w:highlight w:val="none"/>
        </w:rPr>
        <w:fldChar w:fldCharType="separate"/>
      </w:r>
      <w:r>
        <w:rPr>
          <w:color w:val="auto"/>
          <w:highlight w:val="none"/>
        </w:rPr>
        <w:t>43</w:t>
      </w:r>
      <w:r>
        <w:rPr>
          <w:color w:val="auto"/>
          <w:highlight w:val="none"/>
        </w:rPr>
        <w:fldChar w:fldCharType="end"/>
      </w:r>
      <w:r>
        <w:rPr>
          <w:rFonts w:hint="eastAsia" w:hAnsi="宋体" w:cs="宋体"/>
          <w:bCs/>
          <w:caps/>
          <w:color w:val="auto"/>
          <w:szCs w:val="28"/>
          <w:highlight w:val="none"/>
          <w:u w:val="single"/>
        </w:rPr>
        <w:fldChar w:fldCharType="end"/>
      </w:r>
    </w:p>
    <w:p w14:paraId="25ACE2D7">
      <w:pPr>
        <w:pStyle w:val="21"/>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_Toc4172 </w:instrText>
      </w:r>
      <w:r>
        <w:rPr>
          <w:rFonts w:hint="eastAsia" w:hAnsi="宋体" w:cs="宋体"/>
          <w:bCs/>
          <w:caps/>
          <w:color w:val="auto"/>
          <w:szCs w:val="28"/>
          <w:highlight w:val="none"/>
        </w:rPr>
        <w:fldChar w:fldCharType="separate"/>
      </w:r>
      <w:r>
        <w:rPr>
          <w:rFonts w:hint="eastAsia" w:hAnsi="宋体" w:cs="宋体"/>
          <w:bCs/>
          <w:color w:val="auto"/>
          <w:szCs w:val="28"/>
          <w:highlight w:val="none"/>
        </w:rPr>
        <w:t>第一节 响应文件外层包装封面格式</w:t>
      </w:r>
      <w:r>
        <w:rPr>
          <w:color w:val="auto"/>
          <w:highlight w:val="none"/>
        </w:rPr>
        <w:tab/>
      </w:r>
      <w:r>
        <w:rPr>
          <w:color w:val="auto"/>
          <w:highlight w:val="none"/>
        </w:rPr>
        <w:fldChar w:fldCharType="begin"/>
      </w:r>
      <w:r>
        <w:rPr>
          <w:color w:val="auto"/>
          <w:highlight w:val="none"/>
        </w:rPr>
        <w:instrText xml:space="preserve"> PAGEREF _Toc4172 </w:instrText>
      </w:r>
      <w:r>
        <w:rPr>
          <w:color w:val="auto"/>
          <w:highlight w:val="none"/>
        </w:rPr>
        <w:fldChar w:fldCharType="separate"/>
      </w:r>
      <w:r>
        <w:rPr>
          <w:color w:val="auto"/>
          <w:highlight w:val="none"/>
        </w:rPr>
        <w:t>56</w:t>
      </w:r>
      <w:r>
        <w:rPr>
          <w:color w:val="auto"/>
          <w:highlight w:val="none"/>
        </w:rPr>
        <w:fldChar w:fldCharType="end"/>
      </w:r>
      <w:r>
        <w:rPr>
          <w:rFonts w:hint="eastAsia" w:hAnsi="宋体" w:cs="宋体"/>
          <w:bCs/>
          <w:caps/>
          <w:color w:val="auto"/>
          <w:szCs w:val="28"/>
          <w:highlight w:val="none"/>
          <w:u w:val="single"/>
        </w:rPr>
        <w:fldChar w:fldCharType="end"/>
      </w:r>
    </w:p>
    <w:p w14:paraId="4B70DE1F">
      <w:pPr>
        <w:pStyle w:val="21"/>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_Toc16494 </w:instrText>
      </w:r>
      <w:r>
        <w:rPr>
          <w:rFonts w:hint="eastAsia" w:hAnsi="宋体" w:cs="宋体"/>
          <w:bCs/>
          <w:caps/>
          <w:color w:val="auto"/>
          <w:szCs w:val="28"/>
          <w:highlight w:val="none"/>
        </w:rPr>
        <w:fldChar w:fldCharType="separate"/>
      </w:r>
      <w:r>
        <w:rPr>
          <w:rFonts w:hint="eastAsia" w:hAnsi="宋体" w:cs="宋体"/>
          <w:bCs/>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_Toc16494 </w:instrText>
      </w:r>
      <w:r>
        <w:rPr>
          <w:color w:val="auto"/>
          <w:highlight w:val="none"/>
        </w:rPr>
        <w:fldChar w:fldCharType="separate"/>
      </w:r>
      <w:r>
        <w:rPr>
          <w:color w:val="auto"/>
          <w:highlight w:val="none"/>
        </w:rPr>
        <w:t>57</w:t>
      </w:r>
      <w:r>
        <w:rPr>
          <w:color w:val="auto"/>
          <w:highlight w:val="none"/>
        </w:rPr>
        <w:fldChar w:fldCharType="end"/>
      </w:r>
      <w:r>
        <w:rPr>
          <w:rFonts w:hint="eastAsia" w:hAnsi="宋体" w:cs="宋体"/>
          <w:bCs/>
          <w:caps/>
          <w:color w:val="auto"/>
          <w:szCs w:val="28"/>
          <w:highlight w:val="none"/>
          <w:u w:val="single"/>
        </w:rPr>
        <w:fldChar w:fldCharType="end"/>
      </w:r>
    </w:p>
    <w:p w14:paraId="7E2947D6">
      <w:pPr>
        <w:pStyle w:val="21"/>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_Toc6793 </w:instrText>
      </w:r>
      <w:r>
        <w:rPr>
          <w:rFonts w:hint="eastAsia" w:hAnsi="宋体" w:cs="宋体"/>
          <w:bCs/>
          <w:caps/>
          <w:color w:val="auto"/>
          <w:szCs w:val="28"/>
          <w:highlight w:val="none"/>
        </w:rPr>
        <w:fldChar w:fldCharType="separate"/>
      </w:r>
      <w:r>
        <w:rPr>
          <w:rFonts w:hint="eastAsia" w:hAnsi="宋体" w:cs="宋体"/>
          <w:bCs/>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_Toc6793 </w:instrText>
      </w:r>
      <w:r>
        <w:rPr>
          <w:color w:val="auto"/>
          <w:highlight w:val="none"/>
        </w:rPr>
        <w:fldChar w:fldCharType="separate"/>
      </w:r>
      <w:r>
        <w:rPr>
          <w:color w:val="auto"/>
          <w:highlight w:val="none"/>
        </w:rPr>
        <w:t>67</w:t>
      </w:r>
      <w:r>
        <w:rPr>
          <w:color w:val="auto"/>
          <w:highlight w:val="none"/>
        </w:rPr>
        <w:fldChar w:fldCharType="end"/>
      </w:r>
      <w:r>
        <w:rPr>
          <w:rFonts w:hint="eastAsia" w:hAnsi="宋体" w:cs="宋体"/>
          <w:bCs/>
          <w:caps/>
          <w:color w:val="auto"/>
          <w:szCs w:val="28"/>
          <w:highlight w:val="none"/>
          <w:u w:val="single"/>
        </w:rPr>
        <w:fldChar w:fldCharType="end"/>
      </w:r>
    </w:p>
    <w:p w14:paraId="26F1BE6B">
      <w:pPr>
        <w:pStyle w:val="19"/>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_Toc29671 </w:instrText>
      </w:r>
      <w:r>
        <w:rPr>
          <w:rFonts w:hint="eastAsia" w:hAnsi="宋体" w:cs="宋体"/>
          <w:bCs/>
          <w:caps/>
          <w:color w:val="auto"/>
          <w:szCs w:val="28"/>
          <w:highlight w:val="none"/>
        </w:rPr>
        <w:fldChar w:fldCharType="separate"/>
      </w:r>
      <w:r>
        <w:rPr>
          <w:rFonts w:hint="eastAsia" w:ascii="宋体" w:hAnsi="宋体" w:cs="宋体"/>
          <w:bCs/>
          <w:color w:val="auto"/>
          <w:szCs w:val="30"/>
          <w:highlight w:val="none"/>
          <w:lang w:val="en-US" w:eastAsia="zh-CN"/>
        </w:rPr>
        <w:t>八、特约维修点一览表</w:t>
      </w:r>
      <w:r>
        <w:rPr>
          <w:color w:val="auto"/>
          <w:highlight w:val="none"/>
        </w:rPr>
        <w:tab/>
      </w:r>
      <w:r>
        <w:rPr>
          <w:color w:val="auto"/>
          <w:highlight w:val="none"/>
        </w:rPr>
        <w:fldChar w:fldCharType="begin"/>
      </w:r>
      <w:r>
        <w:rPr>
          <w:color w:val="auto"/>
          <w:highlight w:val="none"/>
        </w:rPr>
        <w:instrText xml:space="preserve"> PAGEREF _Toc29671 </w:instrText>
      </w:r>
      <w:r>
        <w:rPr>
          <w:color w:val="auto"/>
          <w:highlight w:val="none"/>
        </w:rPr>
        <w:fldChar w:fldCharType="separate"/>
      </w:r>
      <w:r>
        <w:rPr>
          <w:color w:val="auto"/>
          <w:highlight w:val="none"/>
        </w:rPr>
        <w:t>78</w:t>
      </w:r>
      <w:r>
        <w:rPr>
          <w:color w:val="auto"/>
          <w:highlight w:val="none"/>
        </w:rPr>
        <w:fldChar w:fldCharType="end"/>
      </w:r>
      <w:r>
        <w:rPr>
          <w:rFonts w:hint="eastAsia" w:hAnsi="宋体" w:cs="宋体"/>
          <w:bCs/>
          <w:caps/>
          <w:color w:val="auto"/>
          <w:szCs w:val="28"/>
          <w:highlight w:val="none"/>
          <w:u w:val="single"/>
        </w:rPr>
        <w:fldChar w:fldCharType="end"/>
      </w:r>
    </w:p>
    <w:p w14:paraId="38B36605">
      <w:pPr>
        <w:pStyle w:val="21"/>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_Toc31532 </w:instrText>
      </w:r>
      <w:r>
        <w:rPr>
          <w:rFonts w:hint="eastAsia" w:hAnsi="宋体" w:cs="宋体"/>
          <w:bCs/>
          <w:caps/>
          <w:color w:val="auto"/>
          <w:szCs w:val="28"/>
          <w:highlight w:val="none"/>
        </w:rPr>
        <w:fldChar w:fldCharType="separate"/>
      </w:r>
      <w:r>
        <w:rPr>
          <w:rFonts w:hint="eastAsia" w:hAnsi="宋体" w:cs="宋体"/>
          <w:color w:val="auto"/>
          <w:kern w:val="0"/>
          <w:highlight w:val="none"/>
          <w:lang w:val="zh-CN"/>
        </w:rPr>
        <w:t>日期</w:t>
      </w:r>
      <w:r>
        <w:rPr>
          <w:rFonts w:hint="eastAsia" w:hAnsi="宋体" w:cs="宋体"/>
          <w:color w:val="auto"/>
          <w:kern w:val="0"/>
          <w:highlight w:val="none"/>
        </w:rPr>
        <w:t xml:space="preserve">：  年  </w:t>
      </w:r>
      <w:r>
        <w:rPr>
          <w:rFonts w:hint="eastAsia" w:hAnsi="宋体" w:cs="宋体"/>
          <w:color w:val="auto"/>
          <w:kern w:val="0"/>
          <w:highlight w:val="none"/>
          <w:lang w:val="zh-CN"/>
        </w:rPr>
        <w:t>月</w:t>
      </w:r>
      <w:r>
        <w:rPr>
          <w:rFonts w:hint="eastAsia" w:hAnsi="宋体" w:cs="宋体"/>
          <w:color w:val="auto"/>
          <w:kern w:val="0"/>
          <w:highlight w:val="none"/>
        </w:rPr>
        <w:t xml:space="preserve">   </w:t>
      </w:r>
      <w:r>
        <w:rPr>
          <w:rFonts w:hint="eastAsia" w:hAnsi="宋体" w:cs="宋体"/>
          <w:color w:val="auto"/>
          <w:kern w:val="0"/>
          <w:highlight w:val="none"/>
          <w:lang w:val="zh-CN"/>
        </w:rPr>
        <w:t>日</w:t>
      </w:r>
      <w:r>
        <w:rPr>
          <w:color w:val="auto"/>
          <w:highlight w:val="none"/>
        </w:rPr>
        <w:tab/>
      </w:r>
      <w:r>
        <w:rPr>
          <w:color w:val="auto"/>
          <w:highlight w:val="none"/>
        </w:rPr>
        <w:fldChar w:fldCharType="begin"/>
      </w:r>
      <w:r>
        <w:rPr>
          <w:color w:val="auto"/>
          <w:highlight w:val="none"/>
        </w:rPr>
        <w:instrText xml:space="preserve"> PAGEREF _Toc31532 </w:instrText>
      </w:r>
      <w:r>
        <w:rPr>
          <w:color w:val="auto"/>
          <w:highlight w:val="none"/>
        </w:rPr>
        <w:fldChar w:fldCharType="separate"/>
      </w:r>
      <w:r>
        <w:rPr>
          <w:color w:val="auto"/>
          <w:highlight w:val="none"/>
        </w:rPr>
        <w:t>81</w:t>
      </w:r>
      <w:r>
        <w:rPr>
          <w:color w:val="auto"/>
          <w:highlight w:val="none"/>
        </w:rPr>
        <w:fldChar w:fldCharType="end"/>
      </w:r>
      <w:r>
        <w:rPr>
          <w:rFonts w:hint="eastAsia" w:hAnsi="宋体" w:cs="宋体"/>
          <w:bCs/>
          <w:caps/>
          <w:color w:val="auto"/>
          <w:szCs w:val="28"/>
          <w:highlight w:val="none"/>
          <w:u w:val="single"/>
        </w:rPr>
        <w:fldChar w:fldCharType="end"/>
      </w:r>
    </w:p>
    <w:p w14:paraId="014967D5">
      <w:pPr>
        <w:pStyle w:val="21"/>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_Toc3053 </w:instrText>
      </w:r>
      <w:r>
        <w:rPr>
          <w:rFonts w:hint="eastAsia" w:hAnsi="宋体" w:cs="宋体"/>
          <w:bCs/>
          <w:caps/>
          <w:color w:val="auto"/>
          <w:szCs w:val="28"/>
          <w:highlight w:val="none"/>
        </w:rPr>
        <w:fldChar w:fldCharType="separate"/>
      </w:r>
      <w:r>
        <w:rPr>
          <w:rFonts w:hint="eastAsia" w:hAnsi="宋体" w:cs="宋体"/>
          <w:bCs/>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_Toc3053 </w:instrText>
      </w:r>
      <w:r>
        <w:rPr>
          <w:color w:val="auto"/>
          <w:highlight w:val="none"/>
        </w:rPr>
        <w:fldChar w:fldCharType="separate"/>
      </w:r>
      <w:r>
        <w:rPr>
          <w:color w:val="auto"/>
          <w:highlight w:val="none"/>
        </w:rPr>
        <w:t>82</w:t>
      </w:r>
      <w:r>
        <w:rPr>
          <w:color w:val="auto"/>
          <w:highlight w:val="none"/>
        </w:rPr>
        <w:fldChar w:fldCharType="end"/>
      </w:r>
      <w:r>
        <w:rPr>
          <w:rFonts w:hint="eastAsia" w:hAnsi="宋体" w:cs="宋体"/>
          <w:bCs/>
          <w:caps/>
          <w:color w:val="auto"/>
          <w:szCs w:val="28"/>
          <w:highlight w:val="none"/>
          <w:u w:val="single"/>
        </w:rPr>
        <w:fldChar w:fldCharType="end"/>
      </w:r>
    </w:p>
    <w:p w14:paraId="4C78F120">
      <w:pPr>
        <w:pStyle w:val="21"/>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_Toc1005 </w:instrText>
      </w:r>
      <w:r>
        <w:rPr>
          <w:rFonts w:hint="eastAsia" w:hAnsi="宋体" w:cs="宋体"/>
          <w:bCs/>
          <w:caps/>
          <w:color w:val="auto"/>
          <w:szCs w:val="28"/>
          <w:highlight w:val="none"/>
        </w:rPr>
        <w:fldChar w:fldCharType="separate"/>
      </w:r>
      <w:r>
        <w:rPr>
          <w:rFonts w:hint="eastAsia" w:hAnsi="宋体" w:cs="宋体"/>
          <w:bCs/>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_Toc1005 </w:instrText>
      </w:r>
      <w:r>
        <w:rPr>
          <w:color w:val="auto"/>
          <w:highlight w:val="none"/>
        </w:rPr>
        <w:fldChar w:fldCharType="separate"/>
      </w:r>
      <w:r>
        <w:rPr>
          <w:color w:val="auto"/>
          <w:highlight w:val="none"/>
        </w:rPr>
        <w:t>89</w:t>
      </w:r>
      <w:r>
        <w:rPr>
          <w:color w:val="auto"/>
          <w:highlight w:val="none"/>
        </w:rPr>
        <w:fldChar w:fldCharType="end"/>
      </w:r>
      <w:r>
        <w:rPr>
          <w:rFonts w:hint="eastAsia" w:hAnsi="宋体" w:cs="宋体"/>
          <w:bCs/>
          <w:caps/>
          <w:color w:val="auto"/>
          <w:szCs w:val="28"/>
          <w:highlight w:val="none"/>
          <w:u w:val="single"/>
        </w:rPr>
        <w:fldChar w:fldCharType="end"/>
      </w:r>
    </w:p>
    <w:p w14:paraId="58AC1D11">
      <w:pPr>
        <w:pStyle w:val="21"/>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_Toc850 </w:instrText>
      </w:r>
      <w:r>
        <w:rPr>
          <w:rFonts w:hint="eastAsia" w:hAnsi="宋体" w:cs="宋体"/>
          <w:bCs/>
          <w:caps/>
          <w:color w:val="auto"/>
          <w:szCs w:val="28"/>
          <w:highlight w:val="none"/>
        </w:rPr>
        <w:fldChar w:fldCharType="separate"/>
      </w:r>
      <w:r>
        <w:rPr>
          <w:rFonts w:hint="eastAsia" w:ascii="宋体" w:hAnsi="宋体"/>
          <w:bCs/>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_Toc850 </w:instrText>
      </w:r>
      <w:r>
        <w:rPr>
          <w:color w:val="auto"/>
          <w:highlight w:val="none"/>
        </w:rPr>
        <w:fldChar w:fldCharType="separate"/>
      </w:r>
      <w:r>
        <w:rPr>
          <w:color w:val="auto"/>
          <w:highlight w:val="none"/>
        </w:rPr>
        <w:t>94</w:t>
      </w:r>
      <w:r>
        <w:rPr>
          <w:color w:val="auto"/>
          <w:highlight w:val="none"/>
        </w:rPr>
        <w:fldChar w:fldCharType="end"/>
      </w:r>
      <w:r>
        <w:rPr>
          <w:rFonts w:hint="eastAsia" w:hAnsi="宋体" w:cs="宋体"/>
          <w:bCs/>
          <w:caps/>
          <w:color w:val="auto"/>
          <w:szCs w:val="28"/>
          <w:highlight w:val="none"/>
          <w:u w:val="single"/>
        </w:rPr>
        <w:fldChar w:fldCharType="end"/>
      </w:r>
    </w:p>
    <w:p w14:paraId="27E8E8A7">
      <w:pPr>
        <w:pStyle w:val="19"/>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_Toc23654 </w:instrText>
      </w:r>
      <w:r>
        <w:rPr>
          <w:rFonts w:hint="eastAsia" w:hAnsi="宋体" w:cs="宋体"/>
          <w:bCs/>
          <w:caps/>
          <w:color w:val="auto"/>
          <w:szCs w:val="28"/>
          <w:highlight w:val="none"/>
        </w:rPr>
        <w:fldChar w:fldCharType="separate"/>
      </w:r>
      <w:r>
        <w:rPr>
          <w:rFonts w:hint="eastAsia" w:hAnsi="宋体" w:cs="宋体"/>
          <w:color w:val="auto"/>
          <w:highlight w:val="none"/>
        </w:rPr>
        <w:t>第七章 质疑、投诉证明材料格式</w:t>
      </w:r>
      <w:r>
        <w:rPr>
          <w:color w:val="auto"/>
          <w:highlight w:val="none"/>
        </w:rPr>
        <w:tab/>
      </w:r>
      <w:r>
        <w:rPr>
          <w:color w:val="auto"/>
          <w:highlight w:val="none"/>
        </w:rPr>
        <w:fldChar w:fldCharType="begin"/>
      </w:r>
      <w:r>
        <w:rPr>
          <w:color w:val="auto"/>
          <w:highlight w:val="none"/>
        </w:rPr>
        <w:instrText xml:space="preserve"> PAGEREF _Toc23654 </w:instrText>
      </w:r>
      <w:r>
        <w:rPr>
          <w:color w:val="auto"/>
          <w:highlight w:val="none"/>
        </w:rPr>
        <w:fldChar w:fldCharType="separate"/>
      </w:r>
      <w:r>
        <w:rPr>
          <w:color w:val="auto"/>
          <w:highlight w:val="none"/>
        </w:rPr>
        <w:t>95</w:t>
      </w:r>
      <w:r>
        <w:rPr>
          <w:color w:val="auto"/>
          <w:highlight w:val="none"/>
        </w:rPr>
        <w:fldChar w:fldCharType="end"/>
      </w:r>
      <w:r>
        <w:rPr>
          <w:rFonts w:hint="eastAsia" w:hAnsi="宋体" w:cs="宋体"/>
          <w:bCs/>
          <w:caps/>
          <w:color w:val="auto"/>
          <w:szCs w:val="28"/>
          <w:highlight w:val="none"/>
          <w:u w:val="single"/>
        </w:rPr>
        <w:fldChar w:fldCharType="end"/>
      </w:r>
    </w:p>
    <w:p w14:paraId="3A3CEC0E">
      <w:pPr>
        <w:pStyle w:val="21"/>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_Toc25363 </w:instrText>
      </w:r>
      <w:r>
        <w:rPr>
          <w:rFonts w:hint="eastAsia" w:hAnsi="宋体" w:cs="宋体"/>
          <w:bCs/>
          <w:caps/>
          <w:color w:val="auto"/>
          <w:szCs w:val="28"/>
          <w:highlight w:val="none"/>
        </w:rPr>
        <w:fldChar w:fldCharType="separate"/>
      </w:r>
      <w:r>
        <w:rPr>
          <w:rFonts w:hint="eastAsia" w:ascii="宋体" w:hAnsi="宋体" w:eastAsia="黑体"/>
          <w:color w:val="auto"/>
          <w:szCs w:val="32"/>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_Toc25363 </w:instrText>
      </w:r>
      <w:r>
        <w:rPr>
          <w:color w:val="auto"/>
          <w:highlight w:val="none"/>
        </w:rPr>
        <w:fldChar w:fldCharType="separate"/>
      </w:r>
      <w:r>
        <w:rPr>
          <w:color w:val="auto"/>
          <w:highlight w:val="none"/>
        </w:rPr>
        <w:t>96</w:t>
      </w:r>
      <w:r>
        <w:rPr>
          <w:color w:val="auto"/>
          <w:highlight w:val="none"/>
        </w:rPr>
        <w:fldChar w:fldCharType="end"/>
      </w:r>
      <w:r>
        <w:rPr>
          <w:rFonts w:hint="eastAsia" w:hAnsi="宋体" w:cs="宋体"/>
          <w:bCs/>
          <w:caps/>
          <w:color w:val="auto"/>
          <w:szCs w:val="28"/>
          <w:highlight w:val="none"/>
          <w:u w:val="single"/>
        </w:rPr>
        <w:fldChar w:fldCharType="end"/>
      </w:r>
    </w:p>
    <w:p w14:paraId="75E520CA">
      <w:pPr>
        <w:pStyle w:val="21"/>
        <w:tabs>
          <w:tab w:val="right" w:leader="dot" w:pos="9638"/>
        </w:tabs>
        <w:rPr>
          <w:color w:val="auto"/>
          <w:highlight w:val="none"/>
        </w:rPr>
      </w:pPr>
      <w:r>
        <w:rPr>
          <w:rFonts w:hint="eastAsia" w:hAnsi="宋体" w:cs="宋体"/>
          <w:bCs/>
          <w:caps/>
          <w:color w:val="auto"/>
          <w:szCs w:val="28"/>
          <w:highlight w:val="none"/>
          <w:u w:val="single"/>
        </w:rPr>
        <w:fldChar w:fldCharType="begin"/>
      </w:r>
      <w:r>
        <w:rPr>
          <w:rFonts w:hint="eastAsia" w:hAnsi="宋体" w:cs="宋体"/>
          <w:bCs/>
          <w:caps/>
          <w:color w:val="auto"/>
          <w:szCs w:val="28"/>
          <w:highlight w:val="none"/>
        </w:rPr>
        <w:instrText xml:space="preserve"> HYPERLINK \l _Toc4671 </w:instrText>
      </w:r>
      <w:r>
        <w:rPr>
          <w:rFonts w:hint="eastAsia" w:hAnsi="宋体" w:cs="宋体"/>
          <w:bCs/>
          <w:caps/>
          <w:color w:val="auto"/>
          <w:szCs w:val="28"/>
          <w:highlight w:val="none"/>
        </w:rPr>
        <w:fldChar w:fldCharType="separate"/>
      </w:r>
      <w:r>
        <w:rPr>
          <w:rFonts w:hint="eastAsia" w:ascii="宋体" w:hAnsi="宋体" w:eastAsia="黑体"/>
          <w:color w:val="auto"/>
          <w:szCs w:val="32"/>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_Toc4671 </w:instrText>
      </w:r>
      <w:r>
        <w:rPr>
          <w:color w:val="auto"/>
          <w:highlight w:val="none"/>
        </w:rPr>
        <w:fldChar w:fldCharType="separate"/>
      </w:r>
      <w:r>
        <w:rPr>
          <w:color w:val="auto"/>
          <w:highlight w:val="none"/>
        </w:rPr>
        <w:t>98</w:t>
      </w:r>
      <w:r>
        <w:rPr>
          <w:color w:val="auto"/>
          <w:highlight w:val="none"/>
        </w:rPr>
        <w:fldChar w:fldCharType="end"/>
      </w:r>
      <w:r>
        <w:rPr>
          <w:rFonts w:hint="eastAsia" w:hAnsi="宋体" w:cs="宋体"/>
          <w:bCs/>
          <w:caps/>
          <w:color w:val="auto"/>
          <w:szCs w:val="28"/>
          <w:highlight w:val="none"/>
          <w:u w:val="single"/>
        </w:rPr>
        <w:fldChar w:fldCharType="end"/>
      </w:r>
    </w:p>
    <w:p w14:paraId="23CC9993">
      <w:pPr>
        <w:pStyle w:val="21"/>
        <w:tabs>
          <w:tab w:val="right" w:leader="dot" w:pos="9638"/>
        </w:tabs>
        <w:spacing w:line="260" w:lineRule="exact"/>
        <w:rPr>
          <w:rFonts w:hint="eastAsia" w:hAnsi="宋体" w:cs="宋体"/>
          <w:color w:val="auto"/>
          <w:highlight w:val="none"/>
        </w:rPr>
      </w:pPr>
      <w:r>
        <w:rPr>
          <w:rFonts w:hint="eastAsia" w:hAnsi="宋体" w:cs="宋体"/>
          <w:bCs/>
          <w:caps/>
          <w:color w:val="auto"/>
          <w:szCs w:val="28"/>
          <w:highlight w:val="none"/>
          <w:u w:val="single"/>
        </w:rPr>
        <w:fldChar w:fldCharType="end"/>
      </w:r>
      <w:bookmarkStart w:id="0" w:name="_Toc532545041"/>
      <w:bookmarkStart w:id="1" w:name="_Toc80092990"/>
    </w:p>
    <w:p w14:paraId="2537F248">
      <w:pPr>
        <w:pStyle w:val="16"/>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hAnsi="宋体" w:cs="宋体"/>
          <w:b/>
          <w:color w:val="auto"/>
          <w:sz w:val="36"/>
          <w:highlight w:val="none"/>
        </w:rPr>
        <w:sectPr>
          <w:footerReference r:id="rId5" w:type="default"/>
          <w:pgSz w:w="11906" w:h="16838"/>
          <w:pgMar w:top="1134" w:right="1134" w:bottom="1134" w:left="1134" w:header="720" w:footer="720" w:gutter="0"/>
          <w:pgNumType w:fmt="decimal" w:start="1"/>
          <w:cols w:space="720" w:num="1"/>
          <w:docGrid w:type="lines" w:linePitch="331" w:charSpace="0"/>
        </w:sectPr>
      </w:pPr>
    </w:p>
    <w:p w14:paraId="2794AF89">
      <w:pPr>
        <w:pStyle w:val="16"/>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hAnsi="宋体" w:cs="宋体"/>
          <w:b/>
          <w:color w:val="auto"/>
          <w:sz w:val="36"/>
          <w:szCs w:val="36"/>
          <w:highlight w:val="none"/>
        </w:rPr>
      </w:pPr>
      <w:bookmarkStart w:id="2" w:name="_Toc2535"/>
      <w:r>
        <w:rPr>
          <w:rFonts w:hint="eastAsia" w:hAnsi="宋体" w:cs="宋体"/>
          <w:b/>
          <w:color w:val="auto"/>
          <w:sz w:val="36"/>
          <w:highlight w:val="none"/>
        </w:rPr>
        <w:t>第一章  征集公告</w:t>
      </w:r>
      <w:bookmarkEnd w:id="0"/>
      <w:bookmarkEnd w:id="1"/>
      <w:bookmarkEnd w:id="2"/>
    </w:p>
    <w:tbl>
      <w:tblPr>
        <w:tblStyle w:val="24"/>
        <w:tblpPr w:leftFromText="180" w:rightFromText="180" w:vertAnchor="text" w:tblpX="38" w:tblpY="134"/>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4337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9854" w:type="dxa"/>
            <w:vAlign w:val="top"/>
          </w:tcPr>
          <w:p w14:paraId="06096B1E">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项目概况</w:t>
            </w:r>
          </w:p>
          <w:p w14:paraId="098D9993">
            <w:pPr>
              <w:spacing w:line="400" w:lineRule="exact"/>
              <w:ind w:firstLine="420" w:firstLineChars="200"/>
              <w:rPr>
                <w:rFonts w:hint="eastAsia" w:ascii="宋体" w:hAnsi="宋体" w:cs="宋体"/>
                <w:color w:val="auto"/>
                <w:szCs w:val="21"/>
                <w:highlight w:val="none"/>
              </w:rPr>
            </w:pPr>
            <w:r>
              <w:rPr>
                <w:rFonts w:hint="eastAsia"/>
                <w:color w:val="auto"/>
                <w:szCs w:val="21"/>
                <w:highlight w:val="none"/>
                <w:u w:val="single"/>
                <w:lang w:eastAsia="zh-CN"/>
              </w:rPr>
              <w:t>广西—东盟经济技术开发区2025-2027年度预算单位车辆维修和保养服务框架协议采购</w:t>
            </w:r>
            <w:r>
              <w:rPr>
                <w:rFonts w:hint="eastAsia"/>
                <w:color w:val="auto"/>
                <w:szCs w:val="21"/>
                <w:highlight w:val="none"/>
                <w:u w:val="single"/>
              </w:rPr>
              <w:t xml:space="preserve"> </w:t>
            </w:r>
            <w:r>
              <w:rPr>
                <w:rFonts w:hint="eastAsia" w:ascii="宋体" w:hAnsi="宋体" w:cs="宋体"/>
                <w:color w:val="auto"/>
                <w:szCs w:val="21"/>
                <w:highlight w:val="none"/>
              </w:rPr>
              <w:t>招标项目的潜在供应商应在</w:t>
            </w:r>
            <w:r>
              <w:rPr>
                <w:rFonts w:hint="eastAsia" w:ascii="宋体" w:hAnsi="宋体" w:eastAsia="宋体" w:cs="宋体"/>
                <w:i w:val="0"/>
                <w:iCs w:val="0"/>
                <w:caps w:val="0"/>
                <w:color w:val="auto"/>
                <w:spacing w:val="0"/>
                <w:sz w:val="21"/>
                <w:szCs w:val="21"/>
                <w:highlight w:val="none"/>
              </w:rPr>
              <w:t>广西政府采购云平台（https://www.gcy.zfcg.gxzf.gov.cn）</w:t>
            </w:r>
            <w:r>
              <w:rPr>
                <w:rFonts w:hint="eastAsia" w:ascii="宋体" w:hAnsi="宋体" w:cs="宋体"/>
                <w:color w:val="auto"/>
                <w:szCs w:val="21"/>
                <w:highlight w:val="none"/>
                <w:u w:val="single"/>
              </w:rPr>
              <w:t>）</w:t>
            </w:r>
            <w:r>
              <w:rPr>
                <w:rFonts w:hint="eastAsia" w:ascii="宋体" w:hAnsi="宋体" w:cs="宋体"/>
                <w:color w:val="auto"/>
                <w:szCs w:val="21"/>
                <w:highlight w:val="none"/>
              </w:rPr>
              <w:t>获取征集文件，并于202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05 </w:t>
            </w:r>
            <w:r>
              <w:rPr>
                <w:rFonts w:hint="eastAsia" w:ascii="宋体" w:hAnsi="宋体" w:cs="宋体"/>
                <w:color w:val="auto"/>
                <w:szCs w:val="21"/>
                <w:highlight w:val="none"/>
              </w:rPr>
              <w:t xml:space="preserve">日 </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0（北京时间）前递交响应文件。</w:t>
            </w:r>
          </w:p>
        </w:tc>
      </w:tr>
    </w:tbl>
    <w:p w14:paraId="0E936088">
      <w:pPr>
        <w:spacing w:line="400" w:lineRule="exact"/>
        <w:ind w:firstLine="482"/>
        <w:outlineLvl w:val="1"/>
        <w:rPr>
          <w:rFonts w:hint="eastAsia" w:ascii="宋体" w:hAnsi="宋体" w:cs="宋体"/>
          <w:color w:val="auto"/>
          <w:szCs w:val="21"/>
          <w:highlight w:val="none"/>
        </w:rPr>
      </w:pPr>
      <w:bookmarkStart w:id="3" w:name="_Toc19927"/>
      <w:r>
        <w:rPr>
          <w:rFonts w:hint="eastAsia" w:ascii="宋体" w:hAnsi="宋体" w:cs="宋体"/>
          <w:b/>
          <w:bCs/>
          <w:color w:val="auto"/>
          <w:szCs w:val="21"/>
          <w:highlight w:val="none"/>
        </w:rPr>
        <w:t>一、项目基本情况</w:t>
      </w:r>
      <w:bookmarkEnd w:id="3"/>
      <w:r>
        <w:rPr>
          <w:rFonts w:hint="eastAsia" w:ascii="宋体" w:hAnsi="宋体" w:cs="宋体"/>
          <w:color w:val="auto"/>
          <w:szCs w:val="21"/>
          <w:highlight w:val="none"/>
        </w:rPr>
        <w:t xml:space="preserve">    </w:t>
      </w:r>
    </w:p>
    <w:p w14:paraId="5B981C40">
      <w:pPr>
        <w:spacing w:line="400" w:lineRule="exact"/>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rPr>
        <w:t xml:space="preserve">    项目编号：</w:t>
      </w:r>
      <w:r>
        <w:rPr>
          <w:rFonts w:hint="eastAsia" w:ascii="宋体" w:hAnsi="宋体" w:cs="宋体"/>
          <w:color w:val="auto"/>
          <w:szCs w:val="21"/>
          <w:highlight w:val="none"/>
          <w:lang w:eastAsia="zh-CN"/>
        </w:rPr>
        <w:t>NNZC2025-K3-510013-GXJL</w:t>
      </w:r>
    </w:p>
    <w:p w14:paraId="3AD07C02">
      <w:pPr>
        <w:spacing w:line="400" w:lineRule="exact"/>
        <w:ind w:firstLine="420" w:firstLineChars="200"/>
        <w:rPr>
          <w:rFonts w:hint="eastAsia" w:eastAsia="宋体"/>
          <w:color w:val="auto"/>
          <w:szCs w:val="21"/>
          <w:highlight w:val="none"/>
          <w:lang w:eastAsia="zh-CN"/>
        </w:rPr>
      </w:pPr>
      <w:r>
        <w:rPr>
          <w:rFonts w:hint="eastAsia" w:ascii="宋体" w:hAnsi="宋体" w:cs="宋体"/>
          <w:color w:val="auto"/>
          <w:szCs w:val="21"/>
          <w:highlight w:val="none"/>
        </w:rPr>
        <w:t>项目名称：</w:t>
      </w:r>
      <w:r>
        <w:rPr>
          <w:rFonts w:hint="eastAsia"/>
          <w:color w:val="auto"/>
          <w:szCs w:val="21"/>
          <w:highlight w:val="none"/>
          <w:lang w:eastAsia="zh-CN"/>
        </w:rPr>
        <w:t>广西—东盟经济技术开发区2025-2027年度预算单位车辆维修和保养服务框架协议采购</w:t>
      </w:r>
    </w:p>
    <w:p w14:paraId="76D9D794">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预算金额：</w:t>
      </w:r>
      <w:r>
        <w:rPr>
          <w:rFonts w:hint="eastAsia"/>
          <w:color w:val="auto"/>
          <w:szCs w:val="21"/>
          <w:highlight w:val="none"/>
        </w:rPr>
        <w:t>无固定预算金额</w:t>
      </w:r>
    </w:p>
    <w:p w14:paraId="7BFF77D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采购方式：封闭式框架协议</w:t>
      </w:r>
    </w:p>
    <w:p w14:paraId="0BE7CA0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采购需求： </w:t>
      </w:r>
    </w:p>
    <w:tbl>
      <w:tblPr>
        <w:tblStyle w:val="24"/>
        <w:tblW w:w="99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2418"/>
        <w:gridCol w:w="1062"/>
        <w:gridCol w:w="3554"/>
        <w:gridCol w:w="2189"/>
      </w:tblGrid>
      <w:tr w14:paraId="0A927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bottom w:val="single" w:color="auto" w:sz="4" w:space="0"/>
              <w:right w:val="single" w:color="auto" w:sz="4" w:space="0"/>
            </w:tcBorders>
            <w:vAlign w:val="center"/>
          </w:tcPr>
          <w:p w14:paraId="235CBEC3">
            <w:pPr>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418" w:type="dxa"/>
            <w:tcBorders>
              <w:top w:val="single" w:color="auto" w:sz="4" w:space="0"/>
              <w:left w:val="single" w:color="auto" w:sz="4" w:space="0"/>
              <w:bottom w:val="single" w:color="auto" w:sz="4" w:space="0"/>
              <w:right w:val="single" w:color="auto" w:sz="4" w:space="0"/>
            </w:tcBorders>
            <w:vAlign w:val="center"/>
          </w:tcPr>
          <w:p w14:paraId="334C909B">
            <w:pPr>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1062" w:type="dxa"/>
            <w:tcBorders>
              <w:top w:val="single" w:color="auto" w:sz="4" w:space="0"/>
              <w:left w:val="single" w:color="auto" w:sz="4" w:space="0"/>
              <w:bottom w:val="single" w:color="auto" w:sz="4" w:space="0"/>
              <w:right w:val="single" w:color="auto" w:sz="4" w:space="0"/>
            </w:tcBorders>
            <w:vAlign w:val="center"/>
          </w:tcPr>
          <w:p w14:paraId="598574DB">
            <w:pPr>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数量及</w:t>
            </w:r>
          </w:p>
          <w:p w14:paraId="0273A9C3">
            <w:pPr>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3554" w:type="dxa"/>
            <w:tcBorders>
              <w:top w:val="single" w:color="auto" w:sz="4" w:space="0"/>
              <w:left w:val="single" w:color="auto" w:sz="4" w:space="0"/>
              <w:bottom w:val="single" w:color="auto" w:sz="4" w:space="0"/>
              <w:right w:val="single" w:color="auto" w:sz="4" w:space="0"/>
            </w:tcBorders>
            <w:vAlign w:val="center"/>
          </w:tcPr>
          <w:p w14:paraId="28B34D8F">
            <w:pPr>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一阶段供应商入围数量</w:t>
            </w:r>
          </w:p>
        </w:tc>
        <w:tc>
          <w:tcPr>
            <w:tcW w:w="2189" w:type="dxa"/>
            <w:tcBorders>
              <w:top w:val="single" w:color="auto" w:sz="4" w:space="0"/>
              <w:left w:val="single" w:color="auto" w:sz="4" w:space="0"/>
              <w:bottom w:val="single" w:color="auto" w:sz="4" w:space="0"/>
              <w:right w:val="single" w:color="auto" w:sz="4" w:space="0"/>
            </w:tcBorders>
            <w:vAlign w:val="center"/>
          </w:tcPr>
          <w:p w14:paraId="2DD66659">
            <w:pPr>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简要服务要求或者技术需求</w:t>
            </w:r>
          </w:p>
        </w:tc>
      </w:tr>
      <w:tr w14:paraId="67745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755" w:type="dxa"/>
            <w:tcBorders>
              <w:top w:val="single" w:color="auto" w:sz="4" w:space="0"/>
              <w:left w:val="single" w:color="auto" w:sz="4" w:space="0"/>
              <w:bottom w:val="single" w:color="auto" w:sz="4" w:space="0"/>
              <w:right w:val="single" w:color="auto" w:sz="4" w:space="0"/>
            </w:tcBorders>
            <w:vAlign w:val="center"/>
          </w:tcPr>
          <w:p w14:paraId="30F2857B">
            <w:pPr>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418" w:type="dxa"/>
            <w:tcBorders>
              <w:top w:val="single" w:color="auto" w:sz="4" w:space="0"/>
              <w:left w:val="single" w:color="auto" w:sz="4" w:space="0"/>
              <w:bottom w:val="single" w:color="auto" w:sz="4" w:space="0"/>
              <w:right w:val="single" w:color="auto" w:sz="4" w:space="0"/>
            </w:tcBorders>
            <w:vAlign w:val="center"/>
          </w:tcPr>
          <w:p w14:paraId="085A844F">
            <w:pPr>
              <w:snapToGrid w:val="0"/>
              <w:spacing w:line="360" w:lineRule="exact"/>
              <w:jc w:val="center"/>
              <w:rPr>
                <w:rFonts w:hint="eastAsia" w:ascii="宋体" w:hAnsi="宋体" w:eastAsia="宋体" w:cs="宋体"/>
                <w:color w:val="auto"/>
                <w:szCs w:val="21"/>
                <w:highlight w:val="none"/>
                <w:lang w:eastAsia="zh-CN"/>
              </w:rPr>
            </w:pPr>
            <w:r>
              <w:rPr>
                <w:rFonts w:hint="eastAsia"/>
                <w:color w:val="auto"/>
                <w:szCs w:val="21"/>
                <w:highlight w:val="none"/>
                <w:lang w:eastAsia="zh-CN"/>
              </w:rPr>
              <w:t>广西—东盟经济技术开发区2025-2027年度预算单位车辆维修和保养服务框架协议采购</w:t>
            </w:r>
          </w:p>
        </w:tc>
        <w:tc>
          <w:tcPr>
            <w:tcW w:w="1062" w:type="dxa"/>
            <w:tcBorders>
              <w:top w:val="single" w:color="auto" w:sz="4" w:space="0"/>
              <w:left w:val="single" w:color="auto" w:sz="4" w:space="0"/>
              <w:bottom w:val="single" w:color="auto" w:sz="4" w:space="0"/>
              <w:right w:val="single" w:color="auto" w:sz="4" w:space="0"/>
            </w:tcBorders>
            <w:vAlign w:val="center"/>
          </w:tcPr>
          <w:p w14:paraId="1D835A80">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3554" w:type="dxa"/>
            <w:tcBorders>
              <w:top w:val="single" w:color="auto" w:sz="4" w:space="0"/>
              <w:left w:val="single" w:color="auto" w:sz="4" w:space="0"/>
              <w:bottom w:val="single" w:color="auto" w:sz="4" w:space="0"/>
              <w:right w:val="single" w:color="auto" w:sz="4" w:space="0"/>
            </w:tcBorders>
            <w:vAlign w:val="center"/>
          </w:tcPr>
          <w:p w14:paraId="1A2D6016">
            <w:pPr>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本项目不设置入围供应商数量上限，按20%淘汰率计算且至少淘汰一家供应商确定入围供应商。</w:t>
            </w:r>
          </w:p>
        </w:tc>
        <w:tc>
          <w:tcPr>
            <w:tcW w:w="2189" w:type="dxa"/>
            <w:tcBorders>
              <w:top w:val="single" w:color="auto" w:sz="4" w:space="0"/>
              <w:left w:val="single" w:color="auto" w:sz="4" w:space="0"/>
              <w:right w:val="single" w:color="auto" w:sz="4" w:space="0"/>
            </w:tcBorders>
            <w:vAlign w:val="center"/>
          </w:tcPr>
          <w:p w14:paraId="78D16723">
            <w:pPr>
              <w:snapToGrid w:val="0"/>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如需进一步了解详细内容，详见征集文件。</w:t>
            </w:r>
          </w:p>
        </w:tc>
      </w:tr>
    </w:tbl>
    <w:p w14:paraId="7BCDA87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cs="宋体"/>
          <w:color w:val="auto"/>
          <w:szCs w:val="21"/>
          <w:highlight w:val="none"/>
          <w:lang w:val="en-US" w:eastAsia="zh-CN"/>
        </w:rPr>
        <w:t>自合同签订之日起两年。</w:t>
      </w:r>
    </w:p>
    <w:p w14:paraId="72B5C77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本项目是否接受联合体投标：□是，☑否。</w:t>
      </w:r>
    </w:p>
    <w:p w14:paraId="4FBEF84D">
      <w:pPr>
        <w:spacing w:line="400" w:lineRule="exact"/>
        <w:outlineLvl w:val="1"/>
        <w:rPr>
          <w:rFonts w:hint="eastAsia" w:ascii="宋体" w:hAnsi="宋体" w:cs="宋体"/>
          <w:b/>
          <w:bCs/>
          <w:color w:val="auto"/>
          <w:szCs w:val="21"/>
          <w:highlight w:val="none"/>
        </w:rPr>
      </w:pPr>
      <w:bookmarkStart w:id="4" w:name="_Toc9897"/>
      <w:r>
        <w:rPr>
          <w:rFonts w:hint="eastAsia" w:ascii="宋体" w:hAnsi="宋体" w:cs="宋体"/>
          <w:b/>
          <w:bCs/>
          <w:color w:val="auto"/>
          <w:szCs w:val="21"/>
          <w:highlight w:val="none"/>
        </w:rPr>
        <w:t>二、供应商的资格条件：</w:t>
      </w:r>
      <w:bookmarkEnd w:id="4"/>
    </w:p>
    <w:p w14:paraId="028EAEF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1D2DF5A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p>
    <w:p w14:paraId="3B2CB9D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☑专门面向中小企业采购的项目（供应商应为中小微企业、监狱企业、残疾人福利性单位)</w:t>
      </w:r>
    </w:p>
    <w:p w14:paraId="3DF2BC4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□非专门面向中小企业采购的项目</w:t>
      </w:r>
    </w:p>
    <w:p w14:paraId="768F1C8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val="en-US" w:eastAsia="zh-CN"/>
        </w:rPr>
        <w:t>具有行政主管部门审核批准或同意备案的二类以上（含二类）机动车维修资质（许可或备案在有效期内）</w:t>
      </w:r>
      <w:r>
        <w:rPr>
          <w:rFonts w:hint="eastAsia" w:ascii="宋体" w:hAnsi="宋体" w:cs="宋体"/>
          <w:color w:val="auto"/>
          <w:szCs w:val="21"/>
          <w:highlight w:val="none"/>
        </w:rPr>
        <w:t>；</w:t>
      </w:r>
    </w:p>
    <w:p w14:paraId="7480D63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4.本项目的特定条件：无；</w:t>
      </w:r>
    </w:p>
    <w:p w14:paraId="0A1362BB">
      <w:pPr>
        <w:snapToGrid w:val="0"/>
        <w:spacing w:line="40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造价咨询、财务管理等服务的供应商，不得再参加本项目上述服务以外的其他采购活动。</w:t>
      </w:r>
    </w:p>
    <w:p w14:paraId="295A40F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8E83C82">
      <w:pPr>
        <w:spacing w:line="400" w:lineRule="exact"/>
        <w:outlineLvl w:val="1"/>
        <w:rPr>
          <w:rFonts w:hint="eastAsia" w:ascii="宋体" w:hAnsi="宋体" w:cs="宋体"/>
          <w:b/>
          <w:bCs/>
          <w:color w:val="auto"/>
          <w:szCs w:val="21"/>
          <w:highlight w:val="none"/>
        </w:rPr>
      </w:pPr>
      <w:bookmarkStart w:id="5" w:name="_Toc8820"/>
      <w:r>
        <w:rPr>
          <w:rFonts w:hint="eastAsia" w:ascii="宋体" w:hAnsi="宋体" w:cs="宋体"/>
          <w:b/>
          <w:bCs/>
          <w:color w:val="auto"/>
          <w:szCs w:val="21"/>
          <w:highlight w:val="none"/>
        </w:rPr>
        <w:t>三、获取征集文件</w:t>
      </w:r>
      <w:bookmarkEnd w:id="5"/>
    </w:p>
    <w:p w14:paraId="6D2EC1A9">
      <w:pPr>
        <w:snapToGrid w:val="0"/>
        <w:spacing w:line="400" w:lineRule="exact"/>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时间：自公告发布之日起。</w:t>
      </w:r>
    </w:p>
    <w:p w14:paraId="3295A476">
      <w:pPr>
        <w:spacing w:line="400" w:lineRule="exact"/>
        <w:ind w:firstLine="420" w:firstLineChars="200"/>
        <w:rPr>
          <w:rFonts w:hint="eastAsia" w:ascii="宋体" w:hAnsi="宋体" w:cs="宋体"/>
          <w:b/>
          <w:bCs/>
          <w:color w:val="auto"/>
          <w:sz w:val="24"/>
          <w:highlight w:val="none"/>
        </w:rPr>
      </w:pPr>
      <w:r>
        <w:rPr>
          <w:rFonts w:hint="eastAsia" w:ascii="宋体" w:hAnsi="宋体" w:cs="宋体"/>
          <w:color w:val="auto"/>
          <w:szCs w:val="21"/>
          <w:highlight w:val="none"/>
        </w:rPr>
        <w:t>获取方式:</w:t>
      </w:r>
      <w:r>
        <w:rPr>
          <w:rFonts w:hint="eastAsia" w:ascii="宋体" w:hAnsi="宋体" w:eastAsia="宋体" w:cs="宋体"/>
          <w:i w:val="0"/>
          <w:iCs w:val="0"/>
          <w:caps w:val="0"/>
          <w:color w:val="auto"/>
          <w:spacing w:val="0"/>
          <w:sz w:val="21"/>
          <w:szCs w:val="21"/>
          <w:highlight w:val="none"/>
        </w:rPr>
        <w:t>网上下载。本项目不发放纸质文件，供应商可自行在广西政府采购云平台（https://www.gcy.zfcg.gxzf.gov.cn）下载征集文件（操作路径：登录广西政府采购云平台-项目采购-获取采购文件-找到本项目-点击“申请获取采购文件”），电子响应文件制作需要基于广西政府采购云平台获取的征集文件编制。</w:t>
      </w:r>
    </w:p>
    <w:p w14:paraId="7E984075">
      <w:pPr>
        <w:snapToGrid w:val="0"/>
        <w:spacing w:line="400" w:lineRule="exact"/>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售价：0元。</w:t>
      </w:r>
    </w:p>
    <w:p w14:paraId="7BBBA7FB">
      <w:pPr>
        <w:spacing w:line="400" w:lineRule="exact"/>
        <w:outlineLvl w:val="1"/>
        <w:rPr>
          <w:rFonts w:hint="eastAsia" w:ascii="宋体" w:hAnsi="宋体" w:cs="宋体"/>
          <w:b/>
          <w:bCs/>
          <w:color w:val="auto"/>
          <w:szCs w:val="21"/>
          <w:highlight w:val="none"/>
        </w:rPr>
      </w:pPr>
      <w:bookmarkStart w:id="6" w:name="_Toc9922"/>
      <w:r>
        <w:rPr>
          <w:rFonts w:hint="eastAsia" w:ascii="宋体" w:hAnsi="宋体" w:cs="宋体"/>
          <w:b/>
          <w:bCs/>
          <w:color w:val="auto"/>
          <w:szCs w:val="21"/>
          <w:highlight w:val="none"/>
        </w:rPr>
        <w:t>四、提交响应文件截止时间、开标时间和地点</w:t>
      </w:r>
      <w:bookmarkEnd w:id="6"/>
    </w:p>
    <w:p w14:paraId="4569A71D">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1、提交响应文件截止时间和开标时间：</w:t>
      </w:r>
      <w:r>
        <w:rPr>
          <w:rFonts w:hint="eastAsia" w:ascii="宋体" w:hAnsi="宋体" w:eastAsia="宋体" w:cs="宋体"/>
          <w:i w:val="0"/>
          <w:iCs w:val="0"/>
          <w:caps w:val="0"/>
          <w:color w:val="auto"/>
          <w:spacing w:val="0"/>
          <w:sz w:val="21"/>
          <w:szCs w:val="21"/>
          <w:highlight w:val="none"/>
        </w:rPr>
        <w:t>202</w:t>
      </w:r>
      <w:r>
        <w:rPr>
          <w:rFonts w:hint="eastAsia" w:ascii="宋体" w:hAnsi="宋体" w:eastAsia="宋体"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年</w:t>
      </w:r>
      <w:r>
        <w:rPr>
          <w:rFonts w:hint="eastAsia" w:ascii="宋体" w:hAnsi="宋体" w:eastAsia="宋体" w:cs="宋体"/>
          <w:i w:val="0"/>
          <w:iCs w:val="0"/>
          <w:caps w:val="0"/>
          <w:color w:val="auto"/>
          <w:spacing w:val="0"/>
          <w:sz w:val="21"/>
          <w:szCs w:val="21"/>
          <w:highlight w:val="none"/>
          <w:lang w:val="en-US" w:eastAsia="zh-CN"/>
        </w:rPr>
        <w:t>08</w:t>
      </w:r>
      <w:r>
        <w:rPr>
          <w:rFonts w:hint="eastAsia" w:ascii="宋体" w:hAnsi="宋体" w:eastAsia="宋体" w:cs="宋体"/>
          <w:i w:val="0"/>
          <w:iCs w:val="0"/>
          <w:caps w:val="0"/>
          <w:color w:val="auto"/>
          <w:spacing w:val="0"/>
          <w:sz w:val="21"/>
          <w:szCs w:val="21"/>
          <w:highlight w:val="none"/>
        </w:rPr>
        <w:t>月</w:t>
      </w:r>
      <w:r>
        <w:rPr>
          <w:rFonts w:hint="eastAsia" w:ascii="宋体" w:hAnsi="宋体" w:eastAsia="宋体" w:cs="宋体"/>
          <w:i w:val="0"/>
          <w:iCs w:val="0"/>
          <w:caps w:val="0"/>
          <w:color w:val="auto"/>
          <w:spacing w:val="0"/>
          <w:sz w:val="21"/>
          <w:szCs w:val="21"/>
          <w:highlight w:val="none"/>
          <w:lang w:val="en-US" w:eastAsia="zh-CN"/>
        </w:rPr>
        <w:t>05</w:t>
      </w:r>
      <w:r>
        <w:rPr>
          <w:rFonts w:hint="eastAsia" w:ascii="宋体" w:hAnsi="宋体" w:eastAsia="宋体" w:cs="宋体"/>
          <w:i w:val="0"/>
          <w:iCs w:val="0"/>
          <w:caps w:val="0"/>
          <w:color w:val="auto"/>
          <w:spacing w:val="0"/>
          <w:sz w:val="21"/>
          <w:szCs w:val="21"/>
          <w:highlight w:val="none"/>
        </w:rPr>
        <w:t xml:space="preserve">日 </w:t>
      </w:r>
      <w:r>
        <w:rPr>
          <w:rFonts w:hint="eastAsia" w:ascii="宋体" w:hAnsi="宋体" w:eastAsia="宋体" w:cs="宋体"/>
          <w:i w:val="0"/>
          <w:iCs w:val="0"/>
          <w:caps w:val="0"/>
          <w:color w:val="auto"/>
          <w:spacing w:val="0"/>
          <w:sz w:val="21"/>
          <w:szCs w:val="21"/>
          <w:highlight w:val="none"/>
          <w:lang w:val="en-US" w:eastAsia="zh-CN"/>
        </w:rPr>
        <w:t>09</w:t>
      </w: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3</w:t>
      </w:r>
      <w:r>
        <w:rPr>
          <w:rFonts w:hint="eastAsia" w:ascii="宋体" w:hAnsi="宋体" w:eastAsia="宋体" w:cs="宋体"/>
          <w:i w:val="0"/>
          <w:iCs w:val="0"/>
          <w:caps w:val="0"/>
          <w:color w:val="auto"/>
          <w:spacing w:val="0"/>
          <w:sz w:val="21"/>
          <w:szCs w:val="21"/>
          <w:highlight w:val="none"/>
        </w:rPr>
        <w:t>0</w:t>
      </w:r>
      <w:r>
        <w:rPr>
          <w:rFonts w:hint="eastAsia" w:ascii="宋体" w:hAnsi="宋体" w:cs="宋体"/>
          <w:bCs/>
          <w:color w:val="auto"/>
          <w:szCs w:val="21"/>
          <w:highlight w:val="none"/>
        </w:rPr>
        <w:t>（北京时间）</w:t>
      </w:r>
    </w:p>
    <w:p w14:paraId="04EF645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2、响应文件提交地点：</w:t>
      </w:r>
      <w:bookmarkStart w:id="7" w:name="_Toc21367"/>
    </w:p>
    <w:p w14:paraId="1DD7BBA2">
      <w:pPr>
        <w:spacing w:line="400" w:lineRule="exact"/>
        <w:ind w:firstLine="420" w:firstLineChars="20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征集文件和广西政府采购云平台的要求编制、加密后在响应截止时间前通过网络上传至广西政府采购云平台，</w:t>
      </w:r>
      <w:r>
        <w:rPr>
          <w:rStyle w:val="27"/>
          <w:rFonts w:hint="eastAsia" w:ascii="宋体" w:hAnsi="宋体" w:eastAsia="宋体" w:cs="宋体"/>
          <w:i w:val="0"/>
          <w:iCs w:val="0"/>
          <w:caps w:val="0"/>
          <w:color w:val="auto"/>
          <w:spacing w:val="0"/>
          <w:sz w:val="21"/>
          <w:szCs w:val="21"/>
          <w:highlight w:val="none"/>
        </w:rPr>
        <w:t>供应商在广西政府采购云平台提交电子版响应文件时，请填写参加远程开标活动经办人联系方式，</w:t>
      </w:r>
      <w:r>
        <w:rPr>
          <w:rFonts w:hint="eastAsia" w:ascii="宋体" w:hAnsi="宋体" w:eastAsia="宋体" w:cs="宋体"/>
          <w:i w:val="0"/>
          <w:iCs w:val="0"/>
          <w:caps w:val="0"/>
          <w:color w:val="auto"/>
          <w:spacing w:val="0"/>
          <w:sz w:val="21"/>
          <w:szCs w:val="21"/>
          <w:highlight w:val="none"/>
        </w:rPr>
        <w:t>电子响应具体操作流程详见本公告附件2。</w:t>
      </w:r>
    </w:p>
    <w:p w14:paraId="15703AA8">
      <w:pPr>
        <w:spacing w:line="400" w:lineRule="exact"/>
        <w:ind w:firstLine="420" w:firstLineChars="20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2）未进行网上注册并办理数字证书（CA认证）的供应商将无法参与本项目政府采购活动，潜在供应商应当在响应截止时间前，完成电子交易平台上的CA数字证书办理（申领流程见本公告附件1）及响应文件的提交。完成CA数字证书办理预计7日左右，供应商只需办理其中一家CA数字证书及签章，建议各供应商抓紧时间办理。</w:t>
      </w:r>
    </w:p>
    <w:p w14:paraId="5E90E8DD">
      <w:pPr>
        <w:spacing w:line="400" w:lineRule="exact"/>
        <w:ind w:firstLine="420" w:firstLineChars="200"/>
        <w:rPr>
          <w:rFonts w:hint="eastAsia" w:ascii="微软雅黑" w:hAnsi="微软雅黑" w:eastAsia="微软雅黑" w:cs="微软雅黑"/>
          <w:i w:val="0"/>
          <w:iCs w:val="0"/>
          <w:caps w:val="0"/>
          <w:color w:val="auto"/>
          <w:spacing w:val="0"/>
          <w:sz w:val="27"/>
          <w:szCs w:val="27"/>
          <w:highlight w:val="none"/>
        </w:rPr>
      </w:pPr>
      <w:r>
        <w:rPr>
          <w:rFonts w:hint="eastAsia" w:ascii="宋体" w:hAnsi="宋体" w:eastAsia="宋体" w:cs="宋体"/>
          <w:i w:val="0"/>
          <w:iCs w:val="0"/>
          <w:caps w:val="0"/>
          <w:color w:val="auto"/>
          <w:spacing w:val="0"/>
          <w:sz w:val="21"/>
          <w:szCs w:val="21"/>
          <w:highlight w:val="none"/>
        </w:rPr>
        <w:t>（3）为确保网上操作合法、有效和安全，请响应供应商确保在电子响应过程中能够对相关数据电文进行加密和使用电子签章，妥善保管CA数字证书并使用有效的CA数字证书参与整个征集活动。</w:t>
      </w:r>
    </w:p>
    <w:p w14:paraId="01FC8814">
      <w:pPr>
        <w:pStyle w:val="22"/>
        <w:keepNext w:val="0"/>
        <w:keepLines w:val="0"/>
        <w:widowControl/>
        <w:suppressLineNumbers w:val="0"/>
        <w:spacing w:line="435" w:lineRule="atLeast"/>
        <w:ind w:left="0" w:firstLine="420"/>
        <w:rPr>
          <w:rFonts w:hint="eastAsia" w:ascii="宋体" w:hAnsi="宋体" w:eastAsia="宋体" w:cs="宋体"/>
          <w:i w:val="0"/>
          <w:iCs w:val="0"/>
          <w:caps w:val="0"/>
          <w:color w:val="auto"/>
          <w:spacing w:val="0"/>
          <w:sz w:val="21"/>
          <w:szCs w:val="21"/>
          <w:highlight w:val="none"/>
          <w:u w:val="single"/>
        </w:rPr>
      </w:pPr>
      <w:r>
        <w:rPr>
          <w:rFonts w:hint="eastAsia" w:ascii="宋体" w:hAnsi="宋体" w:eastAsia="宋体" w:cs="宋体"/>
          <w:i w:val="0"/>
          <w:iCs w:val="0"/>
          <w:caps w:val="0"/>
          <w:color w:val="auto"/>
          <w:spacing w:val="0"/>
          <w:sz w:val="21"/>
          <w:szCs w:val="21"/>
          <w:highlight w:val="none"/>
          <w:u w:val="single"/>
        </w:rPr>
        <w:t>注：供应商应当在响应截止时间前完成电子响应文件的上传、递交，响应截止时间前可以补充、修改或者撤回响应文件。补充或者修改响应文件的，应当先行撤回原文件，补充、修改后重新上传、递交。响应截止时间前未完成上传、递交的，视为撤回响应文件。响应截止时间以后上传递交的响应文件广西政府采购云平台将予以拒收。</w:t>
      </w:r>
    </w:p>
    <w:p w14:paraId="5B58FA65">
      <w:pPr>
        <w:pStyle w:val="22"/>
        <w:keepNext w:val="0"/>
        <w:keepLines w:val="0"/>
        <w:widowControl/>
        <w:suppressLineNumbers w:val="0"/>
        <w:spacing w:line="435" w:lineRule="atLeast"/>
        <w:ind w:left="0" w:firstLine="42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（4）采购地点：本次征集将于2025年</w:t>
      </w:r>
      <w:r>
        <w:rPr>
          <w:rFonts w:hint="eastAsia" w:ascii="宋体" w:hAnsi="宋体" w:eastAsia="宋体" w:cs="宋体"/>
          <w:i w:val="0"/>
          <w:iCs w:val="0"/>
          <w:caps w:val="0"/>
          <w:color w:val="auto"/>
          <w:spacing w:val="0"/>
          <w:sz w:val="21"/>
          <w:szCs w:val="21"/>
          <w:highlight w:val="none"/>
          <w:lang w:val="en-US" w:eastAsia="zh-CN"/>
        </w:rPr>
        <w:t>08</w:t>
      </w:r>
      <w:r>
        <w:rPr>
          <w:rFonts w:hint="eastAsia" w:ascii="宋体" w:hAnsi="宋体" w:eastAsia="宋体" w:cs="宋体"/>
          <w:i w:val="0"/>
          <w:iCs w:val="0"/>
          <w:caps w:val="0"/>
          <w:color w:val="auto"/>
          <w:spacing w:val="0"/>
          <w:sz w:val="21"/>
          <w:szCs w:val="21"/>
          <w:highlight w:val="none"/>
        </w:rPr>
        <w:t>月</w:t>
      </w:r>
      <w:r>
        <w:rPr>
          <w:rFonts w:hint="eastAsia" w:ascii="宋体" w:hAnsi="宋体" w:eastAsia="宋体" w:cs="宋体"/>
          <w:i w:val="0"/>
          <w:iCs w:val="0"/>
          <w:caps w:val="0"/>
          <w:color w:val="auto"/>
          <w:spacing w:val="0"/>
          <w:sz w:val="21"/>
          <w:szCs w:val="21"/>
          <w:highlight w:val="none"/>
          <w:lang w:val="en-US" w:eastAsia="zh-CN"/>
        </w:rPr>
        <w:t>05</w:t>
      </w:r>
      <w:r>
        <w:rPr>
          <w:rFonts w:hint="eastAsia" w:ascii="宋体" w:hAnsi="宋体" w:eastAsia="宋体" w:cs="宋体"/>
          <w:i w:val="0"/>
          <w:iCs w:val="0"/>
          <w:caps w:val="0"/>
          <w:color w:val="auto"/>
          <w:spacing w:val="0"/>
          <w:sz w:val="21"/>
          <w:szCs w:val="21"/>
          <w:highlight w:val="none"/>
        </w:rPr>
        <w:t>日</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9时30分在广西政府采购云平台电子大厅采购。</w:t>
      </w:r>
    </w:p>
    <w:p w14:paraId="146BEEDE">
      <w:pPr>
        <w:pStyle w:val="22"/>
        <w:keepNext w:val="0"/>
        <w:keepLines w:val="0"/>
        <w:widowControl/>
        <w:suppressLineNumbers w:val="0"/>
        <w:spacing w:line="435" w:lineRule="atLeast"/>
        <w:ind w:left="0" w:firstLine="420"/>
        <w:rPr>
          <w:rFonts w:hint="eastAsia" w:ascii="微软雅黑" w:hAnsi="微软雅黑" w:eastAsia="微软雅黑" w:cs="微软雅黑"/>
          <w:i w:val="0"/>
          <w:iCs w:val="0"/>
          <w:caps w:val="0"/>
          <w:color w:val="auto"/>
          <w:spacing w:val="0"/>
          <w:sz w:val="27"/>
          <w:szCs w:val="27"/>
          <w:highlight w:val="none"/>
        </w:rPr>
      </w:pPr>
      <w:r>
        <w:rPr>
          <w:rFonts w:hint="eastAsia" w:ascii="宋体" w:hAnsi="宋体" w:eastAsia="宋体" w:cs="宋体"/>
          <w:i w:val="0"/>
          <w:iCs w:val="0"/>
          <w:caps w:val="0"/>
          <w:color w:val="auto"/>
          <w:spacing w:val="0"/>
          <w:sz w:val="21"/>
          <w:szCs w:val="21"/>
          <w:highlight w:val="none"/>
        </w:rPr>
        <w:t>（5）CA证书在线解密：供应商投标时，需携带制作投标文件时用来加密的有效数字证书（CA认证）登录广西政府采购云平台电子开标大厅现场按规定时间对加密的投标文件进行解密，未能按要求进行解密的，由此产生的后果由投标人自行承担。</w:t>
      </w:r>
    </w:p>
    <w:p w14:paraId="37775E66">
      <w:pPr>
        <w:spacing w:line="400" w:lineRule="exac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五、公告期限</w:t>
      </w:r>
      <w:bookmarkEnd w:id="7"/>
    </w:p>
    <w:p w14:paraId="1118E93D">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79749C5">
      <w:pPr>
        <w:spacing w:line="400" w:lineRule="exact"/>
        <w:outlineLvl w:val="1"/>
        <w:rPr>
          <w:rFonts w:hint="eastAsia" w:ascii="宋体" w:hAnsi="宋体" w:cs="宋体"/>
          <w:b/>
          <w:bCs/>
          <w:color w:val="auto"/>
          <w:szCs w:val="21"/>
          <w:highlight w:val="none"/>
        </w:rPr>
      </w:pPr>
      <w:bookmarkStart w:id="8" w:name="_Toc32364"/>
      <w:r>
        <w:rPr>
          <w:rFonts w:hint="eastAsia" w:ascii="宋体" w:hAnsi="宋体" w:cs="宋体"/>
          <w:b/>
          <w:bCs/>
          <w:color w:val="auto"/>
          <w:szCs w:val="21"/>
          <w:highlight w:val="none"/>
        </w:rPr>
        <w:t>六、其他补充事宜</w:t>
      </w:r>
      <w:bookmarkEnd w:id="8"/>
    </w:p>
    <w:p w14:paraId="5FC4D564">
      <w:pPr>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1.响应保证金：本项目不收取响应保证金</w:t>
      </w:r>
    </w:p>
    <w:p w14:paraId="6854032F">
      <w:pPr>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2.采购意向公开链接：https://zfcg.gxzf.gov.cn/site/detail?categoryCode=reformColumn&amp;parentId=66601&amp;articleId=CfqyXjLyjYtbVXJrzEJDRA==</w:t>
      </w:r>
    </w:p>
    <w:p w14:paraId="399FC5C6">
      <w:pPr>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3.网上查询地址</w:t>
      </w:r>
    </w:p>
    <w:p w14:paraId="1B4139A1">
      <w:pPr>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HYPERLINK "http://www.ccgp.gov.cn（中国政府采购网）、http:/zfcg.gxzf.gov.cn（广西政府采购网）、http:/ggzy.nanning.gov.cn/（广西南宁市公共资源交易中心网站）"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http://www.ccgp.gov.cn（中国政府采购网）、http://zfcg.gxzf.gov.cn（广西政府采购网）、全国公共资源交易平台（广西·南宁）(http://ggzy.jgswj.gxzf.gov.cn/nnggzy/)</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w:t>
      </w:r>
    </w:p>
    <w:p w14:paraId="0886E83B">
      <w:pPr>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kern w:val="0"/>
          <w:szCs w:val="21"/>
          <w:highlight w:val="none"/>
        </w:rPr>
        <w:t>本项目需要落实的政府采购政策</w:t>
      </w:r>
    </w:p>
    <w:p w14:paraId="198DDD3F">
      <w:pPr>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2E76F382">
      <w:pPr>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284F3FDA">
      <w:pPr>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7F96E6D2">
      <w:pPr>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71EC5EBD">
      <w:pPr>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3EF2D534">
      <w:pPr>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highlight w:val="none"/>
        </w:rPr>
        <w:t>扶持不发达地区和少数民族地区政策</w:t>
      </w:r>
    </w:p>
    <w:p w14:paraId="61788918">
      <w:pPr>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在知道或者应知其权益受到损害之日起7个工作日内，以书面形式向征集人、采购代理机构提出质疑。质疑供应商对征集人、采购代理机构的答复不满意或者征集人、采购代理机构未在规定的时间内作出答复的，可以在答复期满后十五个工作日内向同级政府采购监督管理部门投诉。</w:t>
      </w:r>
    </w:p>
    <w:p w14:paraId="7D669257">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6.若对项目采购电子交易系统操作有疑问，可登录</w:t>
      </w:r>
      <w:r>
        <w:rPr>
          <w:rFonts w:hint="eastAsia" w:ascii="宋体" w:hAnsi="宋体" w:eastAsia="宋体" w:cs="宋体"/>
          <w:i w:val="0"/>
          <w:iCs w:val="0"/>
          <w:caps w:val="0"/>
          <w:color w:val="auto"/>
          <w:spacing w:val="0"/>
          <w:sz w:val="21"/>
          <w:szCs w:val="21"/>
          <w:highlight w:val="none"/>
        </w:rPr>
        <w:t>广西政府采购云平台（https://www.gcy.zfcg.gxzf.gov.cn）</w:t>
      </w:r>
      <w:r>
        <w:rPr>
          <w:rFonts w:hint="eastAsia" w:ascii="宋体" w:hAnsi="宋体" w:cs="宋体"/>
          <w:color w:val="auto"/>
          <w:kern w:val="0"/>
          <w:szCs w:val="21"/>
          <w:highlight w:val="none"/>
        </w:rPr>
        <w:t>，点击右侧咨询小采，获取采小蜜智能服务管家帮助，或拨打政采云服务热线400-881-7190获取热线服务帮助。</w:t>
      </w:r>
    </w:p>
    <w:p w14:paraId="2F01D68D">
      <w:pPr>
        <w:spacing w:line="400" w:lineRule="exact"/>
        <w:outlineLvl w:val="1"/>
        <w:rPr>
          <w:rFonts w:hint="eastAsia" w:ascii="宋体" w:hAnsi="宋体" w:cs="宋体"/>
          <w:b/>
          <w:bCs/>
          <w:color w:val="auto"/>
          <w:szCs w:val="21"/>
          <w:highlight w:val="none"/>
        </w:rPr>
      </w:pPr>
      <w:bookmarkStart w:id="9" w:name="_Toc4224"/>
      <w:r>
        <w:rPr>
          <w:rFonts w:hint="eastAsia" w:ascii="宋体" w:hAnsi="宋体" w:cs="宋体"/>
          <w:b/>
          <w:bCs/>
          <w:color w:val="auto"/>
          <w:szCs w:val="21"/>
          <w:highlight w:val="none"/>
        </w:rPr>
        <w:t>七、对本次征集提出询问，请按以下方式联系。</w:t>
      </w:r>
      <w:bookmarkEnd w:id="9"/>
    </w:p>
    <w:p w14:paraId="3536B66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1.征集人信息</w:t>
      </w:r>
    </w:p>
    <w:p w14:paraId="6F0B0AA0">
      <w:pPr>
        <w:spacing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名 称：</w:t>
      </w:r>
      <w:r>
        <w:rPr>
          <w:rFonts w:hint="eastAsia" w:ascii="宋体" w:hAnsi="宋体"/>
          <w:color w:val="auto"/>
          <w:szCs w:val="21"/>
          <w:highlight w:val="none"/>
          <w:lang w:eastAsia="zh-CN"/>
        </w:rPr>
        <w:t>广西—东盟经济技术开发区（南宁华侨投资区）后勤服务中心</w:t>
      </w:r>
    </w:p>
    <w:p w14:paraId="3CD184F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lang w:eastAsia="zh-CN"/>
        </w:rPr>
        <w:t>广西—东盟经济技术开发区武华大道37号</w:t>
      </w:r>
    </w:p>
    <w:p w14:paraId="0A7D47F6">
      <w:pPr>
        <w:spacing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项目联系人：</w:t>
      </w:r>
      <w:r>
        <w:rPr>
          <w:rFonts w:hint="eastAsia" w:ascii="宋体" w:hAnsi="宋体"/>
          <w:color w:val="auto"/>
          <w:szCs w:val="21"/>
          <w:highlight w:val="none"/>
          <w:lang w:eastAsia="zh-CN"/>
        </w:rPr>
        <w:t>潘宝建</w:t>
      </w:r>
      <w:r>
        <w:rPr>
          <w:rFonts w:hint="eastAsia" w:ascii="宋体" w:hAnsi="宋体"/>
          <w:color w:val="auto"/>
          <w:szCs w:val="21"/>
          <w:highlight w:val="none"/>
          <w:lang w:val="en-US" w:eastAsia="zh-CN"/>
        </w:rPr>
        <w:t xml:space="preserve">   </w:t>
      </w:r>
    </w:p>
    <w:p w14:paraId="6337F772">
      <w:pPr>
        <w:spacing w:line="400" w:lineRule="exact"/>
        <w:ind w:firstLine="420" w:firstLineChars="200"/>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联系电话：0771-630</w:t>
      </w:r>
      <w:r>
        <w:rPr>
          <w:rFonts w:hint="eastAsia" w:ascii="宋体" w:hAnsi="宋体"/>
          <w:color w:val="auto"/>
          <w:szCs w:val="21"/>
          <w:highlight w:val="none"/>
          <w:lang w:val="en-US" w:eastAsia="zh-CN"/>
        </w:rPr>
        <w:t>5168</w:t>
      </w:r>
    </w:p>
    <w:p w14:paraId="207770B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2.采购代理机构信息</w:t>
      </w:r>
    </w:p>
    <w:p w14:paraId="1DC77AAC">
      <w:pPr>
        <w:spacing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名 称：</w:t>
      </w:r>
      <w:r>
        <w:rPr>
          <w:rFonts w:hint="eastAsia" w:ascii="宋体" w:hAnsi="宋体"/>
          <w:color w:val="auto"/>
          <w:szCs w:val="21"/>
          <w:highlight w:val="none"/>
          <w:lang w:eastAsia="zh-CN"/>
        </w:rPr>
        <w:t>广西建隆工程咨询有限公司</w:t>
      </w:r>
    </w:p>
    <w:p w14:paraId="08D3C8F7">
      <w:pPr>
        <w:spacing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地　址：南宁市壮锦大道31号云顶印象4层403号</w:t>
      </w:r>
    </w:p>
    <w:p w14:paraId="2F471FE8">
      <w:pPr>
        <w:spacing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项目联系人： 黄 艳 </w:t>
      </w:r>
    </w:p>
    <w:p w14:paraId="5D431A51">
      <w:pPr>
        <w:spacing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联系电话：0771-2822199</w:t>
      </w:r>
    </w:p>
    <w:p w14:paraId="0107A662">
      <w:pPr>
        <w:spacing w:line="400" w:lineRule="exact"/>
        <w:ind w:firstLine="420" w:firstLineChars="200"/>
        <w:rPr>
          <w:rFonts w:hint="eastAsia" w:ascii="宋体" w:hAnsi="宋体"/>
          <w:color w:val="auto"/>
          <w:szCs w:val="21"/>
          <w:highlight w:val="none"/>
        </w:rPr>
      </w:pPr>
    </w:p>
    <w:p w14:paraId="7DDBA465">
      <w:pPr>
        <w:pStyle w:val="12"/>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附件： 1.CA证书申请方式及操作指南下载地址（现场申请方式见网址：</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"http://www.ccgp-guangxi.gov.cn/OfficeService/DownloadArea/8354055.html?utm=a0003.39a112b4.cmp001.d0002.f0464b20ff2a11eb873141bf9e381949" </w:instrText>
      </w:r>
      <w:r>
        <w:rPr>
          <w:rFonts w:hint="eastAsia" w:ascii="宋体" w:hAnsi="宋体" w:cs="宋体"/>
          <w:color w:val="auto"/>
          <w:highlight w:val="none"/>
        </w:rPr>
        <w:fldChar w:fldCharType="separate"/>
      </w:r>
      <w:r>
        <w:rPr>
          <w:rStyle w:val="29"/>
          <w:rFonts w:hint="eastAsia" w:ascii="宋体" w:hAnsi="宋体" w:cs="宋体"/>
          <w:color w:val="auto"/>
          <w:highlight w:val="none"/>
        </w:rPr>
        <w:t>http://www.ccgp-guangxi.gov.cn/OfficeService/DownloadArea/8354055.html?utm=a0003.39a112b4.cmp001.d0002.f0464b20ff2a11eb873141bf9e381949</w:t>
      </w:r>
      <w:r>
        <w:rPr>
          <w:rFonts w:hint="eastAsia" w:ascii="宋体" w:hAnsi="宋体" w:cs="宋体"/>
          <w:color w:val="auto"/>
          <w:highlight w:val="none"/>
        </w:rPr>
        <w:fldChar w:fldCharType="end"/>
      </w:r>
      <w:r>
        <w:rPr>
          <w:rFonts w:hint="eastAsia" w:ascii="宋体" w:hAnsi="宋体" w:cs="宋体"/>
          <w:color w:val="auto"/>
          <w:highlight w:val="none"/>
        </w:rPr>
        <w:t xml:space="preserve">（广西政府采购网）/网上申请方式见网址： </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"http://nncz.nanning.gov.cn/" </w:instrText>
      </w:r>
      <w:r>
        <w:rPr>
          <w:rFonts w:hint="eastAsia" w:ascii="宋体" w:hAnsi="宋体" w:cs="宋体"/>
          <w:color w:val="auto"/>
          <w:highlight w:val="none"/>
        </w:rPr>
        <w:fldChar w:fldCharType="separate"/>
      </w:r>
      <w:r>
        <w:rPr>
          <w:rStyle w:val="29"/>
          <w:rFonts w:hint="eastAsia" w:ascii="宋体" w:hAnsi="宋体" w:cs="宋体"/>
          <w:color w:val="auto"/>
          <w:highlight w:val="none"/>
        </w:rPr>
        <w:t>http://nncz.nanning.gov.cn/</w:t>
      </w:r>
      <w:r>
        <w:rPr>
          <w:rFonts w:hint="eastAsia" w:ascii="宋体" w:hAnsi="宋体" w:cs="宋体"/>
          <w:color w:val="auto"/>
          <w:highlight w:val="none"/>
        </w:rPr>
        <w:fldChar w:fldCharType="end"/>
      </w:r>
      <w:r>
        <w:rPr>
          <w:rFonts w:hint="eastAsia" w:ascii="宋体" w:hAnsi="宋体" w:cs="宋体"/>
          <w:color w:val="auto"/>
          <w:highlight w:val="none"/>
        </w:rPr>
        <w:t>（南宁市财政局官网）-下载专区-南宁市政采云CA证书办理操作指南</w:t>
      </w:r>
      <w:r>
        <w:rPr>
          <w:rFonts w:hint="eastAsia" w:ascii="宋体" w:hAnsi="宋体" w:cs="宋体"/>
          <w:color w:val="auto"/>
          <w:szCs w:val="21"/>
          <w:highlight w:val="none"/>
        </w:rPr>
        <w:t>）</w:t>
      </w:r>
    </w:p>
    <w:p w14:paraId="08D1F4E0">
      <w:pPr>
        <w:pStyle w:val="12"/>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2.电子响应文件制作与投送教程（在此网址下载：</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"http://nncz.nanning.gov.cn/" </w:instrText>
      </w:r>
      <w:r>
        <w:rPr>
          <w:rFonts w:hint="eastAsia" w:ascii="宋体" w:hAnsi="宋体" w:cs="宋体"/>
          <w:color w:val="auto"/>
          <w:highlight w:val="none"/>
        </w:rPr>
        <w:fldChar w:fldCharType="separate"/>
      </w:r>
      <w:r>
        <w:rPr>
          <w:rStyle w:val="29"/>
          <w:rFonts w:hint="eastAsia" w:ascii="宋体" w:hAnsi="宋体" w:cs="宋体"/>
          <w:color w:val="auto"/>
          <w:highlight w:val="none"/>
        </w:rPr>
        <w:t>http://nncz.nanning.gov.cn/</w:t>
      </w:r>
      <w:r>
        <w:rPr>
          <w:rFonts w:hint="eastAsia" w:ascii="宋体" w:hAnsi="宋体" w:cs="宋体"/>
          <w:color w:val="auto"/>
          <w:highlight w:val="none"/>
        </w:rPr>
        <w:fldChar w:fldCharType="end"/>
      </w:r>
      <w:r>
        <w:rPr>
          <w:rFonts w:hint="eastAsia" w:ascii="宋体" w:hAnsi="宋体" w:cs="宋体"/>
          <w:color w:val="auto"/>
          <w:highlight w:val="none"/>
        </w:rPr>
        <w:t>（南宁市财政局官网）-下载专区</w:t>
      </w:r>
      <w:r>
        <w:rPr>
          <w:rFonts w:hint="eastAsia" w:ascii="宋体" w:hAnsi="宋体" w:cs="宋体"/>
          <w:color w:val="auto"/>
          <w:szCs w:val="21"/>
          <w:highlight w:val="none"/>
        </w:rPr>
        <w:t>）</w:t>
      </w:r>
    </w:p>
    <w:p w14:paraId="6EBC5815">
      <w:pPr>
        <w:spacing w:line="400" w:lineRule="exact"/>
        <w:ind w:firstLine="210" w:firstLineChars="100"/>
        <w:jc w:val="right"/>
        <w:rPr>
          <w:rFonts w:hint="eastAsia" w:ascii="宋体" w:hAnsi="宋体" w:cs="宋体"/>
          <w:color w:val="auto"/>
          <w:szCs w:val="21"/>
          <w:highlight w:val="none"/>
        </w:rPr>
      </w:pPr>
    </w:p>
    <w:p w14:paraId="068AB731">
      <w:pPr>
        <w:spacing w:line="360" w:lineRule="auto"/>
        <w:jc w:val="right"/>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lang w:eastAsia="zh-CN"/>
        </w:rPr>
        <w:t>广西建隆工程咨询有限公司</w:t>
      </w:r>
    </w:p>
    <w:p w14:paraId="403B4653">
      <w:pPr>
        <w:spacing w:line="360" w:lineRule="auto"/>
        <w:ind w:firstLine="210" w:firstLineChars="100"/>
        <w:jc w:val="right"/>
        <w:rPr>
          <w:rFonts w:hint="eastAsia" w:ascii="宋体" w:hAnsi="宋体" w:cs="宋体"/>
          <w:color w:val="auto"/>
          <w:highlight w:val="none"/>
          <w:u w:val="none"/>
        </w:rPr>
      </w:pPr>
      <w:r>
        <w:rPr>
          <w:rFonts w:hint="eastAsia" w:ascii="宋体" w:hAnsi="宋体" w:cs="宋体"/>
          <w:color w:val="auto"/>
          <w:szCs w:val="21"/>
          <w:highlight w:val="none"/>
          <w:u w:val="none"/>
        </w:rPr>
        <w:t>202</w:t>
      </w:r>
      <w:r>
        <w:rPr>
          <w:rFonts w:hint="eastAsia" w:ascii="宋体" w:hAnsi="宋体" w:cs="宋体"/>
          <w:color w:val="auto"/>
          <w:szCs w:val="21"/>
          <w:highlight w:val="none"/>
          <w:u w:val="none"/>
          <w:lang w:val="en-US" w:eastAsia="zh-CN"/>
        </w:rPr>
        <w:t>5</w:t>
      </w:r>
      <w:r>
        <w:rPr>
          <w:rFonts w:hint="eastAsia" w:ascii="宋体" w:hAnsi="宋体" w:cs="宋体"/>
          <w:color w:val="auto"/>
          <w:szCs w:val="21"/>
          <w:highlight w:val="none"/>
          <w:u w:val="none"/>
        </w:rPr>
        <w:t xml:space="preserve"> 年</w:t>
      </w:r>
      <w:r>
        <w:rPr>
          <w:rFonts w:hint="eastAsia" w:ascii="宋体" w:hAnsi="宋体" w:cs="宋体"/>
          <w:color w:val="auto"/>
          <w:szCs w:val="21"/>
          <w:highlight w:val="none"/>
          <w:u w:val="none"/>
          <w:lang w:val="en-US" w:eastAsia="zh-CN"/>
        </w:rPr>
        <w:t xml:space="preserve"> 07 </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15</w:t>
      </w:r>
      <w:r>
        <w:rPr>
          <w:rFonts w:hint="eastAsia" w:ascii="宋体" w:hAnsi="宋体" w:cs="宋体"/>
          <w:color w:val="auto"/>
          <w:szCs w:val="21"/>
          <w:highlight w:val="none"/>
          <w:u w:val="none"/>
        </w:rPr>
        <w:t xml:space="preserve"> 日</w:t>
      </w:r>
    </w:p>
    <w:p w14:paraId="412F6EC4">
      <w:pPr>
        <w:rPr>
          <w:rFonts w:hint="eastAsia"/>
          <w:color w:val="auto"/>
          <w:highlight w:val="none"/>
        </w:rPr>
      </w:pPr>
    </w:p>
    <w:p w14:paraId="227C1D8E">
      <w:pPr>
        <w:snapToGrid w:val="0"/>
        <w:spacing w:line="360" w:lineRule="auto"/>
        <w:ind w:firstLine="420"/>
        <w:rPr>
          <w:rFonts w:hint="eastAsia" w:ascii="宋体" w:hAnsi="宋体" w:cs="宋体"/>
          <w:color w:val="auto"/>
          <w:sz w:val="24"/>
          <w:highlight w:val="none"/>
        </w:rPr>
        <w:sectPr>
          <w:footerReference r:id="rId6" w:type="default"/>
          <w:pgSz w:w="11906" w:h="16838"/>
          <w:pgMar w:top="1134" w:right="1134" w:bottom="1134" w:left="1134" w:header="720" w:footer="720" w:gutter="0"/>
          <w:pgNumType w:fmt="decimal" w:start="1"/>
          <w:cols w:space="720" w:num="1"/>
          <w:docGrid w:type="lines" w:linePitch="331" w:charSpace="0"/>
        </w:sectPr>
      </w:pPr>
    </w:p>
    <w:p w14:paraId="42FAA341">
      <w:pPr>
        <w:pStyle w:val="16"/>
        <w:numPr>
          <w:ilvl w:val="0"/>
          <w:numId w:val="1"/>
        </w:numPr>
        <w:jc w:val="center"/>
        <w:outlineLvl w:val="0"/>
        <w:rPr>
          <w:rFonts w:hint="eastAsia" w:hAnsi="宋体" w:cs="宋体"/>
          <w:b/>
          <w:color w:val="auto"/>
          <w:sz w:val="36"/>
          <w:highlight w:val="none"/>
        </w:rPr>
      </w:pPr>
      <w:bookmarkStart w:id="10" w:name="_Toc532545042"/>
      <w:bookmarkStart w:id="11" w:name="_Toc8377"/>
      <w:bookmarkStart w:id="12" w:name="_Toc6318"/>
      <w:bookmarkStart w:id="13" w:name="_Toc80092991"/>
      <w:r>
        <w:rPr>
          <w:rFonts w:hint="eastAsia" w:hAnsi="宋体" w:cs="宋体"/>
          <w:b/>
          <w:color w:val="auto"/>
          <w:sz w:val="36"/>
          <w:highlight w:val="none"/>
        </w:rPr>
        <w:t xml:space="preserve"> </w:t>
      </w:r>
      <w:bookmarkEnd w:id="10"/>
      <w:r>
        <w:rPr>
          <w:rFonts w:hint="eastAsia" w:hAnsi="宋体" w:cs="宋体"/>
          <w:b/>
          <w:color w:val="auto"/>
          <w:sz w:val="36"/>
          <w:highlight w:val="none"/>
        </w:rPr>
        <w:t>采购需求</w:t>
      </w:r>
      <w:bookmarkEnd w:id="11"/>
      <w:bookmarkEnd w:id="12"/>
      <w:bookmarkEnd w:id="13"/>
    </w:p>
    <w:p w14:paraId="66CBC311">
      <w:pPr>
        <w:adjustRightInd w:val="0"/>
        <w:spacing w:line="340" w:lineRule="exact"/>
        <w:rPr>
          <w:rFonts w:hint="eastAsia" w:ascii="宋体" w:hAnsi="宋体" w:cs="宋体"/>
          <w:b/>
          <w:color w:val="auto"/>
          <w:sz w:val="24"/>
          <w:highlight w:val="none"/>
        </w:rPr>
      </w:pPr>
      <w:r>
        <w:rPr>
          <w:rFonts w:hint="eastAsia" w:ascii="宋体" w:hAnsi="宋体" w:cs="宋体"/>
          <w:b/>
          <w:color w:val="auto"/>
          <w:sz w:val="24"/>
          <w:highlight w:val="none"/>
        </w:rPr>
        <w:t>说明：</w:t>
      </w:r>
    </w:p>
    <w:p w14:paraId="3460D92D">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1.本项目征集人为广西</w:t>
      </w:r>
      <w:r>
        <w:rPr>
          <w:rFonts w:hint="eastAsia" w:ascii="宋体" w:hAnsi="宋体" w:cs="宋体"/>
          <w:color w:val="auto"/>
          <w:szCs w:val="21"/>
          <w:highlight w:val="none"/>
          <w:lang w:eastAsia="zh-CN"/>
        </w:rPr>
        <w:t>—</w:t>
      </w:r>
      <w:r>
        <w:rPr>
          <w:rFonts w:hint="eastAsia" w:ascii="宋体" w:hAnsi="宋体" w:cs="宋体"/>
          <w:color w:val="auto"/>
          <w:szCs w:val="21"/>
          <w:highlight w:val="none"/>
        </w:rPr>
        <w:t>东盟经济技术开发区（南宁华侨投资区）后勤服务中心，负责组织征集第一阶段入围供应商，第二阶段由</w:t>
      </w:r>
      <w:r>
        <w:rPr>
          <w:rFonts w:hint="eastAsia" w:ascii="宋体" w:hAnsi="宋体" w:cs="宋体"/>
          <w:color w:val="auto"/>
          <w:szCs w:val="21"/>
          <w:highlight w:val="none"/>
          <w:lang w:eastAsia="zh-CN"/>
        </w:rPr>
        <w:t>广西—东盟经济技术开发区（南宁华侨投资区）后勤服务中心</w:t>
      </w:r>
      <w:r>
        <w:rPr>
          <w:rFonts w:hint="eastAsia" w:ascii="宋体" w:hAnsi="宋体" w:cs="宋体"/>
          <w:color w:val="auto"/>
          <w:szCs w:val="21"/>
          <w:highlight w:val="none"/>
        </w:rPr>
        <w:t>本级预算单位从第一阶段入围供应商中直接选定成交供应商，并与成交供应商签订采购合同，委托其开展相关服务工作。</w:t>
      </w:r>
    </w:p>
    <w:p w14:paraId="121B627E">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2.为落实政府采购政策需满足的要求</w:t>
      </w:r>
    </w:p>
    <w:p w14:paraId="4B4D9A20">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（1）本征集文件所称中小企业必须符合《政府采购促进中小企业发展管理办法》（财库〔2020〕46号）的规定。</w:t>
      </w:r>
    </w:p>
    <w:p w14:paraId="4B1842AB">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供应商的投标货物必须使用政府强制采购的节能产品，供应商必须在响应文件中提供所投标产品的节能产品认证证书复印件（加盖供应商电子公章），否则响应文件作无效处理。如本项目包含的货物属于品目清单内非标注“★”的产品时，应优先采购，具体详见“第四章 评标方法和评标标准”。</w:t>
      </w:r>
    </w:p>
    <w:p w14:paraId="7DD40BF0">
      <w:pPr>
        <w:spacing w:line="400" w:lineRule="exact"/>
        <w:ind w:firstLine="424" w:firstLineChars="202"/>
        <w:jc w:val="left"/>
        <w:rPr>
          <w:rFonts w:hint="eastAsia" w:ascii="宋体" w:hAnsi="宋体" w:cs="宋体"/>
          <w:b/>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供应商必须在响应文件中提供中国网络安全审查技术与认证中心（原中国信息安全认证中心）颁发的有效的信息安全产品认证证书（加盖供应商公章），否则响应文件作无效处理。</w:t>
      </w:r>
    </w:p>
    <w:p w14:paraId="59FB36A5">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3.“实质性要求”是指征集文件中已经指明不满足则投标无效的条款，或者不能负偏离的条款，或者采购需求中带“▲”的条款。</w:t>
      </w:r>
    </w:p>
    <w:p w14:paraId="542D5DD0">
      <w:pPr>
        <w:spacing w:line="400" w:lineRule="exact"/>
        <w:ind w:firstLine="426" w:firstLineChars="202"/>
        <w:jc w:val="left"/>
        <w:rPr>
          <w:rFonts w:hint="eastAsia" w:ascii="宋体" w:hAnsi="宋体" w:cs="宋体"/>
          <w:b/>
          <w:color w:val="auto"/>
          <w:szCs w:val="21"/>
          <w:highlight w:val="none"/>
        </w:rPr>
      </w:pPr>
      <w:r>
        <w:rPr>
          <w:rFonts w:hint="eastAsia" w:ascii="宋体" w:hAnsi="宋体" w:cs="宋体"/>
          <w:b/>
          <w:color w:val="auto"/>
          <w:szCs w:val="21"/>
          <w:highlight w:val="none"/>
        </w:rPr>
        <w:t>4.不需要供应商对采购需求响应为具体数值的，此采购需求的数值后将以◆号标注。</w:t>
      </w:r>
    </w:p>
    <w:p w14:paraId="311D1E71">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5.如供应商投标产品存在侵犯他人的知识产权或者专利成果行为的，应承担相应法律责任。</w:t>
      </w:r>
    </w:p>
    <w:tbl>
      <w:tblPr>
        <w:tblStyle w:val="24"/>
        <w:tblpPr w:leftFromText="180" w:rightFromText="180" w:vertAnchor="text" w:horzAnchor="page" w:tblpX="739" w:tblpY="852"/>
        <w:tblOverlap w:val="never"/>
        <w:tblW w:w="10337" w:type="dxa"/>
        <w:tblInd w:w="0" w:type="dxa"/>
        <w:tblLayout w:type="fixed"/>
        <w:tblCellMar>
          <w:top w:w="0" w:type="dxa"/>
          <w:left w:w="0" w:type="dxa"/>
          <w:bottom w:w="0" w:type="dxa"/>
          <w:right w:w="0" w:type="dxa"/>
        </w:tblCellMar>
      </w:tblPr>
      <w:tblGrid>
        <w:gridCol w:w="520"/>
        <w:gridCol w:w="1380"/>
        <w:gridCol w:w="1350"/>
        <w:gridCol w:w="7087"/>
      </w:tblGrid>
      <w:tr w14:paraId="485045A5">
        <w:tblPrEx>
          <w:tblCellMar>
            <w:top w:w="0" w:type="dxa"/>
            <w:left w:w="0" w:type="dxa"/>
            <w:bottom w:w="0" w:type="dxa"/>
            <w:right w:w="0" w:type="dxa"/>
          </w:tblCellMar>
        </w:tblPrEx>
        <w:trPr>
          <w:trHeight w:val="517" w:hRule="atLeast"/>
        </w:trPr>
        <w:tc>
          <w:tcPr>
            <w:tcW w:w="10337" w:type="dxa"/>
            <w:gridSpan w:val="4"/>
            <w:tcBorders>
              <w:top w:val="single" w:color="auto" w:sz="8" w:space="0"/>
              <w:left w:val="single" w:color="auto" w:sz="8" w:space="0"/>
              <w:bottom w:val="single" w:color="auto" w:sz="8" w:space="0"/>
              <w:right w:val="single" w:color="auto" w:sz="8" w:space="0"/>
            </w:tcBorders>
            <w:vAlign w:val="center"/>
          </w:tcPr>
          <w:p w14:paraId="254E9747">
            <w:pPr>
              <w:jc w:val="center"/>
              <w:rPr>
                <w:color w:val="auto"/>
                <w:highlight w:val="none"/>
              </w:rPr>
            </w:pPr>
            <w:r>
              <w:rPr>
                <w:rFonts w:hint="eastAsia" w:ascii="黑体" w:hAnsi="黑体" w:eastAsia="黑体" w:cs="宋体"/>
                <w:color w:val="auto"/>
                <w:kern w:val="0"/>
                <w:sz w:val="24"/>
                <w:highlight w:val="none"/>
                <w:lang w:val="zh-CN"/>
              </w:rPr>
              <w:t>服务需求一览表</w:t>
            </w:r>
          </w:p>
        </w:tc>
      </w:tr>
      <w:tr w14:paraId="012A34E4">
        <w:tblPrEx>
          <w:tblCellMar>
            <w:top w:w="0" w:type="dxa"/>
            <w:left w:w="0" w:type="dxa"/>
            <w:bottom w:w="0" w:type="dxa"/>
            <w:right w:w="0" w:type="dxa"/>
          </w:tblCellMar>
        </w:tblPrEx>
        <w:trPr>
          <w:trHeight w:val="1058" w:hRule="atLeast"/>
        </w:trPr>
        <w:tc>
          <w:tcPr>
            <w:tcW w:w="520" w:type="dxa"/>
            <w:tcBorders>
              <w:top w:val="single" w:color="auto" w:sz="8" w:space="0"/>
              <w:left w:val="single" w:color="auto" w:sz="8" w:space="0"/>
              <w:bottom w:val="single" w:color="auto" w:sz="8" w:space="0"/>
              <w:right w:val="single" w:color="auto" w:sz="8" w:space="0"/>
            </w:tcBorders>
            <w:vAlign w:val="center"/>
          </w:tcPr>
          <w:p w14:paraId="76C88217">
            <w:pPr>
              <w:jc w:val="center"/>
              <w:rPr>
                <w:color w:val="auto"/>
                <w:highlight w:val="none"/>
              </w:rPr>
            </w:pPr>
            <w:r>
              <w:rPr>
                <w:rFonts w:hint="eastAsia"/>
                <w:color w:val="auto"/>
                <w:highlight w:val="none"/>
              </w:rPr>
              <w:t>序号</w:t>
            </w:r>
          </w:p>
        </w:tc>
        <w:tc>
          <w:tcPr>
            <w:tcW w:w="13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6E9E18C">
            <w:pPr>
              <w:jc w:val="center"/>
              <w:rPr>
                <w:color w:val="auto"/>
                <w:highlight w:val="none"/>
              </w:rPr>
            </w:pPr>
            <w:r>
              <w:rPr>
                <w:rFonts w:hint="eastAsia"/>
                <w:color w:val="auto"/>
                <w:highlight w:val="none"/>
              </w:rPr>
              <w:t>服务名称</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D430506">
            <w:pPr>
              <w:jc w:val="center"/>
              <w:rPr>
                <w:color w:val="auto"/>
                <w:szCs w:val="21"/>
                <w:highlight w:val="none"/>
              </w:rPr>
            </w:pPr>
            <w:r>
              <w:rPr>
                <w:rFonts w:hint="eastAsia" w:ascii="宋体" w:cs="宋体"/>
                <w:color w:val="auto"/>
                <w:kern w:val="0"/>
                <w:szCs w:val="21"/>
                <w:highlight w:val="none"/>
                <w:lang w:val="zh-CN"/>
              </w:rPr>
              <w:t>第一阶段供应商入围数量上限</w:t>
            </w:r>
          </w:p>
        </w:tc>
        <w:tc>
          <w:tcPr>
            <w:tcW w:w="70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4C3121C">
            <w:pPr>
              <w:jc w:val="center"/>
              <w:rPr>
                <w:color w:val="auto"/>
                <w:szCs w:val="21"/>
                <w:highlight w:val="none"/>
              </w:rPr>
            </w:pPr>
            <w:r>
              <w:rPr>
                <w:rFonts w:hint="eastAsia" w:ascii="宋体" w:hAnsi="宋体" w:cs="宋体"/>
                <w:color w:val="auto"/>
                <w:sz w:val="24"/>
                <w:highlight w:val="none"/>
              </w:rPr>
              <w:t>服务参数</w:t>
            </w:r>
          </w:p>
        </w:tc>
      </w:tr>
      <w:tr w14:paraId="4F1BB177">
        <w:tblPrEx>
          <w:tblCellMar>
            <w:top w:w="0" w:type="dxa"/>
            <w:left w:w="0" w:type="dxa"/>
            <w:bottom w:w="0" w:type="dxa"/>
            <w:right w:w="0" w:type="dxa"/>
          </w:tblCellMar>
        </w:tblPrEx>
        <w:trPr>
          <w:trHeight w:val="1437" w:hRule="atLeast"/>
        </w:trPr>
        <w:tc>
          <w:tcPr>
            <w:tcW w:w="5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19B042">
            <w:pPr>
              <w:jc w:val="center"/>
              <w:rPr>
                <w:rFonts w:hint="eastAsia" w:eastAsia="宋体"/>
                <w:color w:val="auto"/>
                <w:highlight w:val="none"/>
                <w:lang w:val="en-US" w:eastAsia="zh-CN"/>
              </w:rPr>
            </w:pPr>
            <w:r>
              <w:rPr>
                <w:rFonts w:hint="eastAsia" w:ascii="宋体" w:hAnsi="宋体" w:eastAsia="宋体" w:cs="宋体"/>
                <w:color w:val="auto"/>
                <w:highlight w:val="none"/>
                <w:lang w:val="en-US" w:eastAsia="zh-CN"/>
              </w:rPr>
              <w:t>1</w:t>
            </w:r>
          </w:p>
        </w:tc>
        <w:tc>
          <w:tcPr>
            <w:tcW w:w="13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BB3A61F">
            <w:pPr>
              <w:jc w:val="center"/>
              <w:rPr>
                <w:rFonts w:hint="eastAsia" w:ascii="宋体" w:cs="宋体"/>
                <w:color w:val="auto"/>
                <w:kern w:val="0"/>
                <w:szCs w:val="21"/>
                <w:highlight w:val="none"/>
                <w:lang w:val="zh-CN"/>
              </w:rPr>
            </w:pPr>
          </w:p>
          <w:p w14:paraId="7623D604">
            <w:pPr>
              <w:jc w:val="center"/>
              <w:rPr>
                <w:rFonts w:hint="eastAsia" w:ascii="宋体" w:cs="宋体"/>
                <w:color w:val="auto"/>
                <w:kern w:val="0"/>
                <w:szCs w:val="21"/>
                <w:highlight w:val="none"/>
                <w:lang w:val="zh-CN"/>
              </w:rPr>
            </w:pPr>
          </w:p>
          <w:p w14:paraId="30A0583F">
            <w:pPr>
              <w:jc w:val="center"/>
              <w:rPr>
                <w:rFonts w:hint="eastAsia" w:ascii="宋体" w:cs="宋体"/>
                <w:color w:val="auto"/>
                <w:kern w:val="0"/>
                <w:szCs w:val="21"/>
                <w:highlight w:val="none"/>
                <w:lang w:val="zh-CN"/>
              </w:rPr>
            </w:pPr>
          </w:p>
          <w:p w14:paraId="3B656F2E">
            <w:pPr>
              <w:jc w:val="center"/>
              <w:rPr>
                <w:rFonts w:hint="eastAsia" w:ascii="宋体" w:cs="宋体"/>
                <w:color w:val="auto"/>
                <w:kern w:val="0"/>
                <w:szCs w:val="21"/>
                <w:highlight w:val="none"/>
                <w:lang w:val="zh-CN"/>
              </w:rPr>
            </w:pPr>
          </w:p>
          <w:p w14:paraId="450151E6">
            <w:pPr>
              <w:jc w:val="center"/>
              <w:rPr>
                <w:rFonts w:hint="eastAsia" w:ascii="宋体" w:cs="宋体"/>
                <w:color w:val="auto"/>
                <w:kern w:val="0"/>
                <w:szCs w:val="21"/>
                <w:highlight w:val="none"/>
                <w:lang w:val="zh-CN"/>
              </w:rPr>
            </w:pPr>
          </w:p>
          <w:p w14:paraId="66EB8A7E">
            <w:pPr>
              <w:jc w:val="center"/>
              <w:rPr>
                <w:rFonts w:hint="eastAsia" w:ascii="宋体" w:cs="宋体"/>
                <w:color w:val="auto"/>
                <w:kern w:val="0"/>
                <w:szCs w:val="21"/>
                <w:highlight w:val="none"/>
                <w:lang w:val="zh-CN"/>
              </w:rPr>
            </w:pPr>
          </w:p>
          <w:p w14:paraId="65F0E893">
            <w:pPr>
              <w:jc w:val="center"/>
              <w:rPr>
                <w:rFonts w:hint="eastAsia" w:ascii="宋体" w:cs="宋体"/>
                <w:color w:val="auto"/>
                <w:kern w:val="0"/>
                <w:szCs w:val="21"/>
                <w:highlight w:val="none"/>
                <w:lang w:val="zh-CN"/>
              </w:rPr>
            </w:pPr>
          </w:p>
          <w:p w14:paraId="4F558C6F">
            <w:pPr>
              <w:jc w:val="center"/>
              <w:rPr>
                <w:color w:val="auto"/>
                <w:szCs w:val="21"/>
                <w:highlight w:val="none"/>
              </w:rPr>
            </w:pPr>
            <w:r>
              <w:rPr>
                <w:rFonts w:hint="eastAsia" w:ascii="宋体" w:cs="宋体"/>
                <w:color w:val="auto"/>
                <w:kern w:val="0"/>
                <w:szCs w:val="21"/>
                <w:highlight w:val="none"/>
                <w:lang w:val="zh-CN"/>
              </w:rPr>
              <w:t>广西</w:t>
            </w:r>
            <w:r>
              <w:rPr>
                <w:rFonts w:hint="eastAsia" w:ascii="宋体" w:cs="宋体"/>
                <w:color w:val="auto"/>
                <w:kern w:val="0"/>
                <w:szCs w:val="21"/>
                <w:highlight w:val="none"/>
                <w:lang w:val="en-US" w:eastAsia="zh-CN"/>
              </w:rPr>
              <w:t>—东盟经济技术开发</w:t>
            </w:r>
            <w:r>
              <w:rPr>
                <w:rFonts w:hint="eastAsia" w:ascii="宋体" w:cs="宋体"/>
                <w:color w:val="auto"/>
                <w:kern w:val="0"/>
                <w:szCs w:val="21"/>
                <w:highlight w:val="none"/>
                <w:lang w:val="zh-CN"/>
              </w:rPr>
              <w:t>区</w:t>
            </w:r>
            <w:r>
              <w:rPr>
                <w:rFonts w:hint="eastAsia" w:ascii="宋体" w:cs="宋体"/>
                <w:color w:val="auto"/>
                <w:kern w:val="0"/>
                <w:szCs w:val="21"/>
                <w:highlight w:val="none"/>
                <w:lang w:val="en-US" w:eastAsia="zh-CN"/>
              </w:rPr>
              <w:t>2025-2027年度</w:t>
            </w:r>
            <w:r>
              <w:rPr>
                <w:rFonts w:hint="eastAsia" w:ascii="宋体" w:cs="宋体"/>
                <w:color w:val="auto"/>
                <w:kern w:val="0"/>
                <w:szCs w:val="21"/>
                <w:highlight w:val="none"/>
                <w:lang w:val="zh-CN"/>
              </w:rPr>
              <w:t>预算单位车辆维修和保养服务框架协议采购</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center"/>
          </w:tcPr>
          <w:p w14:paraId="58709D96">
            <w:pPr>
              <w:spacing w:line="400" w:lineRule="exact"/>
              <w:jc w:val="center"/>
              <w:rPr>
                <w:rFonts w:hint="eastAsia" w:ascii="宋体" w:hAnsi="宋体"/>
                <w:color w:val="auto"/>
                <w:szCs w:val="21"/>
                <w:highlight w:val="none"/>
              </w:rPr>
            </w:pPr>
          </w:p>
          <w:p w14:paraId="47707266">
            <w:pPr>
              <w:spacing w:line="400" w:lineRule="exact"/>
              <w:jc w:val="center"/>
              <w:rPr>
                <w:rFonts w:hint="eastAsia" w:ascii="宋体" w:hAnsi="宋体"/>
                <w:color w:val="auto"/>
                <w:szCs w:val="21"/>
                <w:highlight w:val="none"/>
              </w:rPr>
            </w:pPr>
          </w:p>
          <w:p w14:paraId="48C30CC3">
            <w:pPr>
              <w:spacing w:line="400" w:lineRule="exact"/>
              <w:jc w:val="center"/>
              <w:rPr>
                <w:rFonts w:hint="eastAsia" w:ascii="宋体" w:hAnsi="宋体"/>
                <w:color w:val="auto"/>
                <w:szCs w:val="21"/>
                <w:highlight w:val="none"/>
              </w:rPr>
            </w:pPr>
          </w:p>
          <w:p w14:paraId="44D60079">
            <w:pPr>
              <w:spacing w:line="400" w:lineRule="exact"/>
              <w:jc w:val="center"/>
              <w:rPr>
                <w:rFonts w:hint="eastAsia" w:ascii="宋体" w:hAnsi="宋体"/>
                <w:color w:val="auto"/>
                <w:szCs w:val="21"/>
                <w:highlight w:val="none"/>
              </w:rPr>
            </w:pPr>
          </w:p>
          <w:p w14:paraId="2E259AC9">
            <w:pPr>
              <w:spacing w:line="400" w:lineRule="exact"/>
              <w:jc w:val="center"/>
              <w:rPr>
                <w:rFonts w:hint="eastAsia" w:ascii="宋体" w:hAnsi="宋体"/>
                <w:color w:val="auto"/>
                <w:szCs w:val="21"/>
                <w:highlight w:val="none"/>
              </w:rPr>
            </w:pPr>
          </w:p>
          <w:p w14:paraId="08D9BC1E">
            <w:pPr>
              <w:spacing w:line="400" w:lineRule="exact"/>
              <w:jc w:val="center"/>
              <w:rPr>
                <w:rFonts w:ascii="宋体" w:hAnsi="宋体"/>
                <w:color w:val="auto"/>
                <w:szCs w:val="21"/>
                <w:highlight w:val="none"/>
              </w:rPr>
            </w:pPr>
            <w:r>
              <w:rPr>
                <w:rFonts w:hint="eastAsia" w:ascii="宋体" w:hAnsi="宋体"/>
                <w:color w:val="auto"/>
                <w:szCs w:val="21"/>
                <w:highlight w:val="none"/>
              </w:rPr>
              <w:t>本项目不设置入围供应商数量上限，按20%淘汰率计算且至少淘汰一家供应商确定入围供应商。</w:t>
            </w:r>
          </w:p>
        </w:tc>
        <w:tc>
          <w:tcPr>
            <w:tcW w:w="7087" w:type="dxa"/>
            <w:tcBorders>
              <w:top w:val="nil"/>
              <w:left w:val="nil"/>
              <w:bottom w:val="single" w:color="auto" w:sz="8" w:space="0"/>
              <w:right w:val="single" w:color="auto" w:sz="8" w:space="0"/>
            </w:tcBorders>
            <w:tcMar>
              <w:top w:w="0" w:type="dxa"/>
              <w:left w:w="108" w:type="dxa"/>
              <w:bottom w:w="0" w:type="dxa"/>
              <w:right w:w="108" w:type="dxa"/>
            </w:tcMar>
            <w:vAlign w:val="center"/>
          </w:tcPr>
          <w:p w14:paraId="558D1DF3">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本项目服务范围：</w:t>
            </w:r>
            <w:r>
              <w:rPr>
                <w:rFonts w:hint="eastAsia" w:ascii="宋体" w:hAnsi="宋体" w:cs="宋体"/>
                <w:color w:val="auto"/>
                <w:highlight w:val="none"/>
                <w:lang w:eastAsia="zh-CN"/>
              </w:rPr>
              <w:t>广西</w:t>
            </w:r>
            <w:r>
              <w:rPr>
                <w:rFonts w:hint="eastAsia" w:ascii="宋体" w:hAnsi="宋体" w:cs="宋体"/>
                <w:color w:val="auto"/>
                <w:highlight w:val="none"/>
                <w:lang w:val="en-US" w:eastAsia="zh-CN"/>
              </w:rPr>
              <w:t>—</w:t>
            </w:r>
            <w:r>
              <w:rPr>
                <w:rFonts w:hint="eastAsia" w:ascii="宋体" w:hAnsi="宋体" w:cs="宋体"/>
                <w:color w:val="auto"/>
                <w:highlight w:val="none"/>
                <w:lang w:eastAsia="zh-CN"/>
              </w:rPr>
              <w:t>东盟经济技术开发区</w:t>
            </w:r>
            <w:r>
              <w:rPr>
                <w:rFonts w:hint="eastAsia" w:ascii="宋体" w:hAnsi="宋体" w:eastAsia="宋体" w:cs="宋体"/>
                <w:color w:val="auto"/>
                <w:highlight w:val="none"/>
              </w:rPr>
              <w:t>所属的行政事业单位</w:t>
            </w:r>
            <w:r>
              <w:rPr>
                <w:rFonts w:hint="eastAsia" w:ascii="宋体" w:hAnsi="宋体" w:eastAsia="宋体" w:cs="宋体"/>
                <w:color w:val="auto"/>
                <w:szCs w:val="21"/>
                <w:highlight w:val="none"/>
              </w:rPr>
              <w:t>、社会团体</w:t>
            </w:r>
            <w:r>
              <w:rPr>
                <w:rFonts w:hint="eastAsia" w:ascii="宋体" w:hAnsi="宋体" w:eastAsia="宋体" w:cs="宋体"/>
                <w:bCs/>
                <w:color w:val="auto"/>
                <w:szCs w:val="21"/>
                <w:highlight w:val="none"/>
              </w:rPr>
              <w:t>的</w:t>
            </w:r>
            <w:r>
              <w:rPr>
                <w:rFonts w:hint="eastAsia" w:ascii="宋体" w:hAnsi="宋体" w:eastAsia="宋体" w:cs="宋体"/>
                <w:color w:val="auto"/>
                <w:highlight w:val="none"/>
              </w:rPr>
              <w:t>所有</w:t>
            </w:r>
            <w:r>
              <w:rPr>
                <w:rFonts w:hint="eastAsia" w:ascii="宋体" w:hAnsi="宋体" w:eastAsia="宋体" w:cs="宋体"/>
                <w:bCs/>
                <w:color w:val="auto"/>
                <w:szCs w:val="21"/>
                <w:highlight w:val="none"/>
              </w:rPr>
              <w:t>公务用车</w:t>
            </w:r>
            <w:r>
              <w:rPr>
                <w:rFonts w:hint="eastAsia" w:ascii="宋体" w:hAnsi="宋体" w:eastAsia="宋体" w:cs="宋体"/>
                <w:color w:val="auto"/>
                <w:highlight w:val="none"/>
              </w:rPr>
              <w:t>，具体服务项目为：</w:t>
            </w:r>
            <w:r>
              <w:rPr>
                <w:rFonts w:hint="eastAsia" w:ascii="宋体" w:hAnsi="宋体" w:eastAsia="宋体" w:cs="宋体"/>
                <w:color w:val="auto"/>
                <w:szCs w:val="21"/>
                <w:highlight w:val="none"/>
              </w:rPr>
              <w:t>征集文件中规定的</w:t>
            </w:r>
            <w:r>
              <w:rPr>
                <w:rFonts w:hint="eastAsia" w:ascii="宋体" w:hAnsi="宋体" w:eastAsia="宋体" w:cs="宋体"/>
                <w:color w:val="auto"/>
                <w:highlight w:val="none"/>
              </w:rPr>
              <w:t>汽车一级、二级维护，整车大修和总成大修，汽车小修和专项修理等。</w:t>
            </w:r>
          </w:p>
          <w:p w14:paraId="51DE8406">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一、服务内容和要求</w:t>
            </w:r>
          </w:p>
          <w:p w14:paraId="552DC615">
            <w:pP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应保证参加入围维修车辆获得优先服务的权力，并在不超过有关部门核定的工时内完成维修工作。</w:t>
            </w:r>
          </w:p>
          <w:p w14:paraId="616D28CD">
            <w:pP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应设有全年每天24小时服务电话，在接到报修电话后半小时内予以响应，并能提供上门维修。</w:t>
            </w:r>
          </w:p>
          <w:p w14:paraId="567B7A0A">
            <w:pPr>
              <w:tabs>
                <w:tab w:val="left" w:pos="0"/>
                <w:tab w:val="left" w:pos="720"/>
                <w:tab w:val="left" w:pos="900"/>
              </w:tabs>
              <w:spacing w:line="400" w:lineRule="exact"/>
              <w:ind w:firstLine="480" w:firstLineChars="200"/>
              <w:jc w:val="left"/>
              <w:rPr>
                <w:rFonts w:hint="eastAsia" w:ascii="宋体" w:hAnsi="宋体" w:eastAsia="宋体" w:cs="宋体"/>
                <w:color w:val="auto"/>
                <w:szCs w:val="21"/>
                <w:highlight w:val="none"/>
              </w:rPr>
            </w:pPr>
            <w:r>
              <w:rPr>
                <w:rFonts w:hint="eastAsia" w:ascii="宋体" w:hAnsi="宋体" w:cs="宋体"/>
                <w:color w:val="auto"/>
                <w:sz w:val="24"/>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应能为采购人提供紧急救援服务，配备有明显标志的抢修车，</w:t>
            </w:r>
            <w:r>
              <w:rPr>
                <w:rFonts w:hint="eastAsia" w:ascii="宋体" w:hAnsi="宋体" w:cs="宋体"/>
                <w:color w:val="auto"/>
                <w:szCs w:val="21"/>
                <w:highlight w:val="none"/>
                <w:lang w:eastAsia="zh-CN"/>
              </w:rPr>
              <w:t>东盟经开区范围</w:t>
            </w:r>
            <w:r>
              <w:rPr>
                <w:rFonts w:hint="eastAsia" w:ascii="宋体" w:hAnsi="宋体" w:eastAsia="宋体" w:cs="宋体"/>
                <w:color w:val="auto"/>
                <w:szCs w:val="21"/>
                <w:highlight w:val="none"/>
              </w:rPr>
              <w:t>内应在半小时内派人赶到救援现场；提供抛锚施救服务。</w:t>
            </w:r>
          </w:p>
          <w:p w14:paraId="2DCFF02A">
            <w:pP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维修厂设有客户休息场所供客人休息，并配备相关的配套服务设施。</w:t>
            </w:r>
          </w:p>
          <w:p w14:paraId="485158E3">
            <w:pP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应客户要求提供免费上门接送车服务，确保在规定的时限内完成维修项目，保障采购人用车需要。</w:t>
            </w:r>
          </w:p>
          <w:p w14:paraId="6E9F366C">
            <w:pPr>
              <w:spacing w:line="400" w:lineRule="exact"/>
              <w:ind w:firstLine="480" w:firstLineChars="200"/>
              <w:rPr>
                <w:rFonts w:hint="eastAsia" w:ascii="宋体" w:hAnsi="宋体" w:eastAsia="宋体" w:cs="宋体"/>
                <w:color w:val="auto"/>
                <w:szCs w:val="21"/>
                <w:highlight w:val="none"/>
              </w:rPr>
            </w:pPr>
            <w:r>
              <w:rPr>
                <w:rFonts w:hint="eastAsia" w:ascii="宋体" w:hAnsi="宋体" w:cs="宋体"/>
                <w:color w:val="auto"/>
                <w:sz w:val="24"/>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及时、真实地向采购人报送送修车辆的维修情况及各种数据。</w:t>
            </w:r>
          </w:p>
          <w:p w14:paraId="492747C0">
            <w:pPr>
              <w:spacing w:line="400" w:lineRule="exact"/>
              <w:ind w:firstLine="480" w:firstLineChars="200"/>
              <w:rPr>
                <w:rFonts w:hint="eastAsia" w:ascii="宋体" w:hAnsi="宋体" w:eastAsia="宋体" w:cs="宋体"/>
                <w:color w:val="auto"/>
                <w:szCs w:val="21"/>
                <w:highlight w:val="none"/>
              </w:rPr>
            </w:pPr>
            <w:r>
              <w:rPr>
                <w:rFonts w:hint="eastAsia" w:ascii="宋体" w:hAnsi="宋体" w:cs="宋体"/>
                <w:color w:val="auto"/>
                <w:sz w:val="24"/>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公务车辆维修时，重在修理，以节省财政资金；确需更换零配件时，必须经过采购人同意。入围供应商应</w:t>
            </w:r>
            <w:r>
              <w:rPr>
                <w:rFonts w:hint="eastAsia" w:ascii="宋体" w:hAnsi="宋体" w:eastAsia="宋体" w:cs="宋体"/>
                <w:color w:val="auto"/>
                <w:highlight w:val="none"/>
              </w:rPr>
              <w:t>当将原厂配件、副厂配件和修复配件分别标识，明码标价，供采购人选择。对于换下的配件、总成，应当交采购人自行处理</w:t>
            </w:r>
            <w:r>
              <w:rPr>
                <w:rFonts w:hint="eastAsia" w:ascii="宋体" w:hAnsi="宋体" w:eastAsia="宋体" w:cs="宋体"/>
                <w:color w:val="auto"/>
                <w:szCs w:val="21"/>
                <w:highlight w:val="none"/>
              </w:rPr>
              <w:t>。</w:t>
            </w:r>
          </w:p>
          <w:p w14:paraId="47DB3500">
            <w:pP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为完工出厂车辆提供免费清洁、吸尘服务。</w:t>
            </w:r>
          </w:p>
          <w:p w14:paraId="76E97E16">
            <w:pPr>
              <w:spacing w:line="400" w:lineRule="exact"/>
              <w:ind w:firstLine="480" w:firstLineChars="200"/>
              <w:rPr>
                <w:rFonts w:hint="eastAsia" w:ascii="宋体" w:hAnsi="宋体" w:eastAsia="宋体" w:cs="宋体"/>
                <w:color w:val="auto"/>
                <w:highlight w:val="none"/>
              </w:rPr>
            </w:pPr>
            <w:r>
              <w:rPr>
                <w:rFonts w:hint="eastAsia" w:ascii="宋体" w:hAnsi="宋体" w:cs="宋体"/>
                <w:color w:val="auto"/>
                <w:sz w:val="24"/>
                <w:highlight w:val="none"/>
              </w:rPr>
              <w:t>▲</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建立健全机动车维修档案，通过计算机管理系统实行一车一户管理，妥善保管维修合同、维修项目、具体维修人员及质量检验人员、检验单、竣工出厂合格证（副本）及结算清单等资料，提供日常免费保养和技术咨询培训服务，确保车辆具有良好状况。</w:t>
            </w:r>
          </w:p>
          <w:p w14:paraId="1C7F6306">
            <w:pP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rPr>
              <w:t>建立定期售后回访制度，真实记录采购人的意见和建议。</w:t>
            </w:r>
          </w:p>
          <w:p w14:paraId="4880F55D">
            <w:pPr>
              <w:widowControl/>
              <w:spacing w:line="400" w:lineRule="exact"/>
              <w:ind w:firstLine="480" w:firstLineChars="200"/>
              <w:jc w:val="left"/>
              <w:rPr>
                <w:rFonts w:hint="eastAsia" w:ascii="宋体" w:hAnsi="宋体" w:eastAsia="宋体" w:cs="宋体"/>
                <w:color w:val="auto"/>
                <w:szCs w:val="21"/>
                <w:highlight w:val="none"/>
              </w:rPr>
            </w:pPr>
            <w:r>
              <w:rPr>
                <w:rFonts w:hint="eastAsia" w:ascii="宋体" w:hAnsi="宋体" w:cs="宋体"/>
                <w:color w:val="auto"/>
                <w:sz w:val="24"/>
                <w:highlight w:val="none"/>
              </w:rPr>
              <w:t>▲</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应按照交通部门的要求，实行车辆竣工出厂质量保证期制度，竣工出厂合格证制度</w:t>
            </w:r>
            <w:r>
              <w:rPr>
                <w:rFonts w:hint="eastAsia" w:ascii="宋体" w:hAnsi="宋体" w:cs="宋体"/>
                <w:color w:val="auto"/>
                <w:szCs w:val="21"/>
                <w:highlight w:val="none"/>
                <w:lang w:eastAsia="zh-CN"/>
              </w:rPr>
              <w:t>及从业人员的从业资格证制度</w:t>
            </w:r>
            <w:r>
              <w:rPr>
                <w:rFonts w:hint="eastAsia" w:ascii="宋体" w:hAnsi="宋体" w:eastAsia="宋体" w:cs="宋体"/>
                <w:color w:val="auto"/>
                <w:szCs w:val="21"/>
                <w:highlight w:val="none"/>
              </w:rPr>
              <w:t>。因维修质量造成车辆不能运行，维修企业必须承担无偿返修的责任。</w:t>
            </w:r>
          </w:p>
          <w:p w14:paraId="22854796">
            <w:pPr>
              <w:widowControl/>
              <w:spacing w:line="400" w:lineRule="exact"/>
              <w:ind w:firstLine="480" w:firstLineChars="200"/>
              <w:jc w:val="left"/>
              <w:rPr>
                <w:rFonts w:hint="eastAsia" w:ascii="宋体" w:hAnsi="宋体" w:eastAsia="宋体" w:cs="宋体"/>
                <w:color w:val="auto"/>
                <w:szCs w:val="21"/>
                <w:highlight w:val="none"/>
              </w:rPr>
            </w:pPr>
            <w:r>
              <w:rPr>
                <w:rFonts w:hint="eastAsia" w:ascii="宋体" w:hAnsi="宋体" w:cs="宋体"/>
                <w:color w:val="auto"/>
                <w:sz w:val="24"/>
                <w:highlight w:val="none"/>
              </w:rPr>
              <w:t>▲</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在双方商定的维修完成时间内，入围供应商应主动通知</w:t>
            </w:r>
            <w:r>
              <w:rPr>
                <w:rFonts w:hint="eastAsia" w:ascii="宋体" w:hAnsi="宋体" w:cs="宋体"/>
                <w:color w:val="auto"/>
                <w:szCs w:val="21"/>
                <w:highlight w:val="none"/>
                <w:lang w:eastAsia="zh-CN"/>
              </w:rPr>
              <w:t>车辆送修</w:t>
            </w:r>
            <w:r>
              <w:rPr>
                <w:rFonts w:hint="eastAsia" w:ascii="宋体" w:hAnsi="宋体" w:eastAsia="宋体" w:cs="宋体"/>
                <w:color w:val="auto"/>
                <w:szCs w:val="21"/>
                <w:highlight w:val="none"/>
              </w:rPr>
              <w:t>采购人办理接车手续，并向</w:t>
            </w:r>
            <w:r>
              <w:rPr>
                <w:rFonts w:hint="eastAsia" w:ascii="宋体" w:hAnsi="宋体" w:cs="宋体"/>
                <w:color w:val="auto"/>
                <w:szCs w:val="21"/>
                <w:highlight w:val="none"/>
                <w:lang w:eastAsia="zh-CN"/>
              </w:rPr>
              <w:t>车辆送修</w:t>
            </w:r>
            <w:r>
              <w:rPr>
                <w:rFonts w:hint="eastAsia" w:ascii="宋体" w:hAnsi="宋体" w:eastAsia="宋体" w:cs="宋体"/>
                <w:color w:val="auto"/>
                <w:szCs w:val="21"/>
                <w:highlight w:val="none"/>
              </w:rPr>
              <w:t>采购人出具机动车维修竣工出厂合格证和结算清单，结算清单必须含有维修项目、零配件名称、门市标价、结算价格、优惠率等指标，经</w:t>
            </w:r>
            <w:r>
              <w:rPr>
                <w:rFonts w:hint="eastAsia" w:ascii="宋体" w:hAnsi="宋体" w:cs="宋体"/>
                <w:color w:val="auto"/>
                <w:szCs w:val="21"/>
                <w:highlight w:val="none"/>
                <w:lang w:eastAsia="zh-CN"/>
              </w:rPr>
              <w:t>车辆送修</w:t>
            </w:r>
            <w:r>
              <w:rPr>
                <w:rFonts w:hint="eastAsia" w:ascii="宋体" w:hAnsi="宋体" w:eastAsia="宋体" w:cs="宋体"/>
                <w:color w:val="auto"/>
                <w:szCs w:val="21"/>
                <w:highlight w:val="none"/>
              </w:rPr>
              <w:t>采购人和入围供应商双方签字盖章确认作为维修费用结算的凭据。</w:t>
            </w:r>
          </w:p>
          <w:p w14:paraId="1726E466">
            <w:pPr>
              <w:widowControl/>
              <w:spacing w:line="400" w:lineRule="exact"/>
              <w:ind w:firstLine="480" w:firstLineChars="200"/>
              <w:jc w:val="left"/>
              <w:rPr>
                <w:rFonts w:hint="default" w:eastAsia="宋体"/>
                <w:color w:val="auto"/>
                <w:highlight w:val="none"/>
                <w:lang w:val="en-US" w:eastAsia="zh-CN"/>
              </w:rPr>
            </w:pPr>
            <w:r>
              <w:rPr>
                <w:rFonts w:hint="eastAsia" w:ascii="宋体" w:hAnsi="宋体" w:cs="宋体"/>
                <w:color w:val="auto"/>
                <w:sz w:val="24"/>
                <w:highlight w:val="none"/>
              </w:rPr>
              <w:t>▲</w:t>
            </w:r>
            <w:r>
              <w:rPr>
                <w:rFonts w:hint="eastAsia" w:ascii="宋体" w:hAnsi="宋体" w:cs="宋体"/>
                <w:color w:val="auto"/>
                <w:szCs w:val="21"/>
                <w:highlight w:val="none"/>
                <w:lang w:val="en-US" w:eastAsia="zh-CN"/>
              </w:rPr>
              <w:t>13、接受征集人及财政监督管理部门的管理要求,征集人将定期或不定期对入围供应商维修服务进行检查；对发现的问题，入围供应商应积极配合进行整改。</w:t>
            </w:r>
          </w:p>
          <w:p w14:paraId="0A7DDABD">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20" w:firstLineChars="200"/>
              <w:jc w:val="left"/>
              <w:textAlignment w:val="auto"/>
              <w:rPr>
                <w:rFonts w:hint="eastAsia" w:hAnsi="宋体"/>
                <w:color w:val="auto"/>
                <w:szCs w:val="21"/>
                <w:highlight w:val="none"/>
              </w:rPr>
            </w:pPr>
            <w:r>
              <w:rPr>
                <w:rFonts w:hint="eastAsia" w:hAnsi="宋体"/>
                <w:color w:val="auto"/>
                <w:szCs w:val="21"/>
                <w:highlight w:val="none"/>
                <w:lang w:eastAsia="zh-CN"/>
              </w:rPr>
              <w:t>供应商</w:t>
            </w:r>
            <w:r>
              <w:rPr>
                <w:rFonts w:hint="eastAsia" w:hAnsi="宋体"/>
                <w:color w:val="auto"/>
                <w:szCs w:val="21"/>
                <w:highlight w:val="none"/>
              </w:rPr>
              <w:t>须在满足上述服务要求的前提下，在</w:t>
            </w:r>
            <w:r>
              <w:rPr>
                <w:rFonts w:hint="eastAsia" w:hAnsi="宋体"/>
                <w:color w:val="auto"/>
                <w:szCs w:val="21"/>
                <w:highlight w:val="none"/>
                <w:lang w:eastAsia="zh-CN"/>
              </w:rPr>
              <w:t>征集</w:t>
            </w:r>
            <w:r>
              <w:rPr>
                <w:rFonts w:hint="eastAsia" w:hAnsi="宋体"/>
                <w:color w:val="auto"/>
                <w:szCs w:val="21"/>
                <w:highlight w:val="none"/>
              </w:rPr>
              <w:t>文件中自行提供其他服务承诺，并保证具有相应的完善的服务能力。</w:t>
            </w:r>
          </w:p>
          <w:p w14:paraId="75E8AE3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lang w:eastAsia="zh-CN"/>
              </w:rPr>
              <w:t>有下列情况之一的，可到非入围供应商处进行维修：①、采购人新购置的车辆，在保修期内，可到汽车生产厂家指定的企业进行免费维护保养；②、在南宁市外发生故障的车辆，无法到入围供应商维修的，可就地维修；③、交通事故车辆维修的；④、入围供应商出具书面证明无力维修或有其他特殊情况。</w:t>
            </w:r>
          </w:p>
          <w:p w14:paraId="5679650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二、质量要求</w:t>
            </w:r>
          </w:p>
          <w:p w14:paraId="7748EC5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▲1、公务车辆入围维修实行竣工出厂合格证制度，未签机动车维修竣工出厂合格证的机动车，不得交付使用，采购人可以拒绝交费或接车。</w:t>
            </w:r>
          </w:p>
          <w:p w14:paraId="6A52E2B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公务车辆入围维修实行竣工出厂质量保证期制度，质量保证期不得低于《机动车维修管理规定》（中华人民共和国交通运输部令2019年第20号））第三十六条、第三十七条规定的要求。具体的质量保证期由供应商在征集文件的《公务车辆维修和保养服务采购承诺书》中根据自身情况进行承诺。具体维修项目的质量保证期最低要求为： </w:t>
            </w:r>
          </w:p>
          <w:p w14:paraId="4E5FA26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（一）总成修理质量保证期为车辆行驶20000公里或者100日；</w:t>
            </w:r>
          </w:p>
          <w:p w14:paraId="14136D0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（二）二级维护质量保证期为车辆行驶5000公里或者30日；</w:t>
            </w:r>
          </w:p>
          <w:p w14:paraId="0A5C0B5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（三）一级维护、小修及专项修理质量保证期为车辆行驶2000公里或者10日。</w:t>
            </w:r>
          </w:p>
          <w:p w14:paraId="1666B12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机动车维修质量保证期，从维修竣工出厂之日起计算。</w:t>
            </w:r>
          </w:p>
          <w:p w14:paraId="1DB3244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入围供应商承诺的质量保证期内，因维修质量原因造成机动车无法正常使用，且承修方在3日内不能或者无法提供因非维修原因而造成机动车无法使用的相关证据的，承修方应当及时、优先、无偿返修，不得故意拖延或者无理拒绝。在质量保证期内，机动车因同一故障或维修项目经两次修理仍不能正常使用的，承修方应当负责联系其他公务车辆维修入围供应商，并承担相应修理费用。</w:t>
            </w:r>
          </w:p>
          <w:p w14:paraId="3DE5AD1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▲3、公务车辆入围维修实行零配件质量保证制度：</w:t>
            </w:r>
          </w:p>
          <w:p w14:paraId="290D7C6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（1）入围供应商所采用的零部件、配件、轮胎等材料必须符合国家或行业标准，不得使用假冒伪劣产品或以次充好，以旧代新。</w:t>
            </w:r>
          </w:p>
          <w:p w14:paraId="095C6C6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（2）入围供应商应当建立采购配件登记制度，记录购买日期、供应商名称、地址、产品名称及规格型号等，并查验产品合格证等相关证明</w:t>
            </w:r>
            <w:r>
              <w:rPr>
                <w:rFonts w:hint="eastAsia" w:ascii="宋体" w:hAnsi="宋体" w:eastAsia="宋体" w:cs="宋体"/>
                <w:color w:val="auto"/>
                <w:sz w:val="21"/>
                <w:szCs w:val="21"/>
                <w:highlight w:val="none"/>
              </w:rPr>
              <w:t>。</w:t>
            </w:r>
          </w:p>
          <w:p w14:paraId="004D2DA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三、监督管理及违规处理</w:t>
            </w:r>
          </w:p>
          <w:p w14:paraId="2A38C41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1、为了保证公务车辆维修入围采购的质量与服务，入围供应商必须接受广西—东盟经济技术开发区财政局的监督检查，接受对采购人投诉的调查和处理。</w:t>
            </w:r>
          </w:p>
          <w:p w14:paraId="149B293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2、供应商有下列行为之一的，可根据其情节轻重由广西—东盟经济技术开发区后勤服务中心暂停或取消其入围服务资格：</w:t>
            </w:r>
          </w:p>
          <w:p w14:paraId="009D82B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（1）无正当理由拒绝承接各预算单位车辆维修业务的；</w:t>
            </w:r>
          </w:p>
          <w:p w14:paraId="14FDE15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（2）擅自抬高收费价格或价格明显高于市场价的；</w:t>
            </w:r>
          </w:p>
          <w:p w14:paraId="519C91B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（3）未按规定给予价格优惠的；</w:t>
            </w:r>
          </w:p>
          <w:p w14:paraId="5B0726A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（4）不按合同规定提供服务的；</w:t>
            </w:r>
          </w:p>
          <w:p w14:paraId="146A20C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（5）虚假修车或虚报维修项目，或使用假冒伪劣零配件的；</w:t>
            </w:r>
          </w:p>
          <w:p w14:paraId="24DEC18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（6）因严重的质量问题、服务问题被采购人投诉的；</w:t>
            </w:r>
          </w:p>
          <w:p w14:paraId="465A2E3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（7）通过给回扣或变相给回扣的方式招揽生意的；</w:t>
            </w:r>
          </w:p>
          <w:p w14:paraId="3D597FA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（8）擅自转由其他关联企业维修的；</w:t>
            </w:r>
          </w:p>
          <w:p w14:paraId="3446A6B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（9）拒绝接受监督、检查，或不按要求报送统计报表等有关资料的；</w:t>
            </w:r>
          </w:p>
          <w:p w14:paraId="7A0AF9B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（10）不如实反映情况，提供虚假材料的；</w:t>
            </w:r>
          </w:p>
          <w:p w14:paraId="53F901E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（11）入围有效期内，被行业行政主管部门取消经营资格的；</w:t>
            </w:r>
          </w:p>
          <w:p w14:paraId="7EECA77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（12）其它违反法律、法规、协议及合同的行为。</w:t>
            </w:r>
          </w:p>
          <w:p w14:paraId="4866392B">
            <w:pPr>
              <w:keepNext w:val="0"/>
              <w:keepLines w:val="0"/>
              <w:pageBreakBefore w:val="0"/>
              <w:tabs>
                <w:tab w:val="left" w:pos="0"/>
                <w:tab w:val="left" w:pos="720"/>
                <w:tab w:val="left" w:pos="900"/>
              </w:tabs>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olor w:val="auto"/>
                <w:szCs w:val="21"/>
                <w:highlight w:val="none"/>
                <w:lang w:val="en-US" w:eastAsia="zh-CN"/>
              </w:rPr>
              <w:t>四、其他要求</w:t>
            </w:r>
            <w:r>
              <w:rPr>
                <w:rFonts w:hint="eastAsia" w:ascii="宋体" w:hAnsi="宋体" w:cs="宋体"/>
                <w:color w:val="auto"/>
                <w:highlight w:val="none"/>
              </w:rPr>
              <w:t>：</w:t>
            </w:r>
          </w:p>
          <w:p w14:paraId="28C3D256">
            <w:pPr>
              <w:spacing w:line="360" w:lineRule="auto"/>
              <w:ind w:firstLine="424" w:firstLineChars="202"/>
              <w:jc w:val="left"/>
              <w:rPr>
                <w:rFonts w:ascii="宋体" w:hAnsi="宋体" w:cs="宋体"/>
                <w:color w:val="auto"/>
                <w:highlight w:val="none"/>
              </w:rPr>
            </w:pPr>
            <w:r>
              <w:rPr>
                <w:rFonts w:hint="eastAsia" w:ascii="宋体" w:hAnsi="宋体" w:cs="宋体"/>
                <w:color w:val="auto"/>
                <w:highlight w:val="none"/>
              </w:rPr>
              <w:t>(1)报价方式：按零配件价格优惠率和工时费优惠率进行报价。</w:t>
            </w:r>
          </w:p>
          <w:p w14:paraId="58439C3C">
            <w:pPr>
              <w:spacing w:line="360" w:lineRule="auto"/>
              <w:ind w:firstLine="424" w:firstLineChars="202"/>
              <w:jc w:val="left"/>
              <w:rPr>
                <w:rFonts w:ascii="宋体" w:hAnsi="宋体" w:cs="宋体"/>
                <w:color w:val="auto"/>
                <w:highlight w:val="none"/>
              </w:rPr>
            </w:pPr>
            <w:r>
              <w:rPr>
                <w:rFonts w:hint="eastAsia" w:ascii="宋体" w:hAnsi="宋体" w:cs="宋体"/>
                <w:color w:val="auto"/>
                <w:highlight w:val="none"/>
              </w:rPr>
              <w:t>公务用车辆维修和保养服务的结算方式：具体维修和保养费=零配件价格+工时费。零配件采购最高限价＝零配件市场实时价×（1－零配件优惠率）；工时费最高限价=量化后的工时定额×工时单价（均为完税价格），工时单价＝入围供应商备案工时费单价×（1－工时费优惠率）。</w:t>
            </w:r>
          </w:p>
          <w:p w14:paraId="0842CBD2">
            <w:pPr>
              <w:spacing w:line="360" w:lineRule="auto"/>
              <w:ind w:firstLine="424" w:firstLineChars="202"/>
              <w:jc w:val="left"/>
              <w:rPr>
                <w:rFonts w:ascii="宋体" w:hAnsi="宋体" w:cs="宋体"/>
                <w:color w:val="auto"/>
                <w:highlight w:val="none"/>
              </w:rPr>
            </w:pPr>
            <w:r>
              <w:rPr>
                <w:rFonts w:hint="eastAsia" w:ascii="宋体" w:hAnsi="宋体" w:cs="宋体"/>
                <w:color w:val="auto"/>
                <w:highlight w:val="none"/>
              </w:rPr>
              <w:t>(2)本次框架协议采购第一阶段确定的价格优惠率为采购人采购公务车辆维修和保养服务时所能享受的零配件优惠率和工时费优惠率。</w:t>
            </w:r>
          </w:p>
          <w:p w14:paraId="7D2E581F">
            <w:pPr>
              <w:spacing w:line="360" w:lineRule="auto"/>
              <w:ind w:firstLine="424" w:firstLineChars="202"/>
              <w:jc w:val="left"/>
              <w:rPr>
                <w:rFonts w:ascii="宋体" w:hAnsi="宋体" w:cs="宋体"/>
                <w:color w:val="auto"/>
                <w:highlight w:val="none"/>
              </w:rPr>
            </w:pPr>
            <w:r>
              <w:rPr>
                <w:rFonts w:hint="eastAsia" w:ascii="宋体" w:hAnsi="宋体" w:cs="宋体"/>
                <w:color w:val="auto"/>
                <w:highlight w:val="none"/>
              </w:rPr>
              <w:t>(3)优惠后的价格应包含履行合同所有相关服务所需的服务费用及所有的税费。</w:t>
            </w:r>
          </w:p>
          <w:p w14:paraId="52882257">
            <w:pPr>
              <w:spacing w:line="360" w:lineRule="auto"/>
              <w:ind w:firstLine="424" w:firstLineChars="202"/>
              <w:jc w:val="left"/>
              <w:rPr>
                <w:rFonts w:ascii="宋体" w:hAnsi="宋体" w:cs="宋体"/>
                <w:b w:val="0"/>
                <w:bCs w:val="0"/>
                <w:color w:val="auto"/>
                <w:highlight w:val="none"/>
              </w:rPr>
            </w:pPr>
            <w:r>
              <w:rPr>
                <w:rFonts w:hint="eastAsia" w:ascii="宋体" w:hAnsi="宋体" w:cs="宋体"/>
                <w:b w:val="0"/>
                <w:bCs w:val="0"/>
                <w:color w:val="auto"/>
                <w:szCs w:val="21"/>
                <w:highlight w:val="none"/>
              </w:rPr>
              <w:t>▲</w:t>
            </w:r>
            <w:r>
              <w:rPr>
                <w:rFonts w:hint="eastAsia" w:ascii="宋体" w:hAnsi="宋体" w:cs="宋体"/>
                <w:b w:val="0"/>
                <w:bCs w:val="0"/>
                <w:color w:val="auto"/>
                <w:highlight w:val="none"/>
              </w:rPr>
              <w:t>(4)本项目零配件</w:t>
            </w:r>
            <w:r>
              <w:rPr>
                <w:rFonts w:hint="eastAsia" w:ascii="宋体" w:hAnsi="宋体" w:cs="宋体"/>
                <w:b w:val="0"/>
                <w:bCs w:val="0"/>
                <w:color w:val="auto"/>
                <w:highlight w:val="none"/>
                <w:lang w:val="en-US" w:eastAsia="zh-CN"/>
              </w:rPr>
              <w:t>价格</w:t>
            </w:r>
            <w:r>
              <w:rPr>
                <w:rFonts w:hint="eastAsia" w:ascii="宋体" w:hAnsi="宋体" w:cs="宋体"/>
                <w:b w:val="0"/>
                <w:bCs w:val="0"/>
                <w:color w:val="auto"/>
                <w:highlight w:val="none"/>
              </w:rPr>
              <w:t>优惠率允许范围 20%（含）以内，工时优惠率允许范围 20%（含）以内，超出范围不予接受，作无效投标；本项目不接受零优惠率（或免费）的报价。</w:t>
            </w:r>
          </w:p>
          <w:p w14:paraId="423D6361">
            <w:pPr>
              <w:spacing w:line="360" w:lineRule="auto"/>
              <w:ind w:firstLine="424" w:firstLineChars="202"/>
              <w:jc w:val="left"/>
              <w:rPr>
                <w:rFonts w:ascii="宋体" w:hAnsi="宋体" w:cs="宋体"/>
                <w:color w:val="auto"/>
                <w:highlight w:val="none"/>
              </w:rPr>
            </w:pPr>
            <w:r>
              <w:rPr>
                <w:rFonts w:hint="eastAsia" w:ascii="宋体" w:hAnsi="宋体" w:cs="宋体"/>
                <w:color w:val="auto"/>
                <w:highlight w:val="none"/>
              </w:rPr>
              <w:t>(5)采购人在公务车辆维修和保养时与成交供应商以采购合同约定的价格优惠率进行购买维修和保养服务。供应商所报优惠率为采购人购买维修和保养服务时所能享受的最高优惠率。成交供应商以合同承诺的优惠价格收取维修（工时、材料）费、配件费等。</w:t>
            </w:r>
          </w:p>
          <w:p w14:paraId="265CBA30">
            <w:pPr>
              <w:spacing w:line="360" w:lineRule="auto"/>
              <w:ind w:firstLine="424" w:firstLineChars="202"/>
              <w:jc w:val="left"/>
              <w:rPr>
                <w:rFonts w:ascii="宋体" w:hAnsi="宋体" w:cs="宋体"/>
                <w:color w:val="auto"/>
                <w:highlight w:val="none"/>
              </w:rPr>
            </w:pPr>
            <w:r>
              <w:rPr>
                <w:rFonts w:hint="eastAsia" w:ascii="宋体" w:hAnsi="宋体" w:cs="宋体"/>
                <w:color w:val="auto"/>
                <w:highlight w:val="none"/>
                <w:lang w:eastAsia="zh-CN"/>
              </w:rPr>
              <w:t>五、</w:t>
            </w:r>
            <w:r>
              <w:rPr>
                <w:rFonts w:hint="eastAsia" w:ascii="宋体" w:hAnsi="宋体" w:cs="宋体"/>
                <w:color w:val="auto"/>
                <w:highlight w:val="none"/>
              </w:rPr>
              <w:t>特别说明:</w:t>
            </w:r>
          </w:p>
          <w:p w14:paraId="73BBCE9B">
            <w:pPr>
              <w:spacing w:line="360" w:lineRule="auto"/>
              <w:ind w:firstLine="424" w:firstLineChars="202"/>
              <w:jc w:val="left"/>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成交供应商的零配件在按优惠率结算的价格不能高于</w:t>
            </w:r>
            <w:r>
              <w:rPr>
                <w:rFonts w:hint="eastAsia" w:ascii="宋体" w:hAnsi="宋体" w:cs="宋体"/>
                <w:color w:val="auto"/>
                <w:highlight w:val="none"/>
                <w:lang w:eastAsia="zh-CN"/>
              </w:rPr>
              <w:t>东盟经开区</w:t>
            </w:r>
            <w:r>
              <w:rPr>
                <w:rFonts w:hint="eastAsia" w:ascii="宋体" w:hAnsi="宋体" w:cs="宋体"/>
                <w:color w:val="auto"/>
                <w:highlight w:val="none"/>
              </w:rPr>
              <w:t>本地市场零售价格。</w:t>
            </w:r>
          </w:p>
          <w:p w14:paraId="61DB3A99">
            <w:pPr>
              <w:spacing w:line="360" w:lineRule="auto"/>
              <w:ind w:firstLine="424" w:firstLineChars="202"/>
              <w:jc w:val="left"/>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成交供应商的工时费报价不能高于</w:t>
            </w:r>
            <w:r>
              <w:rPr>
                <w:rFonts w:hint="eastAsia" w:ascii="宋体" w:hAnsi="宋体" w:cs="宋体"/>
                <w:color w:val="auto"/>
                <w:highlight w:val="none"/>
                <w:lang w:eastAsia="zh-CN"/>
              </w:rPr>
              <w:t>东盟经开区</w:t>
            </w:r>
            <w:r>
              <w:rPr>
                <w:rFonts w:hint="eastAsia" w:ascii="宋体" w:hAnsi="宋体" w:cs="宋体"/>
                <w:color w:val="auto"/>
                <w:highlight w:val="none"/>
              </w:rPr>
              <w:t>汽车维修行业工时定额收费标准。某些固定维修项目统一了维修价格的，则按统一维修价格的 80%计算，不再套用工时定额计算。</w:t>
            </w:r>
          </w:p>
          <w:p w14:paraId="2A272976">
            <w:pPr>
              <w:spacing w:line="360" w:lineRule="auto"/>
              <w:ind w:firstLine="424" w:firstLineChars="202"/>
              <w:jc w:val="left"/>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rPr>
              <w:t>成交供应商应根据自身管理水平诚实报价，采购人在维修服务期间将定期或不定期地对维修项目的零配件价格进行核查,若发现维修供应商弄虚作假(包括伪造进货价票据、以低报价高收费等行为)或零配件价格高于</w:t>
            </w:r>
            <w:r>
              <w:rPr>
                <w:rFonts w:hint="eastAsia" w:ascii="宋体" w:hAnsi="宋体" w:cs="宋体"/>
                <w:color w:val="auto"/>
                <w:highlight w:val="none"/>
                <w:lang w:eastAsia="zh-CN"/>
              </w:rPr>
              <w:t>东盟经开区</w:t>
            </w:r>
            <w:r>
              <w:rPr>
                <w:rFonts w:hint="eastAsia" w:ascii="宋体" w:hAnsi="宋体" w:cs="宋体"/>
                <w:color w:val="auto"/>
                <w:highlight w:val="none"/>
              </w:rPr>
              <w:t>本地市场价的，按协议书违约处理规定处理。</w:t>
            </w:r>
          </w:p>
          <w:p w14:paraId="6196600B">
            <w:pPr>
              <w:spacing w:line="360" w:lineRule="auto"/>
              <w:ind w:firstLine="424" w:firstLineChars="202"/>
              <w:jc w:val="left"/>
              <w:rPr>
                <w:rFonts w:hint="default" w:ascii="宋体" w:hAnsi="宋体" w:eastAsia="宋体"/>
                <w:color w:val="auto"/>
                <w:szCs w:val="21"/>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cs="宋体"/>
                <w:color w:val="auto"/>
                <w:highlight w:val="none"/>
              </w:rPr>
              <w:t>采购人有权与成交供应商在</w:t>
            </w:r>
            <w:r>
              <w:rPr>
                <w:rFonts w:hint="eastAsia" w:ascii="宋体" w:hAnsi="宋体" w:cs="宋体"/>
                <w:color w:val="auto"/>
                <w:highlight w:val="none"/>
                <w:lang w:eastAsia="zh-CN"/>
              </w:rPr>
              <w:t>入围</w:t>
            </w:r>
            <w:r>
              <w:rPr>
                <w:rFonts w:hint="eastAsia" w:ascii="宋体" w:hAnsi="宋体" w:cs="宋体"/>
                <w:color w:val="auto"/>
                <w:highlight w:val="none"/>
              </w:rPr>
              <w:t>所报优惠率的基础上进行价格谈判，以获取更低价格确定维修或采购。</w:t>
            </w:r>
          </w:p>
        </w:tc>
      </w:tr>
      <w:tr w14:paraId="42847648">
        <w:tblPrEx>
          <w:tblCellMar>
            <w:top w:w="0" w:type="dxa"/>
            <w:left w:w="0" w:type="dxa"/>
            <w:bottom w:w="0" w:type="dxa"/>
            <w:right w:w="0" w:type="dxa"/>
          </w:tblCellMar>
        </w:tblPrEx>
        <w:trPr>
          <w:trHeight w:val="5870" w:hRule="atLeast"/>
        </w:trPr>
        <w:tc>
          <w:tcPr>
            <w:tcW w:w="52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490EDCCA">
            <w:pPr>
              <w:rPr>
                <w:color w:val="auto"/>
                <w:highlight w:val="none"/>
              </w:rPr>
            </w:pPr>
            <w:r>
              <w:rPr>
                <w:rFonts w:hint="eastAsia"/>
                <w:color w:val="auto"/>
                <w:highlight w:val="none"/>
              </w:rPr>
              <w:t>商务条款</w:t>
            </w:r>
          </w:p>
        </w:tc>
        <w:tc>
          <w:tcPr>
            <w:tcW w:w="9817" w:type="dxa"/>
            <w:gridSpan w:val="3"/>
            <w:tcBorders>
              <w:top w:val="nil"/>
              <w:left w:val="nil"/>
              <w:bottom w:val="single" w:color="auto" w:sz="4" w:space="0"/>
              <w:right w:val="single" w:color="auto" w:sz="8" w:space="0"/>
            </w:tcBorders>
            <w:tcMar>
              <w:top w:w="0" w:type="dxa"/>
              <w:left w:w="108" w:type="dxa"/>
              <w:bottom w:w="0" w:type="dxa"/>
              <w:right w:w="108" w:type="dxa"/>
            </w:tcMar>
            <w:vAlign w:val="top"/>
          </w:tcPr>
          <w:p w14:paraId="47820E12">
            <w:pPr>
              <w:numPr>
                <w:ilvl w:val="0"/>
                <w:numId w:val="3"/>
              </w:numPr>
              <w:spacing w:line="360" w:lineRule="exact"/>
              <w:rPr>
                <w:color w:val="auto"/>
                <w:highlight w:val="none"/>
              </w:rPr>
            </w:pPr>
            <w:r>
              <w:rPr>
                <w:rFonts w:hint="eastAsia" w:ascii="宋体" w:hAnsi="宋体" w:cs="宋体"/>
                <w:color w:val="auto"/>
                <w:szCs w:val="21"/>
                <w:highlight w:val="none"/>
              </w:rPr>
              <w:t>框架协议签订期：自入围通知书发出之日起7个工作日。</w:t>
            </w:r>
          </w:p>
          <w:p w14:paraId="087659A8">
            <w:pPr>
              <w:spacing w:line="360" w:lineRule="exact"/>
              <w:rPr>
                <w:rFonts w:ascii="宋体" w:hAnsi="宋体" w:cs="宋体"/>
                <w:color w:val="auto"/>
                <w:szCs w:val="21"/>
                <w:highlight w:val="none"/>
              </w:rPr>
            </w:pPr>
            <w:r>
              <w:rPr>
                <w:rFonts w:hint="eastAsia" w:ascii="宋体" w:hAnsi="宋体" w:cs="宋体"/>
                <w:color w:val="auto"/>
                <w:szCs w:val="21"/>
                <w:highlight w:val="none"/>
              </w:rPr>
              <w:t>▲二、确定第二阶段成交供应商方式：直接选定。由采购人依据项目实际情况、供应商服务质量、价格及服务便利性、用户评价等因素，从第一阶段入围供应商中直接选定。</w:t>
            </w:r>
          </w:p>
          <w:p w14:paraId="11BE1582">
            <w:pPr>
              <w:widowControl/>
              <w:shd w:val="clear" w:color="auto" w:fill="FFFFFF"/>
              <w:spacing w:line="360" w:lineRule="exact"/>
              <w:rPr>
                <w:rFonts w:hint="default" w:ascii="宋体" w:hAnsi="宋体" w:eastAsia="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olor w:val="auto"/>
                <w:szCs w:val="21"/>
                <w:highlight w:val="none"/>
                <w:lang w:val="en-US" w:eastAsia="zh-CN"/>
              </w:rPr>
              <w:t>三、框架协议的期限：自合同签订之日起两年。</w:t>
            </w:r>
          </w:p>
          <w:p w14:paraId="2158BFAF">
            <w:pPr>
              <w:widowControl/>
              <w:shd w:val="clear" w:color="auto" w:fill="FFFFFF"/>
              <w:spacing w:line="360" w:lineRule="exact"/>
              <w:rPr>
                <w:rFonts w:ascii="宋体" w:hAnsi="宋体"/>
                <w:color w:val="auto"/>
                <w:szCs w:val="21"/>
                <w:highlight w:val="none"/>
              </w:rPr>
            </w:pPr>
            <w:r>
              <w:rPr>
                <w:rFonts w:hint="eastAsia" w:ascii="宋体" w:hAnsi="宋体"/>
                <w:color w:val="auto"/>
                <w:szCs w:val="21"/>
                <w:highlight w:val="none"/>
                <w:lang w:val="en-US" w:eastAsia="zh-CN"/>
              </w:rPr>
              <w:t>四</w:t>
            </w:r>
            <w:r>
              <w:rPr>
                <w:rFonts w:hint="eastAsia" w:ascii="宋体" w:hAnsi="宋体"/>
                <w:color w:val="auto"/>
                <w:szCs w:val="21"/>
                <w:highlight w:val="none"/>
              </w:rPr>
              <w:t>、其他要求：</w:t>
            </w:r>
          </w:p>
          <w:p w14:paraId="3E7C047E">
            <w:pPr>
              <w:spacing w:line="360" w:lineRule="exact"/>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1、报价必须含以下部分，包括</w:t>
            </w:r>
          </w:p>
          <w:p w14:paraId="2523E325">
            <w:pPr>
              <w:spacing w:line="360" w:lineRule="exact"/>
              <w:rPr>
                <w:rFonts w:ascii="宋体" w:hAnsi="宋体"/>
                <w:color w:val="auto"/>
                <w:szCs w:val="21"/>
                <w:highlight w:val="none"/>
              </w:rPr>
            </w:pPr>
            <w:r>
              <w:rPr>
                <w:rFonts w:hint="eastAsia" w:ascii="宋体" w:hAnsi="宋体"/>
                <w:color w:val="auto"/>
                <w:szCs w:val="21"/>
                <w:highlight w:val="none"/>
              </w:rPr>
              <w:t>（1）服务和货物的价格；</w:t>
            </w:r>
          </w:p>
          <w:p w14:paraId="482DBE75">
            <w:pPr>
              <w:spacing w:line="360" w:lineRule="exact"/>
              <w:rPr>
                <w:rFonts w:ascii="宋体" w:hAnsi="宋体"/>
                <w:color w:val="auto"/>
                <w:szCs w:val="21"/>
                <w:highlight w:val="none"/>
              </w:rPr>
            </w:pPr>
            <w:r>
              <w:rPr>
                <w:rFonts w:hint="eastAsia" w:ascii="宋体" w:hAnsi="宋体"/>
                <w:color w:val="auto"/>
                <w:szCs w:val="21"/>
                <w:highlight w:val="none"/>
              </w:rPr>
              <w:t>（2）必要的保险费用和各项税金；</w:t>
            </w:r>
          </w:p>
          <w:p w14:paraId="7233B877">
            <w:pPr>
              <w:spacing w:line="360" w:lineRule="exact"/>
              <w:rPr>
                <w:rFonts w:ascii="宋体" w:hAnsi="宋体"/>
                <w:color w:val="auto"/>
                <w:szCs w:val="21"/>
                <w:highlight w:val="none"/>
              </w:rPr>
            </w:pPr>
            <w:r>
              <w:rPr>
                <w:rFonts w:hint="eastAsia" w:ascii="宋体" w:hAnsi="宋体"/>
                <w:color w:val="auto"/>
                <w:szCs w:val="21"/>
                <w:highlight w:val="none"/>
              </w:rPr>
              <w:t>（3）实施和完成工作所需的设备、劳务、运输、搬运、技术服务费、交通、维护、利润等费用和政策性文件规定及合同包含的所有风险、责任等各项应有的费用。</w:t>
            </w:r>
          </w:p>
          <w:p w14:paraId="1D630529">
            <w:pPr>
              <w:spacing w:line="36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2、付款方式：</w:t>
            </w:r>
            <w:r>
              <w:rPr>
                <w:rFonts w:hint="eastAsia" w:ascii="宋体" w:hAnsi="宋体" w:cs="宋体"/>
                <w:color w:val="auto"/>
                <w:szCs w:val="21"/>
                <w:highlight w:val="none"/>
              </w:rPr>
              <w:t>本框架协议车辆维修和保养服务费具体付款方式由采购人与成交供应商在采购合同中约定</w:t>
            </w:r>
            <w:r>
              <w:rPr>
                <w:rFonts w:hint="eastAsia" w:ascii="宋体" w:hAnsi="宋体" w:cs="宋体"/>
                <w:color w:val="auto"/>
                <w:szCs w:val="21"/>
                <w:highlight w:val="none"/>
                <w:lang w:val="en-US" w:eastAsia="zh-CN"/>
              </w:rPr>
              <w:t>,</w:t>
            </w:r>
            <w:r>
              <w:rPr>
                <w:rFonts w:hint="eastAsia" w:ascii="宋体" w:hAnsi="宋体" w:eastAsia="宋体" w:cs="宋体"/>
                <w:color w:val="auto"/>
                <w:sz w:val="21"/>
                <w:szCs w:val="21"/>
                <w:highlight w:val="none"/>
              </w:rPr>
              <w:t>采用非现金方式</w:t>
            </w:r>
            <w:r>
              <w:rPr>
                <w:rFonts w:hint="eastAsia" w:ascii="宋体" w:hAnsi="宋体" w:eastAsia="宋体" w:cs="宋体"/>
                <w:color w:val="auto"/>
                <w:sz w:val="21"/>
                <w:szCs w:val="21"/>
                <w:highlight w:val="none"/>
                <w:lang w:eastAsia="zh-CN"/>
              </w:rPr>
              <w:t>进行</w:t>
            </w:r>
            <w:r>
              <w:rPr>
                <w:rFonts w:hint="eastAsia" w:ascii="宋体" w:hAnsi="宋体" w:eastAsia="宋体" w:cs="宋体"/>
                <w:color w:val="auto"/>
                <w:sz w:val="21"/>
                <w:szCs w:val="21"/>
                <w:highlight w:val="none"/>
              </w:rPr>
              <w:t>结算。</w:t>
            </w:r>
          </w:p>
          <w:p w14:paraId="48708DEB">
            <w:pPr>
              <w:spacing w:line="360" w:lineRule="exact"/>
              <w:rPr>
                <w:rFonts w:ascii="宋体" w:hAnsi="宋体" w:cs="宋体"/>
                <w:color w:val="auto"/>
                <w:szCs w:val="21"/>
                <w:highlight w:val="none"/>
              </w:rPr>
            </w:pPr>
            <w:r>
              <w:rPr>
                <w:rFonts w:hint="eastAsia" w:ascii="宋体" w:hAnsi="宋体" w:cs="宋体"/>
                <w:color w:val="auto"/>
                <w:szCs w:val="21"/>
                <w:highlight w:val="none"/>
              </w:rPr>
              <w:t>3.其它约定：详见后附《框架协议合同文本》。</w:t>
            </w:r>
          </w:p>
          <w:p w14:paraId="66103C56">
            <w:pPr>
              <w:spacing w:line="360" w:lineRule="exact"/>
              <w:rPr>
                <w:rFonts w:hAnsi="宋体"/>
                <w:color w:val="auto"/>
                <w:szCs w:val="21"/>
                <w:highlight w:val="none"/>
              </w:rPr>
            </w:pPr>
            <w:r>
              <w:rPr>
                <w:rFonts w:hint="eastAsia"/>
                <w:color w:val="auto"/>
                <w:szCs w:val="21"/>
                <w:highlight w:val="none"/>
              </w:rPr>
              <w:t>4、</w:t>
            </w:r>
            <w:r>
              <w:rPr>
                <w:rFonts w:hint="eastAsia" w:ascii="Arial" w:hAnsi="Arial"/>
                <w:color w:val="auto"/>
                <w:szCs w:val="21"/>
                <w:highlight w:val="none"/>
              </w:rPr>
              <w:t>投标人提供的产品实行“三包”，即包退、包换、包修，按国家有关在质保期内承担因产品质量问题发生的相关费用。</w:t>
            </w:r>
          </w:p>
          <w:p w14:paraId="039C2113">
            <w:pPr>
              <w:spacing w:line="360" w:lineRule="exact"/>
              <w:rPr>
                <w:color w:val="auto"/>
                <w:sz w:val="24"/>
                <w:szCs w:val="24"/>
                <w:highlight w:val="none"/>
              </w:rPr>
            </w:pPr>
            <w:r>
              <w:rPr>
                <w:rFonts w:hint="eastAsia" w:ascii="宋体" w:hAnsi="宋体" w:cs="宋体"/>
                <w:color w:val="auto"/>
                <w:szCs w:val="21"/>
                <w:highlight w:val="none"/>
              </w:rPr>
              <w:t>▲</w:t>
            </w:r>
            <w:r>
              <w:rPr>
                <w:rFonts w:hint="eastAsia" w:ascii="宋体" w:hAnsi="宋体"/>
                <w:color w:val="auto"/>
                <w:szCs w:val="21"/>
                <w:highlight w:val="none"/>
              </w:rPr>
              <w:t>5</w:t>
            </w:r>
            <w:r>
              <w:rPr>
                <w:rFonts w:hint="eastAsia" w:hAnsi="宋体"/>
                <w:color w:val="auto"/>
                <w:szCs w:val="21"/>
                <w:highlight w:val="none"/>
              </w:rPr>
              <w:t>采购人经市场多方面询价发现</w:t>
            </w:r>
            <w:r>
              <w:rPr>
                <w:rFonts w:hint="eastAsia" w:ascii="宋体" w:hAnsi="宋体" w:cs="宋体"/>
                <w:color w:val="auto"/>
                <w:szCs w:val="21"/>
                <w:highlight w:val="none"/>
              </w:rPr>
              <w:t>入围</w:t>
            </w:r>
            <w:r>
              <w:rPr>
                <w:rFonts w:hint="eastAsia" w:hAnsi="宋体"/>
                <w:color w:val="auto"/>
                <w:szCs w:val="21"/>
                <w:highlight w:val="none"/>
              </w:rPr>
              <w:t>供应商在合同服务期内所提供的商品价格或服务价格普遍比市场询价高的，采购人有权要求供应商进行整改，</w:t>
            </w:r>
            <w:r>
              <w:rPr>
                <w:rFonts w:hint="eastAsia" w:ascii="宋体" w:hAnsi="宋体" w:cs="宋体"/>
                <w:color w:val="auto"/>
                <w:szCs w:val="21"/>
                <w:highlight w:val="none"/>
              </w:rPr>
              <w:t>入围</w:t>
            </w:r>
            <w:r>
              <w:rPr>
                <w:rFonts w:hint="eastAsia" w:hAnsi="宋体"/>
                <w:color w:val="auto"/>
                <w:szCs w:val="21"/>
                <w:highlight w:val="none"/>
              </w:rPr>
              <w:t>供应商累计达到三次或拒绝整改的，视为供应商违约，采购人有权解除合同</w:t>
            </w:r>
            <w:r>
              <w:rPr>
                <w:rFonts w:hint="eastAsia" w:ascii="宋体" w:hAnsi="宋体"/>
                <w:color w:val="auto"/>
                <w:szCs w:val="21"/>
                <w:highlight w:val="none"/>
              </w:rPr>
              <w:t>。</w:t>
            </w:r>
          </w:p>
        </w:tc>
      </w:tr>
      <w:tr w14:paraId="5B1637B0">
        <w:tblPrEx>
          <w:tblCellMar>
            <w:top w:w="0" w:type="dxa"/>
            <w:left w:w="0" w:type="dxa"/>
            <w:bottom w:w="0" w:type="dxa"/>
            <w:right w:w="0" w:type="dxa"/>
          </w:tblCellMar>
        </w:tblPrEx>
        <w:trPr>
          <w:trHeight w:val="1055" w:hRule="atLeast"/>
        </w:trPr>
        <w:tc>
          <w:tcPr>
            <w:tcW w:w="52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0A7A819">
            <w:pPr>
              <w:rPr>
                <w:rFonts w:hint="default" w:eastAsia="宋体"/>
                <w:color w:val="auto"/>
                <w:highlight w:val="none"/>
                <w:lang w:val="en-US" w:eastAsia="zh-CN"/>
              </w:rPr>
            </w:pPr>
            <w:r>
              <w:rPr>
                <w:rFonts w:hint="eastAsia"/>
                <w:color w:val="auto"/>
                <w:highlight w:val="none"/>
                <w:lang w:val="en-US" w:eastAsia="zh-CN"/>
              </w:rPr>
              <w:t>其他说明</w:t>
            </w:r>
          </w:p>
        </w:tc>
        <w:tc>
          <w:tcPr>
            <w:tcW w:w="9817" w:type="dxa"/>
            <w:gridSpan w:val="3"/>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3626ADF7">
            <w:pPr>
              <w:spacing w:line="36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本项目采购标的对应的中小企业划分标准所属行业:其他未列明行业。</w:t>
            </w:r>
          </w:p>
        </w:tc>
      </w:tr>
    </w:tbl>
    <w:p w14:paraId="0084F0A1">
      <w:pPr>
        <w:spacing w:line="428" w:lineRule="exact"/>
        <w:ind w:left="119"/>
        <w:rPr>
          <w:rFonts w:hint="eastAsia" w:ascii="Arial Unicode MS" w:hAnsi="Arial Unicode MS" w:eastAsia="Arial Unicode MS" w:cs="Arial Unicode MS"/>
          <w:color w:val="auto"/>
          <w:sz w:val="17"/>
          <w:szCs w:val="17"/>
          <w:highlight w:val="none"/>
        </w:rPr>
      </w:pPr>
      <w:r>
        <w:rPr>
          <w:rFonts w:hint="eastAsia" w:hAnsi="宋体" w:cs="宋体"/>
          <w:color w:val="auto"/>
          <w:highlight w:val="none"/>
        </w:rPr>
        <w:br w:type="page"/>
      </w:r>
      <w:r>
        <w:rPr>
          <w:rFonts w:hint="eastAsia" w:ascii="Arial Unicode MS" w:hAnsi="Arial Unicode MS" w:eastAsia="Arial Unicode MS" w:cs="Arial Unicode MS"/>
          <w:color w:val="auto"/>
          <w:sz w:val="32"/>
          <w:szCs w:val="32"/>
          <w:highlight w:val="none"/>
        </w:rPr>
        <w:t>附件</w:t>
      </w:r>
      <w:r>
        <w:rPr>
          <w:rFonts w:hint="eastAsia" w:ascii="Arial Unicode MS" w:hAnsi="Arial Unicode MS" w:eastAsia="宋体" w:cs="Arial Unicode MS"/>
          <w:color w:val="auto"/>
          <w:sz w:val="32"/>
          <w:szCs w:val="32"/>
          <w:highlight w:val="none"/>
          <w:lang w:val="en-US" w:eastAsia="zh-CN"/>
        </w:rPr>
        <w:t>1</w:t>
      </w:r>
      <w:r>
        <w:rPr>
          <w:rFonts w:hint="eastAsia" w:ascii="Arial Unicode MS" w:hAnsi="Arial Unicode MS" w:eastAsia="Arial Unicode MS" w:cs="Arial Unicode MS"/>
          <w:color w:val="auto"/>
          <w:sz w:val="32"/>
          <w:szCs w:val="32"/>
          <w:highlight w:val="none"/>
        </w:rPr>
        <w:t>：</w:t>
      </w:r>
    </w:p>
    <w:p w14:paraId="155392ED">
      <w:pPr>
        <w:spacing w:line="528" w:lineRule="exact"/>
        <w:ind w:left="1871"/>
        <w:rPr>
          <w:rFonts w:hint="eastAsia"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节能产品政府采购品目清单</w:t>
      </w:r>
    </w:p>
    <w:tbl>
      <w:tblPr>
        <w:tblStyle w:val="24"/>
        <w:tblW w:w="9220" w:type="dxa"/>
        <w:tblInd w:w="93" w:type="dxa"/>
        <w:tblLayout w:type="fixed"/>
        <w:tblCellMar>
          <w:top w:w="0" w:type="dxa"/>
          <w:left w:w="108" w:type="dxa"/>
          <w:bottom w:w="0" w:type="dxa"/>
          <w:right w:w="108" w:type="dxa"/>
        </w:tblCellMar>
      </w:tblPr>
      <w:tblGrid>
        <w:gridCol w:w="641"/>
        <w:gridCol w:w="1116"/>
        <w:gridCol w:w="1516"/>
        <w:gridCol w:w="1612"/>
        <w:gridCol w:w="4335"/>
      </w:tblGrid>
      <w:tr w14:paraId="0456B6DF">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vAlign w:val="top"/>
          </w:tcPr>
          <w:p w14:paraId="727224CF">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244" w:type="dxa"/>
            <w:gridSpan w:val="3"/>
            <w:tcBorders>
              <w:top w:val="single" w:color="000000" w:sz="8" w:space="0"/>
              <w:left w:val="nil"/>
              <w:bottom w:val="single" w:color="000000" w:sz="8" w:space="0"/>
              <w:right w:val="single" w:color="000000" w:sz="8" w:space="0"/>
            </w:tcBorders>
            <w:vAlign w:val="center"/>
          </w:tcPr>
          <w:p w14:paraId="5A55C5A3">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335" w:type="dxa"/>
            <w:tcBorders>
              <w:top w:val="single" w:color="000000" w:sz="8" w:space="0"/>
              <w:left w:val="nil"/>
              <w:bottom w:val="single" w:color="000000" w:sz="8" w:space="0"/>
              <w:right w:val="single" w:color="000000" w:sz="8" w:space="0"/>
            </w:tcBorders>
            <w:vAlign w:val="center"/>
          </w:tcPr>
          <w:p w14:paraId="0CB2C8D0">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42577F99">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6B40789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vAlign w:val="center"/>
          </w:tcPr>
          <w:p w14:paraId="7E5A707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vAlign w:val="center"/>
          </w:tcPr>
          <w:p w14:paraId="7D8EE92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vAlign w:val="center"/>
          </w:tcPr>
          <w:p w14:paraId="14347E0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21A7DBB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39B107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271076D3">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44C34E35">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64BF3AC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vAlign w:val="center"/>
          </w:tcPr>
          <w:p w14:paraId="6D8BE56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32D749B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583E3511">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506ADBDA">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0D3AAEF8">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5739518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vAlign w:val="center"/>
          </w:tcPr>
          <w:p w14:paraId="70AC32D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06F9A5F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4C40572">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348B576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vAlign w:val="center"/>
          </w:tcPr>
          <w:p w14:paraId="4C8C93F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7F45228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vAlign w:val="center"/>
          </w:tcPr>
          <w:p w14:paraId="7D7C700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335" w:type="dxa"/>
            <w:tcBorders>
              <w:top w:val="nil"/>
              <w:left w:val="nil"/>
              <w:bottom w:val="single" w:color="000000" w:sz="8" w:space="0"/>
              <w:right w:val="single" w:color="000000" w:sz="8" w:space="0"/>
            </w:tcBorders>
            <w:vAlign w:val="center"/>
          </w:tcPr>
          <w:p w14:paraId="5075753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E2C302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4D1D83B5">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2F2938DF">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260BF2DE">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755A13E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335" w:type="dxa"/>
            <w:tcBorders>
              <w:top w:val="nil"/>
              <w:left w:val="nil"/>
              <w:bottom w:val="single" w:color="000000" w:sz="8" w:space="0"/>
              <w:right w:val="single" w:color="000000" w:sz="8" w:space="0"/>
            </w:tcBorders>
            <w:vAlign w:val="center"/>
          </w:tcPr>
          <w:p w14:paraId="587ADAC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D64AF8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68F722B7">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432C4FA9">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2C17963B">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06F67A7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335" w:type="dxa"/>
            <w:tcBorders>
              <w:top w:val="nil"/>
              <w:left w:val="nil"/>
              <w:bottom w:val="single" w:color="000000" w:sz="8" w:space="0"/>
              <w:right w:val="single" w:color="000000" w:sz="8" w:space="0"/>
            </w:tcBorders>
            <w:vAlign w:val="center"/>
          </w:tcPr>
          <w:p w14:paraId="4821D38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50436C4">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BC1E50D">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636E062F">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2B8CF5C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vAlign w:val="center"/>
          </w:tcPr>
          <w:p w14:paraId="5B459CF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335" w:type="dxa"/>
            <w:tcBorders>
              <w:top w:val="nil"/>
              <w:left w:val="nil"/>
              <w:bottom w:val="single" w:color="000000" w:sz="8" w:space="0"/>
              <w:right w:val="single" w:color="000000" w:sz="8" w:space="0"/>
            </w:tcBorders>
            <w:vAlign w:val="center"/>
          </w:tcPr>
          <w:p w14:paraId="2E234DD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5FA14E27">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vAlign w:val="center"/>
          </w:tcPr>
          <w:p w14:paraId="3B2DFCAC">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41B503B3">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301A056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vAlign w:val="center"/>
          </w:tcPr>
          <w:p w14:paraId="46A1596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335" w:type="dxa"/>
            <w:tcBorders>
              <w:top w:val="nil"/>
              <w:left w:val="nil"/>
              <w:bottom w:val="single" w:color="000000" w:sz="8" w:space="0"/>
              <w:right w:val="single" w:color="000000" w:sz="8" w:space="0"/>
            </w:tcBorders>
            <w:vAlign w:val="center"/>
          </w:tcPr>
          <w:p w14:paraId="273C651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24B6864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434CB49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116" w:type="dxa"/>
            <w:tcBorders>
              <w:top w:val="nil"/>
              <w:left w:val="nil"/>
              <w:bottom w:val="single" w:color="000000" w:sz="8" w:space="0"/>
              <w:right w:val="single" w:color="000000" w:sz="8" w:space="0"/>
            </w:tcBorders>
            <w:vAlign w:val="center"/>
          </w:tcPr>
          <w:p w14:paraId="1E0917A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vAlign w:val="center"/>
          </w:tcPr>
          <w:p w14:paraId="7588948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0FAB59E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373539E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24EDD18A">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4875F35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116" w:type="dxa"/>
            <w:tcBorders>
              <w:top w:val="nil"/>
              <w:left w:val="nil"/>
              <w:bottom w:val="single" w:color="000000" w:sz="8" w:space="0"/>
              <w:right w:val="single" w:color="000000" w:sz="8" w:space="0"/>
            </w:tcBorders>
            <w:vAlign w:val="center"/>
          </w:tcPr>
          <w:p w14:paraId="5B9585D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vAlign w:val="center"/>
          </w:tcPr>
          <w:p w14:paraId="4F27B68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5919D58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2F91840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22201D8">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0FFE6C3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116" w:type="dxa"/>
            <w:tcBorders>
              <w:top w:val="nil"/>
              <w:left w:val="nil"/>
              <w:bottom w:val="single" w:color="000000" w:sz="8" w:space="0"/>
              <w:right w:val="single" w:color="000000" w:sz="8" w:space="0"/>
            </w:tcBorders>
            <w:vAlign w:val="center"/>
          </w:tcPr>
          <w:p w14:paraId="44D38DD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vAlign w:val="center"/>
          </w:tcPr>
          <w:p w14:paraId="6341B06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vAlign w:val="center"/>
          </w:tcPr>
          <w:p w14:paraId="5B2C63E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3FFA802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172BDC60">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vAlign w:val="center"/>
          </w:tcPr>
          <w:p w14:paraId="447ED4D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vAlign w:val="center"/>
          </w:tcPr>
          <w:p w14:paraId="3E3FB9B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vAlign w:val="center"/>
          </w:tcPr>
          <w:p w14:paraId="1D2D6B4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vAlign w:val="center"/>
          </w:tcPr>
          <w:p w14:paraId="2B89DDF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335" w:type="dxa"/>
            <w:tcBorders>
              <w:top w:val="nil"/>
              <w:left w:val="nil"/>
              <w:bottom w:val="single" w:color="000000" w:sz="8" w:space="0"/>
              <w:right w:val="single" w:color="000000" w:sz="8" w:space="0"/>
            </w:tcBorders>
            <w:vAlign w:val="center"/>
          </w:tcPr>
          <w:p w14:paraId="669A92A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04509825">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11CDE4DD">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129B3076">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67E04316">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3E169D6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335" w:type="dxa"/>
            <w:tcBorders>
              <w:top w:val="nil"/>
              <w:left w:val="nil"/>
              <w:bottom w:val="single" w:color="000000" w:sz="8" w:space="0"/>
              <w:right w:val="single" w:color="000000" w:sz="8" w:space="0"/>
            </w:tcBorders>
            <w:vAlign w:val="center"/>
          </w:tcPr>
          <w:p w14:paraId="282A302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6FAC0E7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0BA34CAB">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3B42C0B6">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3DCBB582">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1977A90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335" w:type="dxa"/>
            <w:tcBorders>
              <w:top w:val="nil"/>
              <w:left w:val="nil"/>
              <w:bottom w:val="single" w:color="000000" w:sz="8" w:space="0"/>
              <w:right w:val="single" w:color="000000" w:sz="8" w:space="0"/>
            </w:tcBorders>
            <w:vAlign w:val="center"/>
          </w:tcPr>
          <w:p w14:paraId="7B23DD4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3C4C7588">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3F9BE6BD">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2B580EC4">
            <w:pPr>
              <w:widowControl/>
              <w:jc w:val="left"/>
              <w:rPr>
                <w:rFonts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vAlign w:val="center"/>
          </w:tcPr>
          <w:p w14:paraId="73F2181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vAlign w:val="center"/>
          </w:tcPr>
          <w:p w14:paraId="77EB19D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335" w:type="dxa"/>
            <w:tcBorders>
              <w:top w:val="nil"/>
              <w:left w:val="nil"/>
              <w:bottom w:val="single" w:color="000000" w:sz="8" w:space="0"/>
              <w:right w:val="single" w:color="000000" w:sz="8" w:space="0"/>
            </w:tcBorders>
            <w:vAlign w:val="center"/>
          </w:tcPr>
          <w:p w14:paraId="67C8427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7B4C3D25">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3EDA4307">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6F9B91C8">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501B27D7">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42C1EAC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335" w:type="dxa"/>
            <w:tcBorders>
              <w:top w:val="nil"/>
              <w:left w:val="nil"/>
              <w:bottom w:val="single" w:color="000000" w:sz="8" w:space="0"/>
              <w:right w:val="single" w:color="000000" w:sz="8" w:space="0"/>
            </w:tcBorders>
            <w:vAlign w:val="center"/>
          </w:tcPr>
          <w:p w14:paraId="1A78110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71266022">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1B6A2CE3">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631AE04B">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26E72DE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12" w:type="dxa"/>
            <w:tcBorders>
              <w:top w:val="nil"/>
              <w:left w:val="nil"/>
              <w:bottom w:val="single" w:color="000000" w:sz="8" w:space="0"/>
              <w:right w:val="single" w:color="000000" w:sz="8" w:space="0"/>
            </w:tcBorders>
            <w:vAlign w:val="center"/>
          </w:tcPr>
          <w:p w14:paraId="3E30FBB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335" w:type="dxa"/>
            <w:tcBorders>
              <w:top w:val="nil"/>
              <w:left w:val="nil"/>
              <w:bottom w:val="single" w:color="000000" w:sz="8" w:space="0"/>
              <w:right w:val="single" w:color="000000" w:sz="8" w:space="0"/>
            </w:tcBorders>
            <w:vAlign w:val="center"/>
          </w:tcPr>
          <w:p w14:paraId="329A411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4458A034">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0960BD47">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0DF111C5">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1885030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12" w:type="dxa"/>
            <w:tcBorders>
              <w:top w:val="nil"/>
              <w:left w:val="nil"/>
              <w:bottom w:val="single" w:color="000000" w:sz="8" w:space="0"/>
              <w:right w:val="single" w:color="000000" w:sz="8" w:space="0"/>
            </w:tcBorders>
            <w:vAlign w:val="center"/>
          </w:tcPr>
          <w:p w14:paraId="68FC44C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335" w:type="dxa"/>
            <w:tcBorders>
              <w:top w:val="nil"/>
              <w:left w:val="nil"/>
              <w:bottom w:val="single" w:color="000000" w:sz="8" w:space="0"/>
              <w:right w:val="single" w:color="000000" w:sz="8" w:space="0"/>
            </w:tcBorders>
            <w:vAlign w:val="center"/>
          </w:tcPr>
          <w:p w14:paraId="2A306A2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3BCAECB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15E6C2F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116" w:type="dxa"/>
            <w:tcBorders>
              <w:top w:val="nil"/>
              <w:left w:val="nil"/>
              <w:bottom w:val="single" w:color="000000" w:sz="8" w:space="0"/>
              <w:right w:val="single" w:color="000000" w:sz="8" w:space="0"/>
            </w:tcBorders>
            <w:vAlign w:val="center"/>
          </w:tcPr>
          <w:p w14:paraId="1B38DCC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vAlign w:val="center"/>
          </w:tcPr>
          <w:p w14:paraId="28CDF1D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2DC71B7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3FAB13B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6FB661E4">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7693E46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116" w:type="dxa"/>
            <w:tcBorders>
              <w:top w:val="nil"/>
              <w:left w:val="nil"/>
              <w:bottom w:val="single" w:color="000000" w:sz="8" w:space="0"/>
              <w:right w:val="single" w:color="000000" w:sz="8" w:space="0"/>
            </w:tcBorders>
            <w:vAlign w:val="center"/>
          </w:tcPr>
          <w:p w14:paraId="1C26E40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vAlign w:val="center"/>
          </w:tcPr>
          <w:p w14:paraId="3A416C8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vAlign w:val="center"/>
          </w:tcPr>
          <w:p w14:paraId="06A67AA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14D5ED3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30B4580B">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065E761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116" w:type="dxa"/>
            <w:tcBorders>
              <w:top w:val="nil"/>
              <w:left w:val="nil"/>
              <w:bottom w:val="single" w:color="000000" w:sz="8" w:space="0"/>
              <w:right w:val="single" w:color="000000" w:sz="8" w:space="0"/>
            </w:tcBorders>
            <w:vAlign w:val="center"/>
          </w:tcPr>
          <w:p w14:paraId="5E74802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vAlign w:val="center"/>
          </w:tcPr>
          <w:p w14:paraId="5A62DDF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vAlign w:val="center"/>
          </w:tcPr>
          <w:p w14:paraId="08BD617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749B3BC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308F2509">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1CFA6D3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vAlign w:val="center"/>
          </w:tcPr>
          <w:p w14:paraId="3951340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vAlign w:val="center"/>
          </w:tcPr>
          <w:p w14:paraId="2E2EA91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vAlign w:val="center"/>
          </w:tcPr>
          <w:p w14:paraId="3DF5606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67B1775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5A408DE9">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vAlign w:val="center"/>
          </w:tcPr>
          <w:p w14:paraId="49CA68A8">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1FBEA680">
            <w:pPr>
              <w:widowControl/>
              <w:jc w:val="left"/>
              <w:rPr>
                <w:rFonts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vAlign w:val="center"/>
          </w:tcPr>
          <w:p w14:paraId="50825C1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vAlign w:val="center"/>
          </w:tcPr>
          <w:p w14:paraId="349E394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335" w:type="dxa"/>
            <w:tcBorders>
              <w:top w:val="nil"/>
              <w:left w:val="nil"/>
              <w:bottom w:val="single" w:color="000000" w:sz="8" w:space="0"/>
              <w:right w:val="single" w:color="000000" w:sz="8" w:space="0"/>
            </w:tcBorders>
            <w:vAlign w:val="center"/>
          </w:tcPr>
          <w:p w14:paraId="67C446B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0EAA1617">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23071D04">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5A1C34AC">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3B517DC7">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179D8B2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335" w:type="dxa"/>
            <w:tcBorders>
              <w:top w:val="nil"/>
              <w:left w:val="nil"/>
              <w:bottom w:val="single" w:color="000000" w:sz="8" w:space="0"/>
              <w:right w:val="single" w:color="000000" w:sz="8" w:space="0"/>
            </w:tcBorders>
            <w:vAlign w:val="center"/>
          </w:tcPr>
          <w:p w14:paraId="7C0D88B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3C612838">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15DCEE45">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0AD82616">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53E0CBDC">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19A839B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335" w:type="dxa"/>
            <w:tcBorders>
              <w:top w:val="nil"/>
              <w:left w:val="nil"/>
              <w:bottom w:val="single" w:color="000000" w:sz="8" w:space="0"/>
              <w:right w:val="single" w:color="000000" w:sz="8" w:space="0"/>
            </w:tcBorders>
            <w:vAlign w:val="center"/>
          </w:tcPr>
          <w:p w14:paraId="663F050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25195C13">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45FB5003">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799611C6">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3427457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vAlign w:val="center"/>
          </w:tcPr>
          <w:p w14:paraId="579C4B5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4468FB2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6F30615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7964D922">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3B85A5C4">
            <w:pPr>
              <w:widowControl/>
              <w:jc w:val="left"/>
              <w:rPr>
                <w:rFonts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vAlign w:val="center"/>
          </w:tcPr>
          <w:p w14:paraId="719D19A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vAlign w:val="center"/>
          </w:tcPr>
          <w:p w14:paraId="3EF25B2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335" w:type="dxa"/>
            <w:tcBorders>
              <w:top w:val="nil"/>
              <w:left w:val="nil"/>
              <w:bottom w:val="single" w:color="000000" w:sz="8" w:space="0"/>
              <w:right w:val="single" w:color="000000" w:sz="8" w:space="0"/>
            </w:tcBorders>
            <w:vAlign w:val="center"/>
          </w:tcPr>
          <w:p w14:paraId="04AEEBC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1D6A903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0770C0B0">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7B0AA85C">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520F0A08">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027E109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335" w:type="dxa"/>
            <w:tcBorders>
              <w:top w:val="nil"/>
              <w:left w:val="nil"/>
              <w:bottom w:val="single" w:color="000000" w:sz="8" w:space="0"/>
              <w:right w:val="single" w:color="000000" w:sz="8" w:space="0"/>
            </w:tcBorders>
            <w:vAlign w:val="center"/>
          </w:tcPr>
          <w:p w14:paraId="52E6075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2AD2E679">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3597FC7">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62265EDE">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3ED0ACF3">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492EB95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335" w:type="dxa"/>
            <w:tcBorders>
              <w:top w:val="nil"/>
              <w:left w:val="nil"/>
              <w:bottom w:val="single" w:color="000000" w:sz="8" w:space="0"/>
              <w:right w:val="single" w:color="000000" w:sz="8" w:space="0"/>
            </w:tcBorders>
            <w:vAlign w:val="center"/>
          </w:tcPr>
          <w:p w14:paraId="65F559D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12C7B8E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A9AD10A">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314D4E71">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45A9EC2C">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02377FC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335" w:type="dxa"/>
            <w:tcBorders>
              <w:top w:val="nil"/>
              <w:left w:val="nil"/>
              <w:bottom w:val="single" w:color="000000" w:sz="8" w:space="0"/>
              <w:right w:val="single" w:color="000000" w:sz="8" w:space="0"/>
            </w:tcBorders>
            <w:vAlign w:val="center"/>
          </w:tcPr>
          <w:p w14:paraId="7B640E0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3A9B30C7">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571AC96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116" w:type="dxa"/>
            <w:vMerge w:val="restart"/>
            <w:tcBorders>
              <w:top w:val="nil"/>
              <w:left w:val="single" w:color="000000" w:sz="8" w:space="0"/>
              <w:bottom w:val="single" w:color="000000" w:sz="8" w:space="0"/>
              <w:right w:val="single" w:color="000000" w:sz="8" w:space="0"/>
            </w:tcBorders>
            <w:vAlign w:val="center"/>
          </w:tcPr>
          <w:p w14:paraId="4D0513D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vAlign w:val="center"/>
          </w:tcPr>
          <w:p w14:paraId="1A04CD6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12" w:type="dxa"/>
            <w:tcBorders>
              <w:top w:val="nil"/>
              <w:left w:val="nil"/>
              <w:bottom w:val="single" w:color="000000" w:sz="8" w:space="0"/>
              <w:right w:val="single" w:color="000000" w:sz="8" w:space="0"/>
            </w:tcBorders>
            <w:vAlign w:val="center"/>
          </w:tcPr>
          <w:p w14:paraId="78CE587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63776FA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2506DC7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079F4CC0">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7EDD06C8">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1C80046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12" w:type="dxa"/>
            <w:tcBorders>
              <w:top w:val="nil"/>
              <w:left w:val="nil"/>
              <w:bottom w:val="single" w:color="000000" w:sz="8" w:space="0"/>
              <w:right w:val="single" w:color="000000" w:sz="8" w:space="0"/>
            </w:tcBorders>
            <w:vAlign w:val="center"/>
          </w:tcPr>
          <w:p w14:paraId="7431ADC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5D6C6C4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649BFBE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1AC0ABB2">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7D39CAC4">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174B2F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12" w:type="dxa"/>
            <w:tcBorders>
              <w:top w:val="nil"/>
              <w:left w:val="nil"/>
              <w:bottom w:val="single" w:color="000000" w:sz="8" w:space="0"/>
              <w:right w:val="single" w:color="000000" w:sz="8" w:space="0"/>
            </w:tcBorders>
            <w:vAlign w:val="center"/>
          </w:tcPr>
          <w:p w14:paraId="32E53BA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6A2937F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3623FCEA">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1490D5C1">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74135A45">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0E5446D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12" w:type="dxa"/>
            <w:tcBorders>
              <w:top w:val="nil"/>
              <w:left w:val="nil"/>
              <w:bottom w:val="single" w:color="000000" w:sz="8" w:space="0"/>
              <w:right w:val="single" w:color="000000" w:sz="8" w:space="0"/>
            </w:tcBorders>
            <w:vAlign w:val="center"/>
          </w:tcPr>
          <w:p w14:paraId="5EC3732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0CEA615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6EC00B5F">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vAlign w:val="center"/>
          </w:tcPr>
          <w:p w14:paraId="1295969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116" w:type="dxa"/>
            <w:tcBorders>
              <w:top w:val="nil"/>
              <w:left w:val="nil"/>
              <w:bottom w:val="single" w:color="000000" w:sz="8" w:space="0"/>
              <w:right w:val="single" w:color="000000" w:sz="8" w:space="0"/>
            </w:tcBorders>
            <w:vAlign w:val="center"/>
          </w:tcPr>
          <w:p w14:paraId="6EE579E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vAlign w:val="center"/>
          </w:tcPr>
          <w:p w14:paraId="79A47B2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12" w:type="dxa"/>
            <w:tcBorders>
              <w:top w:val="nil"/>
              <w:left w:val="nil"/>
              <w:bottom w:val="single" w:color="000000" w:sz="8" w:space="0"/>
              <w:right w:val="single" w:color="000000" w:sz="8" w:space="0"/>
            </w:tcBorders>
            <w:vAlign w:val="center"/>
          </w:tcPr>
          <w:p w14:paraId="0BE52B7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08F245A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0DD371DF">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vAlign w:val="center"/>
          </w:tcPr>
          <w:p w14:paraId="50244CE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116" w:type="dxa"/>
            <w:tcBorders>
              <w:top w:val="nil"/>
              <w:left w:val="nil"/>
              <w:bottom w:val="single" w:color="000000" w:sz="8" w:space="0"/>
              <w:right w:val="single" w:color="000000" w:sz="8" w:space="0"/>
            </w:tcBorders>
            <w:vAlign w:val="center"/>
          </w:tcPr>
          <w:p w14:paraId="6386F37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vAlign w:val="center"/>
          </w:tcPr>
          <w:p w14:paraId="291CD3A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vAlign w:val="center"/>
          </w:tcPr>
          <w:p w14:paraId="0BCDDE9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335" w:type="dxa"/>
            <w:tcBorders>
              <w:top w:val="nil"/>
              <w:left w:val="nil"/>
              <w:bottom w:val="single" w:color="000000" w:sz="8" w:space="0"/>
              <w:right w:val="single" w:color="000000" w:sz="8" w:space="0"/>
            </w:tcBorders>
            <w:vAlign w:val="center"/>
          </w:tcPr>
          <w:p w14:paraId="2AA23DA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656A0EB0">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502F978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116" w:type="dxa"/>
            <w:tcBorders>
              <w:top w:val="nil"/>
              <w:left w:val="nil"/>
              <w:bottom w:val="single" w:color="000000" w:sz="8" w:space="0"/>
              <w:right w:val="single" w:color="000000" w:sz="8" w:space="0"/>
            </w:tcBorders>
            <w:vAlign w:val="center"/>
          </w:tcPr>
          <w:p w14:paraId="3938AC3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vAlign w:val="center"/>
          </w:tcPr>
          <w:p w14:paraId="6CA6FE8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vAlign w:val="center"/>
          </w:tcPr>
          <w:p w14:paraId="40680C0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62197E6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60E61D48">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vAlign w:val="center"/>
          </w:tcPr>
          <w:p w14:paraId="155EFD7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116" w:type="dxa"/>
            <w:vMerge w:val="restart"/>
            <w:tcBorders>
              <w:top w:val="nil"/>
              <w:left w:val="single" w:color="000000" w:sz="8" w:space="0"/>
              <w:bottom w:val="single" w:color="000000" w:sz="8" w:space="0"/>
              <w:right w:val="single" w:color="000000" w:sz="8" w:space="0"/>
            </w:tcBorders>
            <w:vAlign w:val="center"/>
          </w:tcPr>
          <w:p w14:paraId="05692E5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vAlign w:val="center"/>
          </w:tcPr>
          <w:p w14:paraId="7C8EF38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vAlign w:val="center"/>
          </w:tcPr>
          <w:p w14:paraId="315F079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4F9BC25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167DF35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4247F9B5">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39D23FF9">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319C5D7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12" w:type="dxa"/>
            <w:tcBorders>
              <w:top w:val="nil"/>
              <w:left w:val="nil"/>
              <w:bottom w:val="single" w:color="000000" w:sz="8" w:space="0"/>
              <w:right w:val="single" w:color="000000" w:sz="8" w:space="0"/>
            </w:tcBorders>
            <w:vAlign w:val="center"/>
          </w:tcPr>
          <w:p w14:paraId="0E9B7EB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57B8685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5D843183">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A9BB0B9">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59772FA1">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130B1EC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12" w:type="dxa"/>
            <w:tcBorders>
              <w:top w:val="nil"/>
              <w:left w:val="nil"/>
              <w:bottom w:val="single" w:color="000000" w:sz="8" w:space="0"/>
              <w:right w:val="single" w:color="000000" w:sz="8" w:space="0"/>
            </w:tcBorders>
            <w:vAlign w:val="center"/>
          </w:tcPr>
          <w:p w14:paraId="766B5B4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13CB6AE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27F6BF1B">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34D35FE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116" w:type="dxa"/>
            <w:tcBorders>
              <w:top w:val="nil"/>
              <w:left w:val="nil"/>
              <w:bottom w:val="single" w:color="000000" w:sz="8" w:space="0"/>
              <w:right w:val="single" w:color="000000" w:sz="8" w:space="0"/>
            </w:tcBorders>
            <w:vAlign w:val="center"/>
          </w:tcPr>
          <w:p w14:paraId="768782A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vAlign w:val="center"/>
          </w:tcPr>
          <w:p w14:paraId="57218F1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7DF271C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20BEBFF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7FE2FCDE">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4EC14F5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116" w:type="dxa"/>
            <w:tcBorders>
              <w:top w:val="nil"/>
              <w:left w:val="nil"/>
              <w:bottom w:val="single" w:color="000000" w:sz="8" w:space="0"/>
              <w:right w:val="single" w:color="000000" w:sz="8" w:space="0"/>
            </w:tcBorders>
            <w:vAlign w:val="center"/>
          </w:tcPr>
          <w:p w14:paraId="105C8BE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vAlign w:val="center"/>
          </w:tcPr>
          <w:p w14:paraId="78ECC22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1499490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743A68E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2D414B0D">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05CFA0D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116" w:type="dxa"/>
            <w:tcBorders>
              <w:top w:val="nil"/>
              <w:left w:val="nil"/>
              <w:bottom w:val="single" w:color="000000" w:sz="8" w:space="0"/>
              <w:right w:val="single" w:color="000000" w:sz="8" w:space="0"/>
            </w:tcBorders>
            <w:vAlign w:val="center"/>
          </w:tcPr>
          <w:p w14:paraId="51FCEC0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vAlign w:val="center"/>
          </w:tcPr>
          <w:p w14:paraId="0EAD8E8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1A2D6AB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4E1327A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354F52C0">
      <w:pPr>
        <w:pStyle w:val="13"/>
        <w:spacing w:line="360" w:lineRule="auto"/>
        <w:rPr>
          <w:rFonts w:hint="eastAsia"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454AEEEB">
      <w:pPr>
        <w:pStyle w:val="16"/>
        <w:jc w:val="left"/>
        <w:rPr>
          <w:rFonts w:hint="eastAsia" w:ascii="Arial Unicode MS" w:hAnsi="Arial Unicode MS" w:eastAsia="Arial Unicode MS" w:cs="Arial Unicode MS"/>
          <w:color w:val="auto"/>
          <w:sz w:val="32"/>
          <w:szCs w:val="32"/>
          <w:highlight w:val="none"/>
        </w:rPr>
      </w:pPr>
      <w:r>
        <w:rPr>
          <w:rFonts w:hint="eastAsia" w:hAnsi="宋体"/>
          <w:color w:val="auto"/>
          <w:highlight w:val="none"/>
        </w:rPr>
        <w:t xml:space="preserve">    </w:t>
      </w:r>
      <w:r>
        <w:rPr>
          <w:color w:val="auto"/>
          <w:highlight w:val="none"/>
        </w:rPr>
        <w:t>2.</w:t>
      </w:r>
      <w:r>
        <w:rPr>
          <w:rFonts w:hint="eastAsia"/>
          <w:color w:val="auto"/>
          <w:highlight w:val="none"/>
        </w:rPr>
        <w:t>以</w:t>
      </w:r>
      <w:r>
        <w:rPr>
          <w:color w:val="auto"/>
          <w:highlight w:val="none"/>
        </w:rPr>
        <w:t>“</w:t>
      </w:r>
      <w:r>
        <w:rPr>
          <w:rFonts w:hint="eastAsia"/>
          <w:color w:val="auto"/>
          <w:highlight w:val="none"/>
        </w:rPr>
        <w:t>★</w:t>
      </w:r>
      <w:r>
        <w:rPr>
          <w:color w:val="auto"/>
          <w:highlight w:val="none"/>
        </w:rPr>
        <w:t>”</w:t>
      </w:r>
      <w:r>
        <w:rPr>
          <w:rFonts w:hint="eastAsia"/>
          <w:color w:val="auto"/>
          <w:highlight w:val="none"/>
        </w:rPr>
        <w:t>标注的为政府强制采购产品。</w:t>
      </w:r>
      <w:r>
        <w:rPr>
          <w:color w:val="auto"/>
          <w:highlight w:val="none"/>
        </w:rPr>
        <w:br w:type="page"/>
      </w:r>
      <w:r>
        <w:rPr>
          <w:rFonts w:hint="eastAsia" w:ascii="Arial Unicode MS" w:hAnsi="Arial Unicode MS" w:eastAsia="Arial Unicode MS" w:cs="Arial Unicode MS"/>
          <w:color w:val="auto"/>
          <w:sz w:val="32"/>
          <w:szCs w:val="32"/>
          <w:highlight w:val="none"/>
        </w:rPr>
        <w:t>附件2：</w:t>
      </w:r>
    </w:p>
    <w:p w14:paraId="038BD97B">
      <w:pPr>
        <w:spacing w:line="528" w:lineRule="exact"/>
        <w:ind w:left="1871" w:firstLine="1200" w:firstLineChars="300"/>
        <w:rPr>
          <w:rFonts w:hint="eastAsia"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中小微企业划型标准</w:t>
      </w:r>
    </w:p>
    <w:tbl>
      <w:tblPr>
        <w:tblStyle w:val="24"/>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713A5D7F">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2C95EB62">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vAlign w:val="center"/>
          </w:tcPr>
          <w:p w14:paraId="474F69D4">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56903FA4">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2A10C654">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vAlign w:val="center"/>
          </w:tcPr>
          <w:p w14:paraId="76CF6A4F">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3A06057A">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79A5DD6B">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082679A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vAlign w:val="center"/>
          </w:tcPr>
          <w:p w14:paraId="66684FD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AD0824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46D9C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440BE7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3D0EB00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3912617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5290F5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vAlign w:val="center"/>
          </w:tcPr>
          <w:p w14:paraId="426B613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4C5276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2E0B7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45D31D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3D095A2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6D1059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B696D98">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D8397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19C0B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62653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701" w:type="dxa"/>
            <w:tcBorders>
              <w:top w:val="nil"/>
              <w:left w:val="nil"/>
              <w:bottom w:val="single" w:color="auto" w:sz="4" w:space="0"/>
              <w:right w:val="single" w:color="auto" w:sz="4" w:space="0"/>
            </w:tcBorders>
            <w:vAlign w:val="center"/>
          </w:tcPr>
          <w:p w14:paraId="31E77D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4978114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1BA2481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67FBBC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vAlign w:val="center"/>
          </w:tcPr>
          <w:p w14:paraId="4835821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038FF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00772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701" w:type="dxa"/>
            <w:tcBorders>
              <w:top w:val="nil"/>
              <w:left w:val="nil"/>
              <w:bottom w:val="single" w:color="auto" w:sz="4" w:space="0"/>
              <w:right w:val="single" w:color="auto" w:sz="4" w:space="0"/>
            </w:tcBorders>
            <w:vAlign w:val="center"/>
          </w:tcPr>
          <w:p w14:paraId="06AA23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2F4A8E4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0F3B259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CD16E8C">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53CD3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5D8CB8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1253F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701" w:type="dxa"/>
            <w:tcBorders>
              <w:top w:val="nil"/>
              <w:left w:val="nil"/>
              <w:bottom w:val="single" w:color="auto" w:sz="4" w:space="0"/>
              <w:right w:val="single" w:color="auto" w:sz="4" w:space="0"/>
            </w:tcBorders>
            <w:vAlign w:val="center"/>
          </w:tcPr>
          <w:p w14:paraId="6836D14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25DEB72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2D566B4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BE866D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vAlign w:val="center"/>
          </w:tcPr>
          <w:p w14:paraId="7CE89A7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92110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005C9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701" w:type="dxa"/>
            <w:tcBorders>
              <w:top w:val="nil"/>
              <w:left w:val="nil"/>
              <w:bottom w:val="single" w:color="auto" w:sz="4" w:space="0"/>
              <w:right w:val="single" w:color="auto" w:sz="4" w:space="0"/>
            </w:tcBorders>
            <w:vAlign w:val="center"/>
          </w:tcPr>
          <w:p w14:paraId="5EC091F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1043A4E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0F57F40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43A012E">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036AF8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0B5D07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4FBDB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701" w:type="dxa"/>
            <w:tcBorders>
              <w:top w:val="nil"/>
              <w:left w:val="nil"/>
              <w:bottom w:val="single" w:color="auto" w:sz="4" w:space="0"/>
              <w:right w:val="single" w:color="auto" w:sz="4" w:space="0"/>
            </w:tcBorders>
            <w:vAlign w:val="center"/>
          </w:tcPr>
          <w:p w14:paraId="0592CF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525D01F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401175B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C96420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vAlign w:val="center"/>
          </w:tcPr>
          <w:p w14:paraId="10D5137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F195D9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7B3421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701" w:type="dxa"/>
            <w:tcBorders>
              <w:top w:val="nil"/>
              <w:left w:val="nil"/>
              <w:bottom w:val="single" w:color="auto" w:sz="4" w:space="0"/>
              <w:right w:val="single" w:color="auto" w:sz="4" w:space="0"/>
            </w:tcBorders>
            <w:vAlign w:val="center"/>
          </w:tcPr>
          <w:p w14:paraId="17E48C7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3E3947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D33159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5EBA94F">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E5320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3F4357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D2E4CD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251CA4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1B686D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C5AC01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9B871B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vAlign w:val="center"/>
          </w:tcPr>
          <w:p w14:paraId="45BC2C9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FEF00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38930F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2D9DC6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771631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4A7860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D1D8D7E">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0DA681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93151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33AD90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701" w:type="dxa"/>
            <w:tcBorders>
              <w:top w:val="nil"/>
              <w:left w:val="nil"/>
              <w:bottom w:val="single" w:color="auto" w:sz="4" w:space="0"/>
              <w:right w:val="single" w:color="auto" w:sz="4" w:space="0"/>
            </w:tcBorders>
            <w:vAlign w:val="center"/>
          </w:tcPr>
          <w:p w14:paraId="3A3532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5F400EB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500B4D6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14F491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vAlign w:val="center"/>
          </w:tcPr>
          <w:p w14:paraId="2A9A7C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DEB87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32D139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701" w:type="dxa"/>
            <w:tcBorders>
              <w:top w:val="nil"/>
              <w:left w:val="nil"/>
              <w:bottom w:val="single" w:color="auto" w:sz="4" w:space="0"/>
              <w:right w:val="single" w:color="auto" w:sz="4" w:space="0"/>
            </w:tcBorders>
            <w:vAlign w:val="center"/>
          </w:tcPr>
          <w:p w14:paraId="49FD49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0E1F3E1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68AE1C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67A1D55">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5B59DD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F839D7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E7B7B1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701" w:type="dxa"/>
            <w:tcBorders>
              <w:top w:val="nil"/>
              <w:left w:val="nil"/>
              <w:bottom w:val="single" w:color="auto" w:sz="4" w:space="0"/>
              <w:right w:val="single" w:color="auto" w:sz="4" w:space="0"/>
            </w:tcBorders>
            <w:vAlign w:val="center"/>
          </w:tcPr>
          <w:p w14:paraId="7112159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0409AC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D472D4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1DC0A0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vAlign w:val="center"/>
          </w:tcPr>
          <w:p w14:paraId="269E798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43C4F6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CB7DED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289192D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1E7F752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00F324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30980E4">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64A14E6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8E7C7D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21226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701" w:type="dxa"/>
            <w:tcBorders>
              <w:top w:val="nil"/>
              <w:left w:val="nil"/>
              <w:bottom w:val="single" w:color="auto" w:sz="4" w:space="0"/>
              <w:right w:val="single" w:color="auto" w:sz="4" w:space="0"/>
            </w:tcBorders>
            <w:vAlign w:val="center"/>
          </w:tcPr>
          <w:p w14:paraId="40C10B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06E160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59DF8E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9C7C2F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vAlign w:val="center"/>
          </w:tcPr>
          <w:p w14:paraId="2A2039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8D98F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0102ED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101AEE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0014E77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FCEBB4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2094A21">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30C4E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E27D7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D0BF4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09A47B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47C6F4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C237FC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937718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vAlign w:val="center"/>
          </w:tcPr>
          <w:p w14:paraId="19EF03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99CC74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6AE6AE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534DE7E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A6BAB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E9E641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70D9763">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0CFA5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C3F433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498D1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304DC1C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16F858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0EF6ED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A1EA30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vAlign w:val="center"/>
          </w:tcPr>
          <w:p w14:paraId="69D05F1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6B287C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D2CB6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701" w:type="dxa"/>
            <w:tcBorders>
              <w:top w:val="nil"/>
              <w:left w:val="nil"/>
              <w:bottom w:val="single" w:color="auto" w:sz="4" w:space="0"/>
              <w:right w:val="single" w:color="auto" w:sz="4" w:space="0"/>
            </w:tcBorders>
            <w:vAlign w:val="center"/>
          </w:tcPr>
          <w:p w14:paraId="671AC5E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27C4EE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26DE03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863FD8C">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2E46A1F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6A4C57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20EC5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vAlign w:val="center"/>
          </w:tcPr>
          <w:p w14:paraId="0C478C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57C88F1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30B377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89A0A5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vAlign w:val="center"/>
          </w:tcPr>
          <w:p w14:paraId="7FF174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4E666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37D204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4FA7717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3E8F3C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23D89F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06DA10C">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271DF4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899D42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A0D74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701" w:type="dxa"/>
            <w:tcBorders>
              <w:top w:val="nil"/>
              <w:left w:val="nil"/>
              <w:bottom w:val="single" w:color="auto" w:sz="4" w:space="0"/>
              <w:right w:val="single" w:color="auto" w:sz="4" w:space="0"/>
            </w:tcBorders>
            <w:vAlign w:val="center"/>
          </w:tcPr>
          <w:p w14:paraId="3A4A0F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5D0B5E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135C997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4F381F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vAlign w:val="center"/>
          </w:tcPr>
          <w:p w14:paraId="5AB8EB2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602B6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DDCF23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vAlign w:val="center"/>
          </w:tcPr>
          <w:p w14:paraId="4E46F9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4B71EA1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418E9A1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B0D9CA6">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8DC3FB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48FBC22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9D48AE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701" w:type="dxa"/>
            <w:tcBorders>
              <w:top w:val="nil"/>
              <w:left w:val="nil"/>
              <w:bottom w:val="single" w:color="auto" w:sz="4" w:space="0"/>
              <w:right w:val="single" w:color="auto" w:sz="4" w:space="0"/>
            </w:tcBorders>
            <w:vAlign w:val="center"/>
          </w:tcPr>
          <w:p w14:paraId="3A1505B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447971F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6E79A2E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D44F5A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vAlign w:val="center"/>
          </w:tcPr>
          <w:p w14:paraId="600F157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C2BB67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738236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701626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035962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5D42433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53F9B2C">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06A441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C92664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EEC10C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701" w:type="dxa"/>
            <w:tcBorders>
              <w:top w:val="nil"/>
              <w:left w:val="nil"/>
              <w:bottom w:val="single" w:color="auto" w:sz="4" w:space="0"/>
              <w:right w:val="single" w:color="auto" w:sz="4" w:space="0"/>
            </w:tcBorders>
            <w:vAlign w:val="center"/>
          </w:tcPr>
          <w:p w14:paraId="563DFF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1C55FF4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244C88E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D24C02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vAlign w:val="center"/>
          </w:tcPr>
          <w:p w14:paraId="773D89D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E7E28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C0893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1337AF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3B6FC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B804AB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571AE1F">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9B399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13C97C1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99C7A2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vAlign w:val="center"/>
          </w:tcPr>
          <w:p w14:paraId="3772B7C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5D10C38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009C4BF">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1172544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vAlign w:val="center"/>
          </w:tcPr>
          <w:p w14:paraId="14ADC15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D3621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206DD2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34A7538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68B0AB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4F92357A">
      <w:pPr>
        <w:spacing w:line="560" w:lineRule="exact"/>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1936CC9">
      <w:pPr>
        <w:pStyle w:val="16"/>
        <w:jc w:val="center"/>
        <w:outlineLvl w:val="0"/>
        <w:rPr>
          <w:rFonts w:hAnsi="宋体"/>
          <w:color w:val="auto"/>
          <w:highlight w:val="none"/>
        </w:rPr>
        <w:sectPr>
          <w:pgSz w:w="11906" w:h="16838"/>
          <w:pgMar w:top="1134" w:right="1134" w:bottom="1134" w:left="1134" w:header="720" w:footer="720" w:gutter="0"/>
          <w:pgNumType w:fmt="decimal"/>
          <w:cols w:space="720" w:num="1"/>
          <w:titlePg/>
          <w:docGrid w:type="lines" w:linePitch="331" w:charSpace="0"/>
        </w:sectPr>
      </w:pPr>
    </w:p>
    <w:p w14:paraId="71318D09">
      <w:pPr>
        <w:pStyle w:val="16"/>
        <w:jc w:val="center"/>
        <w:outlineLvl w:val="0"/>
        <w:rPr>
          <w:rFonts w:hint="eastAsia" w:hAnsi="宋体" w:cs="宋体"/>
          <w:b/>
          <w:color w:val="auto"/>
          <w:sz w:val="36"/>
          <w:szCs w:val="36"/>
          <w:highlight w:val="none"/>
        </w:rPr>
      </w:pPr>
      <w:bookmarkStart w:id="14" w:name="_Toc4313"/>
      <w:bookmarkStart w:id="15" w:name="_Toc7604"/>
      <w:bookmarkStart w:id="16" w:name="_Toc80092992"/>
      <w:bookmarkStart w:id="17" w:name="_Toc532545044"/>
      <w:r>
        <w:rPr>
          <w:rFonts w:hint="eastAsia" w:hAnsi="宋体" w:cs="宋体"/>
          <w:b/>
          <w:color w:val="auto"/>
          <w:sz w:val="36"/>
          <w:highlight w:val="none"/>
        </w:rPr>
        <w:t>第三章  供应商须知</w:t>
      </w:r>
      <w:bookmarkEnd w:id="14"/>
      <w:bookmarkEnd w:id="15"/>
      <w:bookmarkEnd w:id="16"/>
      <w:bookmarkEnd w:id="17"/>
    </w:p>
    <w:p w14:paraId="297FCEE4">
      <w:pPr>
        <w:spacing w:line="720" w:lineRule="auto"/>
        <w:jc w:val="center"/>
        <w:outlineLvl w:val="1"/>
        <w:rPr>
          <w:rFonts w:ascii="Times New Roman" w:hAnsi="Times New Roman"/>
          <w:b/>
          <w:color w:val="auto"/>
          <w:sz w:val="30"/>
          <w:szCs w:val="30"/>
          <w:highlight w:val="none"/>
        </w:rPr>
      </w:pPr>
      <w:bookmarkStart w:id="18" w:name="_Toc17008"/>
      <w:bookmarkStart w:id="19" w:name="_Toc30403"/>
      <w:bookmarkStart w:id="20" w:name="_Toc13651"/>
      <w:bookmarkStart w:id="21" w:name="_Toc80092993"/>
      <w:r>
        <w:rPr>
          <w:rFonts w:hint="eastAsia" w:ascii="Times New Roman" w:hAnsi="Times New Roman"/>
          <w:b/>
          <w:color w:val="auto"/>
          <w:sz w:val="30"/>
          <w:szCs w:val="30"/>
          <w:highlight w:val="none"/>
        </w:rPr>
        <w:t>第一节</w:t>
      </w:r>
      <w:r>
        <w:rPr>
          <w:rFonts w:ascii="Times New Roman" w:hAnsi="Times New Roman"/>
          <w:b/>
          <w:color w:val="auto"/>
          <w:sz w:val="30"/>
          <w:szCs w:val="30"/>
          <w:highlight w:val="none"/>
        </w:rPr>
        <w:t xml:space="preserve"> </w:t>
      </w:r>
      <w:r>
        <w:rPr>
          <w:rFonts w:hint="eastAsia" w:ascii="Times New Roman" w:hAnsi="Times New Roman"/>
          <w:b/>
          <w:color w:val="auto"/>
          <w:sz w:val="30"/>
          <w:szCs w:val="30"/>
          <w:highlight w:val="none"/>
        </w:rPr>
        <w:t>供应商须知前附表</w:t>
      </w:r>
      <w:bookmarkEnd w:id="18"/>
      <w:bookmarkEnd w:id="19"/>
    </w:p>
    <w:tbl>
      <w:tblPr>
        <w:tblStyle w:val="24"/>
        <w:tblW w:w="97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1"/>
        <w:gridCol w:w="1966"/>
        <w:gridCol w:w="6881"/>
      </w:tblGrid>
      <w:tr w14:paraId="74D48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top w:val="single" w:color="auto" w:sz="4" w:space="0"/>
              <w:left w:val="single" w:color="auto" w:sz="4" w:space="0"/>
              <w:bottom w:val="single" w:color="auto" w:sz="4" w:space="0"/>
              <w:right w:val="single" w:color="auto" w:sz="4" w:space="0"/>
            </w:tcBorders>
            <w:vAlign w:val="center"/>
          </w:tcPr>
          <w:p w14:paraId="2BF80BDF">
            <w:pPr>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1966" w:type="dxa"/>
            <w:tcBorders>
              <w:top w:val="single" w:color="auto" w:sz="4" w:space="0"/>
              <w:left w:val="single" w:color="auto" w:sz="4" w:space="0"/>
              <w:bottom w:val="single" w:color="auto" w:sz="4" w:space="0"/>
              <w:right w:val="single" w:color="auto" w:sz="4" w:space="0"/>
            </w:tcBorders>
            <w:vAlign w:val="center"/>
          </w:tcPr>
          <w:p w14:paraId="31965F0C">
            <w:pPr>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项目内容</w:t>
            </w:r>
          </w:p>
        </w:tc>
        <w:tc>
          <w:tcPr>
            <w:tcW w:w="6881" w:type="dxa"/>
            <w:tcBorders>
              <w:top w:val="single" w:color="auto" w:sz="4" w:space="0"/>
              <w:left w:val="single" w:color="auto" w:sz="4" w:space="0"/>
              <w:bottom w:val="single" w:color="auto" w:sz="4" w:space="0"/>
              <w:right w:val="single" w:color="auto" w:sz="4" w:space="0"/>
            </w:tcBorders>
            <w:vAlign w:val="center"/>
          </w:tcPr>
          <w:p w14:paraId="1C6AC288">
            <w:pPr>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编列内容</w:t>
            </w:r>
          </w:p>
        </w:tc>
      </w:tr>
      <w:tr w14:paraId="0C221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top w:val="single" w:color="auto" w:sz="4" w:space="0"/>
              <w:left w:val="single" w:color="auto" w:sz="4" w:space="0"/>
              <w:bottom w:val="single" w:color="auto" w:sz="4" w:space="0"/>
              <w:right w:val="single" w:color="auto" w:sz="4" w:space="0"/>
            </w:tcBorders>
            <w:vAlign w:val="center"/>
          </w:tcPr>
          <w:p w14:paraId="104F85A4">
            <w:pPr>
              <w:snapToGrid w:val="0"/>
              <w:spacing w:line="400" w:lineRule="exact"/>
              <w:jc w:val="center"/>
              <w:rPr>
                <w:rFonts w:ascii="宋体" w:hAnsi="宋体" w:cs="宋体"/>
                <w:color w:val="auto"/>
                <w:szCs w:val="21"/>
                <w:highlight w:val="none"/>
              </w:rPr>
            </w:pPr>
            <w:r>
              <w:rPr>
                <w:rFonts w:hint="eastAsia"/>
                <w:color w:val="auto"/>
                <w:highlight w:val="none"/>
              </w:rPr>
              <w:t>1</w:t>
            </w:r>
            <w:r>
              <w:rPr>
                <w:color w:val="auto"/>
                <w:highlight w:val="none"/>
              </w:rPr>
              <w:t>.</w:t>
            </w:r>
            <w:r>
              <w:rPr>
                <w:rFonts w:hint="eastAsia"/>
                <w:color w:val="auto"/>
                <w:highlight w:val="none"/>
              </w:rPr>
              <w:t>3</w:t>
            </w:r>
            <w:r>
              <w:rPr>
                <w:color w:val="auto"/>
                <w:highlight w:val="none"/>
              </w:rPr>
              <w:t>.</w:t>
            </w:r>
            <w:r>
              <w:rPr>
                <w:rFonts w:hint="eastAsia" w:ascii="宋体" w:hAnsi="宋体" w:cs="宋体"/>
                <w:color w:val="auto"/>
                <w:szCs w:val="21"/>
                <w:highlight w:val="none"/>
              </w:rPr>
              <w:t>1</w:t>
            </w:r>
          </w:p>
        </w:tc>
        <w:tc>
          <w:tcPr>
            <w:tcW w:w="1966" w:type="dxa"/>
            <w:tcBorders>
              <w:top w:val="single" w:color="auto" w:sz="4" w:space="0"/>
              <w:left w:val="single" w:color="auto" w:sz="4" w:space="0"/>
              <w:bottom w:val="single" w:color="auto" w:sz="4" w:space="0"/>
              <w:right w:val="single" w:color="auto" w:sz="4" w:space="0"/>
            </w:tcBorders>
            <w:vAlign w:val="center"/>
          </w:tcPr>
          <w:p w14:paraId="42A6018F">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项目名称及编号</w:t>
            </w:r>
          </w:p>
        </w:tc>
        <w:tc>
          <w:tcPr>
            <w:tcW w:w="6881" w:type="dxa"/>
            <w:tcBorders>
              <w:top w:val="single" w:color="auto" w:sz="4" w:space="0"/>
              <w:left w:val="single" w:color="auto" w:sz="4" w:space="0"/>
              <w:bottom w:val="single" w:color="auto" w:sz="4" w:space="0"/>
              <w:right w:val="single" w:color="auto" w:sz="4" w:space="0"/>
            </w:tcBorders>
            <w:vAlign w:val="center"/>
          </w:tcPr>
          <w:p w14:paraId="5CDAA32E">
            <w:pPr>
              <w:snapToGrid w:val="0"/>
              <w:spacing w:line="400" w:lineRule="exact"/>
              <w:jc w:val="left"/>
              <w:rPr>
                <w:rFonts w:hint="eastAsia" w:eastAsiaTheme="minorEastAsia"/>
                <w:color w:val="auto"/>
                <w:highlight w:val="none"/>
                <w:lang w:eastAsia="zh-CN"/>
              </w:rPr>
            </w:pPr>
            <w:r>
              <w:rPr>
                <w:rFonts w:hint="eastAsia"/>
                <w:color w:val="auto"/>
                <w:highlight w:val="none"/>
              </w:rPr>
              <w:t>项目名称：</w:t>
            </w:r>
            <w:r>
              <w:rPr>
                <w:rFonts w:hint="eastAsia"/>
                <w:color w:val="auto"/>
                <w:highlight w:val="none"/>
                <w:lang w:eastAsia="zh-CN"/>
              </w:rPr>
              <w:t>广西—东盟经济技术开发区2025-2027年度预算单位车辆维修和保养服务框架协议采购</w:t>
            </w:r>
          </w:p>
          <w:p w14:paraId="65FC1E62">
            <w:pPr>
              <w:snapToGrid w:val="0"/>
              <w:spacing w:line="400" w:lineRule="exact"/>
              <w:jc w:val="left"/>
              <w:rPr>
                <w:rFonts w:hint="eastAsia" w:eastAsiaTheme="minorEastAsia"/>
                <w:color w:val="auto"/>
                <w:highlight w:val="none"/>
                <w:lang w:eastAsia="zh-CN"/>
              </w:rPr>
            </w:pPr>
            <w:r>
              <w:rPr>
                <w:rFonts w:hint="eastAsia"/>
                <w:color w:val="auto"/>
                <w:highlight w:val="none"/>
              </w:rPr>
              <w:t>项目编号：</w:t>
            </w:r>
            <w:r>
              <w:rPr>
                <w:rFonts w:hint="eastAsia" w:ascii="宋体" w:hAnsi="宋体" w:eastAsia="宋体" w:cs="宋体"/>
                <w:color w:val="auto"/>
                <w:highlight w:val="none"/>
                <w:lang w:eastAsia="zh-CN"/>
              </w:rPr>
              <w:t>NNZC2025-K3-510013-GXJL</w:t>
            </w:r>
          </w:p>
        </w:tc>
      </w:tr>
      <w:tr w14:paraId="65767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top w:val="single" w:color="auto" w:sz="4" w:space="0"/>
              <w:left w:val="single" w:color="auto" w:sz="4" w:space="0"/>
              <w:bottom w:val="single" w:color="auto" w:sz="4" w:space="0"/>
              <w:right w:val="single" w:color="auto" w:sz="4" w:space="0"/>
            </w:tcBorders>
            <w:vAlign w:val="center"/>
          </w:tcPr>
          <w:p w14:paraId="3E16CBE8">
            <w:pPr>
              <w:snapToGrid w:val="0"/>
              <w:spacing w:line="400" w:lineRule="exact"/>
              <w:jc w:val="center"/>
              <w:rPr>
                <w:rFonts w:ascii="宋体" w:hAnsi="宋体" w:cs="宋体"/>
                <w:color w:val="auto"/>
                <w:szCs w:val="21"/>
                <w:highlight w:val="none"/>
              </w:rPr>
            </w:pPr>
            <w:r>
              <w:rPr>
                <w:rFonts w:hint="eastAsia"/>
                <w:color w:val="auto"/>
                <w:highlight w:val="none"/>
              </w:rPr>
              <w:t>1</w:t>
            </w:r>
            <w:r>
              <w:rPr>
                <w:color w:val="auto"/>
                <w:highlight w:val="none"/>
              </w:rPr>
              <w:t>.</w:t>
            </w:r>
            <w:r>
              <w:rPr>
                <w:rFonts w:hint="eastAsia"/>
                <w:color w:val="auto"/>
                <w:highlight w:val="none"/>
              </w:rPr>
              <w:t>3</w:t>
            </w:r>
            <w:r>
              <w:rPr>
                <w:color w:val="auto"/>
                <w:highlight w:val="none"/>
              </w:rPr>
              <w:t>.</w:t>
            </w:r>
            <w:r>
              <w:rPr>
                <w:rFonts w:hint="eastAsia" w:ascii="宋体" w:hAnsi="宋体" w:cs="宋体"/>
                <w:color w:val="auto"/>
                <w:szCs w:val="21"/>
                <w:highlight w:val="none"/>
              </w:rPr>
              <w:t>2</w:t>
            </w:r>
          </w:p>
        </w:tc>
        <w:tc>
          <w:tcPr>
            <w:tcW w:w="1966" w:type="dxa"/>
            <w:tcBorders>
              <w:top w:val="single" w:color="auto" w:sz="4" w:space="0"/>
              <w:left w:val="single" w:color="auto" w:sz="4" w:space="0"/>
              <w:bottom w:val="single" w:color="auto" w:sz="4" w:space="0"/>
              <w:right w:val="single" w:color="auto" w:sz="4" w:space="0"/>
            </w:tcBorders>
            <w:vAlign w:val="center"/>
          </w:tcPr>
          <w:p w14:paraId="2042B677">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采购方式</w:t>
            </w:r>
          </w:p>
        </w:tc>
        <w:tc>
          <w:tcPr>
            <w:tcW w:w="6881" w:type="dxa"/>
            <w:tcBorders>
              <w:top w:val="single" w:color="auto" w:sz="4" w:space="0"/>
              <w:left w:val="single" w:color="auto" w:sz="4" w:space="0"/>
              <w:bottom w:val="single" w:color="auto" w:sz="4" w:space="0"/>
              <w:right w:val="single" w:color="auto" w:sz="4" w:space="0"/>
            </w:tcBorders>
            <w:vAlign w:val="center"/>
          </w:tcPr>
          <w:p w14:paraId="78D218DE">
            <w:pPr>
              <w:widowControl/>
              <w:spacing w:line="400" w:lineRule="exact"/>
              <w:jc w:val="left"/>
              <w:rPr>
                <w:color w:val="auto"/>
                <w:highlight w:val="none"/>
              </w:rPr>
            </w:pPr>
            <w:r>
              <w:rPr>
                <w:color w:val="auto"/>
                <w:highlight w:val="none"/>
              </w:rPr>
              <w:t>框架协议采购</w:t>
            </w:r>
          </w:p>
        </w:tc>
      </w:tr>
      <w:tr w14:paraId="0B8A2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top w:val="single" w:color="auto" w:sz="4" w:space="0"/>
              <w:left w:val="single" w:color="auto" w:sz="4" w:space="0"/>
              <w:bottom w:val="single" w:color="auto" w:sz="4" w:space="0"/>
              <w:right w:val="single" w:color="auto" w:sz="4" w:space="0"/>
            </w:tcBorders>
            <w:vAlign w:val="center"/>
          </w:tcPr>
          <w:p w14:paraId="141ACA3F">
            <w:pPr>
              <w:snapToGrid w:val="0"/>
              <w:spacing w:line="400" w:lineRule="exact"/>
              <w:jc w:val="center"/>
              <w:rPr>
                <w:rFonts w:ascii="宋体" w:hAnsi="宋体" w:cs="宋体"/>
                <w:color w:val="auto"/>
                <w:szCs w:val="21"/>
                <w:highlight w:val="none"/>
              </w:rPr>
            </w:pPr>
            <w:r>
              <w:rPr>
                <w:rFonts w:hint="eastAsia"/>
                <w:color w:val="auto"/>
                <w:highlight w:val="none"/>
              </w:rPr>
              <w:t>1</w:t>
            </w:r>
            <w:r>
              <w:rPr>
                <w:color w:val="auto"/>
                <w:highlight w:val="none"/>
              </w:rPr>
              <w:t>.</w:t>
            </w:r>
            <w:r>
              <w:rPr>
                <w:rFonts w:hint="eastAsia"/>
                <w:color w:val="auto"/>
                <w:highlight w:val="none"/>
              </w:rPr>
              <w:t>3</w:t>
            </w:r>
            <w:r>
              <w:rPr>
                <w:color w:val="auto"/>
                <w:highlight w:val="none"/>
              </w:rPr>
              <w:t>.</w:t>
            </w:r>
            <w:r>
              <w:rPr>
                <w:rFonts w:hint="eastAsia" w:ascii="宋体" w:hAnsi="宋体" w:cs="宋体"/>
                <w:color w:val="auto"/>
                <w:szCs w:val="21"/>
                <w:highlight w:val="none"/>
              </w:rPr>
              <w:t>3</w:t>
            </w:r>
          </w:p>
        </w:tc>
        <w:tc>
          <w:tcPr>
            <w:tcW w:w="1966" w:type="dxa"/>
            <w:tcBorders>
              <w:top w:val="single" w:color="auto" w:sz="4" w:space="0"/>
              <w:left w:val="single" w:color="auto" w:sz="4" w:space="0"/>
              <w:bottom w:val="single" w:color="auto" w:sz="4" w:space="0"/>
              <w:right w:val="single" w:color="auto" w:sz="4" w:space="0"/>
            </w:tcBorders>
            <w:vAlign w:val="center"/>
          </w:tcPr>
          <w:p w14:paraId="1A64B497">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项目类别</w:t>
            </w:r>
          </w:p>
        </w:tc>
        <w:tc>
          <w:tcPr>
            <w:tcW w:w="6881" w:type="dxa"/>
            <w:tcBorders>
              <w:top w:val="single" w:color="auto" w:sz="4" w:space="0"/>
              <w:left w:val="single" w:color="auto" w:sz="4" w:space="0"/>
              <w:bottom w:val="single" w:color="auto" w:sz="4" w:space="0"/>
              <w:right w:val="single" w:color="auto" w:sz="4" w:space="0"/>
            </w:tcBorders>
            <w:vAlign w:val="center"/>
          </w:tcPr>
          <w:p w14:paraId="5D79823E">
            <w:pPr>
              <w:snapToGrid w:val="0"/>
              <w:spacing w:line="400" w:lineRule="exact"/>
              <w:jc w:val="left"/>
              <w:rPr>
                <w:color w:val="auto"/>
                <w:szCs w:val="21"/>
                <w:highlight w:val="none"/>
              </w:rPr>
            </w:pPr>
            <w:r>
              <w:rPr>
                <w:rFonts w:ascii="宋体" w:hAnsi="宋体" w:cs="宋体"/>
                <w:color w:val="auto"/>
                <w:szCs w:val="21"/>
                <w:highlight w:val="none"/>
              </w:rPr>
              <w:t>本项目为</w:t>
            </w:r>
            <w:r>
              <w:rPr>
                <w:rFonts w:hint="eastAsia"/>
                <w:color w:val="auto"/>
                <w:spacing w:val="60"/>
                <w:szCs w:val="21"/>
                <w:highlight w:val="none"/>
              </w:rPr>
              <w:t>：</w:t>
            </w:r>
            <w:r>
              <w:rPr>
                <w:rFonts w:ascii="宋体" w:hAnsi="宋体" w:cs="宋体"/>
                <w:color w:val="auto"/>
                <w:szCs w:val="21"/>
                <w:highlight w:val="none"/>
              </w:rPr>
              <w:t>□货物</w:t>
            </w:r>
            <w:r>
              <w:rPr>
                <w:color w:val="auto"/>
                <w:spacing w:val="60"/>
                <w:szCs w:val="21"/>
                <w:highlight w:val="none"/>
              </w:rPr>
              <w:t xml:space="preserve"> </w:t>
            </w:r>
            <w:r>
              <w:rPr>
                <w:rFonts w:hint="eastAsia" w:ascii="MS Gothic" w:hAnsi="MS Gothic" w:eastAsia="MS Gothic" w:cs="MS Gothic"/>
                <w:color w:val="auto"/>
                <w:highlight w:val="none"/>
              </w:rPr>
              <w:t>☑</w:t>
            </w:r>
            <w:r>
              <w:rPr>
                <w:rFonts w:ascii="宋体" w:hAnsi="宋体" w:cs="宋体"/>
                <w:color w:val="auto"/>
                <w:szCs w:val="21"/>
                <w:highlight w:val="none"/>
              </w:rPr>
              <w:t>服务采购。</w:t>
            </w:r>
          </w:p>
        </w:tc>
      </w:tr>
      <w:tr w14:paraId="1CBF9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top w:val="single" w:color="auto" w:sz="4" w:space="0"/>
              <w:left w:val="single" w:color="auto" w:sz="4" w:space="0"/>
              <w:bottom w:val="single" w:color="auto" w:sz="4" w:space="0"/>
              <w:right w:val="single" w:color="auto" w:sz="4" w:space="0"/>
            </w:tcBorders>
            <w:vAlign w:val="center"/>
          </w:tcPr>
          <w:p w14:paraId="160D106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6.1</w:t>
            </w:r>
          </w:p>
        </w:tc>
        <w:tc>
          <w:tcPr>
            <w:tcW w:w="1966" w:type="dxa"/>
            <w:tcBorders>
              <w:top w:val="single" w:color="auto" w:sz="4" w:space="0"/>
              <w:left w:val="single" w:color="auto" w:sz="4" w:space="0"/>
              <w:bottom w:val="single" w:color="auto" w:sz="4" w:space="0"/>
              <w:right w:val="single" w:color="auto" w:sz="4" w:space="0"/>
            </w:tcBorders>
            <w:vAlign w:val="center"/>
          </w:tcPr>
          <w:p w14:paraId="288E18E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6881" w:type="dxa"/>
            <w:tcBorders>
              <w:top w:val="single" w:color="auto" w:sz="4" w:space="0"/>
              <w:left w:val="single" w:color="auto" w:sz="4" w:space="0"/>
              <w:bottom w:val="single" w:color="auto" w:sz="4" w:space="0"/>
              <w:right w:val="single" w:color="auto" w:sz="4" w:space="0"/>
            </w:tcBorders>
            <w:vAlign w:val="center"/>
          </w:tcPr>
          <w:p w14:paraId="7D687162">
            <w:pPr>
              <w:spacing w:line="400" w:lineRule="exact"/>
              <w:jc w:val="left"/>
              <w:rPr>
                <w:rFonts w:ascii="宋体" w:hAnsi="宋体" w:cs="宋体"/>
                <w:color w:val="auto"/>
                <w:szCs w:val="21"/>
                <w:highlight w:val="none"/>
              </w:rPr>
            </w:pPr>
            <w:r>
              <w:rPr>
                <w:rFonts w:hint="eastAsia"/>
                <w:color w:val="auto"/>
                <w:highlight w:val="none"/>
              </w:rPr>
              <w:t>不允许</w:t>
            </w:r>
          </w:p>
        </w:tc>
      </w:tr>
      <w:tr w14:paraId="7A434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top w:val="single" w:color="auto" w:sz="4" w:space="0"/>
              <w:left w:val="single" w:color="auto" w:sz="4" w:space="0"/>
              <w:bottom w:val="single" w:color="auto" w:sz="4" w:space="0"/>
              <w:right w:val="single" w:color="auto" w:sz="4" w:space="0"/>
            </w:tcBorders>
            <w:vAlign w:val="center"/>
          </w:tcPr>
          <w:p w14:paraId="4A5C38F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1966" w:type="dxa"/>
            <w:tcBorders>
              <w:top w:val="single" w:color="auto" w:sz="4" w:space="0"/>
              <w:left w:val="single" w:color="auto" w:sz="4" w:space="0"/>
              <w:bottom w:val="single" w:color="auto" w:sz="4" w:space="0"/>
              <w:right w:val="single" w:color="auto" w:sz="4" w:space="0"/>
            </w:tcBorders>
            <w:vAlign w:val="center"/>
          </w:tcPr>
          <w:p w14:paraId="478594E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6881" w:type="dxa"/>
            <w:tcBorders>
              <w:top w:val="single" w:color="auto" w:sz="4" w:space="0"/>
              <w:left w:val="single" w:color="auto" w:sz="4" w:space="0"/>
              <w:bottom w:val="single" w:color="auto" w:sz="4" w:space="0"/>
              <w:right w:val="single" w:color="auto" w:sz="4" w:space="0"/>
            </w:tcBorders>
            <w:vAlign w:val="center"/>
          </w:tcPr>
          <w:p w14:paraId="09F913E1">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不允许转包/分包</w:t>
            </w:r>
          </w:p>
        </w:tc>
      </w:tr>
      <w:tr w14:paraId="0CBB2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top w:val="single" w:color="auto" w:sz="4" w:space="0"/>
              <w:left w:val="single" w:color="auto" w:sz="4" w:space="0"/>
              <w:bottom w:val="single" w:color="auto" w:sz="4" w:space="0"/>
              <w:right w:val="single" w:color="auto" w:sz="4" w:space="0"/>
            </w:tcBorders>
            <w:vAlign w:val="center"/>
          </w:tcPr>
          <w:p w14:paraId="77E37367">
            <w:pPr>
              <w:spacing w:line="400" w:lineRule="exact"/>
              <w:jc w:val="center"/>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1</w:t>
            </w:r>
          </w:p>
        </w:tc>
        <w:tc>
          <w:tcPr>
            <w:tcW w:w="1966" w:type="dxa"/>
            <w:tcBorders>
              <w:top w:val="single" w:color="auto" w:sz="4" w:space="0"/>
              <w:left w:val="single" w:color="auto" w:sz="4" w:space="0"/>
              <w:bottom w:val="single" w:color="auto" w:sz="4" w:space="0"/>
              <w:right w:val="single" w:color="auto" w:sz="4" w:space="0"/>
            </w:tcBorders>
            <w:vAlign w:val="center"/>
          </w:tcPr>
          <w:p w14:paraId="42792B1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媒体发布渠道</w:t>
            </w:r>
          </w:p>
        </w:tc>
        <w:tc>
          <w:tcPr>
            <w:tcW w:w="6881" w:type="dxa"/>
            <w:tcBorders>
              <w:top w:val="single" w:color="auto" w:sz="4" w:space="0"/>
              <w:left w:val="single" w:color="auto" w:sz="4" w:space="0"/>
              <w:bottom w:val="single" w:color="auto" w:sz="4" w:space="0"/>
              <w:right w:val="single" w:color="auto" w:sz="4" w:space="0"/>
            </w:tcBorders>
            <w:vAlign w:val="center"/>
          </w:tcPr>
          <w:p w14:paraId="34F466FA">
            <w:pPr>
              <w:spacing w:line="400" w:lineRule="exact"/>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w:t>
            </w:r>
            <w:r>
              <w:rPr>
                <w:rFonts w:hint="eastAsia"/>
                <w:color w:val="auto"/>
                <w:highlight w:val="none"/>
              </w:rPr>
              <w:t>征集公告</w:t>
            </w:r>
            <w:r>
              <w:rPr>
                <w:rFonts w:hint="eastAsia" w:ascii="宋体" w:hAnsi="宋体" w:cs="宋体"/>
                <w:color w:val="auto"/>
                <w:szCs w:val="21"/>
                <w:highlight w:val="none"/>
              </w:rPr>
              <w:t>中“六、其他补充事宜”中网上查询地址上发布</w:t>
            </w:r>
            <w:r>
              <w:rPr>
                <w:rFonts w:hint="eastAsia" w:ascii="宋体" w:hAnsi="宋体" w:cs="宋体"/>
                <w:color w:val="auto"/>
                <w:kern w:val="0"/>
                <w:szCs w:val="21"/>
                <w:highlight w:val="none"/>
              </w:rPr>
              <w:t>。</w:t>
            </w:r>
          </w:p>
        </w:tc>
      </w:tr>
      <w:tr w14:paraId="3A80C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top w:val="single" w:color="auto" w:sz="4" w:space="0"/>
              <w:left w:val="single" w:color="auto" w:sz="4" w:space="0"/>
              <w:bottom w:val="single" w:color="auto" w:sz="4" w:space="0"/>
              <w:right w:val="single" w:color="auto" w:sz="4" w:space="0"/>
            </w:tcBorders>
            <w:vAlign w:val="center"/>
          </w:tcPr>
          <w:p w14:paraId="0C0B681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1966" w:type="dxa"/>
            <w:tcBorders>
              <w:top w:val="single" w:color="auto" w:sz="4" w:space="0"/>
              <w:left w:val="single" w:color="auto" w:sz="4" w:space="0"/>
              <w:bottom w:val="single" w:color="auto" w:sz="4" w:space="0"/>
              <w:right w:val="single" w:color="auto" w:sz="4" w:space="0"/>
            </w:tcBorders>
            <w:vAlign w:val="center"/>
          </w:tcPr>
          <w:p w14:paraId="1E0679F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6881" w:type="dxa"/>
            <w:tcBorders>
              <w:top w:val="single" w:color="auto" w:sz="4" w:space="0"/>
              <w:left w:val="single" w:color="auto" w:sz="4" w:space="0"/>
              <w:bottom w:val="single" w:color="auto" w:sz="4" w:space="0"/>
              <w:right w:val="single" w:color="auto" w:sz="4" w:space="0"/>
            </w:tcBorders>
            <w:vAlign w:val="center"/>
          </w:tcPr>
          <w:p w14:paraId="3531AC1F">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不组织召开开标前答疑会</w:t>
            </w:r>
          </w:p>
        </w:tc>
      </w:tr>
      <w:tr w14:paraId="7B49B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left w:val="single" w:color="auto" w:sz="4" w:space="0"/>
              <w:right w:val="single" w:color="auto" w:sz="4" w:space="0"/>
            </w:tcBorders>
            <w:vAlign w:val="center"/>
          </w:tcPr>
          <w:p w14:paraId="4B7015B0">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1966" w:type="dxa"/>
            <w:tcBorders>
              <w:top w:val="single" w:color="auto" w:sz="4" w:space="0"/>
              <w:left w:val="single" w:color="auto" w:sz="4" w:space="0"/>
              <w:bottom w:val="single" w:color="auto" w:sz="4" w:space="0"/>
              <w:right w:val="single" w:color="auto" w:sz="4" w:space="0"/>
            </w:tcBorders>
            <w:vAlign w:val="center"/>
          </w:tcPr>
          <w:p w14:paraId="6CC9FD8E">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资格证明文件组成</w:t>
            </w:r>
          </w:p>
        </w:tc>
        <w:tc>
          <w:tcPr>
            <w:tcW w:w="6881" w:type="dxa"/>
            <w:tcBorders>
              <w:top w:val="single" w:color="auto" w:sz="4" w:space="0"/>
              <w:left w:val="single" w:color="auto" w:sz="4" w:space="0"/>
              <w:bottom w:val="single" w:color="auto" w:sz="4" w:space="0"/>
              <w:right w:val="single" w:color="auto" w:sz="4" w:space="0"/>
            </w:tcBorders>
            <w:vAlign w:val="center"/>
          </w:tcPr>
          <w:p w14:paraId="52A6B395">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1、供应商为法人或者其他组织的，提供营业执照等证明文件（如营业执照或者事业单位法人证书或者</w:t>
            </w:r>
            <w:r>
              <w:rPr>
                <w:rStyle w:val="31"/>
                <w:color w:val="auto"/>
                <w:szCs w:val="21"/>
                <w:highlight w:val="none"/>
              </w:rPr>
              <w:t>执业许可证</w:t>
            </w:r>
            <w:r>
              <w:rPr>
                <w:rFonts w:hint="eastAsia" w:ascii="宋体" w:hAnsi="宋体" w:cs="宋体"/>
                <w:color w:val="auto"/>
                <w:szCs w:val="21"/>
                <w:highlight w:val="none"/>
              </w:rPr>
              <w:t>等）</w:t>
            </w:r>
            <w:r>
              <w:rPr>
                <w:rFonts w:hint="eastAsia" w:ascii="宋体" w:hAnsi="宋体" w:cs="宋体"/>
                <w:b/>
                <w:bCs/>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7F066AFC">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2、供应商依法缴纳税收的相关材料[响应文件提交</w:t>
            </w:r>
            <w:r>
              <w:rPr>
                <w:rFonts w:hint="eastAsia" w:ascii="宋体" w:hAnsi="宋体" w:cs="宋体"/>
                <w:color w:val="auto"/>
                <w:szCs w:val="21"/>
                <w:highlight w:val="none"/>
                <w:lang w:val="en-US" w:eastAsia="zh-CN"/>
              </w:rPr>
              <w:t>截止之日前</w:t>
            </w:r>
            <w:r>
              <w:rPr>
                <w:rFonts w:hint="eastAsia" w:ascii="宋体" w:hAnsi="宋体"/>
                <w:color w:val="auto"/>
                <w:szCs w:val="21"/>
                <w:highlight w:val="none"/>
              </w:rPr>
              <w:t>半年内</w:t>
            </w:r>
            <w:r>
              <w:rPr>
                <w:rFonts w:hint="eastAsia"/>
                <w:color w:val="auto"/>
                <w:highlight w:val="none"/>
              </w:rPr>
              <w:t>供应商连续三个月</w:t>
            </w:r>
            <w:r>
              <w:rPr>
                <w:rFonts w:hint="eastAsia" w:ascii="宋体" w:hAnsi="宋体" w:cs="宋体"/>
                <w:color w:val="auto"/>
                <w:szCs w:val="21"/>
                <w:highlight w:val="none"/>
              </w:rPr>
              <w:t>的依法缴纳税收的凭据</w:t>
            </w:r>
            <w:r>
              <w:rPr>
                <w:rFonts w:hint="eastAsia"/>
                <w:color w:val="auto"/>
                <w:highlight w:val="none"/>
              </w:rPr>
              <w:t>证明材料</w:t>
            </w:r>
            <w:r>
              <w:rPr>
                <w:rFonts w:hint="eastAsia" w:ascii="宋体" w:hAnsi="宋体" w:cs="宋体"/>
                <w:color w:val="auto"/>
                <w:szCs w:val="21"/>
                <w:highlight w:val="none"/>
              </w:rPr>
              <w:t>；依法免税的供应商，必须提供相应文件证明其依法免税。从取得营业执照时间起到响应文件提交截止时间为止不足要求月数的，只需提供从取得营业执照起的依法缴纳税收相应证明文件）；（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15364527">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3、供应商依法缴纳社会保障资金的相关材料[响应文件提交</w:t>
            </w:r>
            <w:r>
              <w:rPr>
                <w:rFonts w:hint="eastAsia" w:ascii="宋体" w:hAnsi="宋体" w:cs="宋体"/>
                <w:color w:val="auto"/>
                <w:szCs w:val="21"/>
                <w:highlight w:val="none"/>
                <w:lang w:val="en-US" w:eastAsia="zh-CN"/>
              </w:rPr>
              <w:t>截止之日前</w:t>
            </w:r>
            <w:r>
              <w:rPr>
                <w:rFonts w:hint="eastAsia" w:ascii="宋体" w:hAnsi="宋体"/>
                <w:color w:val="auto"/>
                <w:szCs w:val="21"/>
                <w:highlight w:val="none"/>
              </w:rPr>
              <w:t>半年内</w:t>
            </w:r>
            <w:r>
              <w:rPr>
                <w:rFonts w:hint="eastAsia"/>
                <w:color w:val="auto"/>
                <w:highlight w:val="none"/>
              </w:rPr>
              <w:t>供应商连续三个月</w:t>
            </w:r>
            <w:r>
              <w:rPr>
                <w:rFonts w:hint="eastAsia" w:ascii="宋体" w:hAnsi="宋体" w:cs="宋体"/>
                <w:color w:val="auto"/>
                <w:szCs w:val="21"/>
                <w:highlight w:val="none"/>
              </w:rPr>
              <w:t>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78802484">
            <w:pPr>
              <w:snapToGrid w:val="0"/>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4、供应商财务状况报告[</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3年或2024</w:t>
            </w:r>
            <w:r>
              <w:rPr>
                <w:rFonts w:hint="eastAsia" w:ascii="宋体" w:hAnsi="宋体" w:cs="宋体"/>
                <w:color w:val="auto"/>
                <w:szCs w:val="21"/>
                <w:highlight w:val="none"/>
              </w:rPr>
              <w:t>年财务状况报告复印件，</w:t>
            </w:r>
            <w:r>
              <w:rPr>
                <w:rFonts w:hint="eastAsia" w:ascii="宋体" w:hAnsi="宋体"/>
                <w:color w:val="auto"/>
                <w:szCs w:val="21"/>
                <w:highlight w:val="none"/>
              </w:rPr>
              <w:t>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auto"/>
                <w:szCs w:val="21"/>
                <w:highlight w:val="none"/>
              </w:rPr>
              <w:t>必须提供，否则作无效响应处理</w:t>
            </w:r>
            <w:r>
              <w:rPr>
                <w:rFonts w:hint="eastAsia" w:ascii="宋体" w:hAnsi="宋体"/>
                <w:color w:val="auto"/>
                <w:szCs w:val="21"/>
                <w:highlight w:val="none"/>
              </w:rPr>
              <w:t>）</w:t>
            </w:r>
          </w:p>
          <w:p w14:paraId="24E0ED8D">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2EBCCE6A">
            <w:pPr>
              <w:numPr>
                <w:ilvl w:val="0"/>
                <w:numId w:val="4"/>
              </w:numPr>
              <w:snapToGrid w:val="0"/>
              <w:spacing w:line="380" w:lineRule="exact"/>
              <w:jc w:val="left"/>
              <w:rPr>
                <w:rFonts w:hint="eastAsia" w:hAnsi="宋体" w:cs="宋体"/>
                <w:color w:val="auto"/>
                <w:szCs w:val="21"/>
                <w:highlight w:val="none"/>
              </w:rPr>
            </w:pPr>
            <w:r>
              <w:rPr>
                <w:rFonts w:hint="eastAsia" w:ascii="宋体" w:hAnsi="宋体" w:cs="宋体"/>
                <w:color w:val="auto"/>
                <w:szCs w:val="21"/>
                <w:highlight w:val="none"/>
              </w:rPr>
              <w:t>响应资格声明；（</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2240010B">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Cs w:val="21"/>
                <w:highlight w:val="none"/>
                <w:lang w:val="en-US" w:eastAsia="zh-CN"/>
              </w:rPr>
              <w:t>7、本项目的特定资格要求：</w:t>
            </w:r>
            <w:r>
              <w:rPr>
                <w:rFonts w:hint="eastAsia" w:ascii="宋体" w:hAnsi="宋体" w:cs="宋体"/>
                <w:color w:val="auto"/>
                <w:sz w:val="21"/>
                <w:szCs w:val="21"/>
                <w:highlight w:val="none"/>
                <w:lang w:val="en-US" w:eastAsia="zh-CN"/>
              </w:rPr>
              <w:t>具有行政主管部门审核批准或同意备案的二类以上（含二类）机动车维修资质（许可或备案在有效期内）。</w:t>
            </w:r>
            <w:r>
              <w:rPr>
                <w:rFonts w:hint="eastAsia" w:ascii="宋体" w:hAnsi="宋体" w:cs="宋体"/>
                <w:color w:val="auto"/>
                <w:sz w:val="21"/>
                <w:szCs w:val="21"/>
                <w:highlight w:val="none"/>
              </w:rPr>
              <w:t>（</w:t>
            </w:r>
            <w:r>
              <w:rPr>
                <w:rFonts w:hint="eastAsia" w:ascii="宋体" w:hAnsi="宋体" w:cs="宋体"/>
                <w:b/>
                <w:color w:val="auto"/>
                <w:sz w:val="21"/>
                <w:szCs w:val="21"/>
                <w:highlight w:val="none"/>
              </w:rPr>
              <w:t>必须提供，否则作无效响应处理</w:t>
            </w:r>
            <w:r>
              <w:rPr>
                <w:rFonts w:hint="eastAsia" w:ascii="宋体" w:hAnsi="宋体" w:cs="宋体"/>
                <w:color w:val="auto"/>
                <w:sz w:val="21"/>
                <w:szCs w:val="21"/>
                <w:highlight w:val="none"/>
              </w:rPr>
              <w:t>）</w:t>
            </w:r>
          </w:p>
          <w:p w14:paraId="67B3A1DF">
            <w:p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8、中小企业声明；[</w:t>
            </w:r>
            <w:r>
              <w:rPr>
                <w:rFonts w:hint="eastAsia" w:ascii="宋体" w:hAnsi="宋体" w:eastAsia="宋体" w:cs="宋体"/>
                <w:b/>
                <w:bCs/>
                <w:color w:val="auto"/>
                <w:sz w:val="21"/>
                <w:szCs w:val="21"/>
                <w:highlight w:val="none"/>
                <w:lang w:val="en-US" w:eastAsia="zh-CN"/>
              </w:rPr>
              <w:t>专门面向中小企业、监狱企业、残疾人福利性单位采购的项目，</w:t>
            </w:r>
            <w:r>
              <w:rPr>
                <w:rFonts w:hint="eastAsia" w:ascii="宋体" w:hAnsi="宋体" w:cs="宋体"/>
                <w:color w:val="auto"/>
                <w:sz w:val="21"/>
                <w:szCs w:val="21"/>
                <w:highlight w:val="none"/>
                <w:lang w:val="en-US" w:eastAsia="zh-CN"/>
              </w:rPr>
              <w:t>供应商按征集文件“中小企业声明函”格式填写。]</w:t>
            </w:r>
            <w:r>
              <w:rPr>
                <w:rFonts w:hint="eastAsia" w:ascii="宋体" w:hAnsi="宋体" w:cs="宋体"/>
                <w:color w:val="auto"/>
                <w:sz w:val="21"/>
                <w:szCs w:val="21"/>
                <w:highlight w:val="none"/>
              </w:rPr>
              <w:t>（</w:t>
            </w:r>
            <w:r>
              <w:rPr>
                <w:rFonts w:hint="eastAsia" w:ascii="宋体" w:hAnsi="宋体" w:cs="宋体"/>
                <w:b/>
                <w:color w:val="auto"/>
                <w:sz w:val="21"/>
                <w:szCs w:val="21"/>
                <w:highlight w:val="none"/>
              </w:rPr>
              <w:t>必须提供，否则作无效响应处理</w:t>
            </w:r>
            <w:r>
              <w:rPr>
                <w:rFonts w:hint="eastAsia" w:ascii="宋体" w:hAnsi="宋体" w:cs="宋体"/>
                <w:color w:val="auto"/>
                <w:sz w:val="21"/>
                <w:szCs w:val="21"/>
                <w:highlight w:val="none"/>
              </w:rPr>
              <w:t>）</w:t>
            </w:r>
          </w:p>
          <w:p w14:paraId="7CBA43F0">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、除征集文件规定必须提供以外，供应商认为需要提供的其他证明材料。</w:t>
            </w:r>
          </w:p>
          <w:p w14:paraId="5DC43181">
            <w:pPr>
              <w:snapToGrid w:val="0"/>
              <w:spacing w:line="380" w:lineRule="exact"/>
              <w:jc w:val="left"/>
              <w:rPr>
                <w:rFonts w:ascii="宋体" w:hAnsi="宋体" w:cs="宋体"/>
                <w:b/>
                <w:bCs/>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以上要求提供的电子资料，必须加盖供应商电子公章，否则</w:t>
            </w:r>
            <w:r>
              <w:rPr>
                <w:rFonts w:hint="eastAsia" w:ascii="宋体" w:hAnsi="宋体" w:cs="宋体"/>
                <w:b/>
                <w:color w:val="auto"/>
                <w:szCs w:val="21"/>
                <w:highlight w:val="none"/>
              </w:rPr>
              <w:t>作无效响应处理。</w:t>
            </w:r>
          </w:p>
        </w:tc>
      </w:tr>
      <w:tr w14:paraId="3F38D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left w:val="single" w:color="auto" w:sz="4" w:space="0"/>
              <w:right w:val="single" w:color="auto" w:sz="4" w:space="0"/>
            </w:tcBorders>
            <w:vAlign w:val="center"/>
          </w:tcPr>
          <w:p w14:paraId="00F56796">
            <w:pPr>
              <w:spacing w:line="380" w:lineRule="exact"/>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278AF589">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商务文件组成</w:t>
            </w:r>
          </w:p>
          <w:p w14:paraId="0B535261">
            <w:pPr>
              <w:spacing w:line="380" w:lineRule="exact"/>
              <w:rPr>
                <w:rFonts w:ascii="宋体" w:hAnsi="宋体" w:cs="宋体"/>
                <w:color w:val="auto"/>
                <w:szCs w:val="21"/>
                <w:highlight w:val="none"/>
              </w:rPr>
            </w:pPr>
          </w:p>
        </w:tc>
        <w:tc>
          <w:tcPr>
            <w:tcW w:w="6881" w:type="dxa"/>
            <w:tcBorders>
              <w:top w:val="single" w:color="auto" w:sz="4" w:space="0"/>
              <w:left w:val="single" w:color="auto" w:sz="4" w:space="0"/>
              <w:bottom w:val="single" w:color="auto" w:sz="4" w:space="0"/>
              <w:right w:val="single" w:color="auto" w:sz="4" w:space="0"/>
            </w:tcBorders>
            <w:vAlign w:val="center"/>
          </w:tcPr>
          <w:p w14:paraId="5CFD4C2E">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1、无串通响应行为的承诺函；（</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4B90CB1D">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3B3BBDE6">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委托时必须提供，否则作无效响应处理</w:t>
            </w:r>
            <w:r>
              <w:rPr>
                <w:rFonts w:hint="eastAsia" w:ascii="宋体" w:hAnsi="宋体" w:cs="宋体"/>
                <w:color w:val="auto"/>
                <w:szCs w:val="21"/>
                <w:highlight w:val="none"/>
              </w:rPr>
              <w:t>）</w:t>
            </w:r>
          </w:p>
          <w:p w14:paraId="7D486A17">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009B0589">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经营场地</w:t>
            </w:r>
            <w:r>
              <w:rPr>
                <w:rFonts w:hint="eastAsia" w:ascii="宋体" w:hAnsi="宋体" w:cs="宋体"/>
                <w:color w:val="auto"/>
                <w:szCs w:val="21"/>
                <w:highlight w:val="none"/>
              </w:rPr>
              <w:t>；</w:t>
            </w:r>
          </w:p>
          <w:p w14:paraId="6B9C1F71">
            <w:pPr>
              <w:snapToGrid w:val="0"/>
              <w:spacing w:line="380" w:lineRule="exact"/>
              <w:jc w:val="left"/>
              <w:rPr>
                <w:rFonts w:hint="default"/>
                <w:color w:val="auto"/>
                <w:highlight w:val="none"/>
                <w:lang w:val="en-US" w:eastAsia="zh-CN"/>
              </w:rPr>
            </w:pPr>
            <w:r>
              <w:rPr>
                <w:rFonts w:hint="eastAsia" w:ascii="宋体" w:hAnsi="宋体" w:cs="宋体"/>
                <w:color w:val="auto"/>
                <w:szCs w:val="21"/>
                <w:highlight w:val="none"/>
                <w:lang w:val="en-US" w:eastAsia="zh-CN"/>
              </w:rPr>
              <w:t>6、技术工人配备；</w:t>
            </w:r>
          </w:p>
          <w:p w14:paraId="108B580F">
            <w:pPr>
              <w:snapToGrid w:val="0"/>
              <w:spacing w:line="380" w:lineRule="exact"/>
              <w:jc w:val="left"/>
              <w:rPr>
                <w:rFonts w:hint="default"/>
                <w:color w:val="auto"/>
                <w:highlight w:val="none"/>
                <w:lang w:val="en-US" w:eastAsia="zh-CN"/>
              </w:rPr>
            </w:pPr>
            <w:r>
              <w:rPr>
                <w:rFonts w:hint="eastAsia" w:ascii="宋体" w:hAnsi="宋体" w:cs="宋体"/>
                <w:color w:val="auto"/>
                <w:szCs w:val="21"/>
                <w:highlight w:val="none"/>
                <w:lang w:val="en-US" w:eastAsia="zh-CN"/>
              </w:rPr>
              <w:t>7、维修检测设备配置；</w:t>
            </w:r>
          </w:p>
          <w:p w14:paraId="5F051545">
            <w:pPr>
              <w:snapToGrid w:val="0"/>
              <w:spacing w:line="38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8、特约维修点材料；</w:t>
            </w:r>
          </w:p>
          <w:p w14:paraId="41367782">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供应商</w:t>
            </w:r>
            <w:r>
              <w:rPr>
                <w:rFonts w:hint="eastAsia" w:ascii="宋体" w:hAnsi="宋体" w:cs="宋体"/>
                <w:color w:val="auto"/>
                <w:szCs w:val="21"/>
                <w:highlight w:val="none"/>
                <w:lang w:val="en-US" w:eastAsia="zh-CN"/>
              </w:rPr>
              <w:t>类似</w:t>
            </w:r>
            <w:r>
              <w:rPr>
                <w:rFonts w:hint="eastAsia" w:ascii="宋体" w:hAnsi="宋体" w:cs="宋体"/>
                <w:color w:val="auto"/>
                <w:szCs w:val="21"/>
                <w:highlight w:val="none"/>
              </w:rPr>
              <w:t>项目业绩证明文件；</w:t>
            </w:r>
          </w:p>
          <w:p w14:paraId="2EE50D5C">
            <w:pPr>
              <w:snapToGrid w:val="0"/>
              <w:spacing w:line="380" w:lineRule="exact"/>
              <w:jc w:val="left"/>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供应商基本情况表</w:t>
            </w:r>
          </w:p>
          <w:p w14:paraId="6A81A792">
            <w:pPr>
              <w:snapToGrid w:val="0"/>
              <w:spacing w:line="380" w:lineRule="exact"/>
              <w:jc w:val="left"/>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供应商认为需要提供的其他证明材料。</w:t>
            </w:r>
          </w:p>
          <w:p w14:paraId="6E778688">
            <w:pPr>
              <w:snapToGrid w:val="0"/>
              <w:spacing w:line="38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1.法定代表人授权委托书必须由法定代表人及委托代理人签字，并加盖供应商公章，否则作无效响应处理。</w:t>
            </w:r>
          </w:p>
          <w:p w14:paraId="5A3B9633">
            <w:pPr>
              <w:snapToGrid w:val="0"/>
              <w:spacing w:line="38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以上要求提供的电子资料，必须加盖供应商电子公章，否则</w:t>
            </w:r>
            <w:r>
              <w:rPr>
                <w:rFonts w:hint="eastAsia" w:ascii="宋体" w:hAnsi="宋体" w:cs="宋体"/>
                <w:b/>
                <w:color w:val="auto"/>
                <w:szCs w:val="21"/>
                <w:highlight w:val="none"/>
              </w:rPr>
              <w:t>作无效响应处理</w:t>
            </w:r>
            <w:r>
              <w:rPr>
                <w:rFonts w:hint="eastAsia" w:ascii="宋体" w:hAnsi="宋体" w:cs="宋体"/>
                <w:b/>
                <w:bCs/>
                <w:color w:val="auto"/>
                <w:szCs w:val="21"/>
                <w:highlight w:val="none"/>
              </w:rPr>
              <w:t>。</w:t>
            </w:r>
          </w:p>
        </w:tc>
      </w:tr>
      <w:tr w14:paraId="340F0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vMerge w:val="restart"/>
            <w:tcBorders>
              <w:left w:val="single" w:color="auto" w:sz="4" w:space="0"/>
              <w:right w:val="single" w:color="auto" w:sz="4" w:space="0"/>
            </w:tcBorders>
            <w:vAlign w:val="center"/>
          </w:tcPr>
          <w:p w14:paraId="128BB535">
            <w:pPr>
              <w:spacing w:line="380" w:lineRule="exact"/>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00DBCC31">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技术文件组成</w:t>
            </w:r>
          </w:p>
          <w:p w14:paraId="1255C4F0">
            <w:pPr>
              <w:spacing w:line="380" w:lineRule="exact"/>
              <w:rPr>
                <w:rFonts w:ascii="宋体" w:hAnsi="宋体" w:cs="宋体"/>
                <w:color w:val="auto"/>
                <w:szCs w:val="21"/>
                <w:highlight w:val="none"/>
              </w:rPr>
            </w:pPr>
          </w:p>
        </w:tc>
        <w:tc>
          <w:tcPr>
            <w:tcW w:w="6881" w:type="dxa"/>
            <w:tcBorders>
              <w:top w:val="single" w:color="auto" w:sz="4" w:space="0"/>
              <w:left w:val="single" w:color="auto" w:sz="4" w:space="0"/>
              <w:bottom w:val="single" w:color="auto" w:sz="4" w:space="0"/>
              <w:right w:val="single" w:color="auto" w:sz="4" w:space="0"/>
            </w:tcBorders>
            <w:vAlign w:val="center"/>
          </w:tcPr>
          <w:p w14:paraId="658A1DB3">
            <w:pPr>
              <w:snapToGrid w:val="0"/>
              <w:spacing w:line="380" w:lineRule="exact"/>
              <w:jc w:val="left"/>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采购承诺书；</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620F6663">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响应服务技术需求偏离表；（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4E18CD5E">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各项</w:t>
            </w:r>
            <w:r>
              <w:rPr>
                <w:rFonts w:hint="eastAsia" w:ascii="宋体" w:hAnsi="宋体" w:cs="宋体"/>
                <w:color w:val="auto"/>
                <w:szCs w:val="21"/>
                <w:highlight w:val="none"/>
              </w:rPr>
              <w:t>方案（各供应商</w:t>
            </w:r>
            <w:r>
              <w:rPr>
                <w:rFonts w:hint="eastAsia" w:ascii="宋体" w:hAnsi="宋体"/>
                <w:color w:val="auto"/>
                <w:szCs w:val="21"/>
                <w:highlight w:val="none"/>
              </w:rPr>
              <w:t>根据“第二章 采购需求”及“第四章 评</w:t>
            </w:r>
            <w:r>
              <w:rPr>
                <w:rFonts w:hint="eastAsia" w:ascii="宋体" w:hAnsi="宋体"/>
                <w:color w:val="auto"/>
                <w:szCs w:val="21"/>
                <w:highlight w:val="none"/>
                <w:lang w:val="en-US" w:eastAsia="zh-CN"/>
              </w:rPr>
              <w:t>审</w:t>
            </w:r>
            <w:r>
              <w:rPr>
                <w:rFonts w:hint="eastAsia" w:ascii="宋体" w:hAnsi="宋体"/>
                <w:color w:val="auto"/>
                <w:szCs w:val="21"/>
                <w:highlight w:val="none"/>
              </w:rPr>
              <w:t>方法及评</w:t>
            </w:r>
            <w:r>
              <w:rPr>
                <w:rFonts w:hint="eastAsia" w:ascii="宋体" w:hAnsi="宋体"/>
                <w:color w:val="auto"/>
                <w:szCs w:val="21"/>
                <w:highlight w:val="none"/>
                <w:lang w:val="en-US" w:eastAsia="zh-CN"/>
              </w:rPr>
              <w:t>审</w:t>
            </w:r>
            <w:r>
              <w:rPr>
                <w:rFonts w:hint="eastAsia" w:ascii="宋体" w:hAnsi="宋体"/>
                <w:color w:val="auto"/>
                <w:szCs w:val="21"/>
                <w:highlight w:val="none"/>
              </w:rPr>
              <w:t>标准”编制</w:t>
            </w:r>
            <w:r>
              <w:rPr>
                <w:rFonts w:hint="eastAsia" w:ascii="宋体" w:hAnsi="宋体" w:cs="宋体"/>
                <w:color w:val="auto"/>
                <w:szCs w:val="21"/>
                <w:highlight w:val="none"/>
              </w:rPr>
              <w:t>）；</w:t>
            </w:r>
          </w:p>
          <w:p w14:paraId="6B4FEAB8">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、优惠条件：供应商承诺给予招标人的各种优惠条件，包括备品备件、专用耗材、售后服务等方面的优惠；</w:t>
            </w:r>
          </w:p>
          <w:p w14:paraId="1F50F68E">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、供应商对本项目的合理化建议和改进措施；</w:t>
            </w:r>
          </w:p>
          <w:p w14:paraId="6E6FA8EB">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、除征集文件规定必须提供以外，供应商需要说明的其他文件和说明。</w:t>
            </w:r>
          </w:p>
          <w:p w14:paraId="50CD349C">
            <w:pPr>
              <w:snapToGrid w:val="0"/>
              <w:spacing w:line="38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注：以上要求提供的电子资料，必须加盖供应商电子公章，否则</w:t>
            </w:r>
            <w:r>
              <w:rPr>
                <w:rFonts w:hint="eastAsia" w:ascii="宋体" w:hAnsi="宋体" w:cs="宋体"/>
                <w:b/>
                <w:color w:val="auto"/>
                <w:szCs w:val="21"/>
                <w:highlight w:val="none"/>
              </w:rPr>
              <w:t>作无效响应处理</w:t>
            </w:r>
            <w:r>
              <w:rPr>
                <w:rFonts w:hint="eastAsia" w:ascii="宋体" w:hAnsi="宋体" w:cs="宋体"/>
                <w:b/>
                <w:bCs/>
                <w:color w:val="auto"/>
                <w:szCs w:val="21"/>
                <w:highlight w:val="none"/>
              </w:rPr>
              <w:t>。</w:t>
            </w:r>
          </w:p>
        </w:tc>
      </w:tr>
      <w:tr w14:paraId="689FB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vMerge w:val="continue"/>
            <w:tcBorders>
              <w:left w:val="single" w:color="auto" w:sz="4" w:space="0"/>
              <w:bottom w:val="single" w:color="auto" w:sz="4" w:space="0"/>
              <w:right w:val="single" w:color="auto" w:sz="4" w:space="0"/>
            </w:tcBorders>
            <w:vAlign w:val="center"/>
          </w:tcPr>
          <w:p w14:paraId="5402C261">
            <w:pPr>
              <w:spacing w:line="380" w:lineRule="exact"/>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120A8FF5">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6881" w:type="dxa"/>
            <w:tcBorders>
              <w:top w:val="single" w:color="auto" w:sz="4" w:space="0"/>
              <w:left w:val="single" w:color="auto" w:sz="4" w:space="0"/>
              <w:bottom w:val="single" w:color="auto" w:sz="4" w:space="0"/>
              <w:right w:val="single" w:color="auto" w:sz="4" w:space="0"/>
            </w:tcBorders>
            <w:vAlign w:val="center"/>
          </w:tcPr>
          <w:p w14:paraId="1374F62C">
            <w:pPr>
              <w:tabs>
                <w:tab w:val="left" w:pos="459"/>
              </w:tabs>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color w:val="auto"/>
                <w:szCs w:val="21"/>
                <w:highlight w:val="none"/>
              </w:rPr>
              <w:t>（必须提供，否则作无效响应处理）</w:t>
            </w:r>
          </w:p>
          <w:p w14:paraId="750EECB9">
            <w:pPr>
              <w:tabs>
                <w:tab w:val="left" w:pos="459"/>
              </w:tabs>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2、开标一览表；（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72C6B221">
            <w:pPr>
              <w:tabs>
                <w:tab w:val="left" w:pos="459"/>
              </w:tabs>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3、供应商针对报价需要说明的其他文件和说明。</w:t>
            </w:r>
          </w:p>
          <w:p w14:paraId="65597482">
            <w:pPr>
              <w:snapToGrid w:val="0"/>
              <w:spacing w:line="380" w:lineRule="exact"/>
              <w:jc w:val="left"/>
              <w:rPr>
                <w:rFonts w:ascii="宋体" w:hAnsi="宋体" w:cs="宋体"/>
                <w:color w:val="auto"/>
                <w:szCs w:val="21"/>
                <w:highlight w:val="none"/>
              </w:rPr>
            </w:pPr>
            <w:r>
              <w:rPr>
                <w:rFonts w:hint="eastAsia" w:ascii="宋体" w:hAnsi="宋体" w:cs="宋体"/>
                <w:b/>
                <w:bCs/>
                <w:color w:val="auto"/>
                <w:szCs w:val="21"/>
                <w:highlight w:val="none"/>
              </w:rPr>
              <w:t>注：以上要求提供的电子资料，必须加盖供应商电子公章，否则作无效响应处理。</w:t>
            </w:r>
          </w:p>
        </w:tc>
      </w:tr>
      <w:tr w14:paraId="36D35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top w:val="single" w:color="auto" w:sz="4" w:space="0"/>
              <w:left w:val="single" w:color="auto" w:sz="4" w:space="0"/>
              <w:bottom w:val="single" w:color="auto" w:sz="4" w:space="0"/>
              <w:right w:val="single" w:color="auto" w:sz="4" w:space="0"/>
            </w:tcBorders>
            <w:vAlign w:val="center"/>
          </w:tcPr>
          <w:p w14:paraId="3A1C039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16.2</w:t>
            </w:r>
          </w:p>
        </w:tc>
        <w:tc>
          <w:tcPr>
            <w:tcW w:w="1966" w:type="dxa"/>
            <w:tcBorders>
              <w:top w:val="single" w:color="auto" w:sz="4" w:space="0"/>
              <w:left w:val="single" w:color="auto" w:sz="4" w:space="0"/>
              <w:bottom w:val="single" w:color="auto" w:sz="4" w:space="0"/>
              <w:right w:val="single" w:color="auto" w:sz="4" w:space="0"/>
            </w:tcBorders>
            <w:vAlign w:val="center"/>
          </w:tcPr>
          <w:p w14:paraId="219AD55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881" w:type="dxa"/>
            <w:tcBorders>
              <w:top w:val="single" w:color="auto" w:sz="4" w:space="0"/>
              <w:left w:val="single" w:color="auto" w:sz="4" w:space="0"/>
              <w:bottom w:val="single" w:color="auto" w:sz="4" w:space="0"/>
              <w:right w:val="single" w:color="auto" w:sz="4" w:space="0"/>
            </w:tcBorders>
            <w:vAlign w:val="center"/>
          </w:tcPr>
          <w:p w14:paraId="54689A6E">
            <w:pPr>
              <w:snapToGrid w:val="0"/>
              <w:spacing w:line="400" w:lineRule="exact"/>
              <w:rPr>
                <w:rFonts w:ascii="宋体" w:hAnsi="宋体" w:cs="宋体"/>
                <w:b/>
                <w:color w:val="auto"/>
                <w:szCs w:val="21"/>
                <w:highlight w:val="none"/>
              </w:rPr>
            </w:pPr>
            <w:r>
              <w:rPr>
                <w:rFonts w:hint="eastAsia"/>
                <w:b/>
                <w:color w:val="auto"/>
                <w:szCs w:val="21"/>
                <w:highlight w:val="none"/>
              </w:rPr>
              <w:t>第一</w:t>
            </w:r>
            <w:r>
              <w:rPr>
                <w:rFonts w:hint="eastAsia"/>
                <w:b/>
                <w:color w:val="auto"/>
                <w:szCs w:val="21"/>
                <w:highlight w:val="none"/>
                <w:lang w:val="en-US" w:eastAsia="zh-CN"/>
              </w:rPr>
              <w:t>阶</w:t>
            </w:r>
            <w:r>
              <w:rPr>
                <w:rFonts w:hint="eastAsia"/>
                <w:b/>
                <w:color w:val="auto"/>
                <w:szCs w:val="21"/>
                <w:highlight w:val="none"/>
              </w:rPr>
              <w:t>段（入围阶段），</w:t>
            </w:r>
            <w:r>
              <w:rPr>
                <w:rFonts w:hint="eastAsia"/>
                <w:b/>
                <w:bCs/>
                <w:color w:val="auto"/>
                <w:highlight w:val="none"/>
              </w:rPr>
              <w:t>按零配件</w:t>
            </w:r>
            <w:r>
              <w:rPr>
                <w:rFonts w:hint="eastAsia"/>
                <w:b/>
                <w:bCs/>
                <w:color w:val="auto"/>
                <w:highlight w:val="none"/>
                <w:lang w:val="en-US" w:eastAsia="zh-CN"/>
              </w:rPr>
              <w:t>价格</w:t>
            </w:r>
            <w:r>
              <w:rPr>
                <w:rFonts w:hint="eastAsia"/>
                <w:b/>
                <w:bCs/>
                <w:color w:val="auto"/>
                <w:highlight w:val="none"/>
              </w:rPr>
              <w:t>优惠率和</w:t>
            </w:r>
            <w:r>
              <w:rPr>
                <w:rFonts w:hint="eastAsia"/>
                <w:b/>
                <w:bCs/>
                <w:color w:val="auto"/>
                <w:highlight w:val="none"/>
                <w:lang w:val="en-US" w:eastAsia="zh-CN"/>
              </w:rPr>
              <w:t>维修</w:t>
            </w:r>
            <w:r>
              <w:rPr>
                <w:rFonts w:hint="eastAsia"/>
                <w:b/>
                <w:bCs/>
                <w:color w:val="auto"/>
                <w:highlight w:val="none"/>
              </w:rPr>
              <w:t>工时费优惠率进行报价。本项目零配件</w:t>
            </w:r>
            <w:r>
              <w:rPr>
                <w:rFonts w:hint="eastAsia"/>
                <w:b/>
                <w:bCs/>
                <w:color w:val="auto"/>
                <w:highlight w:val="none"/>
                <w:lang w:val="en-US" w:eastAsia="zh-CN"/>
              </w:rPr>
              <w:t>价格</w:t>
            </w:r>
            <w:r>
              <w:rPr>
                <w:rFonts w:hint="eastAsia"/>
                <w:b/>
                <w:bCs/>
                <w:color w:val="auto"/>
                <w:highlight w:val="none"/>
              </w:rPr>
              <w:t>优惠率允许范围 20%（含）以内，</w:t>
            </w:r>
            <w:r>
              <w:rPr>
                <w:rFonts w:hint="eastAsia"/>
                <w:b/>
                <w:bCs/>
                <w:color w:val="auto"/>
                <w:highlight w:val="none"/>
                <w:lang w:val="en-US" w:eastAsia="zh-CN"/>
              </w:rPr>
              <w:t>维修</w:t>
            </w:r>
            <w:r>
              <w:rPr>
                <w:rFonts w:hint="eastAsia"/>
                <w:b/>
                <w:bCs/>
                <w:color w:val="auto"/>
                <w:highlight w:val="none"/>
              </w:rPr>
              <w:t>工时</w:t>
            </w:r>
            <w:r>
              <w:rPr>
                <w:rFonts w:hint="eastAsia"/>
                <w:b/>
                <w:bCs/>
                <w:color w:val="auto"/>
                <w:highlight w:val="none"/>
                <w:lang w:val="en-US" w:eastAsia="zh-CN"/>
              </w:rPr>
              <w:t>费</w:t>
            </w:r>
            <w:r>
              <w:rPr>
                <w:rFonts w:hint="eastAsia"/>
                <w:b/>
                <w:bCs/>
                <w:color w:val="auto"/>
                <w:highlight w:val="none"/>
              </w:rPr>
              <w:t>优惠率允许范围 20%（含）以内，超出范围不予接受，作无效</w:t>
            </w:r>
            <w:r>
              <w:rPr>
                <w:rFonts w:hint="eastAsia"/>
                <w:b/>
                <w:bCs/>
                <w:color w:val="auto"/>
                <w:highlight w:val="none"/>
                <w:lang w:val="en-US" w:eastAsia="zh-CN"/>
              </w:rPr>
              <w:t>响应</w:t>
            </w:r>
            <w:r>
              <w:rPr>
                <w:rFonts w:hint="eastAsia"/>
                <w:b/>
                <w:bCs/>
                <w:color w:val="auto"/>
                <w:highlight w:val="none"/>
              </w:rPr>
              <w:t>；本项目不接受零优惠率（或免费）的报价。</w:t>
            </w:r>
          </w:p>
        </w:tc>
      </w:tr>
      <w:tr w14:paraId="24C86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top w:val="single" w:color="auto" w:sz="4" w:space="0"/>
              <w:left w:val="single" w:color="auto" w:sz="4" w:space="0"/>
              <w:bottom w:val="single" w:color="auto" w:sz="4" w:space="0"/>
              <w:right w:val="single" w:color="auto" w:sz="4" w:space="0"/>
            </w:tcBorders>
            <w:vAlign w:val="center"/>
          </w:tcPr>
          <w:p w14:paraId="46F55AF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17.2</w:t>
            </w:r>
          </w:p>
        </w:tc>
        <w:tc>
          <w:tcPr>
            <w:tcW w:w="1966" w:type="dxa"/>
            <w:tcBorders>
              <w:top w:val="single" w:color="auto" w:sz="4" w:space="0"/>
              <w:left w:val="single" w:color="auto" w:sz="4" w:space="0"/>
              <w:bottom w:val="single" w:color="auto" w:sz="4" w:space="0"/>
              <w:right w:val="single" w:color="auto" w:sz="4" w:space="0"/>
            </w:tcBorders>
            <w:vAlign w:val="center"/>
          </w:tcPr>
          <w:p w14:paraId="0AA980C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响应有效期</w:t>
            </w:r>
          </w:p>
        </w:tc>
        <w:tc>
          <w:tcPr>
            <w:tcW w:w="6881" w:type="dxa"/>
            <w:tcBorders>
              <w:top w:val="single" w:color="auto" w:sz="4" w:space="0"/>
              <w:left w:val="single" w:color="auto" w:sz="4" w:space="0"/>
              <w:bottom w:val="single" w:color="auto" w:sz="4" w:space="0"/>
              <w:right w:val="single" w:color="auto" w:sz="4" w:space="0"/>
            </w:tcBorders>
            <w:vAlign w:val="center"/>
          </w:tcPr>
          <w:p w14:paraId="29F6DB85">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自响应截止之日起 60 日。</w:t>
            </w:r>
          </w:p>
        </w:tc>
      </w:tr>
      <w:tr w14:paraId="51792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top w:val="single" w:color="auto" w:sz="4" w:space="0"/>
              <w:left w:val="single" w:color="auto" w:sz="4" w:space="0"/>
              <w:bottom w:val="single" w:color="auto" w:sz="4" w:space="0"/>
              <w:right w:val="single" w:color="auto" w:sz="4" w:space="0"/>
            </w:tcBorders>
            <w:vAlign w:val="center"/>
          </w:tcPr>
          <w:p w14:paraId="523167E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1966" w:type="dxa"/>
            <w:tcBorders>
              <w:top w:val="single" w:color="auto" w:sz="4" w:space="0"/>
              <w:left w:val="single" w:color="auto" w:sz="4" w:space="0"/>
              <w:bottom w:val="single" w:color="auto" w:sz="4" w:space="0"/>
              <w:right w:val="single" w:color="auto" w:sz="4" w:space="0"/>
            </w:tcBorders>
            <w:vAlign w:val="center"/>
          </w:tcPr>
          <w:p w14:paraId="0AE3FAB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响应文件编制要求</w:t>
            </w:r>
          </w:p>
        </w:tc>
        <w:tc>
          <w:tcPr>
            <w:tcW w:w="6881" w:type="dxa"/>
            <w:tcBorders>
              <w:top w:val="single" w:color="auto" w:sz="4" w:space="0"/>
              <w:left w:val="single" w:color="auto" w:sz="4" w:space="0"/>
              <w:bottom w:val="single" w:color="auto" w:sz="4" w:space="0"/>
              <w:right w:val="single" w:color="auto" w:sz="4" w:space="0"/>
            </w:tcBorders>
            <w:vAlign w:val="center"/>
          </w:tcPr>
          <w:p w14:paraId="6EE2135F">
            <w:pPr>
              <w:spacing w:line="400" w:lineRule="exact"/>
              <w:ind w:firstLine="420" w:firstLineChars="200"/>
              <w:rPr>
                <w:rFonts w:ascii="Times New Roman" w:hAnsi="Times New Roman"/>
                <w:color w:val="auto"/>
                <w:szCs w:val="21"/>
                <w:highlight w:val="none"/>
              </w:rPr>
            </w:pPr>
            <w:r>
              <w:rPr>
                <w:rFonts w:hint="eastAsia" w:ascii="宋体" w:hAnsi="宋体" w:cs="宋体"/>
                <w:color w:val="auto"/>
                <w:szCs w:val="21"/>
                <w:highlight w:val="none"/>
              </w:rPr>
              <w:t>响应文件应按报价文件、资格证明文件、商务文件、技术文件分别编制，报价文件、资格证明文件分别生成电子文件，商务文件和技术文件按顺序合并生成电子文件。电子版响应文件制作方式见征集公告附件。</w:t>
            </w:r>
          </w:p>
        </w:tc>
      </w:tr>
      <w:tr w14:paraId="2DD37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top w:val="single" w:color="auto" w:sz="4" w:space="0"/>
              <w:left w:val="single" w:color="auto" w:sz="4" w:space="0"/>
              <w:bottom w:val="single" w:color="auto" w:sz="4" w:space="0"/>
              <w:right w:val="single" w:color="auto" w:sz="4" w:space="0"/>
            </w:tcBorders>
            <w:vAlign w:val="center"/>
          </w:tcPr>
          <w:p w14:paraId="0FB00B2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1966" w:type="dxa"/>
            <w:tcBorders>
              <w:top w:val="single" w:color="auto" w:sz="4" w:space="0"/>
              <w:left w:val="single" w:color="auto" w:sz="4" w:space="0"/>
              <w:bottom w:val="single" w:color="auto" w:sz="4" w:space="0"/>
              <w:right w:val="single" w:color="auto" w:sz="4" w:space="0"/>
            </w:tcBorders>
            <w:vAlign w:val="center"/>
          </w:tcPr>
          <w:p w14:paraId="19B4A8F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881" w:type="dxa"/>
            <w:tcBorders>
              <w:top w:val="single" w:color="auto" w:sz="4" w:space="0"/>
              <w:left w:val="single" w:color="auto" w:sz="4" w:space="0"/>
              <w:bottom w:val="single" w:color="auto" w:sz="4" w:space="0"/>
              <w:right w:val="single" w:color="auto" w:sz="4" w:space="0"/>
            </w:tcBorders>
            <w:vAlign w:val="center"/>
          </w:tcPr>
          <w:p w14:paraId="31FF3E52">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11240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top w:val="single" w:color="auto" w:sz="4" w:space="0"/>
              <w:left w:val="single" w:color="auto" w:sz="4" w:space="0"/>
              <w:bottom w:val="single" w:color="auto" w:sz="4" w:space="0"/>
              <w:right w:val="single" w:color="auto" w:sz="4" w:space="0"/>
            </w:tcBorders>
            <w:vAlign w:val="center"/>
          </w:tcPr>
          <w:p w14:paraId="119F9E4E">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24.2（1）</w:t>
            </w:r>
          </w:p>
        </w:tc>
        <w:tc>
          <w:tcPr>
            <w:tcW w:w="1966" w:type="dxa"/>
            <w:tcBorders>
              <w:top w:val="single" w:color="auto" w:sz="4" w:space="0"/>
              <w:left w:val="single" w:color="auto" w:sz="4" w:space="0"/>
              <w:bottom w:val="single" w:color="auto" w:sz="4" w:space="0"/>
              <w:right w:val="single" w:color="auto" w:sz="4" w:space="0"/>
            </w:tcBorders>
            <w:vAlign w:val="center"/>
          </w:tcPr>
          <w:p w14:paraId="16E52287">
            <w:pPr>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解密电子响应文件</w:t>
            </w:r>
          </w:p>
        </w:tc>
        <w:tc>
          <w:tcPr>
            <w:tcW w:w="6881" w:type="dxa"/>
            <w:tcBorders>
              <w:top w:val="single" w:color="auto" w:sz="4" w:space="0"/>
              <w:left w:val="single" w:color="auto" w:sz="4" w:space="0"/>
              <w:bottom w:val="single" w:color="auto" w:sz="4" w:space="0"/>
              <w:right w:val="single" w:color="auto" w:sz="4" w:space="0"/>
            </w:tcBorders>
            <w:vAlign w:val="center"/>
          </w:tcPr>
          <w:p w14:paraId="7A86E052">
            <w:pPr>
              <w:snapToGrid w:val="0"/>
              <w:spacing w:line="400" w:lineRule="exact"/>
              <w:rPr>
                <w:rFonts w:ascii="宋体" w:hAnsi="宋体" w:cs="宋体"/>
                <w:color w:val="auto"/>
                <w:szCs w:val="21"/>
                <w:highlight w:val="none"/>
              </w:rPr>
            </w:pPr>
            <w:r>
              <w:rPr>
                <w:rFonts w:hint="eastAsia" w:ascii="宋体" w:hAnsi="宋体" w:cs="宋体"/>
                <w:color w:val="auto"/>
                <w:kern w:val="0"/>
                <w:szCs w:val="21"/>
                <w:highlight w:val="none"/>
              </w:rPr>
              <w:t>电子响应文件解密时间：30分钟</w:t>
            </w:r>
          </w:p>
        </w:tc>
      </w:tr>
      <w:tr w14:paraId="54AC5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vMerge w:val="restart"/>
            <w:tcBorders>
              <w:top w:val="single" w:color="auto" w:sz="4" w:space="0"/>
              <w:left w:val="single" w:color="auto" w:sz="4" w:space="0"/>
              <w:right w:val="single" w:color="auto" w:sz="4" w:space="0"/>
            </w:tcBorders>
            <w:vAlign w:val="center"/>
          </w:tcPr>
          <w:p w14:paraId="3E694C6D">
            <w:pPr>
              <w:spacing w:line="400" w:lineRule="exact"/>
              <w:rPr>
                <w:rFonts w:ascii="宋体" w:hAnsi="宋体" w:cs="宋体"/>
                <w:color w:val="auto"/>
                <w:szCs w:val="21"/>
                <w:highlight w:val="none"/>
              </w:rPr>
            </w:pPr>
            <w:r>
              <w:rPr>
                <w:rFonts w:hint="eastAsia" w:ascii="宋体" w:hAnsi="宋体" w:cs="宋体"/>
                <w:color w:val="auto"/>
                <w:szCs w:val="21"/>
                <w:highlight w:val="none"/>
              </w:rPr>
              <w:t>25.3</w:t>
            </w:r>
          </w:p>
        </w:tc>
        <w:tc>
          <w:tcPr>
            <w:tcW w:w="1966" w:type="dxa"/>
            <w:tcBorders>
              <w:top w:val="single" w:color="auto" w:sz="4" w:space="0"/>
              <w:left w:val="single" w:color="auto" w:sz="4" w:space="0"/>
              <w:bottom w:val="single" w:color="auto" w:sz="4" w:space="0"/>
              <w:right w:val="single" w:color="auto" w:sz="4" w:space="0"/>
            </w:tcBorders>
            <w:vAlign w:val="center"/>
          </w:tcPr>
          <w:p w14:paraId="19DE5859">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供应商信用查询</w:t>
            </w:r>
          </w:p>
          <w:p w14:paraId="47985E1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渠道</w:t>
            </w:r>
          </w:p>
        </w:tc>
        <w:tc>
          <w:tcPr>
            <w:tcW w:w="6881" w:type="dxa"/>
            <w:tcBorders>
              <w:top w:val="single" w:color="auto" w:sz="4" w:space="0"/>
              <w:left w:val="single" w:color="auto" w:sz="4" w:space="0"/>
              <w:bottom w:val="single" w:color="auto" w:sz="4" w:space="0"/>
              <w:right w:val="single" w:color="auto" w:sz="4" w:space="0"/>
            </w:tcBorders>
            <w:vAlign w:val="center"/>
          </w:tcPr>
          <w:p w14:paraId="3A355EE1">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征集人或者采购代理机构在资格审查结束前，对供应商进行信用查询。</w:t>
            </w:r>
          </w:p>
          <w:p w14:paraId="76DF2EBC">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2AA2F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vMerge w:val="continue"/>
            <w:tcBorders>
              <w:left w:val="single" w:color="auto" w:sz="4" w:space="0"/>
              <w:right w:val="single" w:color="auto" w:sz="4" w:space="0"/>
            </w:tcBorders>
            <w:vAlign w:val="center"/>
          </w:tcPr>
          <w:p w14:paraId="40646BF9">
            <w:pPr>
              <w:spacing w:line="400" w:lineRule="exact"/>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0106CAC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6881" w:type="dxa"/>
            <w:tcBorders>
              <w:top w:val="single" w:color="auto" w:sz="4" w:space="0"/>
              <w:left w:val="single" w:color="auto" w:sz="4" w:space="0"/>
              <w:bottom w:val="single" w:color="auto" w:sz="4" w:space="0"/>
              <w:right w:val="single" w:color="auto" w:sz="4" w:space="0"/>
            </w:tcBorders>
            <w:vAlign w:val="center"/>
          </w:tcPr>
          <w:p w14:paraId="60129F37">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02842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vMerge w:val="continue"/>
            <w:tcBorders>
              <w:left w:val="single" w:color="auto" w:sz="4" w:space="0"/>
              <w:right w:val="single" w:color="auto" w:sz="4" w:space="0"/>
            </w:tcBorders>
            <w:vAlign w:val="center"/>
          </w:tcPr>
          <w:p w14:paraId="0F7B60C6">
            <w:pPr>
              <w:spacing w:line="400" w:lineRule="exact"/>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6BE065E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6881" w:type="dxa"/>
            <w:tcBorders>
              <w:top w:val="single" w:color="auto" w:sz="4" w:space="0"/>
              <w:left w:val="single" w:color="auto" w:sz="4" w:space="0"/>
              <w:bottom w:val="single" w:color="auto" w:sz="4" w:space="0"/>
              <w:right w:val="single" w:color="auto" w:sz="4" w:space="0"/>
            </w:tcBorders>
            <w:vAlign w:val="center"/>
          </w:tcPr>
          <w:p w14:paraId="58AF5783">
            <w:pPr>
              <w:snapToGrid w:val="0"/>
              <w:spacing w:line="400" w:lineRule="exact"/>
              <w:rPr>
                <w:rFonts w:ascii="宋体" w:hAnsi="宋体" w:cs="宋体"/>
                <w:color w:val="auto"/>
                <w:szCs w:val="21"/>
                <w:highlight w:val="none"/>
              </w:rPr>
            </w:pPr>
            <w:r>
              <w:rPr>
                <w:rFonts w:hint="eastAsia" w:ascii="宋体" w:hAnsi="宋体" w:eastAsia="宋体" w:cs="宋体"/>
                <w:color w:val="auto"/>
                <w:szCs w:val="21"/>
                <w:highlight w:val="none"/>
              </w:rPr>
              <w:t>在查询网站中直接截图查询记录，截图作为在广西政府采购云平台作为附件上传保存。</w:t>
            </w:r>
          </w:p>
        </w:tc>
      </w:tr>
      <w:tr w14:paraId="1715D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vMerge w:val="continue"/>
            <w:tcBorders>
              <w:left w:val="single" w:color="auto" w:sz="4" w:space="0"/>
              <w:right w:val="single" w:color="auto" w:sz="4" w:space="0"/>
            </w:tcBorders>
            <w:vAlign w:val="center"/>
          </w:tcPr>
          <w:p w14:paraId="6C006315">
            <w:pPr>
              <w:spacing w:line="400" w:lineRule="exact"/>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71A45CE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6881" w:type="dxa"/>
            <w:tcBorders>
              <w:top w:val="single" w:color="auto" w:sz="4" w:space="0"/>
              <w:left w:val="single" w:color="auto" w:sz="4" w:space="0"/>
              <w:bottom w:val="single" w:color="auto" w:sz="4" w:space="0"/>
              <w:right w:val="single" w:color="auto" w:sz="4" w:space="0"/>
            </w:tcBorders>
            <w:vAlign w:val="center"/>
          </w:tcPr>
          <w:p w14:paraId="0A1D84A1">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征集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A905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top w:val="single" w:color="auto" w:sz="4" w:space="0"/>
              <w:left w:val="single" w:color="auto" w:sz="4" w:space="0"/>
              <w:bottom w:val="single" w:color="auto" w:sz="4" w:space="0"/>
              <w:right w:val="single" w:color="auto" w:sz="4" w:space="0"/>
            </w:tcBorders>
            <w:vAlign w:val="center"/>
          </w:tcPr>
          <w:p w14:paraId="47E17158">
            <w:pPr>
              <w:spacing w:line="400" w:lineRule="exact"/>
              <w:rPr>
                <w:rFonts w:ascii="宋体" w:hAnsi="宋体" w:cs="宋体"/>
                <w:color w:val="auto"/>
                <w:szCs w:val="21"/>
                <w:highlight w:val="none"/>
              </w:rPr>
            </w:pPr>
            <w:r>
              <w:rPr>
                <w:rFonts w:hint="eastAsia" w:ascii="宋体" w:hAnsi="宋体" w:cs="宋体"/>
                <w:color w:val="auto"/>
                <w:szCs w:val="21"/>
                <w:highlight w:val="none"/>
              </w:rPr>
              <w:t>29.1</w:t>
            </w:r>
          </w:p>
        </w:tc>
        <w:tc>
          <w:tcPr>
            <w:tcW w:w="1966" w:type="dxa"/>
            <w:tcBorders>
              <w:top w:val="single" w:color="auto" w:sz="4" w:space="0"/>
              <w:left w:val="single" w:color="auto" w:sz="4" w:space="0"/>
              <w:bottom w:val="single" w:color="auto" w:sz="4" w:space="0"/>
              <w:right w:val="single" w:color="auto" w:sz="4" w:space="0"/>
            </w:tcBorders>
            <w:vAlign w:val="center"/>
          </w:tcPr>
          <w:p w14:paraId="087BC679">
            <w:pPr>
              <w:spacing w:line="400" w:lineRule="exact"/>
              <w:jc w:val="center"/>
              <w:rPr>
                <w:rFonts w:ascii="宋体" w:hAnsi="宋体" w:cs="宋体"/>
                <w:color w:val="auto"/>
                <w:szCs w:val="21"/>
                <w:highlight w:val="none"/>
              </w:rPr>
            </w:pPr>
            <w:r>
              <w:rPr>
                <w:rFonts w:hint="eastAsia"/>
                <w:color w:val="auto"/>
                <w:highlight w:val="none"/>
              </w:rPr>
              <w:t>第一阶段评审方法</w:t>
            </w:r>
          </w:p>
        </w:tc>
        <w:tc>
          <w:tcPr>
            <w:tcW w:w="6881" w:type="dxa"/>
            <w:tcBorders>
              <w:top w:val="single" w:color="auto" w:sz="4" w:space="0"/>
              <w:left w:val="single" w:color="auto" w:sz="4" w:space="0"/>
              <w:bottom w:val="single" w:color="auto" w:sz="4" w:space="0"/>
              <w:right w:val="single" w:color="auto" w:sz="4" w:space="0"/>
            </w:tcBorders>
            <w:vAlign w:val="center"/>
          </w:tcPr>
          <w:p w14:paraId="79374DF8">
            <w:pPr>
              <w:autoSpaceDE w:val="0"/>
              <w:autoSpaceDN w:val="0"/>
              <w:snapToGrid w:val="0"/>
              <w:spacing w:line="400" w:lineRule="exact"/>
              <w:textAlignment w:val="bottom"/>
              <w:rPr>
                <w:rFonts w:ascii="宋体" w:hAnsi="宋体" w:cs="宋体"/>
                <w:color w:val="auto"/>
                <w:szCs w:val="21"/>
                <w:highlight w:val="none"/>
              </w:rPr>
            </w:pPr>
            <w:r>
              <w:rPr>
                <w:rFonts w:hint="eastAsia" w:ascii="MS Gothic" w:hAnsi="MS Gothic" w:eastAsia="宋体" w:cs="MS Gothic"/>
                <w:b w:val="0"/>
                <w:bCs w:val="0"/>
                <w:color w:val="auto"/>
                <w:szCs w:val="21"/>
                <w:highlight w:val="none"/>
                <w:lang w:eastAsia="zh-CN"/>
              </w:rPr>
              <w:t>□</w:t>
            </w:r>
            <w:r>
              <w:rPr>
                <w:rFonts w:hint="eastAsia" w:ascii="宋体" w:hAnsi="宋体" w:cs="宋体"/>
                <w:b w:val="0"/>
                <w:bCs w:val="0"/>
                <w:color w:val="auto"/>
                <w:szCs w:val="21"/>
                <w:highlight w:val="none"/>
              </w:rPr>
              <w:t>价格优先法</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w:t>
            </w:r>
            <w:r>
              <w:rPr>
                <w:rFonts w:hint="eastAsia" w:ascii="MS Gothic" w:hAnsi="MS Gothic" w:eastAsia="宋体" w:cs="MS Gothic"/>
                <w:color w:val="auto"/>
                <w:highlight w:val="none"/>
                <w:lang w:eastAsia="zh-CN"/>
              </w:rPr>
              <w:t>☑</w:t>
            </w:r>
            <w:r>
              <w:rPr>
                <w:rFonts w:hint="eastAsia" w:ascii="宋体" w:hAnsi="宋体" w:cs="宋体"/>
                <w:color w:val="auto"/>
                <w:szCs w:val="21"/>
                <w:highlight w:val="none"/>
              </w:rPr>
              <w:t>质量优先法</w:t>
            </w:r>
          </w:p>
        </w:tc>
      </w:tr>
      <w:tr w14:paraId="4CB22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top w:val="single" w:color="auto" w:sz="4" w:space="0"/>
              <w:left w:val="single" w:color="auto" w:sz="4" w:space="0"/>
              <w:right w:val="single" w:color="auto" w:sz="4" w:space="0"/>
            </w:tcBorders>
            <w:vAlign w:val="center"/>
          </w:tcPr>
          <w:p w14:paraId="000D2D26">
            <w:pPr>
              <w:spacing w:line="400" w:lineRule="exact"/>
              <w:rPr>
                <w:rFonts w:ascii="宋体" w:hAnsi="宋体" w:cs="宋体"/>
                <w:color w:val="auto"/>
                <w:szCs w:val="21"/>
                <w:highlight w:val="none"/>
              </w:rPr>
            </w:pPr>
            <w:r>
              <w:rPr>
                <w:rFonts w:hint="eastAsia" w:ascii="宋体" w:hAnsi="宋体" w:cs="宋体"/>
                <w:color w:val="auto"/>
                <w:szCs w:val="21"/>
                <w:highlight w:val="none"/>
              </w:rPr>
              <w:t>39.1</w:t>
            </w:r>
          </w:p>
        </w:tc>
        <w:tc>
          <w:tcPr>
            <w:tcW w:w="1966" w:type="dxa"/>
            <w:tcBorders>
              <w:top w:val="single" w:color="auto" w:sz="4" w:space="0"/>
              <w:left w:val="single" w:color="auto" w:sz="4" w:space="0"/>
              <w:right w:val="single" w:color="auto" w:sz="4" w:space="0"/>
            </w:tcBorders>
            <w:vAlign w:val="center"/>
          </w:tcPr>
          <w:p w14:paraId="18C1A068">
            <w:pPr>
              <w:spacing w:line="400" w:lineRule="exact"/>
              <w:jc w:val="center"/>
              <w:rPr>
                <w:color w:val="auto"/>
                <w:highlight w:val="none"/>
              </w:rPr>
            </w:pPr>
            <w:r>
              <w:rPr>
                <w:rFonts w:hint="eastAsia"/>
                <w:color w:val="auto"/>
                <w:highlight w:val="none"/>
              </w:rPr>
              <w:t>第二阶段成交供应商的方式</w:t>
            </w:r>
          </w:p>
        </w:tc>
        <w:tc>
          <w:tcPr>
            <w:tcW w:w="6881" w:type="dxa"/>
            <w:tcBorders>
              <w:top w:val="single" w:color="auto" w:sz="4" w:space="0"/>
              <w:left w:val="single" w:color="auto" w:sz="4" w:space="0"/>
              <w:right w:val="single" w:color="auto" w:sz="4" w:space="0"/>
            </w:tcBorders>
            <w:vAlign w:val="center"/>
          </w:tcPr>
          <w:p w14:paraId="712E53CB">
            <w:pPr>
              <w:pStyle w:val="35"/>
              <w:spacing w:before="0" w:after="0" w:line="400" w:lineRule="exact"/>
              <w:jc w:val="left"/>
              <w:rPr>
                <w:rFonts w:ascii="宋体" w:hAnsi="宋体" w:eastAsia="宋体" w:cs="宋体"/>
                <w:color w:val="auto"/>
                <w:sz w:val="21"/>
                <w:szCs w:val="21"/>
                <w:highlight w:val="none"/>
                <w:lang w:eastAsia="zh-CN"/>
              </w:rPr>
            </w:pPr>
            <w:r>
              <w:rPr>
                <w:rFonts w:hint="eastAsia" w:ascii="MS Gothic" w:hAnsi="MS Gothic" w:eastAsia="MS Gothic" w:cs="MS Gothic"/>
                <w:b/>
                <w:bCs/>
                <w:color w:val="auto"/>
                <w:highlight w:val="none"/>
                <w:lang w:eastAsia="zh-CN"/>
              </w:rPr>
              <w:t>☑</w:t>
            </w:r>
            <w:r>
              <w:rPr>
                <w:rFonts w:ascii="宋体" w:hAnsi="宋体" w:cs="宋体"/>
                <w:b/>
                <w:bCs/>
                <w:color w:val="auto"/>
                <w:highlight w:val="none"/>
                <w:lang w:eastAsia="zh-CN"/>
              </w:rPr>
              <w:t>直接选定；</w:t>
            </w:r>
            <w:r>
              <w:rPr>
                <w:color w:val="auto"/>
                <w:spacing w:val="60"/>
                <w:highlight w:val="none"/>
                <w:lang w:eastAsia="zh-CN"/>
              </w:rPr>
              <w:t xml:space="preserve"> </w:t>
            </w:r>
            <w:r>
              <w:rPr>
                <w:rFonts w:hint="eastAsia" w:ascii="MS Gothic" w:hAnsi="MS Gothic" w:eastAsia="MS Gothic" w:cs="MS Gothic"/>
                <w:color w:val="auto"/>
                <w:highlight w:val="none"/>
                <w:lang w:eastAsia="zh-CN"/>
              </w:rPr>
              <w:t>□</w:t>
            </w:r>
            <w:r>
              <w:rPr>
                <w:rFonts w:ascii="宋体" w:hAnsi="宋体" w:cs="宋体"/>
                <w:color w:val="auto"/>
                <w:highlight w:val="none"/>
                <w:lang w:eastAsia="zh-CN"/>
              </w:rPr>
              <w:t>二次竞价；</w:t>
            </w:r>
            <w:r>
              <w:rPr>
                <w:color w:val="auto"/>
                <w:spacing w:val="60"/>
                <w:highlight w:val="none"/>
                <w:lang w:eastAsia="zh-CN"/>
              </w:rPr>
              <w:t xml:space="preserve"> </w:t>
            </w:r>
            <w:r>
              <w:rPr>
                <w:rFonts w:ascii="宋体" w:hAnsi="宋体" w:cs="宋体"/>
                <w:color w:val="auto"/>
                <w:highlight w:val="none"/>
                <w:lang w:eastAsia="zh-CN"/>
              </w:rPr>
              <w:t>□顺序轮候。</w:t>
            </w:r>
          </w:p>
        </w:tc>
      </w:tr>
      <w:tr w14:paraId="4C620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top w:val="single" w:color="auto" w:sz="4" w:space="0"/>
              <w:left w:val="single" w:color="auto" w:sz="4" w:space="0"/>
              <w:bottom w:val="single" w:color="auto" w:sz="4" w:space="0"/>
              <w:right w:val="single" w:color="auto" w:sz="4" w:space="0"/>
            </w:tcBorders>
            <w:vAlign w:val="center"/>
          </w:tcPr>
          <w:p w14:paraId="1859E5F1">
            <w:pPr>
              <w:spacing w:line="400" w:lineRule="exact"/>
              <w:rPr>
                <w:rFonts w:ascii="宋体" w:hAnsi="宋体" w:cs="宋体"/>
                <w:color w:val="auto"/>
                <w:szCs w:val="21"/>
                <w:highlight w:val="none"/>
              </w:rPr>
            </w:pPr>
            <w:r>
              <w:rPr>
                <w:rFonts w:hint="eastAsia" w:ascii="宋体" w:hAnsi="宋体" w:cs="宋体"/>
                <w:color w:val="auto"/>
                <w:szCs w:val="21"/>
                <w:highlight w:val="none"/>
              </w:rPr>
              <w:t>35</w:t>
            </w:r>
          </w:p>
        </w:tc>
        <w:tc>
          <w:tcPr>
            <w:tcW w:w="1966" w:type="dxa"/>
            <w:tcBorders>
              <w:top w:val="single" w:color="auto" w:sz="4" w:space="0"/>
              <w:left w:val="single" w:color="auto" w:sz="4" w:space="0"/>
              <w:bottom w:val="single" w:color="auto" w:sz="4" w:space="0"/>
              <w:right w:val="single" w:color="auto" w:sz="4" w:space="0"/>
            </w:tcBorders>
            <w:vAlign w:val="center"/>
          </w:tcPr>
          <w:p w14:paraId="5AA41A1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履约保证金金额</w:t>
            </w:r>
          </w:p>
        </w:tc>
        <w:tc>
          <w:tcPr>
            <w:tcW w:w="6881" w:type="dxa"/>
            <w:tcBorders>
              <w:top w:val="single" w:color="auto" w:sz="4" w:space="0"/>
              <w:left w:val="single" w:color="auto" w:sz="4" w:space="0"/>
              <w:bottom w:val="single" w:color="auto" w:sz="4" w:space="0"/>
              <w:right w:val="single" w:color="auto" w:sz="4" w:space="0"/>
            </w:tcBorders>
            <w:vAlign w:val="bottom"/>
          </w:tcPr>
          <w:p w14:paraId="4F396D2E">
            <w:pPr>
              <w:autoSpaceDE w:val="0"/>
              <w:autoSpaceDN w:val="0"/>
              <w:snapToGrid w:val="0"/>
              <w:spacing w:line="400" w:lineRule="exact"/>
              <w:jc w:val="left"/>
              <w:textAlignment w:val="bottom"/>
              <w:rPr>
                <w:rFonts w:ascii="宋体" w:hAnsi="宋体" w:cs="宋体"/>
                <w:color w:val="auto"/>
                <w:szCs w:val="21"/>
                <w:highlight w:val="none"/>
              </w:rPr>
            </w:pPr>
            <w:r>
              <w:rPr>
                <w:rFonts w:hint="eastAsia" w:ascii="宋体" w:hAnsi="宋体" w:cs="宋体"/>
                <w:color w:val="auto"/>
                <w:kern w:val="0"/>
                <w:szCs w:val="21"/>
                <w:highlight w:val="none"/>
              </w:rPr>
              <w:t>本项目不收取履约保证金。</w:t>
            </w:r>
          </w:p>
        </w:tc>
      </w:tr>
      <w:tr w14:paraId="590D1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vMerge w:val="restart"/>
            <w:tcBorders>
              <w:top w:val="single" w:color="auto" w:sz="4" w:space="0"/>
              <w:left w:val="single" w:color="auto" w:sz="4" w:space="0"/>
              <w:right w:val="single" w:color="auto" w:sz="4" w:space="0"/>
            </w:tcBorders>
            <w:vAlign w:val="center"/>
          </w:tcPr>
          <w:p w14:paraId="53FE860D">
            <w:pPr>
              <w:spacing w:line="400" w:lineRule="exact"/>
              <w:rPr>
                <w:rFonts w:ascii="宋体" w:hAnsi="宋体" w:cs="宋体"/>
                <w:color w:val="auto"/>
                <w:szCs w:val="21"/>
                <w:highlight w:val="none"/>
              </w:rPr>
            </w:pPr>
            <w:r>
              <w:rPr>
                <w:rFonts w:hint="eastAsia" w:ascii="宋体" w:hAnsi="宋体" w:cs="宋体"/>
                <w:color w:val="auto"/>
                <w:szCs w:val="21"/>
                <w:highlight w:val="none"/>
              </w:rPr>
              <w:t>38.2.1</w:t>
            </w:r>
          </w:p>
        </w:tc>
        <w:tc>
          <w:tcPr>
            <w:tcW w:w="1966" w:type="dxa"/>
            <w:tcBorders>
              <w:top w:val="single" w:color="auto" w:sz="4" w:space="0"/>
              <w:left w:val="single" w:color="auto" w:sz="4" w:space="0"/>
              <w:bottom w:val="single" w:color="auto" w:sz="4" w:space="0"/>
              <w:right w:val="single" w:color="auto" w:sz="4" w:space="0"/>
            </w:tcBorders>
            <w:vAlign w:val="center"/>
          </w:tcPr>
          <w:p w14:paraId="597049DA">
            <w:pPr>
              <w:spacing w:line="400" w:lineRule="exact"/>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881" w:type="dxa"/>
            <w:tcBorders>
              <w:top w:val="single" w:color="auto" w:sz="4" w:space="0"/>
              <w:left w:val="single" w:color="auto" w:sz="4" w:space="0"/>
              <w:bottom w:val="single" w:color="auto" w:sz="4" w:space="0"/>
              <w:right w:val="single" w:color="auto" w:sz="4" w:space="0"/>
            </w:tcBorders>
            <w:vAlign w:val="center"/>
          </w:tcPr>
          <w:p w14:paraId="05DB0737">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31D66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vMerge w:val="continue"/>
            <w:tcBorders>
              <w:left w:val="single" w:color="auto" w:sz="4" w:space="0"/>
              <w:right w:val="single" w:color="auto" w:sz="4" w:space="0"/>
            </w:tcBorders>
            <w:vAlign w:val="center"/>
          </w:tcPr>
          <w:p w14:paraId="7C3CE618">
            <w:pPr>
              <w:spacing w:line="400" w:lineRule="exact"/>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7A8233A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881" w:type="dxa"/>
            <w:tcBorders>
              <w:top w:val="single" w:color="auto" w:sz="4" w:space="0"/>
              <w:left w:val="single" w:color="auto" w:sz="4" w:space="0"/>
              <w:bottom w:val="single" w:color="auto" w:sz="4" w:space="0"/>
              <w:right w:val="single" w:color="auto" w:sz="4" w:space="0"/>
            </w:tcBorders>
            <w:vAlign w:val="center"/>
          </w:tcPr>
          <w:p w14:paraId="2A4E2DB1">
            <w:pPr>
              <w:snapToGrid w:val="0"/>
              <w:spacing w:line="400" w:lineRule="exact"/>
              <w:rPr>
                <w:rFonts w:ascii="宋体" w:hAnsi="宋体"/>
                <w:color w:val="auto"/>
                <w:szCs w:val="21"/>
                <w:highlight w:val="none"/>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广西建隆工程咨询有限公司</w:t>
            </w:r>
            <w:r>
              <w:rPr>
                <w:rFonts w:hint="eastAsia" w:ascii="宋体" w:hAnsi="宋体"/>
                <w:color w:val="auto"/>
                <w:szCs w:val="21"/>
                <w:highlight w:val="none"/>
                <w:u w:val="single"/>
              </w:rPr>
              <w:t xml:space="preserve"> </w:t>
            </w:r>
            <w:r>
              <w:rPr>
                <w:rFonts w:hint="eastAsia" w:ascii="宋体" w:hAnsi="宋体"/>
                <w:color w:val="auto"/>
                <w:szCs w:val="21"/>
                <w:highlight w:val="none"/>
              </w:rPr>
              <w:t>部门；</w:t>
            </w:r>
          </w:p>
          <w:p w14:paraId="52799F99">
            <w:pPr>
              <w:snapToGrid w:val="0"/>
              <w:spacing w:line="400" w:lineRule="exact"/>
              <w:rPr>
                <w:rFonts w:hint="eastAsia" w:ascii="宋体" w:hAnsi="宋体" w:eastAsiaTheme="minorEastAsia"/>
                <w:color w:val="auto"/>
                <w:szCs w:val="21"/>
                <w:highlight w:val="none"/>
                <w:lang w:eastAsia="zh-CN"/>
              </w:rPr>
            </w:pPr>
            <w:r>
              <w:rPr>
                <w:rFonts w:hint="eastAsia" w:ascii="宋体" w:hAnsi="宋体"/>
                <w:color w:val="auto"/>
                <w:szCs w:val="21"/>
                <w:highlight w:val="none"/>
              </w:rPr>
              <w:t>联系电话：</w:t>
            </w:r>
            <w:r>
              <w:rPr>
                <w:rFonts w:hint="eastAsia" w:ascii="宋体" w:hAnsi="宋体"/>
                <w:color w:val="auto"/>
                <w:szCs w:val="21"/>
                <w:highlight w:val="none"/>
                <w:lang w:eastAsia="zh-CN"/>
              </w:rPr>
              <w:t>0771-2822199</w:t>
            </w:r>
          </w:p>
          <w:p w14:paraId="4FDA87ED">
            <w:pPr>
              <w:snapToGrid w:val="0"/>
              <w:spacing w:line="400" w:lineRule="exact"/>
              <w:rPr>
                <w:rFonts w:ascii="宋体" w:hAnsi="宋体" w:cs="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：南宁市壮锦大道31号云顶印象4层403号</w:t>
            </w:r>
            <w:r>
              <w:rPr>
                <w:rFonts w:hint="eastAsia" w:ascii="宋体" w:hAnsi="宋体"/>
                <w:color w:val="auto"/>
                <w:szCs w:val="21"/>
                <w:highlight w:val="none"/>
                <w:u w:val="none"/>
              </w:rPr>
              <w:t xml:space="preserve"> </w:t>
            </w:r>
            <w:r>
              <w:rPr>
                <w:rFonts w:hint="eastAsia" w:ascii="宋体" w:hAnsi="宋体"/>
                <w:color w:val="auto"/>
                <w:szCs w:val="21"/>
                <w:highlight w:val="none"/>
              </w:rPr>
              <w:t xml:space="preserve"> </w:t>
            </w:r>
          </w:p>
        </w:tc>
      </w:tr>
      <w:tr w14:paraId="35596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vMerge w:val="continue"/>
            <w:tcBorders>
              <w:left w:val="single" w:color="auto" w:sz="4" w:space="0"/>
              <w:bottom w:val="single" w:color="auto" w:sz="4" w:space="0"/>
              <w:right w:val="single" w:color="auto" w:sz="4" w:space="0"/>
            </w:tcBorders>
            <w:vAlign w:val="center"/>
          </w:tcPr>
          <w:p w14:paraId="761074E1">
            <w:pPr>
              <w:spacing w:line="400" w:lineRule="exact"/>
              <w:rPr>
                <w:rFonts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2EAEE57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6881" w:type="dxa"/>
            <w:tcBorders>
              <w:top w:val="single" w:color="auto" w:sz="4" w:space="0"/>
              <w:left w:val="single" w:color="auto" w:sz="4" w:space="0"/>
              <w:bottom w:val="single" w:color="auto" w:sz="4" w:space="0"/>
              <w:right w:val="single" w:color="auto" w:sz="4" w:space="0"/>
            </w:tcBorders>
            <w:vAlign w:val="center"/>
          </w:tcPr>
          <w:p w14:paraId="187464A3">
            <w:pPr>
              <w:snapToGrid w:val="0"/>
              <w:spacing w:line="400" w:lineRule="exact"/>
              <w:rPr>
                <w:rFonts w:ascii="宋体" w:hAnsi="宋体" w:cs="宋体"/>
                <w:color w:val="auto"/>
                <w:szCs w:val="21"/>
                <w:highlight w:val="none"/>
              </w:rPr>
            </w:pPr>
            <w:r>
              <w:rPr>
                <w:rFonts w:hint="eastAsia" w:ascii="宋体" w:hAnsi="宋体"/>
                <w:color w:val="auto"/>
                <w:szCs w:val="21"/>
                <w:highlight w:val="none"/>
              </w:rPr>
              <w:t>质疑期内每个工作日</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9</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分到</w:t>
            </w:r>
            <w:r>
              <w:rPr>
                <w:rFonts w:ascii="宋体" w:hAnsi="宋体"/>
                <w:color w:val="auto"/>
                <w:szCs w:val="21"/>
                <w:highlight w:val="none"/>
                <w:u w:val="single"/>
              </w:rPr>
              <w:t xml:space="preserve"> </w:t>
            </w:r>
            <w:r>
              <w:rPr>
                <w:rFonts w:hint="eastAsia" w:ascii="宋体" w:hAnsi="宋体"/>
                <w:color w:val="auto"/>
                <w:szCs w:val="21"/>
                <w:highlight w:val="none"/>
                <w:u w:val="single"/>
              </w:rPr>
              <w:t>12</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w:t>
            </w:r>
            <w:r>
              <w:rPr>
                <w:rFonts w:ascii="宋体" w:hAnsi="宋体"/>
                <w:color w:val="auto"/>
                <w:szCs w:val="21"/>
                <w:highlight w:val="none"/>
                <w:u w:val="single"/>
              </w:rPr>
              <w:t xml:space="preserve"> </w:t>
            </w:r>
            <w:r>
              <w:rPr>
                <w:rFonts w:hint="eastAsia" w:ascii="宋体" w:hAnsi="宋体"/>
                <w:color w:val="auto"/>
                <w:szCs w:val="21"/>
                <w:highlight w:val="none"/>
                <w:u w:val="single"/>
              </w:rPr>
              <w:t>15</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分到</w:t>
            </w:r>
            <w:r>
              <w:rPr>
                <w:rFonts w:ascii="宋体" w:hAnsi="宋体"/>
                <w:color w:val="auto"/>
                <w:szCs w:val="21"/>
                <w:highlight w:val="none"/>
                <w:u w:val="single"/>
              </w:rPr>
              <w:t xml:space="preserve"> </w:t>
            </w:r>
            <w:r>
              <w:rPr>
                <w:rFonts w:hint="eastAsia" w:ascii="宋体" w:hAnsi="宋体"/>
                <w:color w:val="auto"/>
                <w:szCs w:val="21"/>
                <w:highlight w:val="none"/>
                <w:u w:val="single"/>
              </w:rPr>
              <w:t>17</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w:t>
            </w:r>
          </w:p>
        </w:tc>
      </w:tr>
      <w:tr w14:paraId="24C1F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left w:val="single" w:color="auto" w:sz="4" w:space="0"/>
              <w:bottom w:val="single" w:color="auto" w:sz="4" w:space="0"/>
              <w:right w:val="single" w:color="auto" w:sz="4" w:space="0"/>
            </w:tcBorders>
            <w:vAlign w:val="center"/>
          </w:tcPr>
          <w:p w14:paraId="646FCB76">
            <w:pPr>
              <w:spacing w:line="400" w:lineRule="exact"/>
              <w:rPr>
                <w:rFonts w:ascii="宋体" w:hAnsi="宋体" w:cs="宋体"/>
                <w:color w:val="auto"/>
                <w:szCs w:val="21"/>
                <w:highlight w:val="none"/>
              </w:rPr>
            </w:pPr>
            <w:r>
              <w:rPr>
                <w:rFonts w:hint="eastAsia" w:ascii="宋体" w:hAnsi="宋体" w:cs="宋体"/>
                <w:color w:val="auto"/>
                <w:szCs w:val="21"/>
                <w:highlight w:val="none"/>
              </w:rPr>
              <w:t>38.3.1</w:t>
            </w:r>
          </w:p>
        </w:tc>
        <w:tc>
          <w:tcPr>
            <w:tcW w:w="1966" w:type="dxa"/>
            <w:tcBorders>
              <w:top w:val="single" w:color="auto" w:sz="4" w:space="0"/>
              <w:left w:val="single" w:color="auto" w:sz="4" w:space="0"/>
              <w:bottom w:val="single" w:color="auto" w:sz="4" w:space="0"/>
              <w:right w:val="single" w:color="auto" w:sz="4" w:space="0"/>
            </w:tcBorders>
            <w:vAlign w:val="center"/>
          </w:tcPr>
          <w:p w14:paraId="51AE5DF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投诉受理方式</w:t>
            </w:r>
          </w:p>
        </w:tc>
        <w:tc>
          <w:tcPr>
            <w:tcW w:w="6881" w:type="dxa"/>
            <w:tcBorders>
              <w:top w:val="single" w:color="auto" w:sz="4" w:space="0"/>
              <w:left w:val="single" w:color="auto" w:sz="4" w:space="0"/>
              <w:bottom w:val="single" w:color="auto" w:sz="4" w:space="0"/>
              <w:right w:val="single" w:color="auto" w:sz="4" w:space="0"/>
            </w:tcBorders>
            <w:vAlign w:val="center"/>
          </w:tcPr>
          <w:p w14:paraId="6F3F92DC">
            <w:pPr>
              <w:snapToGrid w:val="0"/>
              <w:spacing w:line="400" w:lineRule="exact"/>
              <w:rPr>
                <w:rFonts w:ascii="宋体" w:hAnsi="宋体"/>
                <w:color w:val="auto"/>
                <w:szCs w:val="21"/>
                <w:highlight w:val="none"/>
              </w:rPr>
            </w:pPr>
            <w:r>
              <w:rPr>
                <w:rFonts w:hint="eastAsia" w:ascii="宋体" w:hAnsi="宋体"/>
                <w:color w:val="auto"/>
                <w:szCs w:val="21"/>
                <w:highlight w:val="none"/>
              </w:rPr>
              <w:t>1、受理方式：纸质方式受理，投诉书正、副本（经过质疑的事项才可投诉）。</w:t>
            </w:r>
          </w:p>
          <w:p w14:paraId="3B028CB4">
            <w:pPr>
              <w:snapToGrid w:val="0"/>
              <w:spacing w:line="400" w:lineRule="exact"/>
              <w:rPr>
                <w:rFonts w:ascii="宋体" w:hAnsi="宋体"/>
                <w:color w:val="auto"/>
                <w:szCs w:val="21"/>
                <w:highlight w:val="none"/>
              </w:rPr>
            </w:pPr>
            <w:r>
              <w:rPr>
                <w:rFonts w:hint="eastAsia" w:ascii="宋体" w:hAnsi="宋体"/>
                <w:color w:val="auto"/>
                <w:szCs w:val="21"/>
                <w:highlight w:val="none"/>
              </w:rPr>
              <w:t>2、邮寄地址：</w:t>
            </w:r>
          </w:p>
          <w:p w14:paraId="1BF1550C">
            <w:pPr>
              <w:snapToGrid w:val="0"/>
              <w:spacing w:line="400" w:lineRule="exact"/>
              <w:rPr>
                <w:rFonts w:ascii="宋体" w:hAnsi="宋体"/>
                <w:color w:val="auto"/>
                <w:szCs w:val="21"/>
                <w:highlight w:val="none"/>
              </w:rPr>
            </w:pPr>
            <w:r>
              <w:rPr>
                <w:rFonts w:hint="eastAsia" w:ascii="宋体" w:hAnsi="宋体"/>
                <w:color w:val="auto"/>
                <w:szCs w:val="21"/>
                <w:highlight w:val="none"/>
              </w:rPr>
              <w:t>名称：</w:t>
            </w:r>
            <w:r>
              <w:rPr>
                <w:rFonts w:hint="eastAsia" w:ascii="宋体" w:hAnsi="宋体"/>
                <w:color w:val="auto"/>
                <w:szCs w:val="21"/>
                <w:highlight w:val="none"/>
                <w:lang w:eastAsia="zh-CN"/>
              </w:rPr>
              <w:t>广西—东盟经济技术开发区</w:t>
            </w:r>
            <w:r>
              <w:rPr>
                <w:rFonts w:hint="eastAsia" w:ascii="宋体" w:hAnsi="宋体"/>
                <w:color w:val="auto"/>
                <w:szCs w:val="21"/>
                <w:highlight w:val="none"/>
              </w:rPr>
              <w:t>财政局</w:t>
            </w:r>
          </w:p>
          <w:p w14:paraId="771AF6E5">
            <w:pPr>
              <w:snapToGrid w:val="0"/>
              <w:spacing w:line="400" w:lineRule="exact"/>
              <w:rPr>
                <w:rFonts w:ascii="宋体" w:hAnsi="宋体"/>
                <w:color w:val="auto"/>
                <w:szCs w:val="21"/>
                <w:highlight w:val="none"/>
              </w:rPr>
            </w:pPr>
            <w:r>
              <w:rPr>
                <w:rFonts w:hint="eastAsia" w:ascii="宋体" w:hAnsi="宋体"/>
                <w:color w:val="auto"/>
                <w:szCs w:val="21"/>
                <w:highlight w:val="none"/>
              </w:rPr>
              <w:t>地址：南宁市武鸣区里建武华大道 37 号管委会大楼</w:t>
            </w:r>
          </w:p>
          <w:p w14:paraId="16C0303F">
            <w:pPr>
              <w:snapToGrid w:val="0"/>
              <w:spacing w:line="400" w:lineRule="exact"/>
              <w:rPr>
                <w:rFonts w:ascii="宋体" w:hAnsi="宋体" w:cs="宋体"/>
                <w:color w:val="auto"/>
                <w:szCs w:val="21"/>
                <w:highlight w:val="none"/>
              </w:rPr>
            </w:pPr>
            <w:r>
              <w:rPr>
                <w:rFonts w:hint="eastAsia" w:ascii="宋体" w:hAnsi="宋体"/>
                <w:color w:val="auto"/>
                <w:kern w:val="0"/>
                <w:szCs w:val="21"/>
                <w:highlight w:val="none"/>
              </w:rPr>
              <w:t>联系电话：0771-6305612</w:t>
            </w:r>
          </w:p>
        </w:tc>
      </w:tr>
      <w:tr w14:paraId="3196C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top w:val="single" w:color="auto" w:sz="4" w:space="0"/>
              <w:left w:val="single" w:color="auto" w:sz="4" w:space="0"/>
              <w:right w:val="single" w:color="auto" w:sz="4" w:space="0"/>
            </w:tcBorders>
            <w:vAlign w:val="center"/>
          </w:tcPr>
          <w:p w14:paraId="0B22675D">
            <w:pPr>
              <w:spacing w:line="400" w:lineRule="exact"/>
              <w:rPr>
                <w:rFonts w:ascii="宋体" w:hAnsi="宋体" w:cs="宋体"/>
                <w:color w:val="auto"/>
                <w:szCs w:val="21"/>
                <w:highlight w:val="none"/>
              </w:rPr>
            </w:pPr>
            <w:r>
              <w:rPr>
                <w:rFonts w:hint="eastAsia" w:ascii="宋体" w:hAnsi="宋体" w:cs="宋体"/>
                <w:color w:val="auto"/>
                <w:szCs w:val="21"/>
                <w:highlight w:val="none"/>
              </w:rPr>
              <w:t>41</w:t>
            </w:r>
          </w:p>
        </w:tc>
        <w:tc>
          <w:tcPr>
            <w:tcW w:w="1966" w:type="dxa"/>
            <w:tcBorders>
              <w:top w:val="single" w:color="auto" w:sz="4" w:space="0"/>
              <w:left w:val="single" w:color="auto" w:sz="4" w:space="0"/>
              <w:right w:val="single" w:color="auto" w:sz="4" w:space="0"/>
            </w:tcBorders>
            <w:vAlign w:val="center"/>
          </w:tcPr>
          <w:p w14:paraId="6F1C675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采购代理费</w:t>
            </w:r>
          </w:p>
        </w:tc>
        <w:tc>
          <w:tcPr>
            <w:tcW w:w="6881" w:type="dxa"/>
            <w:tcBorders>
              <w:top w:val="single" w:color="auto" w:sz="4" w:space="0"/>
              <w:left w:val="single" w:color="auto" w:sz="4" w:space="0"/>
              <w:right w:val="single" w:color="auto" w:sz="4" w:space="0"/>
            </w:tcBorders>
            <w:vAlign w:val="center"/>
          </w:tcPr>
          <w:p w14:paraId="26D32216">
            <w:pPr>
              <w:snapToGrid w:val="0"/>
              <w:spacing w:line="380" w:lineRule="exact"/>
              <w:rPr>
                <w:rFonts w:hint="eastAsia" w:ascii="宋体" w:hAnsi="宋体" w:eastAsia="宋体" w:cs="宋体"/>
                <w:color w:val="auto"/>
                <w:szCs w:val="20"/>
                <w:highlight w:val="none"/>
              </w:rPr>
            </w:pPr>
            <w:r>
              <w:rPr>
                <w:rFonts w:hint="eastAsia" w:ascii="宋体" w:hAnsi="宋体" w:eastAsia="宋体" w:cs="宋体"/>
                <w:color w:val="auto"/>
                <w:szCs w:val="20"/>
                <w:highlight w:val="none"/>
              </w:rPr>
              <w:t>□以分标（</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rPr>
              <w:t>中标金额/</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rPr>
              <w:t>采购预算/□暂定中标金额/□其他</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）为计费额，按服务招标采用差额定率累进法计算出收费基准价格，采购代理收费以（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0"/>
                <w:highlight w:val="none"/>
              </w:rPr>
              <w:t>收费基准价格/□收费基准价格下浮</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）收取。</w:t>
            </w:r>
          </w:p>
          <w:p w14:paraId="2F6AE372">
            <w:pPr>
              <w:snapToGrid w:val="0"/>
              <w:spacing w:line="400" w:lineRule="exact"/>
              <w:rPr>
                <w:rFonts w:ascii="宋体" w:hAnsi="宋体" w:cs="宋体"/>
                <w:color w:val="auto"/>
                <w:szCs w:val="21"/>
                <w:highlight w:val="none"/>
              </w:rPr>
            </w:pPr>
            <w:r>
              <w:rPr>
                <w:rFonts w:hint="eastAsia" w:ascii="宋体" w:hAnsi="宋体" w:eastAsia="宋体" w:cs="宋体"/>
                <w:b/>
                <w:bCs/>
                <w:color w:val="auto"/>
                <w:szCs w:val="20"/>
                <w:highlight w:val="none"/>
              </w:rPr>
              <w:sym w:font="Wingdings 2" w:char="0052"/>
            </w:r>
            <w:r>
              <w:rPr>
                <w:rFonts w:hint="eastAsia" w:ascii="宋体" w:hAnsi="宋体" w:eastAsia="宋体" w:cs="宋体"/>
                <w:color w:val="auto"/>
                <w:szCs w:val="20"/>
                <w:highlight w:val="none"/>
              </w:rPr>
              <w:t>固定采购代理收费：每家入围供应商为人民币</w:t>
            </w:r>
            <w:r>
              <w:rPr>
                <w:rFonts w:hint="eastAsia" w:ascii="宋体" w:hAnsi="宋体" w:eastAsia="宋体" w:cs="宋体"/>
                <w:color w:val="auto"/>
                <w:szCs w:val="20"/>
                <w:highlight w:val="none"/>
                <w:lang w:eastAsia="zh-CN"/>
              </w:rPr>
              <w:t>壹万元整</w:t>
            </w:r>
            <w:r>
              <w:rPr>
                <w:rFonts w:hint="eastAsia" w:ascii="宋体" w:hAnsi="宋体" w:eastAsia="宋体" w:cs="宋体"/>
                <w:color w:val="auto"/>
                <w:szCs w:val="20"/>
                <w:highlight w:val="none"/>
              </w:rPr>
              <w:t>（</w:t>
            </w:r>
            <w:r>
              <w:rPr>
                <w:rFonts w:hint="eastAsia" w:ascii="宋体" w:hAnsi="宋体" w:eastAsia="宋体" w:cs="宋体"/>
                <w:color w:val="auto"/>
                <w:szCs w:val="20"/>
                <w:highlight w:val="none"/>
                <w:lang w:val="en-US" w:eastAsia="zh-CN"/>
              </w:rPr>
              <w:t>¥10</w:t>
            </w:r>
            <w:r>
              <w:rPr>
                <w:rFonts w:hint="eastAsia" w:ascii="宋体" w:hAnsi="宋体" w:eastAsia="宋体" w:cs="宋体"/>
                <w:color w:val="auto"/>
                <w:szCs w:val="20"/>
                <w:highlight w:val="none"/>
              </w:rPr>
              <w:t>000.00）</w:t>
            </w:r>
          </w:p>
        </w:tc>
      </w:tr>
      <w:tr w14:paraId="62270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top w:val="single" w:color="auto" w:sz="4" w:space="0"/>
              <w:left w:val="single" w:color="auto" w:sz="4" w:space="0"/>
              <w:bottom w:val="single" w:color="auto" w:sz="4" w:space="0"/>
              <w:right w:val="single" w:color="auto" w:sz="4" w:space="0"/>
            </w:tcBorders>
            <w:vAlign w:val="center"/>
          </w:tcPr>
          <w:p w14:paraId="4653D686">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42.1</w:t>
            </w:r>
          </w:p>
        </w:tc>
        <w:tc>
          <w:tcPr>
            <w:tcW w:w="1966" w:type="dxa"/>
            <w:tcBorders>
              <w:top w:val="single" w:color="auto" w:sz="4" w:space="0"/>
              <w:left w:val="single" w:color="auto" w:sz="4" w:space="0"/>
              <w:bottom w:val="single" w:color="auto" w:sz="4" w:space="0"/>
              <w:right w:val="single" w:color="auto" w:sz="4" w:space="0"/>
            </w:tcBorders>
            <w:vAlign w:val="center"/>
          </w:tcPr>
          <w:p w14:paraId="628E9E98">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解释</w:t>
            </w:r>
          </w:p>
        </w:tc>
        <w:tc>
          <w:tcPr>
            <w:tcW w:w="6881" w:type="dxa"/>
            <w:tcBorders>
              <w:top w:val="single" w:color="auto" w:sz="4" w:space="0"/>
              <w:left w:val="single" w:color="auto" w:sz="4" w:space="0"/>
              <w:bottom w:val="single" w:color="auto" w:sz="4" w:space="0"/>
              <w:right w:val="single" w:color="auto" w:sz="4" w:space="0"/>
            </w:tcBorders>
            <w:vAlign w:val="center"/>
          </w:tcPr>
          <w:p w14:paraId="3951AFDC">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征集文件的各个组成文件应互为解释，互为说明；除征集文件中有特别规定外，仅适用于征集响应阶段的规定，按更正公告（澄清公告）、征集公告、采购需求、供应商须知、评审方法及评审标准、拟签订的合同文本、响应文件格式的先后顺序解释；同一组成文件中就同一事项的规定或者约定不一致的，以编排顺序在后者为准；同一组成文件不同版本之间有不一致的，以形成时间在后者为准；更正公告（澄清公告）与同步更新的征集文件不一致时以更正公告（澄清公告）为准。按本款前述规定仍不能形成结论的</w:t>
            </w:r>
            <w:r>
              <w:rPr>
                <w:rFonts w:hint="eastAsia" w:ascii="宋体" w:hAnsi="宋体" w:cs="宋体"/>
                <w:b/>
                <w:color w:val="auto"/>
                <w:szCs w:val="21"/>
                <w:highlight w:val="none"/>
              </w:rPr>
              <w:t>，由征集人或者采购代理机构负责解释。</w:t>
            </w:r>
          </w:p>
          <w:p w14:paraId="42AB3954">
            <w:pPr>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法律责任：</w:t>
            </w:r>
            <w:r>
              <w:rPr>
                <w:rFonts w:hint="eastAsia" w:ascii="宋体" w:hAnsi="宋体" w:cs="宋体"/>
                <w:color w:val="auto"/>
                <w:szCs w:val="21"/>
                <w:highlight w:val="none"/>
              </w:rPr>
              <w:t>本征集文件根据《中华人民共和国政府采购法》、《中华人民共和国民法典》；《中华人民共和国政府采购法实施条例》、</w:t>
            </w:r>
            <w:r>
              <w:rPr>
                <w:rFonts w:hint="eastAsia"/>
                <w:color w:val="auto"/>
                <w:highlight w:val="none"/>
              </w:rPr>
              <w:t>《</w:t>
            </w:r>
            <w:r>
              <w:rPr>
                <w:color w:val="auto"/>
                <w:highlight w:val="none"/>
              </w:rPr>
              <w:t>政府采购框架协议采购方式管理暂行办法</w:t>
            </w:r>
            <w:r>
              <w:rPr>
                <w:rFonts w:hint="eastAsia"/>
                <w:color w:val="auto"/>
                <w:highlight w:val="none"/>
              </w:rPr>
              <w:t>》</w:t>
            </w:r>
            <w:r>
              <w:rPr>
                <w:rFonts w:hint="eastAsia" w:ascii="宋体" w:hAnsi="宋体" w:cs="宋体"/>
                <w:color w:val="auto"/>
                <w:szCs w:val="21"/>
                <w:highlight w:val="none"/>
              </w:rPr>
              <w:t>等有关法律、法规编制，参与本项目的各政府采购当事人依法享有上述法律法规所赋予的权利与义务。</w:t>
            </w:r>
          </w:p>
        </w:tc>
      </w:tr>
      <w:tr w14:paraId="0B04D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1" w:type="dxa"/>
            <w:tcBorders>
              <w:top w:val="single" w:color="auto" w:sz="4" w:space="0"/>
              <w:left w:val="single" w:color="auto" w:sz="4" w:space="0"/>
              <w:bottom w:val="single" w:color="auto" w:sz="4" w:space="0"/>
              <w:right w:val="single" w:color="auto" w:sz="4" w:space="0"/>
            </w:tcBorders>
            <w:vAlign w:val="center"/>
          </w:tcPr>
          <w:p w14:paraId="289ACA76">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42.2</w:t>
            </w:r>
          </w:p>
        </w:tc>
        <w:tc>
          <w:tcPr>
            <w:tcW w:w="1966" w:type="dxa"/>
            <w:tcBorders>
              <w:top w:val="single" w:color="auto" w:sz="4" w:space="0"/>
              <w:left w:val="single" w:color="auto" w:sz="4" w:space="0"/>
              <w:bottom w:val="single" w:color="auto" w:sz="4" w:space="0"/>
              <w:right w:val="single" w:color="auto" w:sz="4" w:space="0"/>
            </w:tcBorders>
            <w:vAlign w:val="center"/>
          </w:tcPr>
          <w:p w14:paraId="441600B3">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其他释义</w:t>
            </w:r>
          </w:p>
        </w:tc>
        <w:tc>
          <w:tcPr>
            <w:tcW w:w="6881" w:type="dxa"/>
            <w:tcBorders>
              <w:top w:val="single" w:color="auto" w:sz="4" w:space="0"/>
              <w:left w:val="single" w:color="auto" w:sz="4" w:space="0"/>
              <w:bottom w:val="single" w:color="auto" w:sz="4" w:space="0"/>
              <w:right w:val="single" w:color="auto" w:sz="4" w:space="0"/>
            </w:tcBorders>
            <w:vAlign w:val="center"/>
          </w:tcPr>
          <w:p w14:paraId="2C715F9A">
            <w:pPr>
              <w:snapToGrid w:val="0"/>
              <w:spacing w:line="400" w:lineRule="exact"/>
              <w:rPr>
                <w:rFonts w:ascii="宋体" w:hAnsi="宋体" w:cs="宋体"/>
                <w:color w:val="auto"/>
                <w:szCs w:val="21"/>
                <w:highlight w:val="none"/>
              </w:rPr>
            </w:pPr>
            <w:r>
              <w:rPr>
                <w:rFonts w:hint="eastAsia" w:ascii="宋体" w:hAnsi="宋体" w:cs="宋体"/>
                <w:color w:val="auto"/>
                <w:szCs w:val="20"/>
                <w:highlight w:val="none"/>
              </w:rPr>
              <w:t>1.本</w:t>
            </w:r>
            <w:r>
              <w:rPr>
                <w:rFonts w:hint="eastAsia" w:ascii="宋体" w:hAnsi="宋体" w:cs="宋体"/>
                <w:b/>
                <w:bCs/>
                <w:color w:val="auto"/>
                <w:szCs w:val="21"/>
                <w:highlight w:val="none"/>
              </w:rPr>
              <w:t>征集文件</w:t>
            </w:r>
            <w:r>
              <w:rPr>
                <w:rFonts w:hint="eastAsia" w:ascii="宋体" w:hAnsi="宋体" w:cs="宋体"/>
                <w:color w:val="auto"/>
                <w:szCs w:val="20"/>
                <w:highlight w:val="none"/>
              </w:rPr>
              <w:t>中描述供应商的“公章”是指供应商通过指定电子化政府采购平台办理数字证书（CA认证）获得的以法定主体行为名称制作的电子印章。</w:t>
            </w:r>
          </w:p>
          <w:p w14:paraId="08B757EE">
            <w:pPr>
              <w:snapToGrid w:val="0"/>
              <w:spacing w:line="400" w:lineRule="exact"/>
              <w:rPr>
                <w:rFonts w:ascii="宋体" w:hAnsi="宋体" w:cs="宋体"/>
                <w:b w:val="0"/>
                <w:bCs w:val="0"/>
                <w:color w:val="auto"/>
                <w:szCs w:val="20"/>
                <w:highlight w:val="none"/>
              </w:rPr>
            </w:pPr>
            <w:r>
              <w:rPr>
                <w:rFonts w:hint="eastAsia" w:ascii="宋体" w:hAnsi="宋体" w:cs="宋体"/>
                <w:color w:val="auto"/>
                <w:szCs w:val="20"/>
                <w:highlight w:val="none"/>
              </w:rPr>
              <w:t>2</w:t>
            </w:r>
            <w:r>
              <w:rPr>
                <w:rFonts w:hint="eastAsia" w:ascii="宋体" w:hAnsi="宋体" w:cs="宋体"/>
                <w:b w:val="0"/>
                <w:bCs w:val="0"/>
                <w:color w:val="auto"/>
                <w:szCs w:val="20"/>
                <w:highlight w:val="none"/>
              </w:rPr>
              <w:t>.本</w:t>
            </w:r>
            <w:r>
              <w:rPr>
                <w:rFonts w:hint="eastAsia" w:ascii="宋体" w:hAnsi="宋体" w:cs="宋体"/>
                <w:b w:val="0"/>
                <w:bCs w:val="0"/>
                <w:color w:val="auto"/>
                <w:szCs w:val="21"/>
                <w:highlight w:val="none"/>
              </w:rPr>
              <w:t>征集文件</w:t>
            </w:r>
            <w:r>
              <w:rPr>
                <w:rFonts w:hint="eastAsia" w:ascii="宋体" w:hAnsi="宋体" w:cs="宋体"/>
                <w:b w:val="0"/>
                <w:bCs w:val="0"/>
                <w:color w:val="auto"/>
                <w:szCs w:val="20"/>
                <w:highlight w:val="none"/>
              </w:rPr>
              <w:t>中描述供应商的“签字”是指供应商通过指定电子化政府采购平台办理数字证书（CA认证）获得的以供应商法定代表人或者委托代理人姓名制作的电子印章或手写签字。</w:t>
            </w:r>
          </w:p>
          <w:p w14:paraId="4D891E3C">
            <w:pPr>
              <w:snapToGrid w:val="0"/>
              <w:spacing w:line="400" w:lineRule="exact"/>
              <w:rPr>
                <w:rFonts w:ascii="宋体" w:hAnsi="宋体" w:cs="宋体"/>
                <w:b w:val="0"/>
                <w:bCs w:val="0"/>
                <w:color w:val="auto"/>
                <w:szCs w:val="20"/>
                <w:highlight w:val="none"/>
              </w:rPr>
            </w:pPr>
            <w:r>
              <w:rPr>
                <w:rFonts w:hint="eastAsia" w:ascii="宋体" w:hAnsi="宋体" w:cs="宋体"/>
                <w:b w:val="0"/>
                <w:bCs w:val="0"/>
                <w:color w:val="auto"/>
                <w:szCs w:val="20"/>
                <w:highlight w:val="none"/>
              </w:rPr>
              <w:t>3.供应商为其他组织或者自然人时，本</w:t>
            </w:r>
            <w:r>
              <w:rPr>
                <w:rFonts w:hint="eastAsia" w:ascii="宋体" w:hAnsi="宋体" w:cs="宋体"/>
                <w:b w:val="0"/>
                <w:bCs w:val="0"/>
                <w:color w:val="auto"/>
                <w:szCs w:val="21"/>
                <w:highlight w:val="none"/>
              </w:rPr>
              <w:t>征集文件</w:t>
            </w:r>
            <w:r>
              <w:rPr>
                <w:rFonts w:hint="eastAsia" w:ascii="宋体" w:hAnsi="宋体" w:cs="宋体"/>
                <w:b w:val="0"/>
                <w:bCs w:val="0"/>
                <w:color w:val="auto"/>
                <w:szCs w:val="20"/>
                <w:highlight w:val="none"/>
              </w:rPr>
              <w:t>规定的法定代表人指负责人或者自然人。本</w:t>
            </w:r>
            <w:r>
              <w:rPr>
                <w:rFonts w:hint="eastAsia" w:ascii="宋体" w:hAnsi="宋体" w:cs="宋体"/>
                <w:b w:val="0"/>
                <w:bCs w:val="0"/>
                <w:color w:val="auto"/>
                <w:szCs w:val="21"/>
                <w:highlight w:val="none"/>
              </w:rPr>
              <w:t>征集文件</w:t>
            </w:r>
            <w:r>
              <w:rPr>
                <w:rFonts w:hint="eastAsia" w:ascii="宋体" w:hAnsi="宋体" w:cs="宋体"/>
                <w:b w:val="0"/>
                <w:bCs w:val="0"/>
                <w:color w:val="auto"/>
                <w:szCs w:val="20"/>
                <w:highlight w:val="none"/>
              </w:rPr>
              <w:t>所称负责人是指参加竞标的其他组织营业执照上的负责人，本</w:t>
            </w:r>
            <w:r>
              <w:rPr>
                <w:rFonts w:hint="eastAsia" w:ascii="宋体" w:hAnsi="宋体" w:cs="宋体"/>
                <w:b w:val="0"/>
                <w:bCs w:val="0"/>
                <w:color w:val="auto"/>
                <w:szCs w:val="21"/>
                <w:highlight w:val="none"/>
              </w:rPr>
              <w:t>征集文件</w:t>
            </w:r>
            <w:r>
              <w:rPr>
                <w:rFonts w:hint="eastAsia" w:ascii="宋体" w:hAnsi="宋体" w:cs="宋体"/>
                <w:b w:val="0"/>
                <w:bCs w:val="0"/>
                <w:color w:val="auto"/>
                <w:szCs w:val="20"/>
                <w:highlight w:val="none"/>
              </w:rPr>
              <w:t>所称自然人指参与竞标的自然人本人。</w:t>
            </w:r>
          </w:p>
          <w:p w14:paraId="2677E938">
            <w:pPr>
              <w:snapToGrid w:val="0"/>
              <w:spacing w:line="400" w:lineRule="exact"/>
              <w:rPr>
                <w:rFonts w:ascii="宋体" w:hAnsi="宋体" w:cs="宋体"/>
                <w:b w:val="0"/>
                <w:bCs w:val="0"/>
                <w:color w:val="auto"/>
                <w:szCs w:val="21"/>
                <w:highlight w:val="none"/>
              </w:rPr>
            </w:pPr>
            <w:r>
              <w:rPr>
                <w:rFonts w:hint="eastAsia" w:hAnsi="宋体" w:cs="宋体"/>
                <w:b w:val="0"/>
                <w:bCs w:val="0"/>
                <w:color w:val="auto"/>
                <w:highlight w:val="none"/>
              </w:rPr>
              <w:t>4.自然人竞标的，</w:t>
            </w:r>
            <w:r>
              <w:rPr>
                <w:rFonts w:hint="eastAsia" w:ascii="宋体" w:hAnsi="宋体" w:cs="宋体"/>
                <w:b w:val="0"/>
                <w:bCs w:val="0"/>
                <w:color w:val="auto"/>
                <w:szCs w:val="21"/>
                <w:highlight w:val="none"/>
              </w:rPr>
              <w:t>征集文件</w:t>
            </w:r>
            <w:r>
              <w:rPr>
                <w:rFonts w:hint="eastAsia" w:hAnsi="宋体" w:cs="宋体"/>
                <w:b w:val="0"/>
                <w:bCs w:val="0"/>
                <w:color w:val="auto"/>
                <w:highlight w:val="none"/>
              </w:rPr>
              <w:t>规定盖公章处由自然人摁手指指印。</w:t>
            </w:r>
          </w:p>
          <w:p w14:paraId="46C465CE">
            <w:pPr>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5.本征集文件所称的“以上”“以下”“以内”“届满”，包括本数；所称的“不满”“超过”“以外”，不包括本数。</w:t>
            </w:r>
          </w:p>
        </w:tc>
      </w:tr>
    </w:tbl>
    <w:p w14:paraId="3E37DC5D">
      <w:pPr>
        <w:widowControl/>
        <w:spacing w:line="412" w:lineRule="auto"/>
        <w:jc w:val="left"/>
        <w:rPr>
          <w:rFonts w:ascii="Arial" w:hAnsi="Arial" w:eastAsia="黑体"/>
          <w:b/>
          <w:bCs/>
          <w:color w:val="auto"/>
          <w:sz w:val="32"/>
          <w:szCs w:val="32"/>
          <w:highlight w:val="none"/>
        </w:rPr>
        <w:sectPr>
          <w:pgSz w:w="11906" w:h="16838"/>
          <w:pgMar w:top="1134" w:right="1134" w:bottom="1134" w:left="1134" w:header="720" w:footer="720" w:gutter="0"/>
          <w:cols w:space="720" w:num="1"/>
          <w:docGrid w:type="lines" w:linePitch="331" w:charSpace="0"/>
        </w:sectPr>
      </w:pPr>
    </w:p>
    <w:p w14:paraId="6DEA07B2">
      <w:pPr>
        <w:keepNext/>
        <w:keepLines/>
        <w:spacing w:before="260" w:after="260" w:line="413" w:lineRule="auto"/>
        <w:jc w:val="center"/>
        <w:outlineLvl w:val="1"/>
        <w:rPr>
          <w:rFonts w:ascii="Arial" w:hAnsi="Arial" w:eastAsia="黑体"/>
          <w:b/>
          <w:bCs/>
          <w:color w:val="auto"/>
          <w:sz w:val="32"/>
          <w:szCs w:val="32"/>
          <w:highlight w:val="none"/>
        </w:rPr>
      </w:pPr>
      <w:bookmarkStart w:id="22" w:name="_Toc22009"/>
      <w:bookmarkStart w:id="23" w:name="_Toc1181"/>
      <w:r>
        <w:rPr>
          <w:rFonts w:hint="eastAsia" w:ascii="Arial" w:hAnsi="Arial" w:eastAsia="黑体"/>
          <w:b/>
          <w:bCs/>
          <w:color w:val="auto"/>
          <w:sz w:val="32"/>
          <w:szCs w:val="32"/>
          <w:highlight w:val="none"/>
        </w:rPr>
        <w:t>第二节</w:t>
      </w:r>
      <w:r>
        <w:rPr>
          <w:rFonts w:ascii="Arial" w:hAnsi="Arial" w:eastAsia="黑体"/>
          <w:b/>
          <w:bCs/>
          <w:color w:val="auto"/>
          <w:sz w:val="32"/>
          <w:szCs w:val="32"/>
          <w:highlight w:val="none"/>
        </w:rPr>
        <w:t xml:space="preserve"> </w:t>
      </w:r>
      <w:r>
        <w:rPr>
          <w:rFonts w:hint="eastAsia" w:ascii="Arial" w:hAnsi="Arial" w:eastAsia="黑体"/>
          <w:b/>
          <w:bCs/>
          <w:color w:val="auto"/>
          <w:sz w:val="32"/>
          <w:szCs w:val="32"/>
          <w:highlight w:val="none"/>
        </w:rPr>
        <w:t>供应商须知正文</w:t>
      </w:r>
      <w:bookmarkEnd w:id="22"/>
      <w:bookmarkEnd w:id="23"/>
    </w:p>
    <w:p w14:paraId="0BBB6193">
      <w:pPr>
        <w:spacing w:line="400" w:lineRule="exact"/>
        <w:ind w:firstLine="643" w:firstLineChars="200"/>
        <w:jc w:val="center"/>
        <w:outlineLvl w:val="2"/>
        <w:rPr>
          <w:rFonts w:ascii="Times New Roman" w:hAnsi="Times New Roman"/>
          <w:b/>
          <w:bCs/>
          <w:color w:val="auto"/>
          <w:sz w:val="32"/>
          <w:szCs w:val="32"/>
          <w:highlight w:val="none"/>
        </w:rPr>
      </w:pPr>
      <w:bookmarkStart w:id="24" w:name="_Toc22148"/>
      <w:bookmarkStart w:id="25" w:name="_Toc22498"/>
      <w:r>
        <w:rPr>
          <w:rFonts w:hint="eastAsia" w:ascii="Times New Roman" w:hAnsi="Times New Roman"/>
          <w:b/>
          <w:bCs/>
          <w:color w:val="auto"/>
          <w:sz w:val="32"/>
          <w:szCs w:val="32"/>
          <w:highlight w:val="none"/>
        </w:rPr>
        <w:t>一、总</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则</w:t>
      </w:r>
      <w:bookmarkEnd w:id="24"/>
      <w:bookmarkEnd w:id="25"/>
    </w:p>
    <w:p w14:paraId="60E51EE5">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1.适用范围及项目信息</w:t>
      </w:r>
    </w:p>
    <w:p w14:paraId="77503328">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1.1适用法律：本项目</w:t>
      </w:r>
      <w:r>
        <w:rPr>
          <w:rFonts w:hint="eastAsia"/>
          <w:color w:val="auto"/>
          <w:highlight w:val="none"/>
          <w:u w:val="none"/>
        </w:rPr>
        <w:t>征集人</w:t>
      </w:r>
      <w:r>
        <w:rPr>
          <w:rFonts w:hint="eastAsia" w:ascii="宋体" w:hAnsi="宋体"/>
          <w:color w:val="auto"/>
          <w:szCs w:val="21"/>
          <w:highlight w:val="none"/>
        </w:rPr>
        <w:t>、采购代理机构、供应商、评标委员会的相关行为均受《中华人民共和国政府采购法》、《中华人民共和国政府采购法实施条例》、</w:t>
      </w:r>
      <w:r>
        <w:rPr>
          <w:rFonts w:hint="eastAsia"/>
          <w:color w:val="auto"/>
          <w:highlight w:val="none"/>
        </w:rPr>
        <w:t>《</w:t>
      </w:r>
      <w:r>
        <w:rPr>
          <w:color w:val="auto"/>
          <w:highlight w:val="none"/>
        </w:rPr>
        <w:t>政府采购框架协议采购方式管理暂行办法</w:t>
      </w:r>
      <w:r>
        <w:rPr>
          <w:rFonts w:hint="eastAsia"/>
          <w:color w:val="auto"/>
          <w:highlight w:val="none"/>
        </w:rPr>
        <w:t>》</w:t>
      </w:r>
      <w:r>
        <w:rPr>
          <w:rFonts w:hint="eastAsia" w:ascii="宋体" w:hAnsi="宋体"/>
          <w:color w:val="auto"/>
          <w:szCs w:val="21"/>
          <w:highlight w:val="none"/>
        </w:rPr>
        <w:t>及本项目本级和上级财政部门政府采购有关规定的约束和保护。</w:t>
      </w:r>
    </w:p>
    <w:p w14:paraId="7ED039C7">
      <w:pPr>
        <w:spacing w:line="360" w:lineRule="auto"/>
        <w:ind w:firstLine="420" w:firstLineChars="200"/>
        <w:rPr>
          <w:rFonts w:ascii="宋体" w:hAnsi="宋体" w:cs="宋体"/>
          <w:color w:val="auto"/>
          <w:spacing w:val="-6"/>
          <w:szCs w:val="21"/>
          <w:highlight w:val="none"/>
        </w:rPr>
      </w:pPr>
      <w:r>
        <w:rPr>
          <w:rFonts w:hint="eastAsia" w:ascii="宋体" w:hAnsi="宋体"/>
          <w:color w:val="auto"/>
          <w:szCs w:val="21"/>
          <w:highlight w:val="none"/>
        </w:rPr>
        <w:t>1.2本征集文件</w:t>
      </w:r>
      <w:r>
        <w:rPr>
          <w:rFonts w:hint="eastAsia" w:ascii="宋体" w:hAnsi="宋体" w:cs="宋体"/>
          <w:color w:val="auto"/>
          <w:spacing w:val="-6"/>
          <w:szCs w:val="21"/>
          <w:highlight w:val="none"/>
        </w:rPr>
        <w:t>适用于本项目的所有采购程序和环节（法律、法规另有规定的，从其规定）。</w:t>
      </w:r>
    </w:p>
    <w:p w14:paraId="73DA6D2E">
      <w:pPr>
        <w:spacing w:line="360" w:lineRule="auto"/>
        <w:ind w:firstLine="420" w:firstLineChars="200"/>
        <w:rPr>
          <w:color w:val="auto"/>
          <w:highlight w:val="none"/>
        </w:rPr>
      </w:pPr>
      <w:r>
        <w:rPr>
          <w:rFonts w:hint="eastAsia"/>
          <w:color w:val="auto"/>
          <w:highlight w:val="none"/>
        </w:rPr>
        <w:t>1</w:t>
      </w:r>
      <w:r>
        <w:rPr>
          <w:color w:val="auto"/>
          <w:highlight w:val="none"/>
        </w:rPr>
        <w:t>.</w:t>
      </w:r>
      <w:r>
        <w:rPr>
          <w:rFonts w:hint="eastAsia"/>
          <w:color w:val="auto"/>
          <w:highlight w:val="none"/>
        </w:rPr>
        <w:t>3</w:t>
      </w:r>
      <w:r>
        <w:rPr>
          <w:color w:val="auto"/>
          <w:highlight w:val="none"/>
        </w:rPr>
        <w:t>项目信息</w:t>
      </w:r>
    </w:p>
    <w:p w14:paraId="302FF9C9">
      <w:pPr>
        <w:widowControl/>
        <w:spacing w:line="244" w:lineRule="exact"/>
        <w:ind w:left="420"/>
        <w:jc w:val="left"/>
        <w:rPr>
          <w:color w:val="auto"/>
          <w:highlight w:val="none"/>
        </w:rPr>
      </w:pPr>
      <w:r>
        <w:rPr>
          <w:rFonts w:hint="eastAsia"/>
          <w:color w:val="auto"/>
          <w:highlight w:val="none"/>
        </w:rPr>
        <w:t>1</w:t>
      </w:r>
      <w:r>
        <w:rPr>
          <w:color w:val="auto"/>
          <w:highlight w:val="none"/>
        </w:rPr>
        <w:t>.</w:t>
      </w:r>
      <w:r>
        <w:rPr>
          <w:rFonts w:hint="eastAsia"/>
          <w:color w:val="auto"/>
          <w:highlight w:val="none"/>
        </w:rPr>
        <w:t>3</w:t>
      </w:r>
      <w:r>
        <w:rPr>
          <w:color w:val="auto"/>
          <w:highlight w:val="none"/>
        </w:rPr>
        <w:t xml:space="preserve">. </w:t>
      </w:r>
      <w:r>
        <w:rPr>
          <w:rFonts w:hint="eastAsia"/>
          <w:color w:val="auto"/>
          <w:highlight w:val="none"/>
        </w:rPr>
        <w:t>1</w:t>
      </w:r>
      <w:r>
        <w:rPr>
          <w:color w:val="auto"/>
          <w:highlight w:val="none"/>
        </w:rPr>
        <w:t>项目名称及编号：详见供应商须知前附表</w:t>
      </w:r>
    </w:p>
    <w:p w14:paraId="1B8C7549">
      <w:pPr>
        <w:widowControl/>
        <w:spacing w:before="236" w:line="244" w:lineRule="exact"/>
        <w:ind w:left="420"/>
        <w:jc w:val="left"/>
        <w:rPr>
          <w:color w:val="auto"/>
          <w:highlight w:val="none"/>
        </w:rPr>
      </w:pPr>
      <w:r>
        <w:rPr>
          <w:rFonts w:hint="eastAsia"/>
          <w:color w:val="auto"/>
          <w:highlight w:val="none"/>
        </w:rPr>
        <w:t>1</w:t>
      </w:r>
      <w:r>
        <w:rPr>
          <w:color w:val="auto"/>
          <w:highlight w:val="none"/>
        </w:rPr>
        <w:t>.</w:t>
      </w:r>
      <w:r>
        <w:rPr>
          <w:rFonts w:hint="eastAsia"/>
          <w:color w:val="auto"/>
          <w:highlight w:val="none"/>
        </w:rPr>
        <w:t>3</w:t>
      </w:r>
      <w:r>
        <w:rPr>
          <w:color w:val="auto"/>
          <w:highlight w:val="none"/>
        </w:rPr>
        <w:t>.2 采购方式：详见供应商须知前附表</w:t>
      </w:r>
    </w:p>
    <w:p w14:paraId="1CEAA05A">
      <w:pPr>
        <w:widowControl/>
        <w:spacing w:before="236" w:line="244" w:lineRule="exact"/>
        <w:ind w:left="420"/>
        <w:jc w:val="left"/>
        <w:rPr>
          <w:rFonts w:ascii="宋体" w:hAnsi="宋体"/>
          <w:color w:val="auto"/>
          <w:szCs w:val="21"/>
          <w:highlight w:val="none"/>
        </w:rPr>
      </w:pPr>
      <w:r>
        <w:rPr>
          <w:rFonts w:hint="eastAsia"/>
          <w:color w:val="auto"/>
          <w:highlight w:val="none"/>
        </w:rPr>
        <w:t>1</w:t>
      </w:r>
      <w:r>
        <w:rPr>
          <w:color w:val="auto"/>
          <w:highlight w:val="none"/>
        </w:rPr>
        <w:t>.</w:t>
      </w:r>
      <w:r>
        <w:rPr>
          <w:rFonts w:hint="eastAsia"/>
          <w:color w:val="auto"/>
          <w:highlight w:val="none"/>
        </w:rPr>
        <w:t>3</w:t>
      </w:r>
      <w:r>
        <w:rPr>
          <w:color w:val="auto"/>
          <w:highlight w:val="none"/>
        </w:rPr>
        <w:t>.</w:t>
      </w:r>
      <w:r>
        <w:rPr>
          <w:rFonts w:hint="eastAsia"/>
          <w:color w:val="auto"/>
          <w:highlight w:val="none"/>
        </w:rPr>
        <w:t>3</w:t>
      </w:r>
      <w:r>
        <w:rPr>
          <w:color w:val="auto"/>
          <w:highlight w:val="none"/>
        </w:rPr>
        <w:t xml:space="preserve"> </w:t>
      </w:r>
      <w:r>
        <w:rPr>
          <w:rFonts w:hint="eastAsia"/>
          <w:color w:val="auto"/>
          <w:highlight w:val="none"/>
        </w:rPr>
        <w:t>项目类别</w:t>
      </w:r>
      <w:r>
        <w:rPr>
          <w:color w:val="auto"/>
          <w:highlight w:val="none"/>
        </w:rPr>
        <w:t>：详见供应商须知前附表</w:t>
      </w:r>
    </w:p>
    <w:p w14:paraId="0A3D580B">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2.定义</w:t>
      </w:r>
    </w:p>
    <w:p w14:paraId="422DD16E">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2.1 </w:t>
      </w:r>
      <w:r>
        <w:rPr>
          <w:rFonts w:ascii="宋体" w:hAnsi="宋体" w:cs="宋体"/>
          <w:b/>
          <w:color w:val="auto"/>
          <w:szCs w:val="21"/>
          <w:highlight w:val="none"/>
        </w:rPr>
        <w:t>“征集人”系指第一阶段主管预算单位及其委托的采购代理机构、集中采购机构的统称。</w:t>
      </w:r>
    </w:p>
    <w:p w14:paraId="2386AA0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681E947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2.3“供应商”是指向征集人、采购单位提供货物、工程或者服务的法人、其他组织或者自然人。</w:t>
      </w:r>
    </w:p>
    <w:p w14:paraId="6FCFF446">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2.4“采购单位”是指依法在框架协议范围内选定成交供应商并委托其开展相关服务工作的国家机关、事业单位、团体组织、企业等</w:t>
      </w:r>
      <w:r>
        <w:rPr>
          <w:rFonts w:hint="eastAsia" w:ascii="宋体" w:hAnsi="宋体" w:cs="宋体"/>
          <w:color w:val="auto"/>
          <w:szCs w:val="21"/>
          <w:highlight w:val="none"/>
        </w:rPr>
        <w:t>。</w:t>
      </w:r>
    </w:p>
    <w:p w14:paraId="3473831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5444C54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583AF47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2.7“实质性要求”是指征集文件中已经指明不满足则响应无效的条款，或者不能负偏离的条款，或者采购需求中带“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2355F1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2.8“正偏离”，是指响应文件对征集文件“采购需求”中有关条款作出的响应优于条款要求并有利于征集人的情形。</w:t>
      </w:r>
    </w:p>
    <w:p w14:paraId="4FCB2E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2.9“负偏离”，是指响应文件对征集文件“采购需求”中有关条款作出的响应不满足条款要求，导致采购单位要求不能得到满足的情形。</w:t>
      </w:r>
    </w:p>
    <w:p w14:paraId="696BF7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61ADBE8D">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3</w:t>
      </w:r>
      <w:r>
        <w:rPr>
          <w:rFonts w:ascii="黑体" w:hAnsi="黑体" w:eastAsia="黑体"/>
          <w:color w:val="auto"/>
          <w:sz w:val="24"/>
          <w:szCs w:val="24"/>
          <w:highlight w:val="none"/>
        </w:rPr>
        <w:t>.供应商</w:t>
      </w:r>
      <w:r>
        <w:rPr>
          <w:rFonts w:hint="eastAsia" w:ascii="黑体" w:hAnsi="黑体" w:eastAsia="黑体"/>
          <w:color w:val="auto"/>
          <w:sz w:val="24"/>
          <w:szCs w:val="24"/>
          <w:highlight w:val="none"/>
        </w:rPr>
        <w:t>的</w:t>
      </w:r>
      <w:r>
        <w:rPr>
          <w:rFonts w:ascii="黑体" w:hAnsi="黑体" w:eastAsia="黑体"/>
          <w:color w:val="auto"/>
          <w:sz w:val="24"/>
          <w:szCs w:val="24"/>
          <w:highlight w:val="none"/>
        </w:rPr>
        <w:t>资格要求</w:t>
      </w:r>
      <w:r>
        <w:rPr>
          <w:rFonts w:hint="eastAsia" w:ascii="黑体" w:hAnsi="黑体" w:eastAsia="黑体"/>
          <w:color w:val="auto"/>
          <w:sz w:val="24"/>
          <w:szCs w:val="24"/>
          <w:highlight w:val="none"/>
        </w:rPr>
        <w:t>：</w:t>
      </w:r>
      <w:r>
        <w:rPr>
          <w:color w:val="auto"/>
          <w:highlight w:val="none"/>
        </w:rPr>
        <w:t>详见</w:t>
      </w:r>
      <w:r>
        <w:rPr>
          <w:rFonts w:hint="eastAsia"/>
          <w:color w:val="auto"/>
          <w:highlight w:val="none"/>
        </w:rPr>
        <w:t>征集文件第一章《征集公告》</w:t>
      </w:r>
    </w:p>
    <w:p w14:paraId="2EE7CF33">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4.响应委托</w:t>
      </w:r>
    </w:p>
    <w:p w14:paraId="271910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供应商代表参加响应活动过程中必须携带个人有效身份证件。如供应商代表不是法定代表人，须持有法定代表人授权委托书（正本用原件，副本用复印件，按第六章要求格式填写）。</w:t>
      </w:r>
    </w:p>
    <w:p w14:paraId="4B7509E1">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5.响应费用</w:t>
      </w:r>
    </w:p>
    <w:p w14:paraId="250658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响应费用：供应商应承担参与本次采购活动有关的所有费用，包括但不限于勘查现场、编制响应文件、参加澄清说明、签订合同等，不论响应结果如何，均应自行承担。</w:t>
      </w:r>
    </w:p>
    <w:p w14:paraId="283BE26B">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6.联合体响应</w:t>
      </w:r>
    </w:p>
    <w:p w14:paraId="11C456B4">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6.1本项目是否接受联合体响应，详见“供应商须知前附表”。</w:t>
      </w:r>
    </w:p>
    <w:p w14:paraId="45BF4A63">
      <w:pPr>
        <w:spacing w:line="360" w:lineRule="auto"/>
        <w:ind w:firstLine="480" w:firstLineChars="200"/>
        <w:rPr>
          <w:rFonts w:ascii="宋体" w:hAnsi="宋体" w:cs="宋体"/>
          <w:color w:val="auto"/>
          <w:szCs w:val="21"/>
          <w:highlight w:val="none"/>
        </w:rPr>
      </w:pPr>
      <w:r>
        <w:rPr>
          <w:rFonts w:hint="eastAsia" w:ascii="黑体" w:hAnsi="黑体" w:eastAsia="黑体"/>
          <w:color w:val="auto"/>
          <w:sz w:val="24"/>
          <w:szCs w:val="24"/>
          <w:highlight w:val="none"/>
        </w:rPr>
        <w:t xml:space="preserve">7.转包与分包  </w:t>
      </w:r>
      <w:r>
        <w:rPr>
          <w:rFonts w:hint="eastAsia" w:ascii="宋体" w:hAnsi="宋体" w:cs="宋体"/>
          <w:color w:val="auto"/>
          <w:szCs w:val="21"/>
          <w:highlight w:val="none"/>
        </w:rPr>
        <w:t xml:space="preserve">           </w:t>
      </w:r>
    </w:p>
    <w:p w14:paraId="74BA42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7.1本项目是否允许分包详见“供应商须知前附表”。</w:t>
      </w:r>
    </w:p>
    <w:p w14:paraId="0D92A3E5">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8.特别说明：</w:t>
      </w:r>
    </w:p>
    <w:p w14:paraId="7F6A66B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8.1如果本征集文件要求供应商提供资格、信誉、荣誉、业绩与企业认证等材料的，则供应商所提供的以上材料必须为供应商所拥有。</w:t>
      </w:r>
    </w:p>
    <w:p w14:paraId="2C0C431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8.2供应商应仔细阅读征集文件的所有内容，按照征集文件的要求提交响应文件，并对所提供的全部资料的真实性承担法律责任。</w:t>
      </w:r>
    </w:p>
    <w:p w14:paraId="7C5FA00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8.3供应商在响应活动中提供任何虚假材料，将报监管部门查处。</w:t>
      </w:r>
    </w:p>
    <w:p w14:paraId="0CF1BA02">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9.回避与串通响应</w:t>
      </w:r>
    </w:p>
    <w:p w14:paraId="7302C3A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9.1在政府采购活动中，征集人员及相关人员与供应商有下列利害关系之一的，应当回避：</w:t>
      </w:r>
    </w:p>
    <w:p w14:paraId="308718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8BECE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6A11FF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1AEB04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2EC53A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395762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单位员及相关人员与其他供应商有利害关系的，可以向采购单位或者采购代理机构书面提出回避申请，并说明理由。采购单位或者采购代理机构应当及时询问被申请回避人员，有利害关系的被申请回避人员应当回避。</w:t>
      </w:r>
    </w:p>
    <w:p w14:paraId="3A0374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9.2有下列情形之一的视为供应商相互串通响应，响应文件将被视为无效：</w:t>
      </w:r>
    </w:p>
    <w:p w14:paraId="132CB06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（1）不同供应商的响应文件由同一单位或者个人编制；或者不同供应商报名的IP地址一致的；</w:t>
      </w:r>
    </w:p>
    <w:p w14:paraId="77C244C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（2）不同供应商委托同一单位或者个人办理响应事宜；</w:t>
      </w:r>
    </w:p>
    <w:p w14:paraId="0D996A7E">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（3）不同的供应商的响应文件载明的项目管理员为同一个人；</w:t>
      </w:r>
    </w:p>
    <w:p w14:paraId="3D41D77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（4）不同供应商的电子或纸质响应文件异常一致或者响应报价呈规律性差异；</w:t>
      </w:r>
    </w:p>
    <w:p w14:paraId="32119D5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（5）不同供应商的纸质响应文件相互混装；</w:t>
      </w:r>
    </w:p>
    <w:p w14:paraId="0DC6A6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1CDE4F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（1）供应商直接或者间接从征集人或者采购代理机构处获得其他供应商的相关信息并修改其响应文件；</w:t>
      </w:r>
    </w:p>
    <w:p w14:paraId="326E87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（2）供应商按照采购单位或者采购代理机构的授意撤换、修改响应文件；</w:t>
      </w:r>
    </w:p>
    <w:p w14:paraId="7E4C18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6205C5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7AD26A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（5）供应商之间事先约定一致抬高或者压低响应报价，或者在征集项目中事先约定轮流以高价位或者低价位入围，或者事先约定由某一特定供应商入围，然后再参加响应；</w:t>
      </w:r>
    </w:p>
    <w:p w14:paraId="4BD37B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（6）供应商之间商定部分供应商放弃参加政府采购活动或者放弃入围；</w:t>
      </w:r>
    </w:p>
    <w:p w14:paraId="1938C4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（7）供应商与征集人或者采购代理机构之间、供应商相互之间，为谋求特定供应商入围或者排斥其他供应商的其他串通行为。</w:t>
      </w:r>
    </w:p>
    <w:p w14:paraId="357A2D51">
      <w:pPr>
        <w:snapToGrid w:val="0"/>
        <w:spacing w:line="360" w:lineRule="auto"/>
        <w:ind w:left="2" w:leftChars="1" w:firstLine="422" w:firstLineChars="200"/>
        <w:rPr>
          <w:rFonts w:ascii="宋体" w:hAnsi="宋体"/>
          <w:b/>
          <w:color w:val="auto"/>
          <w:szCs w:val="20"/>
          <w:highlight w:val="none"/>
        </w:rPr>
      </w:pPr>
    </w:p>
    <w:p w14:paraId="5F7A2609">
      <w:pPr>
        <w:spacing w:line="400" w:lineRule="exact"/>
        <w:ind w:firstLine="643" w:firstLineChars="200"/>
        <w:jc w:val="center"/>
        <w:outlineLvl w:val="2"/>
        <w:rPr>
          <w:rFonts w:ascii="Times New Roman" w:hAnsi="Times New Roman"/>
          <w:b/>
          <w:bCs/>
          <w:color w:val="auto"/>
          <w:sz w:val="32"/>
          <w:szCs w:val="32"/>
          <w:highlight w:val="none"/>
        </w:rPr>
      </w:pPr>
      <w:bookmarkStart w:id="26" w:name="_Toc22688"/>
      <w:bookmarkStart w:id="27" w:name="_Toc15435"/>
      <w:r>
        <w:rPr>
          <w:rFonts w:hint="eastAsia" w:ascii="Times New Roman" w:hAnsi="Times New Roman"/>
          <w:b/>
          <w:bCs/>
          <w:color w:val="auto"/>
          <w:sz w:val="32"/>
          <w:szCs w:val="32"/>
          <w:highlight w:val="none"/>
        </w:rPr>
        <w:t>二、第一阶段（入围阶段）</w:t>
      </w:r>
      <w:bookmarkEnd w:id="26"/>
      <w:bookmarkEnd w:id="27"/>
    </w:p>
    <w:p w14:paraId="2417836C">
      <w:pPr>
        <w:spacing w:line="400" w:lineRule="exact"/>
        <w:ind w:firstLine="643" w:firstLineChars="200"/>
        <w:jc w:val="center"/>
        <w:outlineLvl w:val="2"/>
        <w:rPr>
          <w:rFonts w:ascii="Times New Roman" w:hAnsi="Times New Roman"/>
          <w:b/>
          <w:bCs/>
          <w:color w:val="auto"/>
          <w:sz w:val="32"/>
          <w:szCs w:val="32"/>
          <w:highlight w:val="none"/>
        </w:rPr>
      </w:pPr>
      <w:bookmarkStart w:id="28" w:name="_Toc27719"/>
      <w:bookmarkStart w:id="29" w:name="_Toc12694"/>
      <w:r>
        <w:rPr>
          <w:rFonts w:hint="eastAsia" w:ascii="Times New Roman" w:hAnsi="Times New Roman"/>
          <w:b/>
          <w:bCs/>
          <w:color w:val="auto"/>
          <w:sz w:val="32"/>
          <w:szCs w:val="32"/>
          <w:highlight w:val="none"/>
        </w:rPr>
        <w:t>（一）征集文件</w:t>
      </w:r>
      <w:bookmarkEnd w:id="28"/>
      <w:bookmarkEnd w:id="29"/>
    </w:p>
    <w:p w14:paraId="714B875A">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10.征集文件的组成</w:t>
      </w:r>
    </w:p>
    <w:p w14:paraId="588CC7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第一章 征集公告；</w:t>
      </w:r>
    </w:p>
    <w:p w14:paraId="5DD2AD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第二章 采购需求； </w:t>
      </w:r>
    </w:p>
    <w:p w14:paraId="7904E6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第三章 供应商须知；</w:t>
      </w:r>
    </w:p>
    <w:p w14:paraId="64B56E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第四章 </w:t>
      </w:r>
      <w:r>
        <w:rPr>
          <w:rFonts w:hint="eastAsia" w:ascii="宋体" w:hAnsi="宋体" w:cs="宋体"/>
          <w:color w:val="auto"/>
          <w:szCs w:val="21"/>
          <w:highlight w:val="none"/>
        </w:rPr>
        <w:t>评审方法和评审标准</w:t>
      </w:r>
      <w:r>
        <w:rPr>
          <w:rFonts w:hint="eastAsia" w:ascii="宋体" w:hAnsi="宋体"/>
          <w:color w:val="auto"/>
          <w:szCs w:val="21"/>
          <w:highlight w:val="none"/>
        </w:rPr>
        <w:t>；</w:t>
      </w:r>
    </w:p>
    <w:p w14:paraId="1657079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第五章 拟签订的框架协议文本和采购合同文本；</w:t>
      </w:r>
    </w:p>
    <w:p w14:paraId="3FF3A0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第六章 响应文件格式；</w:t>
      </w:r>
    </w:p>
    <w:p w14:paraId="53B20AD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第七章 质疑、投诉材料格式</w:t>
      </w:r>
    </w:p>
    <w:p w14:paraId="00993D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根据本章第</w:t>
      </w:r>
      <w:r>
        <w:rPr>
          <w:rFonts w:hint="eastAsia"/>
          <w:color w:val="auto"/>
          <w:highlight w:val="none"/>
        </w:rPr>
        <w:t>11.1</w:t>
      </w:r>
      <w:r>
        <w:rPr>
          <w:rFonts w:hint="eastAsia" w:ascii="宋体" w:hAnsi="宋体" w:cs="宋体"/>
          <w:color w:val="auto"/>
          <w:szCs w:val="21"/>
          <w:highlight w:val="none"/>
        </w:rPr>
        <w:t>项的规定对公开征集文件所做的澄清、修改，构成征集文件的组成部分。当公开征集文件与征集文件的澄清和修改就同一内容的表述不一致时，以最后澄清或修改公告为准。</w:t>
      </w:r>
    </w:p>
    <w:p w14:paraId="570653F4">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11.征集文件的澄清、修改 、现场考察和答疑会</w:t>
      </w:r>
    </w:p>
    <w:p w14:paraId="3DF0E28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11.1征集人或者采购代理机构可以对已发出的征集文件进行必要的澄清或者修改。澄清或者修改应当在原公告发布媒体上发布澄清公告。澄清或者修改的内容为征集文件的组成部分。</w:t>
      </w:r>
      <w:r>
        <w:rPr>
          <w:rFonts w:hint="eastAsia" w:ascii="宋体" w:hAnsi="宋体" w:cs="宋体"/>
          <w:color w:val="auto"/>
          <w:szCs w:val="21"/>
          <w:highlight w:val="none"/>
        </w:rPr>
        <w:t>澄清或者修改的内容可能影响响应文件编制的，征集人或者采购代理机构应当在响应截止时间至少15日前，在“供应商须知前附表”规定的政府采购信息发布媒体上发布更正公告所有的潜在供应商；不足15日的，征集人或者采购代理机构应当顺延提交响应文件的截止时间。发出的澄清或者修改不影响响应文件编制的也应在截标前3日发出。</w:t>
      </w:r>
    </w:p>
    <w:p w14:paraId="744DD3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供应商应认真审阅本公开征集文件，如有疑问，或发现其中有误或有要求不合理的，应在供应商须知前附表规定的</w:t>
      </w:r>
      <w:r>
        <w:rPr>
          <w:rFonts w:hint="eastAsia" w:ascii="宋体" w:hAnsi="宋体" w:cs="宋体"/>
          <w:color w:val="auto"/>
          <w:kern w:val="0"/>
          <w:szCs w:val="21"/>
          <w:highlight w:val="none"/>
        </w:rPr>
        <w:t>响应截止时间</w:t>
      </w:r>
      <w:r>
        <w:rPr>
          <w:rFonts w:hint="eastAsia" w:ascii="宋体" w:hAnsi="宋体" w:cs="宋体"/>
          <w:color w:val="auto"/>
          <w:szCs w:val="21"/>
          <w:highlight w:val="none"/>
        </w:rPr>
        <w:t>前以书面形式要求征集人或采购代理机构对征集文件予以澄清；否则，由此产生的后果由供应商自行负责。</w:t>
      </w:r>
    </w:p>
    <w:p w14:paraId="6EE232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11.3征集人和采购代理机构可以视采购具体情况，变更响应截止时间和开标时间，将变更时间将在“供应商须知前附表”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szCs w:val="21"/>
          <w:highlight w:val="none"/>
        </w:rPr>
        <w:t>发布更正公告。</w:t>
      </w:r>
    </w:p>
    <w:p w14:paraId="5E1B7A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11.4征集人或者采购代理机构可以在征集文件提供期限截止后，组织已获取征集文件的潜在供应商现场考察或者召开开标前答疑会，具体详见“供应商须知前附表”。</w:t>
      </w:r>
    </w:p>
    <w:p w14:paraId="362F31B3">
      <w:pPr>
        <w:spacing w:line="360" w:lineRule="auto"/>
        <w:ind w:firstLine="420" w:firstLineChars="200"/>
        <w:rPr>
          <w:rFonts w:ascii="Times New Roman" w:hAnsi="宋体"/>
          <w:color w:val="auto"/>
          <w:szCs w:val="24"/>
          <w:highlight w:val="none"/>
        </w:rPr>
      </w:pPr>
      <w:r>
        <w:rPr>
          <w:rFonts w:ascii="Times New Roman" w:hAnsi="宋体"/>
          <w:color w:val="auto"/>
          <w:szCs w:val="24"/>
          <w:highlight w:val="none"/>
        </w:rPr>
        <w:t>11.5征集</w:t>
      </w:r>
      <w:r>
        <w:rPr>
          <w:rFonts w:hint="eastAsia" w:ascii="Times New Roman" w:hAnsi="宋体"/>
          <w:color w:val="auto"/>
          <w:szCs w:val="24"/>
          <w:highlight w:val="none"/>
        </w:rPr>
        <w:t>人或者采购代理机构不组织召开开标前答疑会。</w:t>
      </w:r>
    </w:p>
    <w:p w14:paraId="772200E6">
      <w:pPr>
        <w:spacing w:line="360" w:lineRule="auto"/>
        <w:ind w:firstLine="420" w:firstLineChars="200"/>
        <w:rPr>
          <w:rFonts w:ascii="宋体" w:hAnsi="宋体" w:cs="宋体"/>
          <w:color w:val="auto"/>
          <w:szCs w:val="21"/>
          <w:highlight w:val="none"/>
        </w:rPr>
      </w:pPr>
    </w:p>
    <w:p w14:paraId="78B23390">
      <w:pPr>
        <w:pStyle w:val="5"/>
        <w:keepNext w:val="0"/>
        <w:keepLines w:val="0"/>
        <w:spacing w:line="400" w:lineRule="exact"/>
        <w:jc w:val="center"/>
        <w:rPr>
          <w:rFonts w:ascii="宋体" w:hAnsi="宋体" w:cs="宋体"/>
          <w:color w:val="auto"/>
          <w:highlight w:val="none"/>
        </w:rPr>
      </w:pPr>
      <w:bookmarkStart w:id="30" w:name="_Toc7952"/>
      <w:bookmarkStart w:id="31" w:name="_Toc20269"/>
      <w:bookmarkStart w:id="32" w:name="_Toc1877"/>
      <w:r>
        <w:rPr>
          <w:rFonts w:hint="eastAsia" w:ascii="宋体" w:hAnsi="宋体" w:cs="宋体"/>
          <w:color w:val="auto"/>
          <w:highlight w:val="none"/>
        </w:rPr>
        <w:t>（二）响应文件的编制</w:t>
      </w:r>
      <w:bookmarkEnd w:id="30"/>
      <w:bookmarkEnd w:id="31"/>
      <w:bookmarkEnd w:id="32"/>
    </w:p>
    <w:p w14:paraId="38AB670C">
      <w:pPr>
        <w:spacing w:line="360" w:lineRule="auto"/>
        <w:ind w:firstLine="420" w:firstLineChars="200"/>
        <w:rPr>
          <w:rFonts w:ascii="Times New Roman" w:hAnsi="宋体"/>
          <w:color w:val="auto"/>
          <w:szCs w:val="24"/>
          <w:highlight w:val="none"/>
        </w:rPr>
      </w:pPr>
    </w:p>
    <w:p w14:paraId="4DC6282F">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12.响应文件的编制原则</w:t>
      </w:r>
    </w:p>
    <w:p w14:paraId="174A78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12.1供应商必须按照征集文件的要求编制响应文件。响应文件必须对征集文件提出的要求和条件作出明确响应。</w:t>
      </w:r>
    </w:p>
    <w:p w14:paraId="37430D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12.2供应商应根据自身实际情况如实响应征集文件，</w:t>
      </w:r>
      <w:r>
        <w:rPr>
          <w:rFonts w:ascii="宋体" w:hAnsi="宋体" w:cs="宋体"/>
          <w:color w:val="auto"/>
          <w:szCs w:val="21"/>
          <w:highlight w:val="none"/>
        </w:rPr>
        <w:t>供应商须保证所提供的全部资料的真实性、完整性及有效性，以使其</w:t>
      </w:r>
      <w:r>
        <w:rPr>
          <w:rFonts w:hint="eastAsia" w:ascii="宋体" w:hAnsi="宋体" w:cs="宋体"/>
          <w:color w:val="auto"/>
          <w:szCs w:val="21"/>
          <w:highlight w:val="none"/>
        </w:rPr>
        <w:t>响应</w:t>
      </w:r>
      <w:r>
        <w:rPr>
          <w:rFonts w:ascii="宋体" w:hAnsi="宋体" w:cs="宋体"/>
          <w:color w:val="auto"/>
          <w:szCs w:val="21"/>
          <w:highlight w:val="none"/>
        </w:rPr>
        <w:t>对“征集文件”作出实质性响应</w:t>
      </w:r>
      <w:r>
        <w:rPr>
          <w:rFonts w:hint="eastAsia" w:ascii="宋体" w:hAnsi="宋体" w:cs="宋体"/>
          <w:color w:val="auto"/>
          <w:szCs w:val="21"/>
          <w:highlight w:val="none"/>
        </w:rPr>
        <w:t>。</w:t>
      </w:r>
    </w:p>
    <w:p w14:paraId="59C158FE">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13.响应文件的组成</w:t>
      </w:r>
    </w:p>
    <w:p w14:paraId="6EBF7F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13.1响应文件由报价文件、资格证明文件、商务文件、技术文件四部分组成。</w:t>
      </w:r>
    </w:p>
    <w:p w14:paraId="4CE4963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（1）资格证明文件：具体材料见“供应商须知前附表”。</w:t>
      </w:r>
    </w:p>
    <w:p w14:paraId="56295EE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（2）商务文件：具体材料见“供应商须知前附表”。</w:t>
      </w:r>
    </w:p>
    <w:p w14:paraId="0FBCE3F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（3）技术文件：具体材料见“供应商须知前附表”。 </w:t>
      </w:r>
    </w:p>
    <w:p w14:paraId="0849786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具体材料见“供应商须知前附表”。</w:t>
      </w:r>
    </w:p>
    <w:p w14:paraId="228E820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13.2响应文件电子版：具体要求见本节19.响应文件编制。</w:t>
      </w:r>
    </w:p>
    <w:p w14:paraId="7418B7DE">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14.响应文件的语言及计量</w:t>
      </w:r>
    </w:p>
    <w:p w14:paraId="70FAD9D5">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411F76E5">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响应文件以及供应商与征集人就有关响应事宜的所有来往函电，均应以中文书写（除专用术语外，与征集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6AF81ED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14.2响应计量单位</w:t>
      </w:r>
    </w:p>
    <w:p w14:paraId="1279DF4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征集文件已有明确规定的，使用征集文件规定的计量单位；征集文件没有规定的，应采用中华人民共和国法定计量单位，货币种类为人民币，否则视同未响应。</w:t>
      </w:r>
    </w:p>
    <w:p w14:paraId="1B88D316">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15.响应的风险</w:t>
      </w:r>
    </w:p>
    <w:p w14:paraId="4B2B8907">
      <w:pPr>
        <w:spacing w:line="360" w:lineRule="auto"/>
        <w:ind w:firstLine="422" w:firstLineChars="200"/>
        <w:rPr>
          <w:rFonts w:ascii="宋体" w:hAnsi="宋体" w:cs="宋体"/>
          <w:b/>
          <w:bCs/>
          <w:color w:val="auto"/>
          <w:szCs w:val="21"/>
          <w:highlight w:val="none"/>
        </w:rPr>
      </w:pPr>
      <w:r>
        <w:rPr>
          <w:rFonts w:hint="eastAsia" w:ascii="宋体" w:hAnsi="宋体" w:cs="宋体"/>
          <w:b/>
          <w:color w:val="auto"/>
          <w:szCs w:val="21"/>
          <w:highlight w:val="none"/>
        </w:rPr>
        <w:t>响应文件分为资格证明文件、商务文件、技术文件、报价文件四部分。</w:t>
      </w:r>
      <w:r>
        <w:rPr>
          <w:rFonts w:hint="eastAsia" w:ascii="宋体" w:hAnsi="宋体" w:cs="宋体"/>
          <w:color w:val="auto"/>
          <w:szCs w:val="21"/>
          <w:highlight w:val="none"/>
        </w:rPr>
        <w:t>各供应商在编制响应文件时请按照征集文件规定的格式进行，混乱的编排导致响应文件被误读或评审委员会查找不到有效文件是供应商的风险。</w:t>
      </w:r>
    </w:p>
    <w:p w14:paraId="6BCDAEE1">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16.响应报价</w:t>
      </w:r>
    </w:p>
    <w:p w14:paraId="3AD1826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w:t>
      </w:r>
      <w:r>
        <w:rPr>
          <w:rFonts w:hint="eastAsia"/>
          <w:color w:val="auto"/>
          <w:highlight w:val="none"/>
        </w:rPr>
        <w:t>响应报价要求，具体</w:t>
      </w:r>
      <w:r>
        <w:rPr>
          <w:color w:val="auto"/>
          <w:highlight w:val="none"/>
        </w:rPr>
        <w:t>详见供应商须知前附表</w:t>
      </w:r>
      <w:r>
        <w:rPr>
          <w:rFonts w:hint="eastAsia" w:ascii="宋体" w:hAnsi="宋体" w:cs="宋体"/>
          <w:bCs/>
          <w:color w:val="auto"/>
          <w:szCs w:val="21"/>
          <w:highlight w:val="none"/>
        </w:rPr>
        <w:t>。</w:t>
      </w:r>
    </w:p>
    <w:p w14:paraId="40C2EFB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16.2响应报价具体包括内容详见“供应商须知前附表”。</w:t>
      </w:r>
    </w:p>
    <w:p w14:paraId="7A147C1A">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16.3供应商必须就所投每个分标的全部内容分别作完整唯一总价报价，不得存在漏项报价；供应商必须就所投分标的单项内容作唯一报价</w:t>
      </w:r>
      <w:r>
        <w:rPr>
          <w:rFonts w:hint="eastAsia" w:ascii="宋体" w:hAnsi="宋体" w:cs="宋体"/>
          <w:b/>
          <w:color w:val="auto"/>
          <w:szCs w:val="21"/>
          <w:highlight w:val="none"/>
        </w:rPr>
        <w:t>，附带有条件的报价将不予接受</w:t>
      </w:r>
      <w:r>
        <w:rPr>
          <w:rFonts w:hint="eastAsia" w:ascii="宋体" w:hAnsi="宋体" w:cs="宋体"/>
          <w:bCs/>
          <w:color w:val="auto"/>
          <w:szCs w:val="21"/>
          <w:highlight w:val="none"/>
        </w:rPr>
        <w:t>。</w:t>
      </w:r>
    </w:p>
    <w:p w14:paraId="367C3373">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17.响应有效期</w:t>
      </w:r>
    </w:p>
    <w:p w14:paraId="14B7CF5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17.1响应有效期是指为保证征集人有足够的时间在开标后完成评审、定标、合同签订等工作而要求供应商提交的响应文件在一定时间内保持有效的期限。</w:t>
      </w:r>
    </w:p>
    <w:p w14:paraId="4F9362C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 响应有效期应按规定的期限作出承诺，具体详见“供应商须知前附表”。</w:t>
      </w:r>
    </w:p>
    <w:p w14:paraId="6D868791">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17.3供应商的响应文件在响应有效期内均保持有效。</w:t>
      </w:r>
    </w:p>
    <w:p w14:paraId="7721519B">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18.响应保证金</w:t>
      </w:r>
    </w:p>
    <w:p w14:paraId="55F2E7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本项目不收取响应保证金。</w:t>
      </w:r>
    </w:p>
    <w:p w14:paraId="16A572B8">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19.响应文件的编制</w:t>
      </w:r>
    </w:p>
    <w:p w14:paraId="7980F28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19.1响应文件编制要求详见“供应商须知前附表”。供应商应按本征集文件规定的格式和顺序编制、装订响应文件并标注页码，响应文件内容不完整、编排混乱导致响应文件被误读、漏读或者查找不到相关内容的，由此引发的后果由供应商承担。特别注意</w:t>
      </w:r>
      <w:r>
        <w:rPr>
          <w:rFonts w:hint="eastAsia" w:ascii="宋体" w:hAnsi="宋体" w:cs="宋体"/>
          <w:b/>
          <w:bCs/>
          <w:color w:val="auto"/>
          <w:szCs w:val="21"/>
          <w:highlight w:val="none"/>
        </w:rPr>
        <w:t>响应报价</w:t>
      </w:r>
      <w:r>
        <w:rPr>
          <w:rFonts w:hint="eastAsia" w:ascii="宋体" w:hAnsi="宋体" w:cs="宋体"/>
          <w:bCs/>
          <w:color w:val="auto"/>
          <w:szCs w:val="21"/>
          <w:highlight w:val="none"/>
        </w:rPr>
        <w:t>不得出现在</w:t>
      </w:r>
      <w:r>
        <w:rPr>
          <w:rFonts w:hint="eastAsia" w:ascii="宋体" w:hAnsi="宋体" w:cs="宋体"/>
          <w:b/>
          <w:bCs/>
          <w:color w:val="auto"/>
          <w:szCs w:val="21"/>
          <w:highlight w:val="none"/>
        </w:rPr>
        <w:t>资格证明文件、技术文件、商务文件中</w:t>
      </w:r>
      <w:r>
        <w:rPr>
          <w:rFonts w:hint="eastAsia" w:ascii="宋体" w:hAnsi="宋体" w:cs="宋体"/>
          <w:bCs/>
          <w:color w:val="auto"/>
          <w:szCs w:val="21"/>
          <w:highlight w:val="none"/>
        </w:rPr>
        <w:t xml:space="preserve">。 </w:t>
      </w:r>
    </w:p>
    <w:p w14:paraId="41861F3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19.2响应文件按照征集文件第六章格式要求在规定位置进行签署、盖章。供应商的响应文件未按照征集文件要求签署、盖章的，</w:t>
      </w:r>
      <w:r>
        <w:rPr>
          <w:rFonts w:hint="eastAsia" w:ascii="宋体" w:hAnsi="宋体" w:cs="宋体"/>
          <w:b/>
          <w:bCs/>
          <w:color w:val="auto"/>
          <w:szCs w:val="21"/>
          <w:highlight w:val="none"/>
        </w:rPr>
        <w:t>其响应无效</w:t>
      </w:r>
      <w:r>
        <w:rPr>
          <w:rFonts w:hint="eastAsia" w:ascii="宋体" w:hAnsi="宋体" w:cs="宋体"/>
          <w:bCs/>
          <w:color w:val="auto"/>
          <w:szCs w:val="21"/>
          <w:highlight w:val="none"/>
        </w:rPr>
        <w:t>。骑缝盖公章不视为在规定位置盖章。</w:t>
      </w:r>
    </w:p>
    <w:p w14:paraId="741342A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19.3为确保网上操作合法、有效和安全，供应商应当在响应截止时间前完成在“广西政府采购云平台”平台的身份认证，确保在电子响应过程中能够对相关数据电文进行加密和使用电子签名。</w:t>
      </w:r>
    </w:p>
    <w:p w14:paraId="2C2B186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19.4响应文件入围的供应商名称应与主体资格证明（如营业执照、事业单位法人证书、执业许可证、自然人身份证等）及公章一致，</w:t>
      </w:r>
      <w:r>
        <w:rPr>
          <w:rFonts w:hint="eastAsia" w:ascii="宋体" w:hAnsi="宋体" w:cs="宋体"/>
          <w:color w:val="auto"/>
          <w:szCs w:val="21"/>
          <w:highlight w:val="none"/>
        </w:rPr>
        <w:t>否则作无效响应处理</w:t>
      </w:r>
      <w:r>
        <w:rPr>
          <w:rFonts w:hint="eastAsia" w:ascii="宋体" w:hAnsi="宋体" w:cs="宋体"/>
          <w:b/>
          <w:color w:val="auto"/>
          <w:szCs w:val="21"/>
          <w:highlight w:val="none"/>
        </w:rPr>
        <w:t>。</w:t>
      </w:r>
    </w:p>
    <w:p w14:paraId="033D2E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19.5响应文件应避免涂改、行间插字或者删除，</w:t>
      </w:r>
      <w:r>
        <w:rPr>
          <w:rFonts w:hint="eastAsia" w:ascii="宋体" w:hAnsi="宋体" w:cs="宋体"/>
          <w:b/>
          <w:color w:val="auto"/>
          <w:szCs w:val="21"/>
          <w:highlight w:val="none"/>
        </w:rPr>
        <w:t>否则其响应无效。</w:t>
      </w:r>
    </w:p>
    <w:p w14:paraId="6B8F2B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19.6 对征集文件的实质性要求和条件作出响应是指供应商必须对征集文件</w:t>
      </w:r>
      <w:r>
        <w:rPr>
          <w:rFonts w:hint="eastAsia" w:ascii="Times New Roman" w:hAnsi="宋体"/>
          <w:color w:val="auto"/>
          <w:szCs w:val="24"/>
          <w:highlight w:val="none"/>
        </w:rPr>
        <w:t>中标注为</w:t>
      </w:r>
      <w:r>
        <w:rPr>
          <w:rFonts w:hint="eastAsia" w:ascii="宋体" w:hAnsi="宋体" w:cs="宋体"/>
          <w:color w:val="auto"/>
          <w:szCs w:val="21"/>
          <w:highlight w:val="none"/>
        </w:rPr>
        <w:t>实质性要求和条件的服务内容及要求、商务条款及其它内容</w:t>
      </w:r>
      <w:r>
        <w:rPr>
          <w:rFonts w:hint="eastAsia" w:ascii="宋体" w:hAnsi="宋体" w:cs="宋体"/>
          <w:b/>
          <w:color w:val="auto"/>
          <w:szCs w:val="21"/>
          <w:highlight w:val="none"/>
        </w:rPr>
        <w:t>作出满足或者优于原要求和条件的承诺</w:t>
      </w:r>
      <w:r>
        <w:rPr>
          <w:rFonts w:hint="eastAsia" w:ascii="宋体" w:hAnsi="宋体" w:cs="宋体"/>
          <w:color w:val="auto"/>
          <w:szCs w:val="21"/>
          <w:highlight w:val="none"/>
        </w:rPr>
        <w:t>。</w:t>
      </w:r>
    </w:p>
    <w:p w14:paraId="31527A8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19.7本项目为南宁市全流程电子化项目，异常情况见“第二节 供应商须知正文”中“（三）开标：</w:t>
      </w:r>
      <w:r>
        <w:rPr>
          <w:rFonts w:hint="eastAsia"/>
          <w:color w:val="auto"/>
          <w:highlight w:val="none"/>
        </w:rPr>
        <w:t>24.2</w:t>
      </w:r>
      <w:r>
        <w:rPr>
          <w:rFonts w:hint="eastAsia" w:ascii="宋体" w:hAnsi="宋体" w:cs="宋体"/>
          <w:b/>
          <w:color w:val="auto"/>
          <w:szCs w:val="21"/>
          <w:highlight w:val="none"/>
        </w:rPr>
        <w:t>开标程序。</w:t>
      </w:r>
    </w:p>
    <w:p w14:paraId="5165BA09">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rPr>
        <w:t xml:space="preserve">19.8  </w:t>
      </w:r>
      <w:r>
        <w:rPr>
          <w:rFonts w:hint="eastAsia"/>
          <w:b/>
          <w:color w:val="auto"/>
          <w:highlight w:val="none"/>
        </w:rPr>
        <w:t>符合性审查不通过而导致响应无效的情形，具体详见《第四章评审方法及评分标准》的“第二节 评审程序”的第3点内容“符合性审查不通过而导致响应无效的情形”。</w:t>
      </w:r>
    </w:p>
    <w:p w14:paraId="2339CBA7">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20.备份响应文件</w:t>
      </w:r>
    </w:p>
    <w:p w14:paraId="76485AE1">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详见在“供应商须知前附表”。</w:t>
      </w:r>
    </w:p>
    <w:p w14:paraId="36D34BB4">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21.响应文件的提交</w:t>
      </w:r>
    </w:p>
    <w:p w14:paraId="28B43BEE">
      <w:pPr>
        <w:spacing w:line="360" w:lineRule="auto"/>
        <w:ind w:firstLine="420" w:firstLineChars="200"/>
        <w:rPr>
          <w:rFonts w:ascii="宋体" w:hAnsi="宋体" w:cs="宋体"/>
          <w:b/>
          <w:color w:val="auto"/>
          <w:szCs w:val="21"/>
          <w:highlight w:val="none"/>
        </w:rPr>
      </w:pPr>
      <w:r>
        <w:rPr>
          <w:rFonts w:hint="eastAsia" w:ascii="宋体" w:hAnsi="宋体" w:cs="宋体"/>
          <w:bCs/>
          <w:color w:val="auto"/>
          <w:szCs w:val="21"/>
          <w:highlight w:val="none"/>
        </w:rPr>
        <w:t>21.1供应商必须在“供应商须知前附表”规定的响应文件接收时间和响应地点提交电子版响应文件。电子响应文件应在制作完成后，在响应截止时间前通过有效数字证书（CA认证锁）进行电子签章、加密，然后通过网络将加密的电子响应文件递交至“</w:t>
      </w:r>
      <w:r>
        <w:rPr>
          <w:rFonts w:hint="eastAsia" w:ascii="宋体" w:hAnsi="宋体" w:eastAsia="宋体" w:cs="宋体"/>
          <w:bCs/>
          <w:color w:val="auto"/>
          <w:szCs w:val="21"/>
          <w:highlight w:val="none"/>
        </w:rPr>
        <w:t>广西政府采购云平台</w:t>
      </w:r>
      <w:r>
        <w:rPr>
          <w:rFonts w:hint="eastAsia" w:ascii="宋体" w:hAnsi="宋体" w:cs="宋体"/>
          <w:bCs/>
          <w:color w:val="auto"/>
          <w:szCs w:val="21"/>
          <w:highlight w:val="none"/>
        </w:rPr>
        <w:t xml:space="preserve">”。 </w:t>
      </w:r>
      <w:r>
        <w:rPr>
          <w:rFonts w:hint="eastAsia" w:ascii="宋体" w:hAnsi="宋体" w:cs="宋体"/>
          <w:b/>
          <w:color w:val="auto"/>
          <w:szCs w:val="21"/>
          <w:highlight w:val="none"/>
        </w:rPr>
        <w:t xml:space="preserve"> </w:t>
      </w:r>
    </w:p>
    <w:p w14:paraId="0D21555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21.2未在规定时间内提交或者未按照征集文件要求密封或者标记的电子响应文件，“广西政府采购云平台”平台将拒收。</w:t>
      </w:r>
    </w:p>
    <w:p w14:paraId="3F710D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21.3电子版响应文件提交方式见“征集公告”中“</w:t>
      </w:r>
      <w:r>
        <w:rPr>
          <w:rFonts w:hint="eastAsia"/>
          <w:b/>
          <w:color w:val="auto"/>
          <w:highlight w:val="none"/>
        </w:rPr>
        <w:t>四、提交响应文件截止时间、开标时间和地点</w:t>
      </w:r>
      <w:r>
        <w:rPr>
          <w:rFonts w:hint="eastAsia" w:ascii="宋体" w:hAnsi="宋体" w:cs="宋体"/>
          <w:color w:val="auto"/>
          <w:szCs w:val="21"/>
          <w:highlight w:val="none"/>
        </w:rPr>
        <w:t>”</w:t>
      </w:r>
      <w:r>
        <w:rPr>
          <w:rFonts w:hint="eastAsia" w:ascii="宋体" w:hAnsi="宋体" w:cs="宋体"/>
          <w:b/>
          <w:color w:val="auto"/>
          <w:szCs w:val="21"/>
          <w:highlight w:val="none"/>
        </w:rPr>
        <w:t xml:space="preserve"> 。</w:t>
      </w:r>
    </w:p>
    <w:p w14:paraId="719B9031">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22. 响应文件的补充、修改、撤回与退回</w:t>
      </w:r>
    </w:p>
    <w:p w14:paraId="21FC08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平台将拒收。（补充、修改或者撤回方式见公告附件“电子响应文件制作与投送教程”）</w:t>
      </w:r>
    </w:p>
    <w:p w14:paraId="2B89E0D1">
      <w:pPr>
        <w:pStyle w:val="32"/>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22.2“广西政府采购云平台”平台收到响应文件，将妥善保存并即时向供应商发出确认回执通知。在响应截止时间前，除供应商补充、修改或者撤回响应文件外，任何单位和个人不得解密或提取响应文件。</w:t>
      </w:r>
    </w:p>
    <w:p w14:paraId="003E63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22.3在响应截止时间止提交电子版响应文件的供应商不足3家时，电子版响应文件由代理机构在“广西政府采购云平台”平台操作退回，除此之外征集人和采购代理机构对已提交的响应文件概不退回。</w:t>
      </w:r>
    </w:p>
    <w:p w14:paraId="5857F4BC">
      <w:pPr>
        <w:spacing w:line="400" w:lineRule="exact"/>
        <w:ind w:firstLine="643" w:firstLineChars="200"/>
        <w:jc w:val="center"/>
        <w:outlineLvl w:val="2"/>
        <w:rPr>
          <w:rFonts w:hint="eastAsia" w:ascii="Times New Roman" w:hAnsi="Times New Roman"/>
          <w:b/>
          <w:bCs/>
          <w:color w:val="auto"/>
          <w:sz w:val="32"/>
          <w:szCs w:val="32"/>
          <w:highlight w:val="none"/>
        </w:rPr>
      </w:pPr>
      <w:bookmarkStart w:id="33" w:name="_Toc19049"/>
    </w:p>
    <w:p w14:paraId="500293F9">
      <w:pPr>
        <w:spacing w:line="400" w:lineRule="exact"/>
        <w:ind w:firstLine="643" w:firstLineChars="200"/>
        <w:jc w:val="center"/>
        <w:outlineLvl w:val="2"/>
        <w:rPr>
          <w:rFonts w:ascii="Times New Roman" w:hAnsi="Times New Roman"/>
          <w:b/>
          <w:bCs/>
          <w:color w:val="auto"/>
          <w:sz w:val="32"/>
          <w:szCs w:val="32"/>
          <w:highlight w:val="none"/>
        </w:rPr>
      </w:pPr>
      <w:bookmarkStart w:id="34" w:name="_Toc19881"/>
      <w:r>
        <w:rPr>
          <w:rFonts w:hint="eastAsia" w:ascii="Times New Roman" w:hAnsi="Times New Roman"/>
          <w:b/>
          <w:bCs/>
          <w:color w:val="auto"/>
          <w:sz w:val="32"/>
          <w:szCs w:val="32"/>
          <w:highlight w:val="none"/>
        </w:rPr>
        <w:t>（三）开</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标</w:t>
      </w:r>
      <w:bookmarkEnd w:id="33"/>
      <w:bookmarkEnd w:id="34"/>
    </w:p>
    <w:p w14:paraId="47016960">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23.开标时间和地点</w:t>
      </w:r>
    </w:p>
    <w:p w14:paraId="790BCABA">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23.1开标时间及地点详见“供应商须知前附表”</w:t>
      </w:r>
    </w:p>
    <w:p w14:paraId="5231E3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23.2如</w:t>
      </w:r>
      <w:r>
        <w:rPr>
          <w:rFonts w:hint="eastAsia" w:ascii="宋体" w:hAnsi="宋体" w:cs="宋体"/>
          <w:bCs/>
          <w:color w:val="auto"/>
          <w:szCs w:val="21"/>
          <w:highlight w:val="none"/>
        </w:rPr>
        <w:t>供应商成功解密响应文件，但未在“广西政府采购云平台”电子开标大厅参加开标的，视同认可开标过程和结果，</w:t>
      </w:r>
      <w:r>
        <w:rPr>
          <w:rFonts w:hint="eastAsia" w:ascii="宋体" w:hAnsi="宋体" w:cs="宋体"/>
          <w:color w:val="auto"/>
          <w:szCs w:val="21"/>
          <w:highlight w:val="none"/>
        </w:rPr>
        <w:t>由此产生的后果由供应商自行负责。 供应商不足3家的，不得开标。</w:t>
      </w:r>
    </w:p>
    <w:p w14:paraId="7849AC77">
      <w:pPr>
        <w:spacing w:line="360" w:lineRule="auto"/>
        <w:ind w:firstLine="482" w:firstLineChars="200"/>
        <w:outlineLvl w:val="4"/>
        <w:rPr>
          <w:rFonts w:ascii="黑体" w:hAnsi="黑体" w:eastAsia="黑体"/>
          <w:b/>
          <w:bCs/>
          <w:color w:val="auto"/>
          <w:sz w:val="24"/>
          <w:szCs w:val="28"/>
          <w:highlight w:val="none"/>
        </w:rPr>
      </w:pPr>
      <w:r>
        <w:rPr>
          <w:rFonts w:hint="eastAsia" w:ascii="黑体" w:hAnsi="黑体" w:eastAsia="黑体"/>
          <w:b/>
          <w:bCs/>
          <w:color w:val="auto"/>
          <w:sz w:val="24"/>
          <w:szCs w:val="28"/>
          <w:highlight w:val="none"/>
        </w:rPr>
        <w:t>24.开标程序</w:t>
      </w:r>
    </w:p>
    <w:p w14:paraId="587A5F79">
      <w:pPr>
        <w:autoSpaceDE w:val="0"/>
        <w:autoSpaceDN w:val="0"/>
        <w:adjustRightInd w:val="0"/>
        <w:spacing w:line="440" w:lineRule="exact"/>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60C8C0CD">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开标的准备工作由采购代理机构负责落实，采购代理机构必须基于“广西政府采购云平台”平台选取评审专家，如采购代理机构未按规定选取专家的，视为本次开评审无效，应当重新采购；</w:t>
      </w:r>
    </w:p>
    <w:p w14:paraId="0267454A">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（2）采购代理机构将按照征集文件规定的时间通过“</w:t>
      </w:r>
      <w:r>
        <w:rPr>
          <w:rFonts w:hint="eastAsia" w:ascii="宋体" w:hAnsi="宋体" w:eastAsia="宋体" w:cs="宋体"/>
          <w:bCs/>
          <w:color w:val="auto"/>
          <w:szCs w:val="21"/>
          <w:highlight w:val="none"/>
        </w:rPr>
        <w:t>广西政府采购云平台</w:t>
      </w:r>
      <w:r>
        <w:rPr>
          <w:rFonts w:hint="eastAsia" w:ascii="宋体" w:hAnsi="宋体" w:cs="宋体"/>
          <w:bCs/>
          <w:color w:val="auto"/>
          <w:szCs w:val="21"/>
          <w:highlight w:val="none"/>
        </w:rPr>
        <w:t>”平台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469D82B4">
      <w:pPr>
        <w:autoSpaceDE w:val="0"/>
        <w:autoSpaceDN w:val="0"/>
        <w:adjustRightInd w:val="0"/>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24.2开标程序：</w:t>
      </w:r>
    </w:p>
    <w:p w14:paraId="2FF80F54">
      <w:pPr>
        <w:pStyle w:val="16"/>
        <w:snapToGrid w:val="0"/>
        <w:spacing w:line="440" w:lineRule="exact"/>
        <w:ind w:firstLine="422" w:firstLineChars="200"/>
        <w:rPr>
          <w:rFonts w:hAnsi="宋体" w:cs="宋体"/>
          <w:color w:val="auto"/>
          <w:sz w:val="21"/>
          <w:szCs w:val="21"/>
          <w:highlight w:val="none"/>
        </w:rPr>
      </w:pPr>
      <w:r>
        <w:rPr>
          <w:rFonts w:hint="eastAsia" w:hAnsi="宋体" w:cs="宋体"/>
          <w:b/>
          <w:color w:val="auto"/>
          <w:sz w:val="21"/>
          <w:szCs w:val="21"/>
          <w:highlight w:val="none"/>
        </w:rPr>
        <w:t>（1）解密电子响应文件。“</w:t>
      </w:r>
      <w:r>
        <w:rPr>
          <w:rFonts w:hint="eastAsia" w:ascii="宋体" w:hAnsi="宋体" w:eastAsia="宋体" w:cs="宋体"/>
          <w:bCs/>
          <w:color w:val="auto"/>
          <w:szCs w:val="21"/>
          <w:highlight w:val="none"/>
        </w:rPr>
        <w:t>广西政府采购云平台</w:t>
      </w:r>
      <w:r>
        <w:rPr>
          <w:rFonts w:hint="eastAsia" w:hAnsi="宋体" w:cs="宋体"/>
          <w:color w:val="auto"/>
          <w:sz w:val="21"/>
          <w:szCs w:val="21"/>
          <w:highlight w:val="none"/>
        </w:rPr>
        <w:t>”平台按开标时间自动提取所有响应文件。采购代理机构依托“</w:t>
      </w:r>
      <w:r>
        <w:rPr>
          <w:rFonts w:hint="eastAsia" w:ascii="宋体" w:hAnsi="宋体" w:eastAsia="宋体" w:cs="宋体"/>
          <w:bCs/>
          <w:color w:val="auto"/>
          <w:szCs w:val="21"/>
          <w:highlight w:val="none"/>
        </w:rPr>
        <w:t>广西政府采购云平台</w:t>
      </w:r>
      <w:r>
        <w:rPr>
          <w:rFonts w:hint="eastAsia" w:hAnsi="宋体" w:cs="宋体"/>
          <w:color w:val="auto"/>
          <w:sz w:val="21"/>
          <w:szCs w:val="21"/>
          <w:highlight w:val="none"/>
        </w:rPr>
        <w:t>”平台向各供应商发出电子加密响应文件【开始解密】通知，由供应商按征集文件规定的时间内自行进行响应文件解密。供应商的法定代表人或其委托代理人</w:t>
      </w:r>
      <w:r>
        <w:rPr>
          <w:rFonts w:hint="eastAsia" w:hAnsi="宋体" w:cs="宋体"/>
          <w:b/>
          <w:color w:val="auto"/>
          <w:sz w:val="21"/>
          <w:szCs w:val="21"/>
          <w:highlight w:val="none"/>
        </w:rPr>
        <w:t>须携带加密时所用的CA锁准时登录到“广西政府采购云平台”平台电子开标大厅签到并对电子响应文件解密</w:t>
      </w:r>
      <w:r>
        <w:rPr>
          <w:rFonts w:hint="eastAsia" w:hAnsi="宋体" w:cs="宋体"/>
          <w:color w:val="auto"/>
          <w:sz w:val="21"/>
          <w:szCs w:val="21"/>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hAnsi="宋体" w:cs="宋体"/>
          <w:b/>
          <w:color w:val="auto"/>
          <w:sz w:val="21"/>
          <w:szCs w:val="21"/>
          <w:highlight w:val="none"/>
        </w:rPr>
        <w:t>均视为无效响应。</w:t>
      </w:r>
    </w:p>
    <w:p w14:paraId="24C7A550">
      <w:pPr>
        <w:pStyle w:val="16"/>
        <w:snapToGrid w:val="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（解密</w:t>
      </w:r>
      <w:r>
        <w:rPr>
          <w:rFonts w:hint="eastAsia" w:hAnsi="宋体" w:cs="宋体"/>
          <w:bCs/>
          <w:color w:val="auto"/>
          <w:sz w:val="21"/>
          <w:szCs w:val="21"/>
          <w:highlight w:val="none"/>
        </w:rPr>
        <w:t>异常情况处理：</w:t>
      </w:r>
      <w:r>
        <w:rPr>
          <w:rFonts w:hint="eastAsia" w:hAnsi="宋体" w:cs="宋体"/>
          <w:b/>
          <w:bCs/>
          <w:color w:val="auto"/>
          <w:sz w:val="21"/>
          <w:szCs w:val="21"/>
          <w:highlight w:val="none"/>
        </w:rPr>
        <w:t>详见本章</w:t>
      </w:r>
      <w:r>
        <w:rPr>
          <w:rFonts w:hint="eastAsia" w:hAnsi="宋体" w:cs="宋体"/>
          <w:b/>
          <w:color w:val="auto"/>
          <w:sz w:val="21"/>
          <w:szCs w:val="21"/>
          <w:highlight w:val="none"/>
        </w:rPr>
        <w:t>29.3 电子交易活动的中止</w:t>
      </w:r>
      <w:r>
        <w:rPr>
          <w:rFonts w:hint="eastAsia" w:hAnsi="宋体" w:cs="宋体"/>
          <w:color w:val="auto"/>
          <w:sz w:val="21"/>
          <w:szCs w:val="21"/>
          <w:highlight w:val="none"/>
        </w:rPr>
        <w:t>。）</w:t>
      </w:r>
    </w:p>
    <w:p w14:paraId="7A2FD0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响应文件解密结束，各响应供应商报价均在“广西政府采购云平台”平台远程不见面开标大厅展示；</w:t>
      </w:r>
    </w:p>
    <w:p w14:paraId="10C8685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（3）开标过程由采购代理机构如实记录，并电子留痕，由参加电子开标的各供应商代表对电子开标记录在开标记录公布后15分钟内进行当场校核及勘误，并线上确认，未确认的视同认可开标结果。</w:t>
      </w:r>
    </w:p>
    <w:p w14:paraId="7DD2997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供应商代表对开标过程和开标记录有疑义，以及认为征集人、采购代理机构相关工作人员有需要回避的情形的，应当场提出在线询问或者回避申请。征集人、采购代理机构对供应商代表提出的询问或者回避申请应当及时处理。</w:t>
      </w:r>
    </w:p>
    <w:p w14:paraId="7C3FB37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（5）开标结束。</w:t>
      </w:r>
    </w:p>
    <w:p w14:paraId="02EEB788">
      <w:pPr>
        <w:pStyle w:val="16"/>
        <w:snapToGrid w:val="0"/>
        <w:spacing w:line="440" w:lineRule="exact"/>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如遇“广西政府采购云平台”平台电子化开标或评审程序调整的，按调整后执行。</w:t>
      </w:r>
    </w:p>
    <w:p w14:paraId="064706D8">
      <w:pPr>
        <w:pStyle w:val="16"/>
        <w:snapToGrid w:val="0"/>
        <w:spacing w:line="400" w:lineRule="exact"/>
        <w:ind w:left="689" w:leftChars="228" w:hanging="210" w:hangingChars="100"/>
        <w:rPr>
          <w:rFonts w:hAnsi="宋体" w:cs="宋体"/>
          <w:color w:val="auto"/>
          <w:highlight w:val="none"/>
        </w:rPr>
      </w:pPr>
    </w:p>
    <w:p w14:paraId="5A718752">
      <w:pPr>
        <w:snapToGrid w:val="0"/>
        <w:spacing w:line="400" w:lineRule="exact"/>
        <w:ind w:left="689" w:leftChars="228" w:hanging="210" w:hangingChars="100"/>
        <w:rPr>
          <w:rFonts w:ascii="宋体" w:hAnsi="宋体"/>
          <w:color w:val="auto"/>
          <w:szCs w:val="20"/>
          <w:highlight w:val="none"/>
        </w:rPr>
      </w:pPr>
    </w:p>
    <w:p w14:paraId="28E4CF61">
      <w:pPr>
        <w:spacing w:line="400" w:lineRule="exact"/>
        <w:ind w:firstLine="643" w:firstLineChars="200"/>
        <w:jc w:val="center"/>
        <w:outlineLvl w:val="2"/>
        <w:rPr>
          <w:rFonts w:ascii="Times New Roman" w:hAnsi="Times New Roman"/>
          <w:b/>
          <w:bCs/>
          <w:color w:val="auto"/>
          <w:sz w:val="32"/>
          <w:szCs w:val="32"/>
          <w:highlight w:val="none"/>
        </w:rPr>
      </w:pPr>
      <w:bookmarkStart w:id="35" w:name="_Toc10917"/>
      <w:bookmarkStart w:id="36" w:name="_Toc5746"/>
      <w:r>
        <w:rPr>
          <w:rFonts w:hint="eastAsia" w:ascii="Times New Roman" w:hAnsi="Times New Roman"/>
          <w:b/>
          <w:bCs/>
          <w:color w:val="auto"/>
          <w:sz w:val="32"/>
          <w:szCs w:val="32"/>
          <w:highlight w:val="none"/>
        </w:rPr>
        <w:t>（四）资格审查</w:t>
      </w:r>
      <w:bookmarkEnd w:id="35"/>
      <w:bookmarkEnd w:id="36"/>
    </w:p>
    <w:p w14:paraId="46E02F75">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25.资格审查</w:t>
      </w:r>
    </w:p>
    <w:p w14:paraId="7B01FFC0">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 25.1</w:t>
      </w:r>
      <w:r>
        <w:rPr>
          <w:rFonts w:hint="eastAsia" w:ascii="宋体" w:hAnsi="宋体"/>
          <w:b/>
          <w:bCs/>
          <w:color w:val="auto"/>
          <w:szCs w:val="21"/>
          <w:highlight w:val="none"/>
        </w:rPr>
        <w:t>开标结束后，</w:t>
      </w:r>
      <w:r>
        <w:rPr>
          <w:rFonts w:hint="eastAsia"/>
          <w:b/>
          <w:color w:val="auto"/>
          <w:highlight w:val="none"/>
        </w:rPr>
        <w:t>资格评审小组</w:t>
      </w:r>
      <w:r>
        <w:rPr>
          <w:rFonts w:hint="eastAsia" w:ascii="宋体" w:hAnsi="宋体"/>
          <w:b/>
          <w:bCs/>
          <w:color w:val="auto"/>
          <w:szCs w:val="20"/>
          <w:highlight w:val="none"/>
        </w:rPr>
        <w:t>依法通过电子响应文件对供应商的资格进行线上审查。</w:t>
      </w:r>
    </w:p>
    <w:p w14:paraId="0C872B5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 25.2</w:t>
      </w:r>
      <w:r>
        <w:rPr>
          <w:rFonts w:hint="eastAsia"/>
          <w:b/>
          <w:color w:val="auto"/>
          <w:highlight w:val="none"/>
        </w:rPr>
        <w:t>资格评审小组</w:t>
      </w:r>
      <w:r>
        <w:rPr>
          <w:rFonts w:hint="eastAsia" w:ascii="宋体" w:hAnsi="宋体" w:cs="宋体"/>
          <w:b/>
          <w:bCs/>
          <w:color w:val="auto"/>
          <w:szCs w:val="21"/>
          <w:highlight w:val="none"/>
        </w:rPr>
        <w:t>依据法律法规和征集文件的规定，对供应商的基本资格条件、特定资格条件进行审查。</w:t>
      </w:r>
    </w:p>
    <w:p w14:paraId="6DA9E4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25.3资格审查标准为本“征集文件”中“供应商须知前附表”13.1点载明对供应商资格要求的条件。本项目资格审查采用合格制，凡符合征集文件规定的供应商资格要求的供应商均通过资格审查。</w:t>
      </w:r>
    </w:p>
    <w:p w14:paraId="08C9E64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25.4供应商有下列情形之一的，资格审查不通过，作无效响应处理：</w:t>
      </w:r>
    </w:p>
    <w:p w14:paraId="593FEA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（1）不具备征集文件中规定的资格要求的；（注：其中信用查询规则见“供应商须知前附表”，“</w:t>
      </w:r>
      <w:r>
        <w:rPr>
          <w:rFonts w:hint="eastAsia" w:ascii="宋体" w:hAnsi="宋体" w:eastAsia="宋体" w:cs="宋体"/>
          <w:bCs/>
          <w:color w:val="auto"/>
          <w:szCs w:val="21"/>
          <w:highlight w:val="none"/>
        </w:rPr>
        <w:t>广西政府采购云平台</w:t>
      </w:r>
      <w:r>
        <w:rPr>
          <w:rFonts w:hint="eastAsia" w:ascii="宋体" w:hAnsi="宋体" w:cs="宋体"/>
          <w:color w:val="auto"/>
          <w:szCs w:val="21"/>
          <w:highlight w:val="none"/>
        </w:rPr>
        <w:t>”平台已与“信用中国”平台做接口，审查专家可直接在线查询）</w:t>
      </w:r>
    </w:p>
    <w:p w14:paraId="4B15F8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6AEF12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1B3BF400">
      <w:pPr>
        <w:pStyle w:val="7"/>
        <w:keepNext w:val="0"/>
        <w:keepLines w:val="0"/>
        <w:spacing w:before="0" w:after="0" w:line="360" w:lineRule="auto"/>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25.5资格审查的合格供应商不足3家的，不得评审。</w:t>
      </w:r>
    </w:p>
    <w:p w14:paraId="415BDCD5">
      <w:pPr>
        <w:spacing w:line="360" w:lineRule="auto"/>
        <w:ind w:firstLine="482" w:firstLineChars="200"/>
        <w:outlineLvl w:val="4"/>
        <w:rPr>
          <w:rFonts w:ascii="黑体" w:hAnsi="黑体" w:eastAsia="黑体"/>
          <w:b/>
          <w:bCs/>
          <w:color w:val="auto"/>
          <w:sz w:val="24"/>
          <w:szCs w:val="28"/>
          <w:highlight w:val="none"/>
        </w:rPr>
      </w:pPr>
    </w:p>
    <w:p w14:paraId="30906183">
      <w:pPr>
        <w:spacing w:line="360" w:lineRule="auto"/>
        <w:ind w:firstLine="643" w:firstLineChars="200"/>
        <w:jc w:val="center"/>
        <w:outlineLvl w:val="2"/>
        <w:rPr>
          <w:rFonts w:ascii="Times New Roman" w:hAnsi="Times New Roman"/>
          <w:b/>
          <w:bCs/>
          <w:color w:val="auto"/>
          <w:sz w:val="32"/>
          <w:szCs w:val="32"/>
          <w:highlight w:val="none"/>
        </w:rPr>
      </w:pPr>
      <w:bookmarkStart w:id="37" w:name="_Toc15502"/>
      <w:bookmarkStart w:id="38" w:name="_Toc12212"/>
      <w:r>
        <w:rPr>
          <w:rFonts w:hint="eastAsia" w:ascii="Times New Roman" w:hAnsi="Times New Roman"/>
          <w:b/>
          <w:bCs/>
          <w:color w:val="auto"/>
          <w:sz w:val="32"/>
          <w:szCs w:val="32"/>
          <w:highlight w:val="none"/>
        </w:rPr>
        <w:t>（五）评</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标</w:t>
      </w:r>
      <w:bookmarkEnd w:id="37"/>
      <w:bookmarkEnd w:id="38"/>
    </w:p>
    <w:p w14:paraId="1706E9D4">
      <w:pPr>
        <w:spacing w:line="360" w:lineRule="auto"/>
        <w:ind w:firstLine="420" w:firstLineChars="200"/>
        <w:rPr>
          <w:rFonts w:ascii="黑体" w:hAnsi="黑体" w:eastAsia="黑体"/>
          <w:color w:val="auto"/>
          <w:szCs w:val="21"/>
          <w:highlight w:val="none"/>
        </w:rPr>
      </w:pPr>
    </w:p>
    <w:p w14:paraId="28CD06A8">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26.组建评审委员会</w:t>
      </w:r>
    </w:p>
    <w:p w14:paraId="09EA05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评审委员会由评审专家组成，人数为</w:t>
      </w:r>
      <w:r>
        <w:rPr>
          <w:rFonts w:hint="eastAsia"/>
          <w:b/>
          <w:color w:val="auto"/>
          <w:highlight w:val="none"/>
        </w:rPr>
        <w:t>5人以上单数</w:t>
      </w:r>
      <w:r>
        <w:rPr>
          <w:rFonts w:hint="eastAsia" w:ascii="宋体" w:hAnsi="宋体" w:cs="宋体"/>
          <w:color w:val="auto"/>
          <w:szCs w:val="21"/>
          <w:highlight w:val="none"/>
        </w:rPr>
        <w:t>，其中评审专家不得少于成员总数的三分之二。</w:t>
      </w:r>
    </w:p>
    <w:p w14:paraId="3E12B053">
      <w:pPr>
        <w:spacing w:line="360" w:lineRule="auto"/>
        <w:ind w:firstLine="420" w:firstLineChars="200"/>
        <w:rPr>
          <w:b/>
          <w:color w:val="auto"/>
          <w:highlight w:val="none"/>
        </w:rPr>
      </w:pPr>
      <w:r>
        <w:rPr>
          <w:rFonts w:hint="eastAsia" w:ascii="宋体" w:hAnsi="宋体" w:cs="宋体"/>
          <w:color w:val="auto"/>
          <w:szCs w:val="21"/>
          <w:highlight w:val="none"/>
        </w:rPr>
        <w:t>参加过采购项目前期咨询论证的专家，不得参加该采购项目的评审活动。</w:t>
      </w:r>
      <w:r>
        <w:rPr>
          <w:b/>
          <w:color w:val="auto"/>
          <w:highlight w:val="none"/>
        </w:rPr>
        <w:t>评审专家发现本人与参加采购活动的供应商有利害关系的，应当主动提出回避。</w:t>
      </w:r>
    </w:p>
    <w:p w14:paraId="615FC3F7">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27.评审的依据</w:t>
      </w:r>
    </w:p>
    <w:p w14:paraId="0BA44C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评审委员会以征集文件为依据对响应文件进行评审，“</w:t>
      </w:r>
      <w:r>
        <w:rPr>
          <w:rFonts w:hint="eastAsia" w:ascii="宋体" w:hAnsi="宋体" w:cs="宋体"/>
          <w:b/>
          <w:color w:val="auto"/>
          <w:szCs w:val="21"/>
          <w:highlight w:val="none"/>
        </w:rPr>
        <w:t>第四章 评审方法和评审标准</w:t>
      </w:r>
      <w:r>
        <w:rPr>
          <w:rFonts w:hint="eastAsia" w:ascii="宋体" w:hAnsi="宋体" w:cs="宋体"/>
          <w:color w:val="auto"/>
          <w:szCs w:val="21"/>
          <w:highlight w:val="none"/>
        </w:rPr>
        <w:t>”没有规定的方法、评审因素和标准，不作为评审依据。</w:t>
      </w:r>
    </w:p>
    <w:p w14:paraId="33E5139E">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28.评审原则</w:t>
      </w:r>
    </w:p>
    <w:p w14:paraId="56C5D7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28.1评审原则。评审委员会评审时必须公平、公正、客观，不带任何倾向性和启发性；不得向外界透露任何与评审有关的内容；任何单位和个人不得干扰、影响评审的正常进行；评审委员会及有关工作人员不得私下与供应商接触，不得收受利害关系人的财物或者其他好处。</w:t>
      </w:r>
    </w:p>
    <w:p w14:paraId="27FC7E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28.2评委表决。在评审过程中出现法律法规和征集文件均没有明确规定的情形时，由评审委员会现场协商解决，协商不一致的，由全体评委投票表决，以得票率二分之一以上专家的意见为准并由采购代理机构作记录。</w:t>
      </w:r>
    </w:p>
    <w:p w14:paraId="489468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28.3评审的保密。征集人、采购代理机构应当采取必要措施，保证评审在严格保密（封闭式评审）的情况下进行。除征集人代表、评审现场组织人员外，征集人的其他工作人员以及与评审工作无关的人员不得进入评审现场。有关人员对评审情况以及在评审过程中获悉的国家秘密、商业秘密负有保密责任。</w:t>
      </w:r>
    </w:p>
    <w:p w14:paraId="6CEFCE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28.4评审过程的监控。本项目电子评审过程实行网上留痕、全程录音、录像监控，供应商在评审过程中所进行的试图影响评审结果的不公正活动，可能导致其响应按无效处理。</w:t>
      </w:r>
    </w:p>
    <w:p w14:paraId="2C7182CA">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29.评审方法及评审标准</w:t>
      </w:r>
    </w:p>
    <w:p w14:paraId="52AF17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29.1本项目的评审方法详见“供应商须知前附表”。</w:t>
      </w:r>
    </w:p>
    <w:p w14:paraId="1B70D8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 评审委员会按照</w:t>
      </w:r>
      <w:r>
        <w:rPr>
          <w:rFonts w:hint="eastAsia" w:ascii="宋体" w:hAnsi="宋体" w:cs="宋体"/>
          <w:b/>
          <w:color w:val="auto"/>
          <w:szCs w:val="21"/>
          <w:highlight w:val="none"/>
        </w:rPr>
        <w:t>“第四章 评审方法和评审标准”</w:t>
      </w:r>
      <w:r>
        <w:rPr>
          <w:rFonts w:hint="eastAsia" w:ascii="宋体" w:hAnsi="宋体" w:cs="宋体"/>
          <w:color w:val="auto"/>
          <w:szCs w:val="21"/>
          <w:highlight w:val="none"/>
        </w:rPr>
        <w:t>规定的方法、评审因素、标准和程序对响应文件进行评审。</w:t>
      </w:r>
    </w:p>
    <w:p w14:paraId="5E28ED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 电子交易活动的中止。采购过程中出现以下情形，导致电子交易平台无法正常运行，或者无法保证电子交易的公平、公正和安全时，采购机构可中止电子交易活动：</w:t>
      </w:r>
    </w:p>
    <w:p w14:paraId="77E83C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67B8A8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35A74F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40BA8A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2D9DE1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（4）其他无法保证电子交易的公平、公正和安全的情况。</w:t>
      </w:r>
    </w:p>
    <w:p w14:paraId="5F5402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9DF3125">
      <w:pPr>
        <w:pStyle w:val="16"/>
        <w:snapToGrid w:val="0"/>
        <w:spacing w:line="400" w:lineRule="exact"/>
        <w:ind w:firstLine="420" w:firstLineChars="200"/>
        <w:rPr>
          <w:rFonts w:hAnsi="宋体" w:cs="宋体"/>
          <w:color w:val="auto"/>
          <w:highlight w:val="none"/>
        </w:rPr>
      </w:pPr>
    </w:p>
    <w:p w14:paraId="2EC5D9D9">
      <w:pPr>
        <w:pStyle w:val="5"/>
        <w:keepNext w:val="0"/>
        <w:keepLines w:val="0"/>
        <w:spacing w:line="400" w:lineRule="exact"/>
        <w:jc w:val="center"/>
        <w:rPr>
          <w:rFonts w:ascii="宋体" w:hAnsi="宋体" w:cs="宋体"/>
          <w:color w:val="auto"/>
          <w:highlight w:val="none"/>
        </w:rPr>
      </w:pPr>
      <w:bookmarkStart w:id="39" w:name="_Toc2228"/>
      <w:bookmarkStart w:id="40" w:name="_Toc3646"/>
      <w:bookmarkStart w:id="41" w:name="_Toc5159"/>
      <w:r>
        <w:rPr>
          <w:rFonts w:hint="eastAsia" w:ascii="宋体" w:hAnsi="宋体" w:cs="宋体"/>
          <w:color w:val="auto"/>
          <w:highlight w:val="none"/>
        </w:rPr>
        <w:t>（六）入围和框架协议</w:t>
      </w:r>
      <w:bookmarkEnd w:id="39"/>
      <w:bookmarkEnd w:id="40"/>
      <w:bookmarkEnd w:id="41"/>
    </w:p>
    <w:p w14:paraId="28C948F8">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30.确定供应商</w:t>
      </w:r>
    </w:p>
    <w:p w14:paraId="5416964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30.1本项目授权评审委员会直接按第四章“评审方法及评审标准”的规定确定入围供应商。</w:t>
      </w:r>
    </w:p>
    <w:p w14:paraId="531B82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征集人、采购代理机构认为供应商对采购过程、入围结果提出的质疑成立且影响或者可能影响入围结果的，合格供应商符合法定数量时，可以从合格的入围候选人中另行确定供应商的，应当依法另行确定供应商；否则应当重新开展采购活动。</w:t>
      </w:r>
    </w:p>
    <w:p w14:paraId="45B63C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30.3入围供应商无正当理由拒签合同的，根据《中华人民共和国政府采购法》第七十七条第一款规定处理。</w:t>
      </w:r>
    </w:p>
    <w:p w14:paraId="3EDC13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30.4根据《中华人民共和国民法典》第五百六十三条，因不可抗力致使不能实现合同目的的，当事人可以解除合同。</w:t>
      </w:r>
    </w:p>
    <w:p w14:paraId="449B125F">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31.结果公告</w:t>
      </w:r>
    </w:p>
    <w:p w14:paraId="12EE29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31.1在入围供应商确定之日起2个工作日内，由采购代理机构</w:t>
      </w:r>
      <w:r>
        <w:rPr>
          <w:rFonts w:hint="eastAsia" w:ascii="宋体" w:hAnsi="宋体" w:cs="宋体"/>
          <w:b/>
          <w:color w:val="auto"/>
          <w:szCs w:val="21"/>
          <w:highlight w:val="none"/>
        </w:rPr>
        <w:t>在征集公告发布媒体上</w:t>
      </w:r>
      <w:r>
        <w:rPr>
          <w:rFonts w:hint="eastAsia" w:ascii="宋体" w:hAnsi="宋体" w:cs="宋体"/>
          <w:color w:val="auto"/>
          <w:szCs w:val="21"/>
          <w:highlight w:val="none"/>
        </w:rPr>
        <w:t>发布入围结果公告，入围结果公告期限为1个工作日，发布入围结果公告的同时向入围供应商发出入围通知书</w:t>
      </w:r>
      <w:r>
        <w:rPr>
          <w:rFonts w:hint="eastAsia" w:ascii="宋体" w:hAnsi="宋体" w:cs="宋体"/>
          <w:b w:val="0"/>
          <w:bCs/>
          <w:color w:val="auto"/>
          <w:szCs w:val="21"/>
          <w:highlight w:val="none"/>
        </w:rPr>
        <w:t>和入围协议。</w:t>
      </w:r>
      <w:r>
        <w:rPr>
          <w:rFonts w:hint="eastAsia" w:ascii="宋体" w:hAnsi="宋体" w:cs="宋体"/>
          <w:b/>
          <w:color w:val="auto"/>
          <w:szCs w:val="21"/>
          <w:highlight w:val="none"/>
        </w:rPr>
        <w:t>采购代理机构发出入围通知书前，应当对供应商信用进行核实，对列入失信被执行人、重大税收违法案件当事人名单、政府采购严重违法失信行为记录名单及其他不符合《中华人民共和国政府采购法》第二十二条规定条件的供应商，取消其入围资格</w:t>
      </w:r>
      <w:r>
        <w:rPr>
          <w:rFonts w:hint="eastAsia" w:ascii="宋体" w:hAnsi="宋体" w:cs="宋体"/>
          <w:color w:val="auto"/>
          <w:szCs w:val="21"/>
          <w:highlight w:val="none"/>
        </w:rPr>
        <w:t>。</w:t>
      </w:r>
    </w:p>
    <w:p w14:paraId="47A1D8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以上信息查询记录及相关证据与征集文件一并保存。</w:t>
      </w:r>
    </w:p>
    <w:p w14:paraId="5CFBAD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征集人或者采购代理机构在公告入围结果时，同时公告其《中小企业声明函》，接受社会监督。</w:t>
      </w:r>
    </w:p>
    <w:p w14:paraId="4C98B725">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32.发出入围通知书</w:t>
      </w:r>
    </w:p>
    <w:p w14:paraId="609AA11E">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32.1在发布入围公告的同时，采购代理机构向供应商通过“广西政府采购云平台”平台发出电子入围通知书和入围协议。</w:t>
      </w:r>
    </w:p>
    <w:p w14:paraId="2B25EF2C">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33.无义务解释未入围原因</w:t>
      </w:r>
    </w:p>
    <w:p w14:paraId="1737088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采购代理机构无义务向未入围的供应商解释未入围原因和退还响应文件。</w:t>
      </w:r>
    </w:p>
    <w:p w14:paraId="74E107C3">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34.框架协议授予标准</w:t>
      </w:r>
    </w:p>
    <w:p w14:paraId="7AEB8B18">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框架协议</w:t>
      </w:r>
      <w:r>
        <w:rPr>
          <w:rFonts w:hint="eastAsia" w:ascii="宋体" w:hAnsi="宋体" w:cs="宋体"/>
          <w:color w:val="auto"/>
          <w:szCs w:val="21"/>
          <w:highlight w:val="none"/>
        </w:rPr>
        <w:t>将授予被确定实质上响应征集文件要求，具备履行</w:t>
      </w:r>
      <w:r>
        <w:rPr>
          <w:rFonts w:hint="eastAsia" w:ascii="宋体" w:hAnsi="宋体" w:cs="宋体"/>
          <w:color w:val="auto"/>
          <w:kern w:val="0"/>
          <w:szCs w:val="21"/>
          <w:highlight w:val="none"/>
        </w:rPr>
        <w:t>框架协议</w:t>
      </w:r>
      <w:r>
        <w:rPr>
          <w:rFonts w:hint="eastAsia" w:ascii="宋体" w:hAnsi="宋体" w:cs="宋体"/>
          <w:color w:val="auto"/>
          <w:szCs w:val="21"/>
          <w:highlight w:val="none"/>
        </w:rPr>
        <w:t>能力的供应商（征集文件另有约定多名供应商的除外）。</w:t>
      </w:r>
    </w:p>
    <w:p w14:paraId="1CD8A669">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35.履约保证金</w:t>
      </w:r>
    </w:p>
    <w:p w14:paraId="5B5F21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280567AB">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36.签订框架协议</w:t>
      </w:r>
    </w:p>
    <w:p w14:paraId="3E530F64">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36.1供应商领取电子入围通知书后，</w:t>
      </w:r>
      <w:r>
        <w:rPr>
          <w:rFonts w:hint="eastAsia" w:ascii="宋体" w:hAnsi="宋体" w:cs="宋体"/>
          <w:color w:val="auto"/>
          <w:kern w:val="0"/>
          <w:szCs w:val="21"/>
          <w:highlight w:val="none"/>
          <w:lang w:val="zh-CN"/>
        </w:rPr>
        <w:t>按规定的日期、时间、地点，由法定代表人或其授权代表与征集人代表签订框架协议。</w:t>
      </w:r>
      <w:r>
        <w:rPr>
          <w:rFonts w:ascii="宋体" w:hAnsi="宋体"/>
          <w:color w:val="auto"/>
          <w:szCs w:val="21"/>
          <w:highlight w:val="none"/>
        </w:rPr>
        <w:t>框架协议</w:t>
      </w:r>
      <w:r>
        <w:rPr>
          <w:rFonts w:hint="eastAsia" w:ascii="宋体" w:hAnsi="宋体"/>
          <w:color w:val="auto"/>
          <w:szCs w:val="21"/>
          <w:highlight w:val="none"/>
        </w:rPr>
        <w:t>由</w:t>
      </w:r>
      <w:r>
        <w:rPr>
          <w:rFonts w:ascii="宋体" w:hAnsi="宋体"/>
          <w:color w:val="auto"/>
          <w:szCs w:val="21"/>
          <w:highlight w:val="none"/>
        </w:rPr>
        <w:t>征集</w:t>
      </w:r>
      <w:r>
        <w:rPr>
          <w:rFonts w:hint="eastAsia" w:ascii="宋体" w:hAnsi="宋体"/>
          <w:color w:val="auto"/>
          <w:szCs w:val="21"/>
          <w:highlight w:val="none"/>
        </w:rPr>
        <w:t>人与入</w:t>
      </w:r>
      <w:r>
        <w:rPr>
          <w:rFonts w:ascii="宋体" w:hAnsi="宋体"/>
          <w:color w:val="auto"/>
          <w:szCs w:val="21"/>
          <w:highlight w:val="none"/>
        </w:rPr>
        <w:t>围供应商</w:t>
      </w:r>
      <w:r>
        <w:rPr>
          <w:rFonts w:hint="eastAsia"/>
          <w:b/>
          <w:color w:val="auto"/>
          <w:highlight w:val="none"/>
        </w:rPr>
        <w:t>签订</w:t>
      </w:r>
      <w:r>
        <w:rPr>
          <w:rFonts w:hint="eastAsia" w:ascii="宋体" w:hAnsi="宋体"/>
          <w:color w:val="auto"/>
          <w:szCs w:val="21"/>
          <w:highlight w:val="none"/>
        </w:rPr>
        <w:t>，征集人在框架协议签订后7个工作日内，将框架协议副本报本级财政部门备案。</w:t>
      </w:r>
      <w:r>
        <w:rPr>
          <w:rFonts w:ascii="宋体" w:hAnsi="宋体"/>
          <w:color w:val="auto"/>
          <w:szCs w:val="21"/>
          <w:highlight w:val="none"/>
        </w:rPr>
        <w:t>框架协议不得对征集文件确定的事项以及入围供应商的响应文件作实质性修改。入围供应商如无正当理由不及时签订框架协议的，以及无正当理由放弃封闭式框架协议入围资格或者退出封闭式</w:t>
      </w:r>
      <w:r>
        <w:rPr>
          <w:rFonts w:ascii="宋体" w:hAnsi="宋体" w:cs="宋体"/>
          <w:color w:val="auto"/>
          <w:szCs w:val="21"/>
          <w:highlight w:val="none"/>
        </w:rPr>
        <w:t>框架协议的，依照政府采购法等有关法律、行政法规追究法律责任。</w:t>
      </w:r>
    </w:p>
    <w:p w14:paraId="7C3C40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w:t>
      </w:r>
      <w:r>
        <w:rPr>
          <w:rFonts w:ascii="宋体" w:hAnsi="宋体" w:cs="宋体"/>
          <w:color w:val="auto"/>
          <w:szCs w:val="21"/>
          <w:highlight w:val="none"/>
        </w:rPr>
        <w:t>.2 征集文件、入围供应商的响应文件及评审过程中有关澄清、承诺文件均应作为框架协议的附件。</w:t>
      </w:r>
    </w:p>
    <w:p w14:paraId="6F0D13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36.3征集人或入围供应商不得单方面向框架协议另一方提出任何征集文件没有约定的条件或不合理的要求，作为签订框架协议的条件；也不得协商另行订立背离征集文件和合同实质性内容的协议。</w:t>
      </w:r>
    </w:p>
    <w:p w14:paraId="38766A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36.4如签订框架协议并生效后，供应商无故拒绝或延期，除按照框架协议条款处理外，将承担相应的法律责任。</w:t>
      </w:r>
    </w:p>
    <w:p w14:paraId="710E61DB">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37. 框架协议公告</w:t>
      </w:r>
    </w:p>
    <w:p w14:paraId="2980ED26">
      <w:pPr>
        <w:spacing w:line="360" w:lineRule="auto"/>
        <w:ind w:firstLine="422" w:firstLineChars="200"/>
        <w:rPr>
          <w:b/>
          <w:color w:val="auto"/>
          <w:highlight w:val="none"/>
        </w:rPr>
      </w:pPr>
      <w:r>
        <w:rPr>
          <w:rFonts w:hint="eastAsia"/>
          <w:b/>
          <w:color w:val="auto"/>
          <w:highlight w:val="none"/>
        </w:rPr>
        <w:t>征集人或者受托采购代理机构应当自框架协议签订之日起2个工作日内，将框架协议在以下媒体上发布 “广西政府采购网”（http://zfcg.gxzf.gov.cn/）上公告，但框架协议中涉及国家秘密、商业秘密的内容除外。</w:t>
      </w:r>
    </w:p>
    <w:p w14:paraId="4970E187">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38. 询问、质疑和投诉</w:t>
      </w:r>
    </w:p>
    <w:p w14:paraId="4269507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4EE858A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38.1.1供应商对政府采购活动事项有疑问的，可以向征集人或采购代理机构项目负责人提出询问。</w:t>
      </w:r>
    </w:p>
    <w:p w14:paraId="75AB12B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38.1.2征集人或征集人委托的采购代理机构自受理询问之日起3个工作日内对供应商依法提出的询问作出答复，</w:t>
      </w:r>
      <w:r>
        <w:rPr>
          <w:rFonts w:hint="eastAsia" w:ascii="宋体" w:hAnsi="宋体" w:cs="宋体"/>
          <w:color w:val="auto"/>
          <w:szCs w:val="21"/>
          <w:highlight w:val="none"/>
        </w:rPr>
        <w:t>但答复内容不得涉及商业秘密</w:t>
      </w:r>
      <w:r>
        <w:rPr>
          <w:rFonts w:hint="eastAsia" w:ascii="宋体" w:hAnsi="宋体" w:cs="宋体"/>
          <w:bCs/>
          <w:color w:val="auto"/>
          <w:szCs w:val="21"/>
          <w:highlight w:val="none"/>
        </w:rPr>
        <w:t>。</w:t>
      </w:r>
    </w:p>
    <w:p w14:paraId="169FA89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询问事项可能影响入围、成交结果的，征集人应当暂停签订框架协议，已经签订框架协议的，应当中止履行框架协议。</w:t>
      </w:r>
    </w:p>
    <w:p w14:paraId="4E154EB5">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3D089515">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征集文件、采购过程或者入围结果使自己的合法权益受到损害的，必须在知道或者应知其权益受到损害之日起7个工作日内，以书面形式向征集人、采购代理机构提出质疑，质疑有效期结束后，征集人或采购代理机构不再受理该项目质疑。征集人、采购代理机构接收质疑函的方式、联系部门、联系电话和通讯地址等信息详见“供应商须知前附表”。具体质疑起算时间及处理方式如下： </w:t>
      </w:r>
    </w:p>
    <w:p w14:paraId="6CF809A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（1）潜在供应商依法获取公开征集文件后，认为征集文件使自己的权益受到损害的，应当在公开征集文件公告期限届满之日起7个工作日内提出质疑。</w:t>
      </w:r>
      <w:r>
        <w:rPr>
          <w:rFonts w:hint="eastAsia" w:ascii="宋体" w:hAnsi="宋体" w:cs="宋体"/>
          <w:color w:val="auto"/>
          <w:szCs w:val="21"/>
          <w:highlight w:val="none"/>
        </w:rPr>
        <w:t>委托代理协议无特殊约定的，</w:t>
      </w:r>
      <w:r>
        <w:rPr>
          <w:rFonts w:hint="eastAsia" w:ascii="宋体" w:hAnsi="宋体" w:cs="宋体"/>
          <w:bCs/>
          <w:color w:val="auto"/>
          <w:szCs w:val="21"/>
          <w:highlight w:val="none"/>
        </w:rPr>
        <w:t>对公开征集文件中采购需求（含资格要求、采购预算和评分办法）的质疑由征集人受理并负责答复；对公开征集文件中的采购执行程序的质疑由采购代理机构受理并负责答复。</w:t>
      </w:r>
    </w:p>
    <w:p w14:paraId="2310706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供应商认为采购过程使自己的权益受到损害的，应当在各采购程序环节结束之日起7个工作日内提出质疑。对采购过程中资格审查、符合性审查等具体评审情况的质疑应向征集人或代理机构提出，由征集人或代理机构受理并负责答复；对采购过程中采购执行程序的质疑由采购代理机构受理并负责答复。</w:t>
      </w:r>
    </w:p>
    <w:p w14:paraId="20F9C1E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（3）供应商认为入围或者成交结果使自己的权益受到损害的，应当在入围或者成交结果公告期限届满之日起7个工作日内提出质疑，由征集人受理并负责答复。</w:t>
      </w:r>
    </w:p>
    <w:p w14:paraId="36D16FAA">
      <w:pPr>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4B4767AE">
      <w:pPr>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38.2.3</w:t>
      </w:r>
      <w:r>
        <w:rPr>
          <w:rFonts w:hint="eastAsia" w:ascii="宋体" w:hAnsi="宋体" w:cs="宋体"/>
          <w:bCs/>
          <w:color w:val="auto"/>
          <w:szCs w:val="21"/>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szCs w:val="21"/>
          <w:highlight w:val="none"/>
        </w:rPr>
        <w:t>。</w:t>
      </w:r>
    </w:p>
    <w:p w14:paraId="2E3A0C1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38.2.4 质疑供应商提起质疑应当符合下列条件：</w:t>
      </w:r>
    </w:p>
    <w:p w14:paraId="2B8C648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（1）质疑供应商是参与所质疑项目采购活动的供应商（潜在供应商已依法获取征集文件的，可以对该征集文件质疑）；</w:t>
      </w:r>
    </w:p>
    <w:p w14:paraId="44DFADC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（2）质疑函内容符合本章第38.2.5项的规定；</w:t>
      </w:r>
    </w:p>
    <w:p w14:paraId="67B5753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（3）在质疑有效期限内提起质疑；</w:t>
      </w:r>
    </w:p>
    <w:p w14:paraId="528E402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（4）属于所质疑的征集人或征集人委托的采购代理机构组织的采购活动；</w:t>
      </w:r>
    </w:p>
    <w:p w14:paraId="6471CE5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（5）同一质疑事项未经征集人或征集人委托的采购代理机构质疑处理； </w:t>
      </w:r>
    </w:p>
    <w:p w14:paraId="7F9B3915">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（6）供应商对同一采购程序环节的质疑应当在质疑有效期内一次性提出；</w:t>
      </w:r>
    </w:p>
    <w:p w14:paraId="454A605A">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（7）供应商提交质疑应当提交必要的证明材料，证明材料应以合法手段取得；</w:t>
      </w:r>
    </w:p>
    <w:p w14:paraId="04B9077A">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（8）财政部门规定的其他条件。</w:t>
      </w:r>
    </w:p>
    <w:p w14:paraId="4F6295B4">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 xml:space="preserve"> 38.2.5 </w:t>
      </w:r>
      <w:r>
        <w:rPr>
          <w:rFonts w:hint="eastAsia" w:ascii="宋体" w:hAnsi="宋体" w:cs="宋体"/>
          <w:bCs/>
          <w:color w:val="auto"/>
          <w:szCs w:val="21"/>
          <w:highlight w:val="none"/>
        </w:rPr>
        <w:t>供应商提出质疑应当提交质疑函和必要的证明材料，针对同一采购程序环节的质疑必须在法定质疑期内一次性提出。质疑函应当包括下列内容（质疑函格式后附）：</w:t>
      </w:r>
    </w:p>
    <w:p w14:paraId="7B3709B8">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（1）供应商的姓名或者名称、地址、邮编、联系人及联系电话；</w:t>
      </w:r>
    </w:p>
    <w:p w14:paraId="2A165D3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（2）质疑项目的名称、编号；</w:t>
      </w:r>
    </w:p>
    <w:p w14:paraId="08B1037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（3）具体、明确的质疑事项和与质疑事项相关的请求；</w:t>
      </w:r>
    </w:p>
    <w:p w14:paraId="176276A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（4）事实依据（列明权益受到损害的事实和理由）；</w:t>
      </w:r>
    </w:p>
    <w:p w14:paraId="1951D79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（5）必要的法律依据；</w:t>
      </w:r>
    </w:p>
    <w:p w14:paraId="5ACEA05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（6）提出质疑的日期。</w:t>
      </w:r>
    </w:p>
    <w:p w14:paraId="2C36D59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（7）附件材料：网上报名成功页面；营业执照副本内页复印件（要求证件有效并清晰反映企业法人经营范围）；响应文件递交</w:t>
      </w:r>
      <w:r>
        <w:rPr>
          <w:rFonts w:hint="eastAsia" w:ascii="宋体" w:hAnsi="宋体"/>
          <w:bCs/>
          <w:color w:val="auto"/>
          <w:szCs w:val="21"/>
          <w:highlight w:val="none"/>
        </w:rPr>
        <w:t>截止之日前半年内供应商连续三个月</w:t>
      </w:r>
      <w:r>
        <w:rPr>
          <w:rFonts w:hint="eastAsia" w:ascii="宋体" w:hAnsi="宋体" w:cs="宋体"/>
          <w:bCs/>
          <w:color w:val="auto"/>
          <w:szCs w:val="21"/>
          <w:highlight w:val="none"/>
        </w:rPr>
        <w:t>依法缴纳税收证明材料（复印件，原件备查）；近期连续三个月在职职工依法缴纳社会保障资金证明材料（复印件，原件备查）。</w:t>
      </w:r>
    </w:p>
    <w:p w14:paraId="05703CC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供应商为自然人的，应当由本人签字；供应商为法人或者其他组织的，应当由法定代表人、主要负责人，或者其委托代理人签字或者盖章，并加盖公章。</w:t>
      </w:r>
    </w:p>
    <w:p w14:paraId="4EF3B0B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38.2.6征集人或征集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4341BE5F">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8.2.7征集人、采购代理机构认为供应商质疑不成立，或者成立但未对入围结果构成影响的，继续开展采购活动；认为供应商质疑成立且影响或者可能影响入围结果的，按照下列情况处理：</w:t>
      </w:r>
    </w:p>
    <w:p w14:paraId="7472465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（一）对征集文件提出的质疑，依法通过澄清或者修改可以继续开展采购活动的，澄清或者修改征集文件后继续开展采购活动；否则应当修改征集文件后重新开展采购活动。</w:t>
      </w:r>
    </w:p>
    <w:p w14:paraId="0D5442E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（二）对采购过程、入围结果提出的质疑，合格供应商符合法定数量时，可以从合格的入围候选人中另行确定入围供应商的，应当依法另行确定入围供应商；否则应当重新开展采购活动。</w:t>
      </w:r>
    </w:p>
    <w:p w14:paraId="0B90AF8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质疑答复导致入围结果改变的，征集人或者采购代理机构应当将有关情况书面报告本级财政部门。</w:t>
      </w:r>
    </w:p>
    <w:p w14:paraId="4582EB4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38.3投诉</w:t>
      </w:r>
    </w:p>
    <w:p w14:paraId="6D73D27B">
      <w:pPr>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38.3</w:t>
      </w:r>
      <w:r>
        <w:rPr>
          <w:rFonts w:hint="eastAsia" w:ascii="宋体" w:hAnsi="宋体" w:cs="宋体"/>
          <w:bCs/>
          <w:color w:val="auto"/>
          <w:szCs w:val="21"/>
          <w:highlight w:val="none"/>
        </w:rPr>
        <w:t>.</w:t>
      </w:r>
      <w:r>
        <w:rPr>
          <w:rFonts w:hint="eastAsia" w:ascii="宋体" w:hAnsi="宋体" w:cs="宋体"/>
          <w:b/>
          <w:bCs/>
          <w:color w:val="auto"/>
          <w:szCs w:val="21"/>
          <w:highlight w:val="none"/>
        </w:rPr>
        <w:t xml:space="preserve">1 </w:t>
      </w:r>
      <w:r>
        <w:rPr>
          <w:rFonts w:hint="eastAsia" w:ascii="宋体" w:hAnsi="宋体" w:cs="宋体"/>
          <w:bCs/>
          <w:color w:val="auto"/>
          <w:szCs w:val="21"/>
          <w:highlight w:val="none"/>
        </w:rPr>
        <w:t xml:space="preserve"> 供应商认为征集文件、征集过程、入围和成交结果使自己的合法权益受到损害的，应当首先依法向征集人或征集人委托的</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提出质疑。对征集人、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的答复不满意，或者征集人、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未在规定期限内做出答复的，供应商可以在答复期满后15个工作日内向</w:t>
      </w:r>
      <w:r>
        <w:rPr>
          <w:rFonts w:hint="eastAsia" w:ascii="宋体" w:hAnsi="宋体" w:cs="宋体"/>
          <w:color w:val="auto"/>
          <w:szCs w:val="21"/>
          <w:highlight w:val="none"/>
        </w:rPr>
        <w:t>东盟经济开发区政府采购监督管理</w:t>
      </w:r>
      <w:r>
        <w:rPr>
          <w:rFonts w:hint="eastAsia" w:ascii="宋体" w:hAnsi="宋体" w:cs="宋体"/>
          <w:color w:val="auto"/>
          <w:szCs w:val="21"/>
          <w:highlight w:val="none"/>
          <w:lang w:eastAsia="zh-CN"/>
        </w:rPr>
        <w:t>部门</w:t>
      </w:r>
      <w:r>
        <w:rPr>
          <w:rFonts w:hint="eastAsia" w:ascii="宋体" w:hAnsi="宋体" w:cs="宋体"/>
          <w:bCs/>
          <w:color w:val="auto"/>
          <w:szCs w:val="21"/>
          <w:highlight w:val="none"/>
        </w:rPr>
        <w:t>提起投诉，投诉方式见“供应商须知前附表”。</w:t>
      </w:r>
    </w:p>
    <w:p w14:paraId="7F6921B3">
      <w:pPr>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 xml:space="preserve">38.3.2 </w:t>
      </w:r>
      <w:r>
        <w:rPr>
          <w:rFonts w:hint="eastAsia" w:ascii="宋体" w:hAnsi="宋体" w:cs="宋体"/>
          <w:color w:val="auto"/>
          <w:szCs w:val="21"/>
          <w:highlight w:val="none"/>
        </w:rPr>
        <w:t xml:space="preserve"> 投诉人投诉时，应当提交投诉书，并按照被投诉征集人、采购代理机构和与投诉事项有关的供应商数量提供投诉书的副本。投诉书应当包括下列主要内容（如材料中有外文资料应同时附上对应的中文译本）</w:t>
      </w:r>
      <w:r>
        <w:rPr>
          <w:rFonts w:hint="eastAsia" w:ascii="宋体" w:hAnsi="宋体" w:cs="宋体"/>
          <w:bCs/>
          <w:color w:val="auto"/>
          <w:szCs w:val="21"/>
          <w:highlight w:val="none"/>
        </w:rPr>
        <w:t>（投诉书格式后附）</w:t>
      </w:r>
      <w:r>
        <w:rPr>
          <w:rFonts w:hint="eastAsia" w:ascii="宋体" w:hAnsi="宋体" w:cs="宋体"/>
          <w:color w:val="auto"/>
          <w:szCs w:val="21"/>
          <w:highlight w:val="none"/>
        </w:rPr>
        <w:t>：</w:t>
      </w:r>
    </w:p>
    <w:p w14:paraId="115CAD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（1）投诉人和被投诉人的名称、地址、邮编、联系人及联系电话等； </w:t>
      </w:r>
    </w:p>
    <w:p w14:paraId="4BB055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（2）质疑和质疑答复情况及相关证明材料； </w:t>
      </w:r>
    </w:p>
    <w:p w14:paraId="60DB96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（3）具体、明确的投诉事项和与投诉事项相关的投诉请求；</w:t>
      </w:r>
    </w:p>
    <w:p w14:paraId="40B972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（4）事实依据；</w:t>
      </w:r>
    </w:p>
    <w:p w14:paraId="7C94D1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（5）法律依据；</w:t>
      </w:r>
    </w:p>
    <w:p w14:paraId="29A15C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（6）提起投诉的日期。</w:t>
      </w:r>
    </w:p>
    <w:p w14:paraId="6B1D2D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（7）附件材料：营业执照副本内页复印件（要求证件有效并清晰反映企业法人经营范围；</w:t>
      </w:r>
      <w:r>
        <w:rPr>
          <w:rFonts w:hint="eastAsia" w:ascii="宋体" w:hAnsi="宋体"/>
          <w:color w:val="auto"/>
          <w:szCs w:val="21"/>
          <w:highlight w:val="none"/>
        </w:rPr>
        <w:t>响应文件递交截止之日前半年内供应商连续三个月</w:t>
      </w:r>
      <w:r>
        <w:rPr>
          <w:rFonts w:hint="eastAsia" w:ascii="宋体" w:hAnsi="宋体" w:cs="宋体"/>
          <w:color w:val="auto"/>
          <w:szCs w:val="21"/>
          <w:highlight w:val="none"/>
        </w:rPr>
        <w:t>依法缴纳税收和在职职工社会保障资金证明材料（复印件）。</w:t>
      </w:r>
      <w:r>
        <w:rPr>
          <w:rFonts w:hint="eastAsia" w:ascii="宋体" w:hAnsi="宋体" w:cs="宋体"/>
          <w:color w:val="auto"/>
          <w:szCs w:val="21"/>
          <w:highlight w:val="none"/>
        </w:rPr>
        <w:tab/>
      </w:r>
    </w:p>
    <w:p w14:paraId="6004503F">
      <w:pPr>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 xml:space="preserve">38.3.3  </w:t>
      </w:r>
      <w:r>
        <w:rPr>
          <w:rFonts w:hint="eastAsia" w:ascii="宋体" w:hAnsi="宋体" w:cs="宋体"/>
          <w:color w:val="auto"/>
          <w:szCs w:val="21"/>
          <w:highlight w:val="none"/>
        </w:rPr>
        <w:t>投诉人可以委托代理人办理投诉事务。</w:t>
      </w:r>
      <w:r>
        <w:rPr>
          <w:rFonts w:hint="eastAsia" w:ascii="宋体" w:hAnsi="宋体" w:cs="宋体"/>
          <w:bCs/>
          <w:color w:val="auto"/>
          <w:szCs w:val="21"/>
          <w:highlight w:val="none"/>
        </w:rPr>
        <w:t>委托代理人应熟悉相关业务情况。</w:t>
      </w:r>
      <w:r>
        <w:rPr>
          <w:rFonts w:hint="eastAsia" w:ascii="宋体" w:hAnsi="宋体" w:cs="宋体"/>
          <w:color w:val="auto"/>
          <w:szCs w:val="21"/>
          <w:highlight w:val="none"/>
        </w:rPr>
        <w:t>代理人办理投诉事务时，除提交投诉书外，还应当提交投诉人的授权委托书和委托代理人身份证明复印件。</w:t>
      </w:r>
    </w:p>
    <w:p w14:paraId="71EB0AB1">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38.3.4</w:t>
      </w:r>
      <w:r>
        <w:rPr>
          <w:rFonts w:hint="eastAsia" w:ascii="宋体" w:hAnsi="宋体" w:cs="宋体"/>
          <w:color w:val="auto"/>
          <w:szCs w:val="21"/>
          <w:highlight w:val="none"/>
        </w:rPr>
        <w:t xml:space="preserve">  投诉人提起投诉应当符合下列条件：</w:t>
      </w:r>
    </w:p>
    <w:p w14:paraId="75DFF8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（1）投诉人是参与所投诉政府采购活动的供应商；</w:t>
      </w:r>
    </w:p>
    <w:p w14:paraId="5B7044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（2）提起投诉前已依法进行质疑；</w:t>
      </w:r>
    </w:p>
    <w:p w14:paraId="55077E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（3）投诉书内容符合本章第38.3.2项的规定；</w:t>
      </w:r>
    </w:p>
    <w:p w14:paraId="12BE21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（4）在投诉有效期限内提起投诉；</w:t>
      </w:r>
    </w:p>
    <w:p w14:paraId="3E2E23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（5）属于东盟经济开发区政府采购监督管理部门管辖；</w:t>
      </w:r>
    </w:p>
    <w:p w14:paraId="3B6549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（6）同一投诉事项未</w:t>
      </w:r>
      <w:r>
        <w:rPr>
          <w:rFonts w:hint="eastAsia" w:ascii="宋体" w:hAnsi="宋体" w:cs="宋体"/>
          <w:color w:val="auto"/>
          <w:szCs w:val="21"/>
          <w:highlight w:val="none"/>
          <w:lang w:eastAsia="zh-CN"/>
        </w:rPr>
        <w:t>经</w:t>
      </w:r>
      <w:r>
        <w:rPr>
          <w:rFonts w:hint="eastAsia" w:ascii="宋体" w:hAnsi="宋体" w:cs="宋体"/>
          <w:color w:val="auto"/>
          <w:szCs w:val="21"/>
          <w:highlight w:val="none"/>
        </w:rPr>
        <w:t>东盟经济开发区政府采购监督管理投诉处理；</w:t>
      </w:r>
    </w:p>
    <w:p w14:paraId="33DD0E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（7）国务院财政部门规定的其他条件。</w:t>
      </w:r>
    </w:p>
    <w:p w14:paraId="761C4E1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38.3.5</w:t>
      </w:r>
      <w:r>
        <w:rPr>
          <w:rFonts w:hint="eastAsia" w:ascii="宋体" w:hAnsi="宋体" w:cs="宋体"/>
          <w:color w:val="auto"/>
          <w:szCs w:val="21"/>
          <w:highlight w:val="none"/>
        </w:rPr>
        <w:t xml:space="preserve">  东盟经济开发区政府采购监督管理部门自受理投诉之日起30个工作日内，对投诉事项作出处理决定，并以书面形式通知投诉人、被投诉人及其他与投诉处理结果有利害关系的政府采购当事人。并将投诉结果在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szCs w:val="21"/>
          <w:highlight w:val="none"/>
        </w:rPr>
        <w:t>发布。</w:t>
      </w:r>
    </w:p>
    <w:p w14:paraId="7629ED37">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38.3.6</w:t>
      </w:r>
      <w:r>
        <w:rPr>
          <w:rFonts w:hint="eastAsia" w:ascii="宋体" w:hAnsi="宋体" w:cs="宋体"/>
          <w:color w:val="auto"/>
          <w:szCs w:val="21"/>
          <w:highlight w:val="none"/>
        </w:rPr>
        <w:t xml:space="preserve">  东盟经济开发区政府采购监督管理部门在处理投诉事项期间，可以视具体情况暂停采购活动。</w:t>
      </w:r>
    </w:p>
    <w:p w14:paraId="3EDDE808">
      <w:pPr>
        <w:pStyle w:val="6"/>
        <w:rPr>
          <w:color w:val="auto"/>
          <w:highlight w:val="none"/>
        </w:rPr>
      </w:pPr>
    </w:p>
    <w:p w14:paraId="0A699A8D">
      <w:pPr>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42" w:name="_Toc13746"/>
      <w:bookmarkStart w:id="43" w:name="_Toc20638"/>
      <w:bookmarkStart w:id="44" w:name="_Toc25871"/>
      <w:r>
        <w:rPr>
          <w:rFonts w:hint="eastAsia" w:ascii="宋体" w:hAnsi="宋体" w:cs="宋体"/>
          <w:b/>
          <w:bCs/>
          <w:color w:val="auto"/>
          <w:sz w:val="32"/>
          <w:szCs w:val="32"/>
          <w:highlight w:val="none"/>
        </w:rPr>
        <w:t>三、第二阶段（成交阶段）</w:t>
      </w:r>
      <w:bookmarkEnd w:id="42"/>
      <w:bookmarkEnd w:id="43"/>
      <w:bookmarkEnd w:id="44"/>
    </w:p>
    <w:p w14:paraId="08C15068">
      <w:pPr>
        <w:spacing w:line="360" w:lineRule="auto"/>
        <w:ind w:firstLine="643" w:firstLineChars="200"/>
        <w:jc w:val="center"/>
        <w:rPr>
          <w:rFonts w:ascii="宋体" w:hAnsi="宋体" w:cs="宋体"/>
          <w:b/>
          <w:color w:val="auto"/>
          <w:highlight w:val="none"/>
        </w:rPr>
      </w:pPr>
      <w:r>
        <w:rPr>
          <w:rFonts w:hint="eastAsia" w:ascii="宋体" w:hAnsi="宋体" w:cs="宋体"/>
          <w:b/>
          <w:bCs/>
          <w:color w:val="auto"/>
          <w:sz w:val="32"/>
          <w:szCs w:val="32"/>
          <w:highlight w:val="none"/>
        </w:rPr>
        <w:t>（一）成交供应商</w:t>
      </w:r>
    </w:p>
    <w:p w14:paraId="1568B05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39.成交供应商</w:t>
      </w:r>
    </w:p>
    <w:p w14:paraId="1F01D69B">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39.1</w:t>
      </w:r>
      <w:r>
        <w:rPr>
          <w:rFonts w:hint="eastAsia" w:ascii="宋体" w:hAnsi="宋体" w:cs="宋体"/>
          <w:color w:val="auto"/>
          <w:szCs w:val="21"/>
          <w:highlight w:val="none"/>
        </w:rPr>
        <w:t xml:space="preserve"> 确定成交供应商</w:t>
      </w:r>
      <w:r>
        <w:rPr>
          <w:rFonts w:hint="eastAsia" w:ascii="宋体" w:hAnsi="宋体" w:cs="宋体"/>
          <w:b/>
          <w:bCs/>
          <w:color w:val="auto"/>
          <w:szCs w:val="21"/>
          <w:highlight w:val="none"/>
        </w:rPr>
        <w:t>（直接选定）</w:t>
      </w:r>
    </w:p>
    <w:p w14:paraId="2DD24C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39.1.1 采购人按照征集文件或框架协议的规定从第一阶段入围供应商中直接选定成交供应商并签订采购合同。</w:t>
      </w:r>
    </w:p>
    <w:p w14:paraId="718AFD2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39.2成交结果公告</w:t>
      </w:r>
    </w:p>
    <w:p w14:paraId="156B88B8">
      <w:pPr>
        <w:spacing w:line="360" w:lineRule="auto"/>
        <w:ind w:firstLine="420" w:firstLineChars="200"/>
        <w:rPr>
          <w:color w:val="auto"/>
          <w:highlight w:val="none"/>
        </w:rPr>
      </w:pPr>
      <w:r>
        <w:rPr>
          <w:rFonts w:hint="eastAsia" w:ascii="宋体" w:hAnsi="宋体" w:cs="宋体"/>
          <w:color w:val="auto"/>
          <w:szCs w:val="21"/>
          <w:highlight w:val="none"/>
        </w:rPr>
        <w:t>39.2.1</w:t>
      </w:r>
      <w:r>
        <w:rPr>
          <w:rFonts w:hint="eastAsia"/>
          <w:color w:val="auto"/>
          <w:highlight w:val="none"/>
        </w:rPr>
        <w:t>如征集文件或框架协议规定确定成交供应商的方式为二次竞价或顺序轮候方式，或者采购人在满足规定的前提下将合同授予非入围供应商，征集人在确定成交供应商后2个工作日内发布单笔成交结果公告，单笔成交结果公告在征集公告发布媒体上公布。</w:t>
      </w:r>
    </w:p>
    <w:p w14:paraId="6EDE94C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39.3合同</w:t>
      </w:r>
    </w:p>
    <w:p w14:paraId="71469A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39.3.1合同授予标准</w:t>
      </w:r>
    </w:p>
    <w:p w14:paraId="0A0CDF93">
      <w:pPr>
        <w:spacing w:line="360" w:lineRule="auto"/>
        <w:ind w:firstLine="420" w:firstLineChars="200"/>
        <w:rPr>
          <w:color w:val="auto"/>
          <w:highlight w:val="none"/>
        </w:rPr>
      </w:pPr>
      <w:r>
        <w:rPr>
          <w:rFonts w:hint="eastAsia" w:ascii="宋体" w:hAnsi="宋体" w:cs="宋体"/>
          <w:color w:val="auto"/>
          <w:szCs w:val="21"/>
          <w:highlight w:val="none"/>
        </w:rPr>
        <w:t>除框架协议另有规定外，采购人采购框架协议规定的货物、服务，应当将采购合同授予入围供应商。在签订采购合同过程中，如入围供应商的组织机构、经营状况、财务状况发生了较大变化，可能造成不能履行框架协议或采购合同的，签订采购合同前应告知采购人，未主动告知，给采购人造成损失的，采购人有权要求其赔偿损失</w:t>
      </w:r>
      <w:r>
        <w:rPr>
          <w:rFonts w:hint="eastAsia"/>
          <w:color w:val="auto"/>
          <w:highlight w:val="none"/>
        </w:rPr>
        <w:t>。</w:t>
      </w:r>
    </w:p>
    <w:p w14:paraId="5084A0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39.3.2签订合同</w:t>
      </w:r>
    </w:p>
    <w:p w14:paraId="007B61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采购单位与供应商签订的采购合同不能违背框架协议的实质性条款。</w:t>
      </w:r>
    </w:p>
    <w:p w14:paraId="1ABD5D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39.3.3履行合同</w:t>
      </w:r>
    </w:p>
    <w:p w14:paraId="1F6A10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与供应商签订采购合同后，合同双方应严格执行合同条款，履行规定的合同义务，保证合同顺利完成，双方均不得擅自变更、中止或终止采购合同。确需解除合同的，应按《中华人民共和国民法典》有关规定和合同约定执行。</w:t>
      </w:r>
    </w:p>
    <w:p w14:paraId="4603BDF3">
      <w:pPr>
        <w:snapToGrid w:val="0"/>
        <w:spacing w:line="360" w:lineRule="auto"/>
        <w:ind w:left="120" w:leftChars="57" w:firstLine="482" w:firstLineChars="1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（二）验收</w:t>
      </w:r>
    </w:p>
    <w:p w14:paraId="1C403DFE">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40.验收</w:t>
      </w:r>
    </w:p>
    <w:p w14:paraId="5397E663">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40.1采购单位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03002AB">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40.2采购单位可以邀请参加本项目的其他供应商或者第三方机构参与验收。参与验收的供应商或者第三方机构的意见作为验收书的参考资料一并存档。</w:t>
      </w:r>
    </w:p>
    <w:p w14:paraId="68FBD553">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40.3严格按照采购合同开展履约验收。采购单位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F7F397">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40.4验收合格的项目，采购单位将根据采购合同的约定及时向供应商支付采购资金。验收不合格的项目，采购单位将依法及时处理。采购合同的履行、违约责任和解决争议的方式等适用《中华人民共和国民法典》。供应商在履约过程中有政府采购法律法规规定的违法违规情形的，采购单位应当及时报告本级财政部门。</w:t>
      </w:r>
    </w:p>
    <w:p w14:paraId="6EFBE893">
      <w:pPr>
        <w:pStyle w:val="16"/>
        <w:snapToGrid w:val="0"/>
        <w:spacing w:line="400" w:lineRule="exact"/>
        <w:rPr>
          <w:rFonts w:hAnsi="宋体" w:cs="宋体"/>
          <w:color w:val="auto"/>
          <w:highlight w:val="none"/>
        </w:rPr>
      </w:pPr>
    </w:p>
    <w:p w14:paraId="28763155">
      <w:pPr>
        <w:pStyle w:val="5"/>
        <w:keepNext w:val="0"/>
        <w:keepLines w:val="0"/>
        <w:spacing w:line="360" w:lineRule="auto"/>
        <w:jc w:val="center"/>
        <w:rPr>
          <w:rFonts w:ascii="宋体" w:hAnsi="宋体" w:cs="宋体"/>
          <w:color w:val="auto"/>
          <w:highlight w:val="none"/>
        </w:rPr>
      </w:pPr>
      <w:bookmarkStart w:id="45" w:name="_Toc7629"/>
      <w:bookmarkStart w:id="46" w:name="_Toc29997"/>
      <w:bookmarkStart w:id="47" w:name="_Toc21546"/>
      <w:r>
        <w:rPr>
          <w:rFonts w:hint="eastAsia" w:ascii="宋体" w:hAnsi="宋体" w:cs="宋体"/>
          <w:color w:val="auto"/>
          <w:highlight w:val="none"/>
        </w:rPr>
        <w:t>四、其他事项</w:t>
      </w:r>
      <w:bookmarkEnd w:id="45"/>
      <w:bookmarkEnd w:id="46"/>
      <w:bookmarkEnd w:id="47"/>
    </w:p>
    <w:p w14:paraId="6CDADB99">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41.代理服务费</w:t>
      </w:r>
    </w:p>
    <w:p w14:paraId="3A0D0172">
      <w:pPr>
        <w:spacing w:line="360" w:lineRule="auto"/>
        <w:ind w:firstLine="420" w:firstLineChars="200"/>
        <w:rPr>
          <w:rFonts w:ascii="宋体" w:hAnsi="宋体" w:cs="宋体"/>
          <w:b w:val="0"/>
          <w:bCs/>
          <w:color w:val="auto"/>
          <w:szCs w:val="21"/>
          <w:highlight w:val="none"/>
        </w:rPr>
      </w:pPr>
      <w:r>
        <w:rPr>
          <w:rFonts w:hint="eastAsia" w:ascii="宋体" w:hAnsi="宋体" w:cs="宋体"/>
          <w:b w:val="0"/>
          <w:bCs/>
          <w:color w:val="auto"/>
          <w:szCs w:val="21"/>
          <w:highlight w:val="none"/>
          <w:lang w:eastAsia="zh-CN"/>
        </w:rPr>
        <w:t>详见供应商须知前附表</w:t>
      </w:r>
      <w:r>
        <w:rPr>
          <w:rFonts w:hint="eastAsia" w:ascii="宋体" w:hAnsi="宋体" w:cs="宋体"/>
          <w:b w:val="0"/>
          <w:bCs/>
          <w:color w:val="auto"/>
          <w:szCs w:val="21"/>
          <w:highlight w:val="none"/>
        </w:rPr>
        <w:t>。</w:t>
      </w:r>
    </w:p>
    <w:p w14:paraId="10BF8DE1">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42. 需要补充的其他内容</w:t>
      </w:r>
    </w:p>
    <w:p w14:paraId="7E24CE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42.1本征集文件解释规则详见“供应商须知前附表”。</w:t>
      </w:r>
    </w:p>
    <w:p w14:paraId="70FE9B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 其他事项详见“供应商须知前附表”。</w:t>
      </w:r>
    </w:p>
    <w:p w14:paraId="1930BE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民法典》订立劳动合同的从业人员，不对其中涉及的货物的制造商和工程承建商作出要求的，享受本文件规定的中小企业扶持政策。</w:t>
      </w:r>
    </w:p>
    <w:p w14:paraId="3DF93C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008656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依据本文件规定享受扶持政策获得政府采购合同的，小微企业不得将合同分包给大中型企业，中型企业不得将合同分包给大型企业。</w:t>
      </w:r>
    </w:p>
    <w:p w14:paraId="37B277F4">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43. 政采贷相关说明</w:t>
      </w:r>
    </w:p>
    <w:p w14:paraId="1264DD9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为优化政府采购营商环境，缓解供应商资金难题，南宁市政府采购试行政府采购信用融资制度，入围供应商如有融资需求，可凭政府采购合同通过以下方式申请政府采购信用融资贷款：</w:t>
      </w:r>
    </w:p>
    <w:p w14:paraId="7825A01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9"/>
          <w:rFonts w:hint="eastAsia" w:ascii="宋体" w:hAnsi="宋体" w:cs="宋体"/>
          <w:color w:val="auto"/>
          <w:szCs w:val="21"/>
          <w:highlight w:val="none"/>
        </w:rPr>
        <w:t>http://www.nnggzy.org.cn）“交易信息-政府采购-政府采购信用融资”中融资银行和南宁市企业融资服务中心专栏信息申请政府采购信用融资。</w:t>
      </w:r>
      <w:r>
        <w:rPr>
          <w:rStyle w:val="29"/>
          <w:rFonts w:hint="eastAsia" w:ascii="宋体" w:hAnsi="宋体" w:cs="宋体"/>
          <w:color w:val="auto"/>
          <w:szCs w:val="21"/>
          <w:highlight w:val="none"/>
        </w:rPr>
        <w:fldChar w:fldCharType="end"/>
      </w:r>
    </w:p>
    <w:p w14:paraId="2513296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413284AE">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44.用户反馈和评价机制</w:t>
      </w:r>
    </w:p>
    <w:p w14:paraId="1DC54B1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本项目将通过“</w:t>
      </w:r>
      <w:r>
        <w:rPr>
          <w:rFonts w:hint="eastAsia" w:ascii="宋体" w:hAnsi="宋体" w:eastAsia="宋体" w:cs="宋体"/>
          <w:bCs/>
          <w:color w:val="auto"/>
          <w:szCs w:val="21"/>
          <w:highlight w:val="none"/>
        </w:rPr>
        <w:t>广西政府采购云平台</w:t>
      </w:r>
      <w:r>
        <w:rPr>
          <w:rFonts w:hint="eastAsia" w:ascii="宋体" w:hAnsi="宋体" w:cs="宋体"/>
          <w:color w:val="auto"/>
          <w:szCs w:val="21"/>
          <w:highlight w:val="none"/>
        </w:rPr>
        <w:t>”平台建立用户反馈和评价机制。</w:t>
      </w:r>
    </w:p>
    <w:p w14:paraId="157A3603">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45.入围供应商的清退和补充规则</w:t>
      </w:r>
    </w:p>
    <w:p w14:paraId="6ECC5686">
      <w:pPr>
        <w:spacing w:line="360" w:lineRule="auto"/>
        <w:ind w:firstLine="359" w:firstLineChars="171"/>
        <w:rPr>
          <w:color w:val="auto"/>
          <w:highlight w:val="none"/>
          <w:u w:val="none"/>
        </w:rPr>
      </w:pPr>
      <w:r>
        <w:rPr>
          <w:rFonts w:hint="eastAsia"/>
          <w:color w:val="auto"/>
          <w:highlight w:val="none"/>
          <w:u w:val="none"/>
        </w:rPr>
        <w:t>详见征集文件第五章《框架协议》</w:t>
      </w:r>
    </w:p>
    <w:p w14:paraId="1F9A23B7">
      <w:pPr>
        <w:pStyle w:val="16"/>
        <w:spacing w:line="720" w:lineRule="auto"/>
        <w:jc w:val="center"/>
        <w:outlineLvl w:val="1"/>
        <w:rPr>
          <w:rFonts w:hint="eastAsia" w:hAnsi="宋体" w:cs="宋体"/>
          <w:b/>
          <w:color w:val="auto"/>
          <w:sz w:val="30"/>
          <w:szCs w:val="30"/>
          <w:highlight w:val="none"/>
        </w:rPr>
      </w:pPr>
    </w:p>
    <w:bookmarkEnd w:id="20"/>
    <w:bookmarkEnd w:id="21"/>
    <w:p w14:paraId="0ABFFEF9">
      <w:pPr>
        <w:pStyle w:val="8"/>
        <w:ind w:left="0" w:firstLine="0"/>
        <w:rPr>
          <w:rFonts w:hint="eastAsia" w:ascii="宋体" w:hAnsi="宋体" w:cs="宋体"/>
          <w:color w:val="auto"/>
          <w:highlight w:val="none"/>
        </w:rPr>
      </w:pPr>
    </w:p>
    <w:p w14:paraId="08C627C4">
      <w:pPr>
        <w:spacing w:line="360" w:lineRule="auto"/>
        <w:jc w:val="left"/>
        <w:rPr>
          <w:rFonts w:hint="eastAsia" w:ascii="宋体" w:hAnsi="宋体" w:cs="宋体"/>
          <w:color w:val="auto"/>
          <w:highlight w:val="none"/>
        </w:rPr>
        <w:sectPr>
          <w:footerReference r:id="rId7" w:type="default"/>
          <w:pgSz w:w="11906" w:h="16838"/>
          <w:pgMar w:top="1134" w:right="1134" w:bottom="1134" w:left="1134" w:header="720" w:footer="720" w:gutter="0"/>
          <w:pgNumType w:fmt="decimal"/>
          <w:cols w:space="720" w:num="1"/>
          <w:docGrid w:type="lines" w:linePitch="331" w:charSpace="0"/>
        </w:sectPr>
      </w:pPr>
    </w:p>
    <w:p w14:paraId="02B83A0A">
      <w:pPr>
        <w:spacing w:line="360" w:lineRule="auto"/>
        <w:jc w:val="left"/>
        <w:rPr>
          <w:rFonts w:hint="eastAsia" w:ascii="宋体" w:hAnsi="宋体" w:cs="宋体"/>
          <w:color w:val="auto"/>
          <w:highlight w:val="none"/>
        </w:rPr>
      </w:pPr>
      <w:bookmarkStart w:id="48" w:name="_Toc532545043"/>
    </w:p>
    <w:p w14:paraId="34E521D4">
      <w:pPr>
        <w:pStyle w:val="16"/>
        <w:jc w:val="center"/>
        <w:outlineLvl w:val="0"/>
        <w:rPr>
          <w:rFonts w:hint="eastAsia" w:hAnsi="宋体" w:cs="宋体"/>
          <w:b/>
          <w:color w:val="auto"/>
          <w:sz w:val="36"/>
          <w:highlight w:val="none"/>
        </w:rPr>
      </w:pPr>
      <w:bookmarkStart w:id="49" w:name="_Toc11881"/>
      <w:bookmarkStart w:id="50" w:name="_Toc9932"/>
      <w:bookmarkStart w:id="51" w:name="_Toc80093003"/>
      <w:r>
        <w:rPr>
          <w:rFonts w:hint="eastAsia" w:hAnsi="宋体" w:cs="宋体"/>
          <w:b/>
          <w:color w:val="auto"/>
          <w:sz w:val="36"/>
          <w:highlight w:val="none"/>
        </w:rPr>
        <w:t>第四章  评审方法</w:t>
      </w:r>
      <w:bookmarkEnd w:id="48"/>
      <w:r>
        <w:rPr>
          <w:rFonts w:hint="eastAsia" w:hAnsi="宋体" w:cs="宋体"/>
          <w:b/>
          <w:color w:val="auto"/>
          <w:sz w:val="36"/>
          <w:highlight w:val="none"/>
        </w:rPr>
        <w:t>及评分标准</w:t>
      </w:r>
      <w:bookmarkEnd w:id="49"/>
      <w:bookmarkEnd w:id="50"/>
      <w:bookmarkEnd w:id="51"/>
    </w:p>
    <w:p w14:paraId="56516FE4">
      <w:pPr>
        <w:pStyle w:val="16"/>
        <w:jc w:val="center"/>
        <w:outlineLvl w:val="1"/>
        <w:rPr>
          <w:rFonts w:hint="eastAsia" w:hAnsi="宋体" w:cs="宋体"/>
          <w:b/>
          <w:bCs/>
          <w:color w:val="auto"/>
          <w:sz w:val="32"/>
          <w:szCs w:val="32"/>
          <w:highlight w:val="none"/>
        </w:rPr>
      </w:pPr>
      <w:bookmarkStart w:id="52" w:name="_Toc8010"/>
      <w:bookmarkStart w:id="53" w:name="_Toc80093004"/>
      <w:bookmarkStart w:id="54" w:name="_Toc25347"/>
      <w:r>
        <w:rPr>
          <w:rFonts w:hint="eastAsia" w:hAnsi="宋体" w:cs="宋体"/>
          <w:b/>
          <w:bCs/>
          <w:color w:val="auto"/>
          <w:sz w:val="32"/>
          <w:szCs w:val="32"/>
          <w:highlight w:val="none"/>
        </w:rPr>
        <w:t>第一节 评审方法</w:t>
      </w:r>
      <w:bookmarkEnd w:id="52"/>
      <w:bookmarkEnd w:id="53"/>
      <w:bookmarkEnd w:id="54"/>
    </w:p>
    <w:p w14:paraId="01BBA537">
      <w:pPr>
        <w:pStyle w:val="16"/>
        <w:tabs>
          <w:tab w:val="left" w:pos="2472"/>
        </w:tabs>
        <w:spacing w:line="460" w:lineRule="exact"/>
        <w:ind w:firstLine="420" w:firstLineChars="200"/>
        <w:rPr>
          <w:rFonts w:hint="eastAsia" w:hAnsi="宋体" w:cs="宋体"/>
          <w:color w:val="auto"/>
          <w:szCs w:val="21"/>
          <w:highlight w:val="none"/>
        </w:rPr>
      </w:pPr>
    </w:p>
    <w:p w14:paraId="19A5A2DE">
      <w:pPr>
        <w:tabs>
          <w:tab w:val="left" w:pos="2472"/>
        </w:tabs>
        <w:spacing w:line="460" w:lineRule="exact"/>
        <w:ind w:firstLine="420" w:firstLineChars="200"/>
        <w:rPr>
          <w:rFonts w:ascii="宋体" w:hAnsi="宋体" w:cs="宋体"/>
          <w:b w:val="0"/>
          <w:bCs/>
          <w:color w:val="auto"/>
          <w:szCs w:val="21"/>
          <w:highlight w:val="none"/>
        </w:rPr>
      </w:pPr>
      <w:r>
        <w:rPr>
          <w:rFonts w:ascii="宋体" w:hAnsi="宋体" w:cs="宋体"/>
          <w:b w:val="0"/>
          <w:bCs/>
          <w:color w:val="auto"/>
          <w:szCs w:val="21"/>
          <w:highlight w:val="none"/>
        </w:rPr>
        <w:t>确定第一阶段入围供应商的评审方法</w:t>
      </w:r>
    </w:p>
    <w:p w14:paraId="7FCBEF7F">
      <w:pPr>
        <w:tabs>
          <w:tab w:val="left" w:pos="2472"/>
        </w:tabs>
        <w:spacing w:line="46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本项目采用质量优先法进行评审</w:t>
      </w:r>
      <w:r>
        <w:rPr>
          <w:rFonts w:hint="eastAsia" w:ascii="宋体" w:hAnsi="宋体" w:cs="宋体"/>
          <w:b w:val="0"/>
          <w:bCs/>
          <w:color w:val="auto"/>
          <w:szCs w:val="21"/>
          <w:highlight w:val="none"/>
          <w:lang w:eastAsia="zh-CN"/>
        </w:rPr>
        <w:t>，</w:t>
      </w:r>
      <w:r>
        <w:rPr>
          <w:rFonts w:ascii="宋体" w:hAnsi="宋体" w:cs="宋体"/>
          <w:b w:val="0"/>
          <w:bCs/>
          <w:color w:val="auto"/>
          <w:szCs w:val="21"/>
          <w:highlight w:val="none"/>
        </w:rPr>
        <w:t>评审小组按征集文件中规定的评审方法和标准，对符合性检查合格的响应文件进行商务和技术评比，对满足采购需求且响应报价不超过最高限制单价的货物、服务进行质量综合评分，按照质量评分从高到低排序，根据征集文件规定的淘汰率或者入围供应商数量上限，确定入围供应商。</w:t>
      </w:r>
    </w:p>
    <w:p w14:paraId="03DB6137">
      <w:pPr>
        <w:spacing w:line="360" w:lineRule="auto"/>
        <w:ind w:firstLine="420"/>
        <w:rPr>
          <w:rFonts w:hint="eastAsia"/>
          <w:b w:val="0"/>
          <w:bCs/>
          <w:color w:val="auto"/>
          <w:highlight w:val="none"/>
        </w:rPr>
      </w:pPr>
      <w:r>
        <w:rPr>
          <w:rFonts w:hint="eastAsia"/>
          <w:b w:val="0"/>
          <w:bCs/>
          <w:color w:val="auto"/>
          <w:highlight w:val="none"/>
        </w:rPr>
        <w:t>本项目最高限制详见《服务需求一览表》，供应商响应报价时，响应报价不得超过最高允许范围，超过最高允许范围的响应报价为无效响应报价，评标委员会将按无效响应处理。</w:t>
      </w:r>
    </w:p>
    <w:p w14:paraId="7063781F">
      <w:pPr>
        <w:autoSpaceDE w:val="0"/>
        <w:autoSpaceDN w:val="0"/>
        <w:adjustRightInd w:val="0"/>
        <w:spacing w:line="440" w:lineRule="exact"/>
        <w:ind w:firstLine="480" w:firstLineChars="200"/>
        <w:rPr>
          <w:rFonts w:hint="eastAsia" w:ascii="宋体" w:hAnsi="宋体" w:cs="宋体"/>
          <w:color w:val="auto"/>
          <w:sz w:val="24"/>
          <w:highlight w:val="none"/>
        </w:rPr>
      </w:pPr>
    </w:p>
    <w:p w14:paraId="17160CC4">
      <w:pPr>
        <w:pStyle w:val="16"/>
        <w:spacing w:line="360" w:lineRule="auto"/>
        <w:ind w:firstLine="420"/>
        <w:rPr>
          <w:rFonts w:hint="eastAsia" w:hAnsi="宋体" w:cs="宋体"/>
          <w:color w:val="auto"/>
          <w:highlight w:val="none"/>
        </w:rPr>
      </w:pPr>
    </w:p>
    <w:p w14:paraId="76609642">
      <w:pPr>
        <w:pStyle w:val="16"/>
        <w:tabs>
          <w:tab w:val="left" w:pos="2472"/>
        </w:tabs>
        <w:spacing w:line="460" w:lineRule="exact"/>
        <w:jc w:val="center"/>
        <w:outlineLvl w:val="1"/>
        <w:rPr>
          <w:rFonts w:hint="eastAsia" w:hAnsi="宋体" w:cs="宋体"/>
          <w:b/>
          <w:bCs/>
          <w:color w:val="auto"/>
          <w:sz w:val="32"/>
          <w:szCs w:val="32"/>
          <w:highlight w:val="none"/>
        </w:rPr>
      </w:pPr>
      <w:bookmarkStart w:id="55" w:name="_Toc80093005"/>
      <w:bookmarkStart w:id="56" w:name="_Toc761"/>
      <w:bookmarkStart w:id="57" w:name="_Toc6615"/>
      <w:r>
        <w:rPr>
          <w:rFonts w:hint="eastAsia" w:hAnsi="宋体" w:cs="宋体"/>
          <w:b/>
          <w:bCs/>
          <w:color w:val="auto"/>
          <w:sz w:val="32"/>
          <w:szCs w:val="32"/>
          <w:highlight w:val="none"/>
        </w:rPr>
        <w:t>第二节 评审程序</w:t>
      </w:r>
      <w:bookmarkEnd w:id="55"/>
      <w:bookmarkEnd w:id="56"/>
      <w:bookmarkEnd w:id="57"/>
    </w:p>
    <w:p w14:paraId="1A43EE23">
      <w:pPr>
        <w:spacing w:line="360" w:lineRule="auto"/>
        <w:ind w:firstLine="422" w:firstLineChars="200"/>
        <w:outlineLvl w:val="2"/>
        <w:rPr>
          <w:rFonts w:hint="eastAsia" w:ascii="宋体" w:hAnsi="宋体" w:cs="宋体"/>
          <w:b/>
          <w:color w:val="auto"/>
          <w:szCs w:val="21"/>
          <w:highlight w:val="none"/>
        </w:rPr>
      </w:pPr>
    </w:p>
    <w:p w14:paraId="451DB61B">
      <w:pPr>
        <w:spacing w:line="360" w:lineRule="auto"/>
        <w:ind w:firstLine="422"/>
        <w:outlineLvl w:val="2"/>
        <w:rPr>
          <w:rFonts w:ascii="宋体" w:hAnsi="宋体" w:cs="宋体"/>
          <w:b/>
          <w:color w:val="auto"/>
          <w:szCs w:val="21"/>
          <w:highlight w:val="none"/>
        </w:rPr>
      </w:pPr>
      <w:bookmarkStart w:id="58" w:name="_Toc6567"/>
      <w:bookmarkStart w:id="59" w:name="_Toc12932"/>
      <w:bookmarkStart w:id="60" w:name="_Toc80093006"/>
      <w:bookmarkStart w:id="61" w:name="_Toc13540"/>
      <w:r>
        <w:rPr>
          <w:rFonts w:hint="eastAsia" w:ascii="宋体" w:hAnsi="宋体" w:cs="宋体"/>
          <w:b/>
          <w:color w:val="auto"/>
          <w:szCs w:val="21"/>
          <w:highlight w:val="none"/>
        </w:rPr>
        <w:t>1.资格审查</w:t>
      </w:r>
      <w:bookmarkEnd w:id="58"/>
      <w:bookmarkEnd w:id="59"/>
    </w:p>
    <w:p w14:paraId="668FF5B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w:t>
      </w:r>
      <w:r>
        <w:rPr>
          <w:rFonts w:hint="eastAsia" w:ascii="宋体" w:hAnsi="宋体"/>
          <w:b/>
          <w:bCs/>
          <w:color w:val="auto"/>
          <w:szCs w:val="21"/>
          <w:highlight w:val="none"/>
        </w:rPr>
        <w:t>开标结束后，</w:t>
      </w:r>
      <w:r>
        <w:rPr>
          <w:rFonts w:hint="eastAsia"/>
          <w:b/>
          <w:color w:val="auto"/>
          <w:highlight w:val="none"/>
        </w:rPr>
        <w:t>资格评审小组</w:t>
      </w:r>
      <w:r>
        <w:rPr>
          <w:rFonts w:hint="eastAsia" w:ascii="宋体" w:hAnsi="宋体"/>
          <w:b/>
          <w:bCs/>
          <w:color w:val="auto"/>
          <w:szCs w:val="20"/>
          <w:highlight w:val="none"/>
        </w:rPr>
        <w:t>依法通过电子响应文件对供应商的资格进行线上审查。</w:t>
      </w:r>
    </w:p>
    <w:p w14:paraId="5E7C30E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1.2</w:t>
      </w:r>
      <w:r>
        <w:rPr>
          <w:rFonts w:hint="eastAsia"/>
          <w:b/>
          <w:color w:val="auto"/>
          <w:highlight w:val="none"/>
        </w:rPr>
        <w:t>资格评审小组</w:t>
      </w:r>
      <w:r>
        <w:rPr>
          <w:rFonts w:hint="eastAsia" w:ascii="宋体" w:hAnsi="宋体" w:cs="宋体"/>
          <w:b/>
          <w:bCs/>
          <w:color w:val="auto"/>
          <w:szCs w:val="21"/>
          <w:highlight w:val="none"/>
        </w:rPr>
        <w:t>依据法律法规和征集文件的规定，对供应商的基本资格条件、特定资格条件进行审查。</w:t>
      </w:r>
    </w:p>
    <w:p w14:paraId="04EC18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1.3资格审查标准为本“征集文件”中“供应商须知前附表”13.1点载明对供应商资格要求的条件。本项目资格审查采用合格制，凡符合征集文件规定的供应商资格要求的供应商均通过资格审查。</w:t>
      </w:r>
    </w:p>
    <w:p w14:paraId="071FC34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1.4供应商有下列情形之一的，资格审查不通过，作无效响应处理：</w:t>
      </w:r>
    </w:p>
    <w:p w14:paraId="2BABB7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（1）不具备征集文件中规定的资格要求的；（注：其中信用查询规则见“供应商须知前附表”，“</w:t>
      </w:r>
      <w:r>
        <w:rPr>
          <w:rFonts w:hint="eastAsia" w:ascii="宋体" w:hAnsi="宋体" w:eastAsia="宋体" w:cs="宋体"/>
          <w:bCs/>
          <w:color w:val="auto"/>
          <w:szCs w:val="21"/>
          <w:highlight w:val="none"/>
        </w:rPr>
        <w:t>广西政府采购云平台</w:t>
      </w:r>
      <w:r>
        <w:rPr>
          <w:rFonts w:hint="eastAsia" w:ascii="宋体" w:hAnsi="宋体" w:cs="宋体"/>
          <w:color w:val="auto"/>
          <w:szCs w:val="21"/>
          <w:highlight w:val="none"/>
        </w:rPr>
        <w:t>”平台已与“信用中国”平台做接口，审查专家可直接在线查询）</w:t>
      </w:r>
    </w:p>
    <w:p w14:paraId="395ECF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4AF250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3ADBAA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b/>
          <w:color w:val="auto"/>
          <w:szCs w:val="21"/>
          <w:highlight w:val="none"/>
        </w:rPr>
        <w:t>属于供应商须知正文第9.2条情形的；</w:t>
      </w:r>
    </w:p>
    <w:p w14:paraId="44F3608E">
      <w:pPr>
        <w:pStyle w:val="7"/>
        <w:keepNext w:val="0"/>
        <w:keepLines w:val="0"/>
        <w:spacing w:before="0" w:after="0" w:line="360" w:lineRule="auto"/>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1.5资格审查的合格供应商不足3家的，不得评审。</w:t>
      </w:r>
    </w:p>
    <w:p w14:paraId="1E9D86ED">
      <w:pPr>
        <w:spacing w:line="360" w:lineRule="auto"/>
        <w:ind w:firstLine="422" w:firstLineChars="200"/>
        <w:outlineLvl w:val="2"/>
        <w:rPr>
          <w:rFonts w:ascii="宋体" w:hAnsi="宋体" w:cs="宋体"/>
          <w:b/>
          <w:color w:val="auto"/>
          <w:szCs w:val="21"/>
          <w:highlight w:val="none"/>
        </w:rPr>
      </w:pPr>
      <w:bookmarkStart w:id="62" w:name="_Toc8795"/>
      <w:bookmarkStart w:id="63" w:name="_Toc20240"/>
      <w:r>
        <w:rPr>
          <w:rFonts w:hint="eastAsia" w:ascii="宋体" w:hAnsi="宋体" w:cs="宋体"/>
          <w:b/>
          <w:color w:val="auto"/>
          <w:szCs w:val="21"/>
          <w:highlight w:val="none"/>
        </w:rPr>
        <w:t>2.符合性审查</w:t>
      </w:r>
      <w:bookmarkEnd w:id="62"/>
      <w:bookmarkEnd w:id="63"/>
    </w:p>
    <w:p w14:paraId="754606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评审委员会应当对符合资格的供应商的响应文件进行响应报价、商务、技术等实质性内容符合性审查，以确定其是否满足征集文件的实质性要求。</w:t>
      </w:r>
    </w:p>
    <w:p w14:paraId="0F9B0064">
      <w:pPr>
        <w:spacing w:line="360" w:lineRule="auto"/>
        <w:ind w:firstLine="422" w:firstLineChars="200"/>
        <w:outlineLvl w:val="2"/>
        <w:rPr>
          <w:rFonts w:ascii="宋体" w:hAnsi="宋体" w:cs="宋体"/>
          <w:b/>
          <w:color w:val="auto"/>
          <w:szCs w:val="21"/>
          <w:highlight w:val="none"/>
        </w:rPr>
      </w:pPr>
      <w:bookmarkStart w:id="64" w:name="_Toc18707"/>
      <w:bookmarkStart w:id="65" w:name="_Toc2998"/>
      <w:bookmarkStart w:id="66" w:name="_Toc11320"/>
      <w:bookmarkStart w:id="67" w:name="_Toc6483"/>
      <w:r>
        <w:rPr>
          <w:rFonts w:hint="eastAsia" w:ascii="宋体" w:hAnsi="宋体" w:cs="宋体"/>
          <w:b/>
          <w:color w:val="auto"/>
          <w:szCs w:val="21"/>
          <w:highlight w:val="none"/>
        </w:rPr>
        <w:t>3.符合性审查不通过而导致响应无效的情形</w:t>
      </w:r>
      <w:bookmarkEnd w:id="64"/>
      <w:bookmarkEnd w:id="65"/>
      <w:bookmarkEnd w:id="66"/>
      <w:bookmarkEnd w:id="67"/>
    </w:p>
    <w:p w14:paraId="315692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供应商的响应文件中存在对征集文件的任何实质性要求和条件的负偏离，将被视为响应无效。</w:t>
      </w:r>
    </w:p>
    <w:p w14:paraId="0035953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3.1在报价评审时，如发现下列情形之一的，将被视为响应无效：</w:t>
      </w:r>
    </w:p>
    <w:p w14:paraId="3852B4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（1）响应文件未提供“供应商须知前附表”第13.1条规定中“必须提供”的文件资料的;</w:t>
      </w:r>
    </w:p>
    <w:p w14:paraId="58F9DB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（2）未采用人民币报价或者未按照征集文件标明的币种报价的；</w:t>
      </w:r>
    </w:p>
    <w:p w14:paraId="2DE15B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（3）报价超出征集文件规定最高限价，或者超出采购预算金额（包括分项预算）的；</w:t>
      </w:r>
    </w:p>
    <w:p w14:paraId="103050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未就所投分标进行报价或者存在漏项报价；供应商未就所投分标的单项内容作唯一报价；供应商未就所投分标的全部内容作唯一总价报价；存在有选择、有条件报价的（征集文件允许有备选方案或者其他约定的除外）；</w:t>
      </w:r>
    </w:p>
    <w:p w14:paraId="635067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w:t>
      </w:r>
    </w:p>
    <w:p w14:paraId="7865CF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b/>
          <w:color w:val="auto"/>
          <w:szCs w:val="21"/>
          <w:highlight w:val="none"/>
        </w:rPr>
        <w:t>属于供应商须知正文第9.2条情形的；</w:t>
      </w:r>
    </w:p>
    <w:p w14:paraId="53F5339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3.2在商务评审时，如发现下列情形之一的，将被视为响应无效：</w:t>
      </w:r>
    </w:p>
    <w:p w14:paraId="3F736B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（1）响应文件未按征集文件要求签署、盖章的；</w:t>
      </w:r>
    </w:p>
    <w:p w14:paraId="0A9DD5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2A62B2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（3）响应文件未提供“供应商须知前附表”第13.1条规定中“必须提供”或者“委托时必须提供”的文件资料的;</w:t>
      </w:r>
    </w:p>
    <w:p w14:paraId="1FC04C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（4）响应有效期、项目完成时间（交货时间、服务完成时间或者服务期等）、质保期、售后服务等征集文件入围“▲”的商务条款发生负偏离的；</w:t>
      </w:r>
    </w:p>
    <w:p w14:paraId="6F17C4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（5）商务条款评审允许负偏离的条款数超过“供应商须知前附表”规定项数的。</w:t>
      </w:r>
    </w:p>
    <w:p w14:paraId="21248A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（6）响应文件的实质性内容未使用中文表述、使用计量单位不符合征集文件要求的；</w:t>
      </w:r>
    </w:p>
    <w:p w14:paraId="486B35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（7）响应文件中的文件资料因填写不齐全或者内容虚假或者出现其他情形而导致被评审委员会认定无效的；</w:t>
      </w:r>
    </w:p>
    <w:p w14:paraId="377B90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（8）响应文件含有征集人不能接受的附加条件的；</w:t>
      </w:r>
    </w:p>
    <w:p w14:paraId="62A221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（9）未响应征集文件实质性要求的；</w:t>
      </w:r>
    </w:p>
    <w:p w14:paraId="61087F99">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（10）</w:t>
      </w:r>
      <w:r>
        <w:rPr>
          <w:rFonts w:hint="eastAsia" w:ascii="宋体" w:hAnsi="宋体" w:cs="宋体"/>
          <w:b/>
          <w:color w:val="auto"/>
          <w:szCs w:val="21"/>
          <w:highlight w:val="none"/>
        </w:rPr>
        <w:t>属于供应商须知正文第9.2条情形的；</w:t>
      </w:r>
    </w:p>
    <w:p w14:paraId="1F8CE2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（11）法律、法规和征集文件规定的其他无效情形。</w:t>
      </w:r>
    </w:p>
    <w:p w14:paraId="1D44DA6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3.3在技术评审时，如发现下列情形之一的，将被视为响应无效：</w:t>
      </w:r>
    </w:p>
    <w:p w14:paraId="10E813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（1）不满足征集文件要求的服务内容、技术要求、安全、质量标准，或者与征集文件入围“▲”的技术需求发生负偏离的；</w:t>
      </w:r>
    </w:p>
    <w:p w14:paraId="436C07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（2）响应文件未提供“供应商须知前附表”第13.1条规定中“必须提供”的文件资料的;</w:t>
      </w:r>
    </w:p>
    <w:p w14:paraId="31A140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（3）虚假响应，或者出现其他情形而导致被评审委员会认定无效的；</w:t>
      </w:r>
    </w:p>
    <w:p w14:paraId="064D0D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（4）响应技术方案不明确，征集文件未允许但存在一个或者一个以上备选（替代）响应方案的。</w:t>
      </w:r>
    </w:p>
    <w:p w14:paraId="02A434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
          <w:color w:val="auto"/>
          <w:szCs w:val="21"/>
          <w:highlight w:val="none"/>
        </w:rPr>
        <w:t>属于供应商须知正文第9.2条情形的；</w:t>
      </w:r>
    </w:p>
    <w:p w14:paraId="1C667014">
      <w:pPr>
        <w:spacing w:line="360" w:lineRule="auto"/>
        <w:ind w:firstLine="422" w:firstLineChars="200"/>
        <w:outlineLvl w:val="2"/>
        <w:rPr>
          <w:rFonts w:ascii="宋体" w:hAnsi="宋体" w:cs="宋体"/>
          <w:b/>
          <w:color w:val="auto"/>
          <w:szCs w:val="21"/>
          <w:highlight w:val="none"/>
        </w:rPr>
      </w:pPr>
      <w:bookmarkStart w:id="68" w:name="_Toc18122"/>
      <w:bookmarkStart w:id="69" w:name="_Toc6463"/>
      <w:bookmarkStart w:id="70" w:name="_Toc27142"/>
      <w:bookmarkStart w:id="71" w:name="_Toc17443"/>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.澄清补正、说明或者补正</w:t>
      </w:r>
      <w:bookmarkEnd w:id="68"/>
      <w:bookmarkEnd w:id="69"/>
      <w:bookmarkEnd w:id="70"/>
      <w:bookmarkEnd w:id="71"/>
    </w:p>
    <w:p w14:paraId="576F87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对响应文件中含义不明确、同类问题表述不一致或者有明显文字和计算错误的内容，评审委员会应在“</w:t>
      </w:r>
      <w:r>
        <w:rPr>
          <w:rFonts w:hint="eastAsia" w:ascii="宋体" w:hAnsi="宋体" w:eastAsia="宋体" w:cs="宋体"/>
          <w:bCs/>
          <w:color w:val="auto"/>
          <w:szCs w:val="21"/>
          <w:highlight w:val="none"/>
        </w:rPr>
        <w:t>广西政府采购云平台</w:t>
      </w:r>
      <w:r>
        <w:rPr>
          <w:rFonts w:hint="eastAsia" w:ascii="宋体" w:hAnsi="宋体" w:cs="宋体"/>
          <w:color w:val="auto"/>
          <w:szCs w:val="21"/>
          <w:highlight w:val="none"/>
        </w:rPr>
        <w:t>”平台发布电子澄清函，要求供应商在规定时间内作出必要的澄清、说明或者补正。供应商在“</w:t>
      </w:r>
      <w:r>
        <w:rPr>
          <w:rFonts w:hint="eastAsia" w:ascii="宋体" w:hAnsi="宋体" w:eastAsia="宋体" w:cs="宋体"/>
          <w:bCs/>
          <w:color w:val="auto"/>
          <w:szCs w:val="21"/>
          <w:highlight w:val="none"/>
        </w:rPr>
        <w:t>广西政府采购云平台</w:t>
      </w:r>
      <w:r>
        <w:rPr>
          <w:rFonts w:hint="eastAsia" w:ascii="宋体" w:hAnsi="宋体" w:cs="宋体"/>
          <w:color w:val="auto"/>
          <w:szCs w:val="21"/>
          <w:highlight w:val="none"/>
        </w:rPr>
        <w:t>”平台接收到电子澄清函后根据澄清函内容上传PDF格式回函，电子澄清答复函使用CA证书加盖单位公章后在线上传至评审委员会。供应商的澄清、说明或者补正不得超出响应文件的范围或者改变响应文件的实质性内容。供应商未在规定时间内进行澄清、说明或者补正的，按无效响应处理。</w:t>
      </w:r>
    </w:p>
    <w:p w14:paraId="32F7A0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审委员会以书面形式要求供应商在规定时间内作出必要的澄清、说明或者补正。供应商的澄清、说明或者补正必须采用书面形式，并加盖公章，或者由法定代表人或者其授权的代表签字。</w:t>
      </w:r>
    </w:p>
    <w:p w14:paraId="68A8E4FA">
      <w:pPr>
        <w:spacing w:line="360" w:lineRule="auto"/>
        <w:ind w:firstLine="420" w:firstLineChars="200"/>
        <w:outlineLvl w:val="2"/>
        <w:rPr>
          <w:rFonts w:ascii="宋体" w:hAnsi="宋体" w:cs="宋体"/>
          <w:color w:val="auto"/>
          <w:szCs w:val="21"/>
          <w:highlight w:val="none"/>
        </w:rPr>
      </w:pPr>
      <w:bookmarkStart w:id="72" w:name="_Toc26183"/>
      <w:bookmarkStart w:id="73" w:name="_Toc14216"/>
      <w:bookmarkStart w:id="74" w:name="_Toc17567"/>
      <w:bookmarkStart w:id="75" w:name="_Toc8299"/>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.比较与评价</w:t>
      </w:r>
      <w:bookmarkEnd w:id="72"/>
      <w:bookmarkEnd w:id="73"/>
      <w:bookmarkEnd w:id="74"/>
      <w:bookmarkEnd w:id="75"/>
    </w:p>
    <w:p w14:paraId="6D57B1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（1）评审委员会按照征集文件中规定的评审方法和评审标准，对符合性审查合格的响应文件进行商务和技术评估，综合比较与评价。</w:t>
      </w:r>
    </w:p>
    <w:p w14:paraId="1D604A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（2）评审委员会独立对每个供应商的响应文件进行评价，并汇总每个供应商的得分。</w:t>
      </w:r>
    </w:p>
    <w:p w14:paraId="09ACB0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（3）各供应商的得分为所有评委的有效评分的算术平均数。</w:t>
      </w:r>
    </w:p>
    <w:p w14:paraId="314651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（4）评审委员会按照征集文件中的规定推荐入围候选人。</w:t>
      </w:r>
    </w:p>
    <w:p w14:paraId="760F04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起草并签署评审报告。评审委员会根据评审委员会成员签字的原始评审记录和评审结果编写评审报告。评审委员会成员均应当在评审报告上签字，对自己的评审意见承担法律责任。对评审过程中需要共同认定的事项存在争议的，应当按照少数服从多数的原则做出结论。持不同意见的评审委员会应当在评审报告上签署不同意见及理由，否则视为同意评审报告。</w:t>
      </w:r>
    </w:p>
    <w:p w14:paraId="50CCFC0A">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50B4E313">
      <w:pPr>
        <w:pStyle w:val="4"/>
        <w:jc w:val="center"/>
        <w:rPr>
          <w:rFonts w:hint="eastAsia" w:ascii="宋体" w:hAnsi="宋体" w:eastAsia="宋体" w:cs="宋体"/>
          <w:b/>
          <w:bCs w:val="0"/>
          <w:color w:val="auto"/>
          <w:sz w:val="30"/>
          <w:szCs w:val="30"/>
          <w:highlight w:val="none"/>
        </w:rPr>
      </w:pPr>
      <w:bookmarkStart w:id="76" w:name="_Toc22743"/>
      <w:r>
        <w:rPr>
          <w:rFonts w:hint="eastAsia" w:ascii="宋体" w:hAnsi="宋体" w:eastAsia="宋体" w:cs="宋体"/>
          <w:b/>
          <w:bCs w:val="0"/>
          <w:color w:val="auto"/>
          <w:sz w:val="30"/>
          <w:szCs w:val="30"/>
          <w:highlight w:val="none"/>
        </w:rPr>
        <w:t>第三节 评分标准</w:t>
      </w:r>
      <w:bookmarkEnd w:id="60"/>
      <w:bookmarkEnd w:id="61"/>
      <w:bookmarkEnd w:id="76"/>
    </w:p>
    <w:p w14:paraId="2E48BEF0">
      <w:pPr>
        <w:spacing w:line="360" w:lineRule="auto"/>
        <w:ind w:firstLine="420"/>
        <w:rPr>
          <w:rFonts w:ascii="宋体" w:hAnsi="宋体"/>
          <w:color w:val="auto"/>
          <w:szCs w:val="21"/>
          <w:highlight w:val="none"/>
        </w:rPr>
      </w:pPr>
      <w:r>
        <w:rPr>
          <w:rFonts w:ascii="宋体" w:hAnsi="宋体"/>
          <w:bCs/>
          <w:color w:val="auto"/>
          <w:szCs w:val="20"/>
          <w:highlight w:val="none"/>
        </w:rPr>
        <w:t>（一）</w:t>
      </w:r>
      <w:r>
        <w:rPr>
          <w:rFonts w:hint="eastAsia" w:ascii="宋体" w:hAnsi="宋体" w:cs="宋体"/>
          <w:b/>
          <w:color w:val="auto"/>
          <w:szCs w:val="21"/>
          <w:highlight w:val="none"/>
        </w:rPr>
        <w:t>据质量优先法的评审原则，</w:t>
      </w:r>
      <w:r>
        <w:rPr>
          <w:rFonts w:hint="eastAsia"/>
          <w:b/>
          <w:color w:val="auto"/>
          <w:szCs w:val="21"/>
          <w:highlight w:val="none"/>
        </w:rPr>
        <w:t>本项目评分满分100分，其中技术分</w:t>
      </w:r>
      <w:r>
        <w:rPr>
          <w:rFonts w:hint="eastAsia"/>
          <w:b/>
          <w:color w:val="auto"/>
          <w:szCs w:val="21"/>
          <w:highlight w:val="none"/>
          <w:lang w:val="en-US" w:eastAsia="zh-CN"/>
        </w:rPr>
        <w:t>52</w:t>
      </w:r>
      <w:r>
        <w:rPr>
          <w:rFonts w:hint="eastAsia"/>
          <w:b/>
          <w:color w:val="auto"/>
          <w:szCs w:val="21"/>
          <w:highlight w:val="none"/>
        </w:rPr>
        <w:t>，商务</w:t>
      </w:r>
      <w:r>
        <w:rPr>
          <w:rFonts w:hint="eastAsia"/>
          <w:b/>
          <w:color w:val="auto"/>
          <w:szCs w:val="21"/>
          <w:highlight w:val="none"/>
          <w:lang w:val="en-US" w:eastAsia="zh-CN"/>
        </w:rPr>
        <w:t>48</w:t>
      </w:r>
      <w:r>
        <w:rPr>
          <w:rFonts w:hint="eastAsia"/>
          <w:b/>
          <w:color w:val="auto"/>
          <w:szCs w:val="21"/>
          <w:highlight w:val="none"/>
        </w:rPr>
        <w:t>分</w:t>
      </w:r>
      <w:r>
        <w:rPr>
          <w:rFonts w:hint="eastAsia" w:ascii="宋体" w:hAnsi="宋体" w:cs="宋体"/>
          <w:color w:val="auto"/>
          <w:szCs w:val="21"/>
          <w:highlight w:val="none"/>
        </w:rPr>
        <w:t>。评标委员会以征集文件为依据，对供应商的技术文件和商务文件等两部分内容按百分制打分</w:t>
      </w:r>
      <w:r>
        <w:rPr>
          <w:rFonts w:hint="eastAsia" w:ascii="宋体" w:hAnsi="宋体" w:cs="宋体"/>
          <w:bCs/>
          <w:color w:val="auto"/>
          <w:szCs w:val="21"/>
          <w:highlight w:val="none"/>
        </w:rPr>
        <w:t>。</w:t>
      </w:r>
      <w:r>
        <w:rPr>
          <w:rFonts w:hint="eastAsia" w:ascii="宋体" w:hAnsi="宋体" w:cs="宋体"/>
          <w:color w:val="auto"/>
          <w:szCs w:val="21"/>
          <w:highlight w:val="none"/>
        </w:rPr>
        <w:t>（评审时，对于带有主观因素的评分，由评委独立评审、打分。）</w:t>
      </w:r>
    </w:p>
    <w:p w14:paraId="40AF050A">
      <w:pPr>
        <w:spacing w:line="360" w:lineRule="auto"/>
        <w:ind w:firstLine="420"/>
        <w:rPr>
          <w:rFonts w:hint="eastAsia"/>
          <w:color w:val="auto"/>
          <w:highlight w:val="none"/>
        </w:rPr>
      </w:pPr>
      <w:r>
        <w:rPr>
          <w:rFonts w:hint="eastAsia" w:ascii="宋体" w:hAnsi="宋体"/>
          <w:color w:val="auto"/>
          <w:szCs w:val="21"/>
          <w:highlight w:val="none"/>
        </w:rPr>
        <w:t>（二）评分细则：（按四舍五入取至小数点后</w:t>
      </w:r>
      <w:r>
        <w:rPr>
          <w:rFonts w:hint="eastAsia" w:ascii="宋体" w:hAnsi="宋体"/>
          <w:color w:val="auto"/>
          <w:szCs w:val="21"/>
          <w:highlight w:val="none"/>
          <w:lang w:eastAsia="zh-CN"/>
        </w:rPr>
        <w:t>两</w:t>
      </w:r>
      <w:r>
        <w:rPr>
          <w:rFonts w:hint="eastAsia" w:ascii="宋体" w:hAnsi="宋体"/>
          <w:color w:val="auto"/>
          <w:szCs w:val="21"/>
          <w:highlight w:val="none"/>
        </w:rPr>
        <w:t>位）</w:t>
      </w:r>
    </w:p>
    <w:tbl>
      <w:tblPr>
        <w:tblStyle w:val="24"/>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121"/>
        <w:gridCol w:w="6153"/>
        <w:gridCol w:w="1150"/>
      </w:tblGrid>
      <w:tr w14:paraId="6000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4" w:type="dxa"/>
            <w:vAlign w:val="center"/>
          </w:tcPr>
          <w:p w14:paraId="708BEA23">
            <w:pPr>
              <w:pStyle w:val="16"/>
              <w:spacing w:line="360" w:lineRule="auto"/>
              <w:rPr>
                <w:rFonts w:hint="eastAsia" w:hAnsi="宋体" w:cs="宋体"/>
                <w:color w:val="auto"/>
                <w:sz w:val="21"/>
                <w:szCs w:val="21"/>
                <w:highlight w:val="none"/>
              </w:rPr>
            </w:pPr>
            <w:r>
              <w:rPr>
                <w:rFonts w:hint="eastAsia" w:hAnsi="宋体" w:cs="宋体"/>
                <w:color w:val="auto"/>
                <w:sz w:val="21"/>
                <w:szCs w:val="21"/>
                <w:highlight w:val="none"/>
              </w:rPr>
              <w:t>序号</w:t>
            </w:r>
          </w:p>
        </w:tc>
        <w:tc>
          <w:tcPr>
            <w:tcW w:w="1121" w:type="dxa"/>
            <w:vAlign w:val="center"/>
          </w:tcPr>
          <w:p w14:paraId="2A086E25">
            <w:pPr>
              <w:pStyle w:val="16"/>
              <w:spacing w:line="360" w:lineRule="auto"/>
              <w:rPr>
                <w:rFonts w:hint="eastAsia" w:hAnsi="宋体" w:cs="宋体"/>
                <w:color w:val="auto"/>
                <w:sz w:val="21"/>
                <w:szCs w:val="21"/>
                <w:highlight w:val="none"/>
              </w:rPr>
            </w:pPr>
            <w:r>
              <w:rPr>
                <w:rFonts w:hint="eastAsia" w:hAnsi="宋体" w:cs="宋体"/>
                <w:color w:val="auto"/>
                <w:sz w:val="21"/>
                <w:szCs w:val="21"/>
                <w:highlight w:val="none"/>
              </w:rPr>
              <w:t>评分类型</w:t>
            </w:r>
          </w:p>
        </w:tc>
        <w:tc>
          <w:tcPr>
            <w:tcW w:w="6153" w:type="dxa"/>
            <w:vAlign w:val="center"/>
          </w:tcPr>
          <w:p w14:paraId="15119C09">
            <w:pPr>
              <w:pStyle w:val="16"/>
              <w:spacing w:line="360" w:lineRule="auto"/>
              <w:rPr>
                <w:rFonts w:hint="eastAsia" w:hAnsi="宋体" w:cs="宋体"/>
                <w:color w:val="auto"/>
                <w:sz w:val="21"/>
                <w:szCs w:val="21"/>
                <w:highlight w:val="none"/>
              </w:rPr>
            </w:pPr>
            <w:r>
              <w:rPr>
                <w:rFonts w:hint="eastAsia" w:hAnsi="宋体" w:cs="宋体"/>
                <w:color w:val="auto"/>
                <w:sz w:val="21"/>
                <w:szCs w:val="21"/>
                <w:highlight w:val="none"/>
              </w:rPr>
              <w:t>评分标准</w:t>
            </w:r>
          </w:p>
        </w:tc>
        <w:tc>
          <w:tcPr>
            <w:tcW w:w="1150" w:type="dxa"/>
            <w:vAlign w:val="center"/>
          </w:tcPr>
          <w:p w14:paraId="724179E9">
            <w:pPr>
              <w:pStyle w:val="16"/>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分值</w:t>
            </w:r>
          </w:p>
        </w:tc>
      </w:tr>
      <w:tr w14:paraId="22DF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4" w:type="dxa"/>
            <w:vAlign w:val="center"/>
          </w:tcPr>
          <w:p w14:paraId="7D51BBE0">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21" w:type="dxa"/>
            <w:vAlign w:val="center"/>
          </w:tcPr>
          <w:p w14:paraId="278510D0">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报价分</w:t>
            </w:r>
          </w:p>
        </w:tc>
        <w:tc>
          <w:tcPr>
            <w:tcW w:w="6153" w:type="dxa"/>
            <w:vAlign w:val="center"/>
          </w:tcPr>
          <w:p w14:paraId="2D9EDF31">
            <w:pPr>
              <w:pStyle w:val="16"/>
              <w:spacing w:line="360" w:lineRule="auto"/>
              <w:ind w:firstLine="840" w:firstLineChars="400"/>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w:t>
            </w:r>
          </w:p>
        </w:tc>
        <w:tc>
          <w:tcPr>
            <w:tcW w:w="1150" w:type="dxa"/>
            <w:vAlign w:val="center"/>
          </w:tcPr>
          <w:p w14:paraId="7CDF3D9E">
            <w:pPr>
              <w:pStyle w:val="16"/>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满分0分</w:t>
            </w:r>
          </w:p>
        </w:tc>
      </w:tr>
      <w:tr w14:paraId="6E71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4" w:type="dxa"/>
            <w:vAlign w:val="center"/>
          </w:tcPr>
          <w:p w14:paraId="3DD54C32">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21" w:type="dxa"/>
            <w:vAlign w:val="center"/>
          </w:tcPr>
          <w:p w14:paraId="41652475">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6153" w:type="dxa"/>
            <w:vAlign w:val="center"/>
          </w:tcPr>
          <w:p w14:paraId="343CBC25">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按服务需求一览表中关于响应报价的说明执行</w:t>
            </w:r>
          </w:p>
        </w:tc>
        <w:tc>
          <w:tcPr>
            <w:tcW w:w="1150" w:type="dxa"/>
            <w:vAlign w:val="center"/>
          </w:tcPr>
          <w:p w14:paraId="071F8ECC">
            <w:pPr>
              <w:pStyle w:val="16"/>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r>
      <w:tr w14:paraId="1F81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4" w:type="dxa"/>
            <w:vAlign w:val="center"/>
          </w:tcPr>
          <w:p w14:paraId="6B778A02">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21" w:type="dxa"/>
            <w:vAlign w:val="center"/>
          </w:tcPr>
          <w:p w14:paraId="3CEE573E">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tc>
        <w:tc>
          <w:tcPr>
            <w:tcW w:w="6153" w:type="dxa"/>
            <w:vAlign w:val="center"/>
          </w:tcPr>
          <w:p w14:paraId="4ED96B54">
            <w:pPr>
              <w:pStyle w:val="16"/>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评审因素</w:t>
            </w:r>
            <w:r>
              <w:rPr>
                <w:rFonts w:hint="eastAsia" w:hAnsi="宋体" w:eastAsia="宋体" w:cs="宋体"/>
                <w:color w:val="auto"/>
                <w:sz w:val="21"/>
                <w:szCs w:val="21"/>
                <w:highlight w:val="none"/>
                <w:lang w:val="en-US" w:eastAsia="zh-CN"/>
              </w:rPr>
              <w:t xml:space="preserve">  </w:t>
            </w:r>
          </w:p>
        </w:tc>
        <w:tc>
          <w:tcPr>
            <w:tcW w:w="1150" w:type="dxa"/>
            <w:vAlign w:val="center"/>
          </w:tcPr>
          <w:p w14:paraId="2133A12A">
            <w:pPr>
              <w:pStyle w:val="16"/>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rPr>
              <w:t>分</w:t>
            </w:r>
          </w:p>
        </w:tc>
      </w:tr>
      <w:tr w14:paraId="52D8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4" w:type="dxa"/>
            <w:vAlign w:val="center"/>
          </w:tcPr>
          <w:p w14:paraId="2BDDCA33">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2.1 </w:t>
            </w:r>
          </w:p>
        </w:tc>
        <w:tc>
          <w:tcPr>
            <w:tcW w:w="1121" w:type="dxa"/>
            <w:vAlign w:val="center"/>
          </w:tcPr>
          <w:p w14:paraId="60605FCF">
            <w:pPr>
              <w:pStyle w:val="16"/>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w:t>
            </w:r>
          </w:p>
        </w:tc>
        <w:tc>
          <w:tcPr>
            <w:tcW w:w="6153" w:type="dxa"/>
            <w:vAlign w:val="center"/>
          </w:tcPr>
          <w:p w14:paraId="600C8154">
            <w:pPr>
              <w:spacing w:line="400" w:lineRule="exact"/>
              <w:ind w:firstLine="420"/>
              <w:rPr>
                <w:color w:val="auto"/>
                <w:highlight w:val="none"/>
              </w:rPr>
            </w:pPr>
            <w:r>
              <w:rPr>
                <w:rFonts w:hint="eastAsia"/>
                <w:color w:val="auto"/>
                <w:highlight w:val="none"/>
              </w:rPr>
              <w:t>一档</w:t>
            </w:r>
            <w:r>
              <w:rPr>
                <w:rFonts w:hint="eastAsia"/>
                <w:color w:val="auto"/>
                <w:highlight w:val="none"/>
                <w:lang w:eastAsia="zh-CN"/>
              </w:rPr>
              <w:t>（</w:t>
            </w:r>
            <w:r>
              <w:rPr>
                <w:color w:val="auto"/>
                <w:highlight w:val="none"/>
              </w:rPr>
              <w:t>8</w:t>
            </w:r>
            <w:r>
              <w:rPr>
                <w:rFonts w:hint="eastAsia"/>
                <w:color w:val="auto"/>
                <w:highlight w:val="none"/>
              </w:rPr>
              <w:t>分</w:t>
            </w:r>
            <w:r>
              <w:rPr>
                <w:rFonts w:hint="eastAsia"/>
                <w:color w:val="auto"/>
                <w:highlight w:val="none"/>
                <w:lang w:eastAsia="zh-CN"/>
              </w:rPr>
              <w:t>）</w:t>
            </w:r>
            <w:r>
              <w:rPr>
                <w:rFonts w:hint="eastAsia"/>
                <w:color w:val="auto"/>
                <w:highlight w:val="none"/>
              </w:rPr>
              <w:t>：仅满足招标文件要求的；或有优于招标文件要求但不满足二档入档要求的。</w:t>
            </w:r>
          </w:p>
          <w:p w14:paraId="6551CCD6">
            <w:pPr>
              <w:spacing w:line="400" w:lineRule="exact"/>
              <w:ind w:firstLine="420"/>
              <w:rPr>
                <w:color w:val="auto"/>
                <w:highlight w:val="none"/>
              </w:rPr>
            </w:pPr>
            <w:r>
              <w:rPr>
                <w:rFonts w:hint="eastAsia"/>
                <w:color w:val="auto"/>
                <w:highlight w:val="none"/>
              </w:rPr>
              <w:t>二档</w:t>
            </w:r>
            <w:r>
              <w:rPr>
                <w:rFonts w:hint="eastAsia"/>
                <w:color w:val="auto"/>
                <w:highlight w:val="none"/>
                <w:lang w:eastAsia="zh-CN"/>
              </w:rPr>
              <w:t>（</w:t>
            </w:r>
            <w:r>
              <w:rPr>
                <w:rFonts w:hint="eastAsia"/>
                <w:color w:val="auto"/>
                <w:highlight w:val="none"/>
              </w:rPr>
              <w:t>16分</w:t>
            </w:r>
            <w:r>
              <w:rPr>
                <w:rFonts w:hint="eastAsia"/>
                <w:color w:val="auto"/>
                <w:highlight w:val="none"/>
                <w:lang w:eastAsia="zh-CN"/>
              </w:rPr>
              <w:t>）</w:t>
            </w:r>
            <w:r>
              <w:rPr>
                <w:rFonts w:hint="eastAsia"/>
                <w:color w:val="auto"/>
                <w:highlight w:val="none"/>
              </w:rPr>
              <w:t>：满足招标文件要求，有该项目详细的售后服务方案，培训方案，有详细的售后服务流程、响应时间及质保期，针对本项目提供专门的售后服务支持，能提供快速的售后服务响应，并承诺如车辆维修时间超过2天（含2天）以上的免费提供备用车辆的。</w:t>
            </w:r>
          </w:p>
          <w:p w14:paraId="0184B7C4">
            <w:pPr>
              <w:spacing w:line="400" w:lineRule="exact"/>
              <w:ind w:firstLine="420"/>
              <w:rPr>
                <w:rFonts w:hint="eastAsia"/>
                <w:color w:val="auto"/>
                <w:highlight w:val="none"/>
              </w:rPr>
            </w:pPr>
            <w:r>
              <w:rPr>
                <w:rFonts w:hint="eastAsia"/>
                <w:color w:val="auto"/>
                <w:highlight w:val="none"/>
              </w:rPr>
              <w:t>三档</w:t>
            </w:r>
            <w:r>
              <w:rPr>
                <w:rFonts w:hint="eastAsia"/>
                <w:color w:val="auto"/>
                <w:highlight w:val="none"/>
                <w:lang w:eastAsia="zh-CN"/>
              </w:rPr>
              <w:t>（</w:t>
            </w:r>
            <w:r>
              <w:rPr>
                <w:rFonts w:hint="eastAsia"/>
                <w:color w:val="auto"/>
                <w:highlight w:val="none"/>
              </w:rPr>
              <w:t>25分</w:t>
            </w:r>
            <w:r>
              <w:rPr>
                <w:rFonts w:hint="eastAsia"/>
                <w:color w:val="auto"/>
                <w:highlight w:val="none"/>
                <w:lang w:eastAsia="zh-CN"/>
              </w:rPr>
              <w:t>）</w:t>
            </w:r>
            <w:r>
              <w:rPr>
                <w:rFonts w:hint="eastAsia"/>
                <w:color w:val="auto"/>
                <w:highlight w:val="none"/>
              </w:rPr>
              <w:t>：满足二档要求，同时：提供免费保修期外维修方案，及建立有专属备件库（提供相关证明文件）。</w:t>
            </w:r>
          </w:p>
          <w:p w14:paraId="3B8A59A9">
            <w:pPr>
              <w:spacing w:line="400" w:lineRule="exact"/>
              <w:ind w:firstLine="420"/>
              <w:rPr>
                <w:rFonts w:hint="eastAsia"/>
                <w:color w:val="auto"/>
                <w:highlight w:val="none"/>
              </w:rPr>
            </w:pPr>
            <w:r>
              <w:rPr>
                <w:rFonts w:hint="eastAsia"/>
                <w:b/>
                <w:bCs/>
                <w:color w:val="auto"/>
                <w:highlight w:val="none"/>
                <w:lang w:eastAsia="zh-CN"/>
              </w:rPr>
              <w:t>注：</w:t>
            </w:r>
            <w:r>
              <w:rPr>
                <w:rFonts w:hint="eastAsia"/>
                <w:b/>
                <w:bCs/>
                <w:color w:val="auto"/>
                <w:highlight w:val="none"/>
              </w:rPr>
              <w:t>未满足一档为0分。</w:t>
            </w:r>
          </w:p>
        </w:tc>
        <w:tc>
          <w:tcPr>
            <w:tcW w:w="1150" w:type="dxa"/>
            <w:vAlign w:val="center"/>
          </w:tcPr>
          <w:p w14:paraId="5623DF47">
            <w:pPr>
              <w:pStyle w:val="16"/>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25</w:t>
            </w:r>
          </w:p>
        </w:tc>
      </w:tr>
      <w:tr w14:paraId="1259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4" w:type="dxa"/>
            <w:vAlign w:val="center"/>
          </w:tcPr>
          <w:p w14:paraId="186D3341">
            <w:pPr>
              <w:pStyle w:val="1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2.</w:t>
            </w:r>
            <w:r>
              <w:rPr>
                <w:rFonts w:hint="eastAsia" w:hAnsi="宋体" w:eastAsia="宋体" w:cs="宋体"/>
                <w:bCs/>
                <w:color w:val="auto"/>
                <w:sz w:val="21"/>
                <w:szCs w:val="21"/>
                <w:highlight w:val="none"/>
                <w:lang w:val="en-US" w:eastAsia="zh-CN"/>
              </w:rPr>
              <w:t>2</w:t>
            </w:r>
          </w:p>
        </w:tc>
        <w:tc>
          <w:tcPr>
            <w:tcW w:w="1121" w:type="dxa"/>
            <w:vAlign w:val="center"/>
          </w:tcPr>
          <w:p w14:paraId="5108378C">
            <w:pPr>
              <w:pStyle w:val="16"/>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维修质量控制体系</w:t>
            </w:r>
          </w:p>
        </w:tc>
        <w:tc>
          <w:tcPr>
            <w:tcW w:w="6153" w:type="dxa"/>
            <w:vAlign w:val="center"/>
          </w:tcPr>
          <w:p w14:paraId="21079822">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以供应商的《公务车辆维修和保养服务采购承诺书》为评分依据，主要从质量保证期长短、质量控制手段、质量管理制度建设等方面进行评比：</w:t>
            </w:r>
          </w:p>
          <w:p w14:paraId="3A0643F9">
            <w:pPr>
              <w:pStyle w:val="16"/>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一档（5 分）：按征集文件要求结合自身实际情况填写《公务车辆维修和保养服务采购承诺书》的</w:t>
            </w:r>
            <w:r>
              <w:rPr>
                <w:rFonts w:hint="eastAsia" w:hAnsi="宋体" w:eastAsia="宋体" w:cs="宋体"/>
                <w:color w:val="auto"/>
                <w:sz w:val="21"/>
                <w:szCs w:val="21"/>
                <w:highlight w:val="none"/>
                <w:lang w:val="en-US" w:eastAsia="zh-CN"/>
              </w:rPr>
              <w:t>；</w:t>
            </w:r>
          </w:p>
          <w:p w14:paraId="174BAA3F">
            <w:pPr>
              <w:pStyle w:val="16"/>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二档（10 分）：按征集文件要求结合自身实际情况填写《公务车辆维修和保养服务采购承诺书》，并提供相应运作说明，运作说明符合供应商自身实际情况，且与承诺书相互对应的</w:t>
            </w:r>
            <w:r>
              <w:rPr>
                <w:rFonts w:hint="eastAsia" w:hAnsi="宋体" w:eastAsia="宋体" w:cs="宋体"/>
                <w:color w:val="auto"/>
                <w:sz w:val="21"/>
                <w:szCs w:val="21"/>
                <w:highlight w:val="none"/>
                <w:lang w:val="en-US" w:eastAsia="zh-CN"/>
              </w:rPr>
              <w:t>；</w:t>
            </w:r>
          </w:p>
          <w:p w14:paraId="4137C89F">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三档（15 分）：按征集文件要求结合自身实际情况填写《公务车辆维修和保养服务采购承诺书》，并提供相应运作说明，运作说明符合供应商自身实际情况，与承诺书相互对应且实际运作方案条理清晰的。</w:t>
            </w:r>
          </w:p>
          <w:p w14:paraId="2B608FF1">
            <w:pPr>
              <w:pStyle w:val="16"/>
              <w:spacing w:line="360" w:lineRule="auto"/>
              <w:rPr>
                <w:rFonts w:hint="eastAsia" w:ascii="宋体" w:hAnsi="宋体" w:eastAsia="宋体" w:cs="宋体"/>
                <w:color w:val="auto"/>
                <w:sz w:val="21"/>
                <w:szCs w:val="21"/>
                <w:highlight w:val="none"/>
              </w:rPr>
            </w:pPr>
            <w:r>
              <w:rPr>
                <w:rFonts w:hint="eastAsia"/>
                <w:b/>
                <w:bCs/>
                <w:color w:val="auto"/>
                <w:highlight w:val="none"/>
                <w:lang w:eastAsia="zh-CN"/>
              </w:rPr>
              <w:t>注：</w:t>
            </w:r>
            <w:r>
              <w:rPr>
                <w:rFonts w:hint="eastAsia"/>
                <w:b/>
                <w:bCs/>
                <w:color w:val="auto"/>
                <w:highlight w:val="none"/>
              </w:rPr>
              <w:t>未满足一档为0分。</w:t>
            </w:r>
          </w:p>
        </w:tc>
        <w:tc>
          <w:tcPr>
            <w:tcW w:w="1150" w:type="dxa"/>
            <w:vAlign w:val="center"/>
          </w:tcPr>
          <w:p w14:paraId="2E8209D1">
            <w:pPr>
              <w:pStyle w:val="16"/>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1</w:t>
            </w:r>
            <w:r>
              <w:rPr>
                <w:rFonts w:hint="eastAsia" w:hAnsi="宋体" w:eastAsia="宋体" w:cs="宋体"/>
                <w:bCs/>
                <w:color w:val="auto"/>
                <w:sz w:val="21"/>
                <w:szCs w:val="21"/>
                <w:highlight w:val="none"/>
                <w:lang w:val="en-US" w:eastAsia="zh-CN"/>
              </w:rPr>
              <w:t>5</w:t>
            </w:r>
          </w:p>
        </w:tc>
      </w:tr>
      <w:tr w14:paraId="794C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4" w:type="dxa"/>
            <w:vAlign w:val="center"/>
          </w:tcPr>
          <w:p w14:paraId="7CF2EEF1">
            <w:pPr>
              <w:pStyle w:val="1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2.</w:t>
            </w:r>
            <w:r>
              <w:rPr>
                <w:rFonts w:hint="eastAsia" w:hAnsi="宋体" w:eastAsia="宋体" w:cs="宋体"/>
                <w:bCs/>
                <w:color w:val="auto"/>
                <w:sz w:val="21"/>
                <w:szCs w:val="21"/>
                <w:highlight w:val="none"/>
                <w:lang w:val="en-US" w:eastAsia="zh-CN"/>
              </w:rPr>
              <w:t>3</w:t>
            </w:r>
          </w:p>
        </w:tc>
        <w:tc>
          <w:tcPr>
            <w:tcW w:w="1121" w:type="dxa"/>
            <w:vAlign w:val="center"/>
          </w:tcPr>
          <w:p w14:paraId="0325D66C">
            <w:pPr>
              <w:pStyle w:val="16"/>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管理制度</w:t>
            </w:r>
          </w:p>
        </w:tc>
        <w:tc>
          <w:tcPr>
            <w:tcW w:w="6153" w:type="dxa"/>
            <w:vAlign w:val="center"/>
          </w:tcPr>
          <w:p w14:paraId="4D6098B6">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对供应商的企业管理制度建设进行评分：</w:t>
            </w:r>
          </w:p>
          <w:p w14:paraId="0DC3FBFC">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一档（4 分）：提供了供应商安全生产制度、管理制度及技术人员配备方案，基本满足采购需求；</w:t>
            </w:r>
          </w:p>
          <w:p w14:paraId="4D127ABE">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二档（8 分）：提供了供应商安全生产制度、管理制度及技术人员配备方案，并且供应商企业管理制度严密，人员配置科学合理；</w:t>
            </w:r>
          </w:p>
          <w:p w14:paraId="19A83C4B">
            <w:pPr>
              <w:pStyle w:val="1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三档（12 分）：提供了供应商企业管理制度及技术人员配备方案，并且供应商企业管理制度严密、周全，人员配置科学合理，同时提供团队成员资历经验等相关材料</w:t>
            </w:r>
            <w:r>
              <w:rPr>
                <w:rFonts w:hint="eastAsia" w:ascii="宋体" w:hAnsi="宋体" w:eastAsia="宋体" w:cs="宋体"/>
                <w:color w:val="auto"/>
                <w:sz w:val="21"/>
                <w:szCs w:val="21"/>
                <w:highlight w:val="none"/>
                <w:lang w:eastAsia="zh-CN"/>
              </w:rPr>
              <w:t>。</w:t>
            </w:r>
          </w:p>
          <w:p w14:paraId="56D47C90">
            <w:pPr>
              <w:pStyle w:val="16"/>
              <w:spacing w:line="360" w:lineRule="auto"/>
              <w:rPr>
                <w:rFonts w:hint="eastAsia" w:eastAsia="宋体"/>
                <w:color w:val="auto"/>
                <w:highlight w:val="none"/>
                <w:lang w:eastAsia="zh-CN"/>
              </w:rPr>
            </w:pPr>
            <w:r>
              <w:rPr>
                <w:rFonts w:hint="eastAsia"/>
                <w:b/>
                <w:bCs/>
                <w:color w:val="auto"/>
                <w:highlight w:val="none"/>
                <w:lang w:eastAsia="zh-CN"/>
              </w:rPr>
              <w:t>注：</w:t>
            </w:r>
            <w:r>
              <w:rPr>
                <w:rFonts w:hint="eastAsia"/>
                <w:b/>
                <w:bCs/>
                <w:color w:val="auto"/>
                <w:highlight w:val="none"/>
              </w:rPr>
              <w:t>未满足一档为0分。</w:t>
            </w:r>
          </w:p>
        </w:tc>
        <w:tc>
          <w:tcPr>
            <w:tcW w:w="1150" w:type="dxa"/>
            <w:vAlign w:val="center"/>
          </w:tcPr>
          <w:p w14:paraId="6E77061F">
            <w:pPr>
              <w:pStyle w:val="16"/>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1</w:t>
            </w:r>
            <w:r>
              <w:rPr>
                <w:rFonts w:hint="eastAsia" w:hAnsi="宋体" w:eastAsia="宋体" w:cs="宋体"/>
                <w:bCs/>
                <w:color w:val="auto"/>
                <w:sz w:val="21"/>
                <w:szCs w:val="21"/>
                <w:highlight w:val="none"/>
                <w:lang w:val="en-US" w:eastAsia="zh-CN"/>
              </w:rPr>
              <w:t>2</w:t>
            </w:r>
          </w:p>
        </w:tc>
      </w:tr>
      <w:tr w14:paraId="66DC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4" w:type="dxa"/>
            <w:vAlign w:val="center"/>
          </w:tcPr>
          <w:p w14:paraId="1D680673">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21" w:type="dxa"/>
            <w:vAlign w:val="center"/>
          </w:tcPr>
          <w:p w14:paraId="498E9201">
            <w:pPr>
              <w:pStyle w:val="16"/>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tc>
        <w:tc>
          <w:tcPr>
            <w:tcW w:w="6153" w:type="dxa"/>
            <w:vAlign w:val="center"/>
          </w:tcPr>
          <w:p w14:paraId="7BCD96E6">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分档部分不进一档的不得分</w:t>
            </w:r>
          </w:p>
        </w:tc>
        <w:tc>
          <w:tcPr>
            <w:tcW w:w="1150" w:type="dxa"/>
            <w:vAlign w:val="center"/>
          </w:tcPr>
          <w:p w14:paraId="551FAB44">
            <w:pPr>
              <w:pStyle w:val="16"/>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hAnsi="宋体" w:eastAsia="宋体" w:cs="宋体"/>
                <w:color w:val="auto"/>
                <w:sz w:val="21"/>
                <w:szCs w:val="21"/>
                <w:highlight w:val="none"/>
                <w:lang w:val="en-US" w:eastAsia="zh-CN"/>
              </w:rPr>
              <w:t>48</w:t>
            </w:r>
            <w:r>
              <w:rPr>
                <w:rFonts w:hint="eastAsia" w:ascii="宋体" w:hAnsi="宋体" w:eastAsia="宋体" w:cs="宋体"/>
                <w:color w:val="auto"/>
                <w:sz w:val="21"/>
                <w:szCs w:val="21"/>
                <w:highlight w:val="none"/>
              </w:rPr>
              <w:t>分</w:t>
            </w:r>
          </w:p>
        </w:tc>
      </w:tr>
      <w:tr w14:paraId="6F38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4" w:type="dxa"/>
            <w:vAlign w:val="center"/>
          </w:tcPr>
          <w:p w14:paraId="7D9DCFCE">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121" w:type="dxa"/>
            <w:vAlign w:val="center"/>
          </w:tcPr>
          <w:p w14:paraId="2FA8196F">
            <w:pPr>
              <w:pStyle w:val="16"/>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经营场地</w:t>
            </w:r>
          </w:p>
        </w:tc>
        <w:tc>
          <w:tcPr>
            <w:tcW w:w="6153" w:type="dxa"/>
            <w:vAlign w:val="center"/>
          </w:tcPr>
          <w:p w14:paraId="7B7E4937">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供应商的停车场和厂房面积由评审委员会根据供应商提供的经营场所示意图【必须按本评分标准的要求清晰标识出经营场所中的厂房面积和停车</w:t>
            </w:r>
            <w:r>
              <w:rPr>
                <w:rFonts w:hint="eastAsia" w:ascii="宋体" w:hAnsi="宋体" w:eastAsia="宋体" w:cs="宋体"/>
                <w:color w:val="auto"/>
                <w:sz w:val="21"/>
                <w:szCs w:val="21"/>
                <w:highlight w:val="none"/>
                <w:lang w:eastAsia="zh-CN"/>
              </w:rPr>
              <w:t>场</w:t>
            </w:r>
            <w:r>
              <w:rPr>
                <w:rFonts w:hint="eastAsia" w:ascii="宋体" w:hAnsi="宋体" w:eastAsia="宋体" w:cs="宋体"/>
                <w:color w:val="auto"/>
                <w:sz w:val="21"/>
                <w:szCs w:val="21"/>
                <w:highlight w:val="none"/>
              </w:rPr>
              <w:t>面积，如因供应商未进行标识或标识不清导致其少得分或不得分的后果由供应商自行承担】，土地使用证明（自有）或有效的租赁合同（属租用的需提供房产证或土地使用证明复印件；租赁合同有效期为两年及以上）为准，按此标准打分，其中停车场和厂房地址应与营业执照地址保持一致。</w:t>
            </w:r>
          </w:p>
          <w:p w14:paraId="6F70008D">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厂房面积分（10分）：</w:t>
            </w:r>
          </w:p>
          <w:p w14:paraId="581EFEF7">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1）供应商厂房面积在 300 ㎡以下的，得 4 分；</w:t>
            </w:r>
          </w:p>
          <w:p w14:paraId="579374F5">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2）供应商厂房面积在 300 ㎡(含)～400 ㎡，得 6 分；</w:t>
            </w:r>
          </w:p>
          <w:p w14:paraId="3879CEA7">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3）供应商厂房面积在 400(含)～500 ㎡，得 8 分；</w:t>
            </w:r>
          </w:p>
          <w:p w14:paraId="53C6BC2C">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4）供应商厂房面积在 500 ㎡(含)以上，得 10 分。</w:t>
            </w:r>
          </w:p>
          <w:p w14:paraId="786E5C34">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停车场面积分（10分）：</w:t>
            </w:r>
          </w:p>
          <w:p w14:paraId="22807B2C">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1）供应商停车场 </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 xml:space="preserve"> ㎡以下的，得 4 分；</w:t>
            </w:r>
          </w:p>
          <w:p w14:paraId="29D7E2C7">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2）供应商停车场 </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含)～2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 ㎡的，得 6 分；</w:t>
            </w:r>
          </w:p>
          <w:p w14:paraId="371EC21A">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3）供应商停车场 </w:t>
            </w:r>
            <w:r>
              <w:rPr>
                <w:rFonts w:hint="eastAsia" w:ascii="宋体" w:hAnsi="宋体" w:eastAsia="宋体" w:cs="宋体"/>
                <w:color w:val="auto"/>
                <w:sz w:val="21"/>
                <w:szCs w:val="21"/>
                <w:highlight w:val="none"/>
                <w:lang w:val="en-US" w:eastAsia="zh-CN"/>
              </w:rPr>
              <w:t>250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含)～</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rPr>
              <w:t xml:space="preserve"> ㎡的，得 8 分；</w:t>
            </w:r>
          </w:p>
          <w:p w14:paraId="69FE46F1">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4）供应商 </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含)以上的，得 10 分。</w:t>
            </w:r>
          </w:p>
        </w:tc>
        <w:tc>
          <w:tcPr>
            <w:tcW w:w="1150" w:type="dxa"/>
            <w:vAlign w:val="center"/>
          </w:tcPr>
          <w:p w14:paraId="25C5DA86">
            <w:pPr>
              <w:pStyle w:val="16"/>
              <w:spacing w:line="360" w:lineRule="auto"/>
              <w:jc w:val="center"/>
              <w:rPr>
                <w:rFonts w:hint="eastAsia"/>
                <w:color w:val="auto"/>
                <w:highlight w:val="none"/>
                <w:lang w:val="en-US" w:eastAsia="zh-CN"/>
              </w:rPr>
            </w:pPr>
            <w:r>
              <w:rPr>
                <w:rFonts w:hint="eastAsia"/>
                <w:color w:val="auto"/>
                <w:highlight w:val="none"/>
              </w:rPr>
              <w:t>0~</w:t>
            </w:r>
            <w:r>
              <w:rPr>
                <w:rFonts w:hint="eastAsia"/>
                <w:color w:val="auto"/>
                <w:highlight w:val="none"/>
                <w:lang w:val="en-US" w:eastAsia="zh-CN"/>
              </w:rPr>
              <w:t>20</w:t>
            </w:r>
          </w:p>
          <w:p w14:paraId="6076CB20">
            <w:pPr>
              <w:jc w:val="center"/>
              <w:rPr>
                <w:rFonts w:hint="default"/>
                <w:color w:val="auto"/>
                <w:highlight w:val="none"/>
                <w:lang w:val="en-US" w:eastAsia="zh-CN"/>
              </w:rPr>
            </w:pPr>
            <w:r>
              <w:rPr>
                <w:rFonts w:hint="eastAsia" w:hAnsi="宋体" w:eastAsia="宋体" w:cs="宋体"/>
                <w:color w:val="auto"/>
                <w:sz w:val="21"/>
                <w:szCs w:val="21"/>
                <w:highlight w:val="none"/>
                <w:lang w:val="en-US" w:eastAsia="zh-CN"/>
              </w:rPr>
              <w:t>客观分</w:t>
            </w:r>
          </w:p>
        </w:tc>
      </w:tr>
      <w:tr w14:paraId="1F60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4" w:type="dxa"/>
            <w:vAlign w:val="center"/>
          </w:tcPr>
          <w:p w14:paraId="2CC92A0B">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121" w:type="dxa"/>
            <w:vAlign w:val="center"/>
          </w:tcPr>
          <w:p w14:paraId="645093C7">
            <w:pPr>
              <w:pStyle w:val="16"/>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技术工人</w:t>
            </w:r>
          </w:p>
          <w:p w14:paraId="513C2074">
            <w:pPr>
              <w:pStyle w:val="16"/>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w:t>
            </w:r>
          </w:p>
        </w:tc>
        <w:tc>
          <w:tcPr>
            <w:tcW w:w="6153" w:type="dxa"/>
            <w:vAlign w:val="center"/>
          </w:tcPr>
          <w:p w14:paraId="18641893">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技术工人配备：技术人员必须是在聘员工，提供由供应商替在聘员工缴纳的社保缴纳证明（在响应文件中提供响应文件递交截止时间前半年内</w:t>
            </w:r>
            <w:r>
              <w:rPr>
                <w:rFonts w:hint="eastAsia" w:hAnsi="宋体" w:cs="宋体"/>
                <w:color w:val="auto"/>
                <w:sz w:val="21"/>
                <w:szCs w:val="21"/>
                <w:highlight w:val="none"/>
                <w:lang w:eastAsia="zh-CN"/>
              </w:rPr>
              <w:t>连续三个月</w:t>
            </w:r>
            <w:r>
              <w:rPr>
                <w:rFonts w:hint="eastAsia" w:ascii="宋体" w:hAnsi="宋体" w:eastAsia="宋体" w:cs="宋体"/>
                <w:color w:val="auto"/>
                <w:sz w:val="21"/>
                <w:szCs w:val="21"/>
                <w:highlight w:val="none"/>
              </w:rPr>
              <w:t>的社保缴纳证明），否则不得分；</w:t>
            </w:r>
          </w:p>
          <w:p w14:paraId="73EE8EF8">
            <w:pPr>
              <w:pStyle w:val="16"/>
              <w:spacing w:line="360" w:lineRule="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配备汽修技术人员达到 3 人（含 3 人）的，得 3 分，满足以上条件的还有更多的汽修技术人员的供应商，每多一人得 1 分，满分 6 分；</w:t>
            </w:r>
          </w:p>
          <w:p w14:paraId="564D6D16">
            <w:pPr>
              <w:pStyle w:val="16"/>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有技术工程师（包括助理工程师）的每有一个加1分，满分6分；（提供证书复印件及在响应文件中提供响应文件递交截止时间前半年内连续三个月的社保缴纳证明）。</w:t>
            </w:r>
          </w:p>
        </w:tc>
        <w:tc>
          <w:tcPr>
            <w:tcW w:w="1150" w:type="dxa"/>
            <w:vAlign w:val="center"/>
          </w:tcPr>
          <w:p w14:paraId="1E502A16">
            <w:pPr>
              <w:pStyle w:val="16"/>
              <w:spacing w:line="360" w:lineRule="auto"/>
              <w:jc w:val="center"/>
              <w:rPr>
                <w:rFonts w:hint="eastAsia"/>
                <w:color w:val="auto"/>
                <w:highlight w:val="none"/>
                <w:lang w:val="en-US" w:eastAsia="zh-CN"/>
              </w:rPr>
            </w:pPr>
            <w:r>
              <w:rPr>
                <w:rFonts w:hint="eastAsia"/>
                <w:color w:val="auto"/>
                <w:highlight w:val="none"/>
              </w:rPr>
              <w:t>0~</w:t>
            </w:r>
            <w:r>
              <w:rPr>
                <w:rFonts w:hint="eastAsia"/>
                <w:color w:val="auto"/>
                <w:highlight w:val="none"/>
                <w:lang w:val="en-US" w:eastAsia="zh-CN"/>
              </w:rPr>
              <w:t>12</w:t>
            </w:r>
          </w:p>
          <w:p w14:paraId="2819DDF2">
            <w:pPr>
              <w:jc w:val="center"/>
              <w:rPr>
                <w:rFonts w:hint="default"/>
                <w:color w:val="auto"/>
                <w:highlight w:val="none"/>
                <w:lang w:val="en-US" w:eastAsia="zh-CN"/>
              </w:rPr>
            </w:pPr>
            <w:r>
              <w:rPr>
                <w:rFonts w:hint="eastAsia" w:hAnsi="宋体" w:eastAsia="宋体" w:cs="宋体"/>
                <w:color w:val="auto"/>
                <w:sz w:val="21"/>
                <w:szCs w:val="21"/>
                <w:highlight w:val="none"/>
                <w:lang w:val="en-US" w:eastAsia="zh-CN"/>
              </w:rPr>
              <w:t>客观分</w:t>
            </w:r>
          </w:p>
        </w:tc>
      </w:tr>
      <w:tr w14:paraId="4317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4" w:type="dxa"/>
            <w:vAlign w:val="center"/>
          </w:tcPr>
          <w:p w14:paraId="7BFE79CC">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hAnsi="宋体" w:eastAsia="宋体" w:cs="宋体"/>
                <w:color w:val="auto"/>
                <w:sz w:val="21"/>
                <w:szCs w:val="21"/>
                <w:highlight w:val="none"/>
                <w:lang w:val="en-US" w:eastAsia="zh-CN"/>
              </w:rPr>
              <w:t>3</w:t>
            </w:r>
          </w:p>
        </w:tc>
        <w:tc>
          <w:tcPr>
            <w:tcW w:w="1121" w:type="dxa"/>
            <w:vAlign w:val="center"/>
          </w:tcPr>
          <w:p w14:paraId="5F5FFFF1">
            <w:pPr>
              <w:pStyle w:val="16"/>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维修设备</w:t>
            </w:r>
          </w:p>
          <w:p w14:paraId="2B978465">
            <w:pPr>
              <w:pStyle w:val="16"/>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配置</w:t>
            </w:r>
          </w:p>
        </w:tc>
        <w:tc>
          <w:tcPr>
            <w:tcW w:w="6153" w:type="dxa"/>
            <w:vAlign w:val="center"/>
          </w:tcPr>
          <w:p w14:paraId="7872C360">
            <w:pPr>
              <w:pStyle w:val="16"/>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一档（3 分）：供应商拟投入生产设备基本满足提供本次采购维修范围生产需要的。</w:t>
            </w:r>
          </w:p>
          <w:p w14:paraId="60ECFF26">
            <w:pPr>
              <w:pStyle w:val="16"/>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二档（6 分）：供应商拟投入生产设备完全满足提供本次采购维修范围生产需要，且设备条件较先进的（根据供应商提供的“汽车维修设备一览表”</w:t>
            </w:r>
            <w:r>
              <w:rPr>
                <w:rFonts w:hint="eastAsia" w:hAnsi="宋体" w:eastAsia="宋体" w:cs="宋体"/>
                <w:color w:val="auto"/>
                <w:sz w:val="21"/>
                <w:szCs w:val="21"/>
                <w:highlight w:val="none"/>
                <w:lang w:eastAsia="zh-CN"/>
              </w:rPr>
              <w:t>信息及</w:t>
            </w:r>
            <w:r>
              <w:rPr>
                <w:rFonts w:hint="eastAsia" w:ascii="宋体" w:hAnsi="宋体"/>
                <w:color w:val="auto"/>
                <w:szCs w:val="21"/>
                <w:highlight w:val="none"/>
              </w:rPr>
              <w:t>提供</w:t>
            </w:r>
            <w:r>
              <w:rPr>
                <w:rFonts w:hint="eastAsia" w:ascii="宋体" w:hAnsi="宋体" w:eastAsia="宋体" w:cs="宋体"/>
                <w:color w:val="auto"/>
                <w:sz w:val="21"/>
                <w:szCs w:val="21"/>
                <w:highlight w:val="none"/>
              </w:rPr>
              <w:t>一览表</w:t>
            </w:r>
            <w:r>
              <w:rPr>
                <w:rFonts w:hint="eastAsia" w:hAnsi="宋体"/>
                <w:color w:val="auto"/>
                <w:szCs w:val="21"/>
                <w:highlight w:val="none"/>
                <w:lang w:eastAsia="zh-CN"/>
              </w:rPr>
              <w:t>中对</w:t>
            </w:r>
            <w:r>
              <w:rPr>
                <w:rFonts w:hint="eastAsia" w:ascii="宋体" w:hAnsi="宋体"/>
                <w:color w:val="auto"/>
                <w:szCs w:val="21"/>
                <w:highlight w:val="none"/>
              </w:rPr>
              <w:t>应的现场实物图片为依据</w:t>
            </w:r>
            <w:r>
              <w:rPr>
                <w:rFonts w:hint="eastAsia" w:ascii="宋体" w:hAnsi="宋体" w:eastAsia="宋体" w:cs="宋体"/>
                <w:color w:val="auto"/>
                <w:sz w:val="21"/>
                <w:szCs w:val="21"/>
                <w:highlight w:val="none"/>
              </w:rPr>
              <w:t>进行评定）。</w:t>
            </w:r>
          </w:p>
        </w:tc>
        <w:tc>
          <w:tcPr>
            <w:tcW w:w="1150" w:type="dxa"/>
            <w:vAlign w:val="center"/>
          </w:tcPr>
          <w:p w14:paraId="0C0F11C7">
            <w:pPr>
              <w:pStyle w:val="16"/>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val="en-US" w:eastAsia="zh-CN"/>
              </w:rPr>
              <w:t>6</w:t>
            </w:r>
          </w:p>
        </w:tc>
      </w:tr>
      <w:tr w14:paraId="7413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4" w:type="dxa"/>
            <w:vAlign w:val="center"/>
          </w:tcPr>
          <w:p w14:paraId="173A7E04">
            <w:pPr>
              <w:pStyle w:val="1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hAnsi="宋体" w:eastAsia="宋体" w:cs="宋体"/>
                <w:color w:val="auto"/>
                <w:sz w:val="21"/>
                <w:szCs w:val="21"/>
                <w:highlight w:val="none"/>
                <w:lang w:val="en-US" w:eastAsia="zh-CN"/>
              </w:rPr>
              <w:t>4</w:t>
            </w:r>
          </w:p>
        </w:tc>
        <w:tc>
          <w:tcPr>
            <w:tcW w:w="1121" w:type="dxa"/>
            <w:vAlign w:val="center"/>
          </w:tcPr>
          <w:p w14:paraId="16F80BFE">
            <w:pPr>
              <w:pStyle w:val="16"/>
              <w:spacing w:line="360" w:lineRule="auto"/>
              <w:jc w:val="center"/>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企业质量信誉分</w:t>
            </w:r>
          </w:p>
        </w:tc>
        <w:tc>
          <w:tcPr>
            <w:tcW w:w="6153" w:type="dxa"/>
            <w:vAlign w:val="center"/>
          </w:tcPr>
          <w:p w14:paraId="3B47B208">
            <w:pPr>
              <w:pStyle w:val="16"/>
              <w:spacing w:line="360" w:lineRule="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投标人2021年（含）以来每年获得机动车维修企业质量信誉考核AAA级的，每年得2分，满分6分。（以县级或县级以上的道路交通运输部门提供的考核结果为准）</w:t>
            </w:r>
          </w:p>
        </w:tc>
        <w:tc>
          <w:tcPr>
            <w:tcW w:w="1150" w:type="dxa"/>
            <w:vAlign w:val="center"/>
          </w:tcPr>
          <w:p w14:paraId="157FC02B">
            <w:pPr>
              <w:pStyle w:val="16"/>
              <w:spacing w:line="360" w:lineRule="auto"/>
              <w:jc w:val="center"/>
              <w:rPr>
                <w:rFonts w:hint="eastAsia" w:eastAsia="宋体"/>
                <w:color w:val="auto"/>
                <w:highlight w:val="none"/>
                <w:lang w:val="en-US" w:eastAsia="zh-CN"/>
              </w:rPr>
            </w:pPr>
            <w:r>
              <w:rPr>
                <w:rFonts w:hint="eastAsia"/>
                <w:color w:val="auto"/>
                <w:highlight w:val="none"/>
              </w:rPr>
              <w:t>0~</w:t>
            </w:r>
            <w:r>
              <w:rPr>
                <w:rFonts w:hint="eastAsia"/>
                <w:color w:val="auto"/>
                <w:highlight w:val="none"/>
                <w:lang w:val="en-US" w:eastAsia="zh-CN"/>
              </w:rPr>
              <w:t>6</w:t>
            </w:r>
          </w:p>
          <w:p w14:paraId="23B3F382">
            <w:pPr>
              <w:jc w:val="center"/>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客观分</w:t>
            </w:r>
          </w:p>
        </w:tc>
      </w:tr>
      <w:tr w14:paraId="57C9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4" w:type="dxa"/>
            <w:vAlign w:val="center"/>
          </w:tcPr>
          <w:p w14:paraId="490F11D0">
            <w:pPr>
              <w:pStyle w:val="16"/>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hAnsi="宋体" w:eastAsia="宋体" w:cs="宋体"/>
                <w:color w:val="auto"/>
                <w:sz w:val="21"/>
                <w:szCs w:val="21"/>
                <w:highlight w:val="none"/>
                <w:lang w:val="en-US" w:eastAsia="zh-CN"/>
              </w:rPr>
              <w:t>5</w:t>
            </w:r>
          </w:p>
        </w:tc>
        <w:tc>
          <w:tcPr>
            <w:tcW w:w="1121" w:type="dxa"/>
            <w:vAlign w:val="center"/>
          </w:tcPr>
          <w:p w14:paraId="4C600D91">
            <w:pPr>
              <w:pStyle w:val="16"/>
              <w:spacing w:line="360" w:lineRule="auto"/>
              <w:jc w:val="center"/>
              <w:rPr>
                <w:rFonts w:hint="default"/>
                <w:color w:val="auto"/>
                <w:highlight w:val="none"/>
                <w:lang w:val="en-US" w:eastAsia="zh-CN"/>
              </w:rPr>
            </w:pPr>
            <w:r>
              <w:rPr>
                <w:rFonts w:hint="eastAsia"/>
                <w:color w:val="auto"/>
                <w:highlight w:val="none"/>
                <w:lang w:val="en-US" w:eastAsia="zh-CN"/>
              </w:rPr>
              <w:t>业绩</w:t>
            </w:r>
          </w:p>
        </w:tc>
        <w:tc>
          <w:tcPr>
            <w:tcW w:w="6153" w:type="dxa"/>
            <w:vAlign w:val="center"/>
          </w:tcPr>
          <w:p w14:paraId="29A7D712">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w:t>
            </w:r>
            <w:r>
              <w:rPr>
                <w:rFonts w:hint="eastAsia"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eastAsia="zh-CN"/>
              </w:rPr>
              <w:t>（含）</w:t>
            </w:r>
            <w:r>
              <w:rPr>
                <w:rFonts w:hint="eastAsia" w:ascii="宋体" w:hAnsi="宋体" w:eastAsia="宋体" w:cs="宋体"/>
                <w:color w:val="auto"/>
                <w:sz w:val="21"/>
                <w:szCs w:val="21"/>
                <w:highlight w:val="none"/>
              </w:rPr>
              <w:t>以来获得同类服务业绩（提供中标通知书或合同复印件）每项得1分，满分</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1150" w:type="dxa"/>
            <w:vAlign w:val="center"/>
          </w:tcPr>
          <w:p w14:paraId="04E10EF7">
            <w:pPr>
              <w:pStyle w:val="16"/>
              <w:spacing w:line="360" w:lineRule="auto"/>
              <w:jc w:val="center"/>
              <w:rPr>
                <w:rFonts w:hint="eastAsia"/>
                <w:color w:val="auto"/>
                <w:highlight w:val="none"/>
                <w:lang w:val="en-US" w:eastAsia="zh-CN"/>
              </w:rPr>
            </w:pPr>
            <w:r>
              <w:rPr>
                <w:rFonts w:hint="eastAsia"/>
                <w:color w:val="auto"/>
                <w:highlight w:val="none"/>
              </w:rPr>
              <w:t>0~</w:t>
            </w:r>
            <w:r>
              <w:rPr>
                <w:rFonts w:hint="eastAsia"/>
                <w:color w:val="auto"/>
                <w:highlight w:val="none"/>
                <w:lang w:val="en-US" w:eastAsia="zh-CN"/>
              </w:rPr>
              <w:t>4</w:t>
            </w:r>
          </w:p>
          <w:p w14:paraId="46B9D0D0">
            <w:pPr>
              <w:jc w:val="center"/>
              <w:rPr>
                <w:rFonts w:hint="default" w:eastAsia="宋体"/>
                <w:color w:val="auto"/>
                <w:highlight w:val="none"/>
                <w:lang w:val="en-US" w:eastAsia="zh-CN"/>
              </w:rPr>
            </w:pPr>
            <w:r>
              <w:rPr>
                <w:rFonts w:hint="eastAsia"/>
                <w:color w:val="auto"/>
                <w:highlight w:val="none"/>
                <w:lang w:val="en-US" w:eastAsia="zh-CN"/>
              </w:rPr>
              <w:t>客观分</w:t>
            </w:r>
          </w:p>
        </w:tc>
      </w:tr>
    </w:tbl>
    <w:p w14:paraId="11344590">
      <w:pPr>
        <w:pStyle w:val="13"/>
        <w:rPr>
          <w:rFonts w:hint="eastAsia"/>
          <w:color w:val="auto"/>
          <w:highlight w:val="none"/>
        </w:rPr>
      </w:pPr>
    </w:p>
    <w:p w14:paraId="34C97D48">
      <w:pPr>
        <w:pStyle w:val="4"/>
        <w:jc w:val="center"/>
        <w:rPr>
          <w:rFonts w:hint="eastAsia" w:ascii="宋体" w:hAnsi="宋体" w:eastAsia="宋体" w:cs="宋体"/>
          <w:b/>
          <w:bCs w:val="0"/>
          <w:color w:val="auto"/>
          <w:sz w:val="30"/>
          <w:szCs w:val="30"/>
          <w:highlight w:val="none"/>
        </w:rPr>
      </w:pPr>
      <w:bookmarkStart w:id="77" w:name="PO_3000001866_PM051"/>
      <w:bookmarkEnd w:id="77"/>
      <w:bookmarkStart w:id="78" w:name="_Toc80093007"/>
      <w:bookmarkStart w:id="79" w:name="_Toc24402"/>
      <w:bookmarkStart w:id="80" w:name="_Toc15270"/>
      <w:r>
        <w:rPr>
          <w:rFonts w:hint="eastAsia" w:ascii="宋体" w:hAnsi="宋体" w:eastAsia="宋体" w:cs="宋体"/>
          <w:b/>
          <w:bCs w:val="0"/>
          <w:color w:val="auto"/>
          <w:sz w:val="30"/>
          <w:szCs w:val="30"/>
          <w:highlight w:val="none"/>
        </w:rPr>
        <w:t>第四节 入围候选人推荐原则</w:t>
      </w:r>
      <w:bookmarkEnd w:id="78"/>
      <w:bookmarkEnd w:id="79"/>
      <w:bookmarkEnd w:id="80"/>
    </w:p>
    <w:p w14:paraId="27FAC7C0">
      <w:pPr>
        <w:numPr>
          <w:ilvl w:val="0"/>
          <w:numId w:val="0"/>
        </w:numPr>
        <w:spacing w:line="360" w:lineRule="auto"/>
        <w:ind w:left="472" w:leftChars="0"/>
        <w:contextualSpacing/>
        <w:rPr>
          <w:rFonts w:hint="eastAsia" w:ascii="宋体" w:hAnsi="宋体" w:cs="宋体"/>
          <w:b/>
          <w:bCs/>
          <w:color w:val="auto"/>
          <w:szCs w:val="21"/>
          <w:highlight w:val="none"/>
        </w:rPr>
      </w:pPr>
      <w:r>
        <w:rPr>
          <w:rFonts w:hint="eastAsia" w:ascii="宋体" w:hAnsi="宋体" w:cs="宋体"/>
          <w:b/>
          <w:bCs/>
          <w:color w:val="auto"/>
          <w:szCs w:val="21"/>
          <w:highlight w:val="none"/>
        </w:rPr>
        <w:t>质量优先法</w:t>
      </w:r>
    </w:p>
    <w:p w14:paraId="37ECDD83">
      <w:pPr>
        <w:spacing w:line="360" w:lineRule="auto"/>
        <w:ind w:firstLine="420" w:firstLineChars="200"/>
        <w:rPr>
          <w:rFonts w:hint="eastAsia" w:ascii="宋体" w:hAnsi="宋体" w:cs="宋体"/>
          <w:b w:val="0"/>
          <w:bCs w:val="0"/>
          <w:color w:val="auto"/>
          <w:szCs w:val="21"/>
          <w:highlight w:val="none"/>
        </w:rPr>
      </w:pPr>
      <w:r>
        <w:rPr>
          <w:rFonts w:hint="eastAsia" w:ascii="宋体" w:hAnsi="Courier New"/>
          <w:b w:val="0"/>
          <w:bCs w:val="0"/>
          <w:color w:val="auto"/>
          <w:szCs w:val="20"/>
          <w:highlight w:val="none"/>
        </w:rPr>
        <w:t>确定第一阶段</w:t>
      </w:r>
      <w:r>
        <w:rPr>
          <w:rFonts w:hint="eastAsia" w:ascii="宋体" w:hAnsi="宋体" w:cs="宋体"/>
          <w:b w:val="0"/>
          <w:bCs w:val="0"/>
          <w:color w:val="auto"/>
          <w:szCs w:val="21"/>
          <w:highlight w:val="none"/>
        </w:rPr>
        <w:t>入围标准：通过资格性审查和符合性审查的供应商数量多于或等于三家的，均须对通过符合性审查的供应商进行评分和排序。评委根据总得分从高分到低分进行排名，按排名先后顺序确定入围供应商，如出现总得分相等时，按技术分高优先，如技术分得分亦相等时，则由技术分2.1高的优先，如2.1相等时，则由技术分2.2高的优先，以此类推，直至得出结果。若所有分值完全一致则随机抽签选取入围供应商。</w:t>
      </w:r>
    </w:p>
    <w:p w14:paraId="75990E0F">
      <w:pPr>
        <w:spacing w:line="360" w:lineRule="auto"/>
        <w:ind w:firstLine="420" w:firstLineChars="200"/>
        <w:rPr>
          <w:rFonts w:hint="eastAsia" w:ascii="宋体" w:hAnsi="宋体" w:cs="宋体"/>
          <w:b w:val="0"/>
          <w:bCs w:val="0"/>
          <w:color w:val="auto"/>
          <w:szCs w:val="24"/>
          <w:highlight w:val="none"/>
        </w:rPr>
      </w:pPr>
      <w:r>
        <w:rPr>
          <w:rFonts w:hint="eastAsia" w:ascii="宋体" w:hAnsi="Courier New"/>
          <w:b w:val="0"/>
          <w:bCs w:val="0"/>
          <w:color w:val="auto"/>
          <w:szCs w:val="20"/>
          <w:highlight w:val="none"/>
        </w:rPr>
        <w:t>本项目淘汰比例：淘汰率20%计算，且至少淘汰一家供应商（供应商家数</w:t>
      </w:r>
      <w:r>
        <w:rPr>
          <w:rFonts w:ascii="宋体" w:hAnsi="Courier New"/>
          <w:b w:val="0"/>
          <w:bCs w:val="0"/>
          <w:color w:val="auto"/>
          <w:szCs w:val="20"/>
          <w:highlight w:val="none"/>
        </w:rPr>
        <w:t>×</w:t>
      </w:r>
      <w:r>
        <w:rPr>
          <w:rFonts w:hint="eastAsia" w:ascii="宋体" w:hAnsi="Courier New"/>
          <w:b w:val="0"/>
          <w:bCs w:val="0"/>
          <w:color w:val="auto"/>
          <w:szCs w:val="20"/>
          <w:highlight w:val="none"/>
        </w:rPr>
        <w:t>淘汰率=Y，Y=A+B，A为整数部分，B为小数部分。当B为零时，淘汰家数为A；当B不为零时，淘汰家数为A+1）。</w:t>
      </w:r>
    </w:p>
    <w:p w14:paraId="2BE61B2D">
      <w:pPr>
        <w:spacing w:line="360" w:lineRule="auto"/>
        <w:ind w:firstLine="420" w:firstLineChars="200"/>
        <w:rPr>
          <w:rFonts w:hint="eastAsia" w:ascii="宋体" w:hAnsi="宋体" w:cs="宋体"/>
          <w:color w:val="auto"/>
          <w:highlight w:val="none"/>
        </w:rPr>
      </w:pPr>
    </w:p>
    <w:p w14:paraId="6C5FEB49">
      <w:pPr>
        <w:pStyle w:val="4"/>
        <w:spacing w:before="0" w:after="0" w:line="360" w:lineRule="auto"/>
        <w:ind w:firstLine="602" w:firstLineChars="200"/>
        <w:jc w:val="center"/>
        <w:rPr>
          <w:rFonts w:hint="eastAsia" w:ascii="宋体" w:hAnsi="宋体" w:eastAsia="宋体" w:cs="宋体"/>
          <w:b/>
          <w:bCs w:val="0"/>
          <w:color w:val="auto"/>
          <w:sz w:val="30"/>
          <w:szCs w:val="30"/>
          <w:highlight w:val="none"/>
        </w:rPr>
      </w:pPr>
      <w:bookmarkStart w:id="81" w:name="_Toc21369"/>
      <w:bookmarkStart w:id="82" w:name="_Toc32440"/>
      <w:bookmarkStart w:id="83" w:name="_Toc80093008"/>
      <w:r>
        <w:rPr>
          <w:rFonts w:hint="eastAsia" w:ascii="宋体" w:hAnsi="宋体" w:eastAsia="宋体" w:cs="宋体"/>
          <w:b/>
          <w:bCs w:val="0"/>
          <w:color w:val="auto"/>
          <w:sz w:val="30"/>
          <w:szCs w:val="30"/>
          <w:highlight w:val="none"/>
        </w:rPr>
        <w:t>第五节 评审报告</w:t>
      </w:r>
      <w:bookmarkEnd w:id="81"/>
      <w:bookmarkEnd w:id="82"/>
      <w:bookmarkEnd w:id="83"/>
    </w:p>
    <w:p w14:paraId="29F5D735">
      <w:pPr>
        <w:pStyle w:val="32"/>
        <w:spacing w:before="0"/>
        <w:ind w:firstLine="482"/>
        <w:outlineLvl w:val="2"/>
        <w:rPr>
          <w:rFonts w:hint="eastAsia" w:ascii="宋体" w:hAnsi="宋体" w:cs="宋体"/>
          <w:b/>
          <w:bCs/>
          <w:color w:val="auto"/>
          <w:szCs w:val="24"/>
          <w:highlight w:val="none"/>
        </w:rPr>
      </w:pPr>
      <w:bookmarkStart w:id="84" w:name="_Toc19950"/>
      <w:r>
        <w:rPr>
          <w:rFonts w:hint="eastAsia" w:ascii="宋体" w:hAnsi="宋体" w:cs="宋体"/>
          <w:b/>
          <w:bCs/>
          <w:color w:val="auto"/>
          <w:szCs w:val="24"/>
          <w:highlight w:val="none"/>
        </w:rPr>
        <w:t>（一）评审报告与推荐入围候选人</w:t>
      </w:r>
      <w:bookmarkEnd w:id="84"/>
    </w:p>
    <w:p w14:paraId="0C0A2539">
      <w:pPr>
        <w:pStyle w:val="16"/>
        <w:tabs>
          <w:tab w:val="left" w:pos="2472"/>
        </w:tabs>
        <w:spacing w:line="360" w:lineRule="auto"/>
        <w:ind w:firstLine="420" w:firstLineChars="200"/>
        <w:rPr>
          <w:rFonts w:hint="eastAsia" w:hAnsi="宋体" w:cs="宋体"/>
          <w:color w:val="auto"/>
          <w:highlight w:val="none"/>
        </w:rPr>
      </w:pPr>
      <w:r>
        <w:rPr>
          <w:rFonts w:hint="eastAsia" w:hAnsi="宋体" w:cs="宋体"/>
          <w:color w:val="auto"/>
          <w:highlight w:val="none"/>
        </w:rPr>
        <w:t>评审委员会根据原始评审记录和评审结果编写评审报告，并通过电子交易平台向征集人、采购代理机构提交。</w:t>
      </w:r>
    </w:p>
    <w:p w14:paraId="30EE28B7">
      <w:pPr>
        <w:widowControl/>
        <w:spacing w:line="360" w:lineRule="auto"/>
        <w:ind w:firstLine="482" w:firstLineChars="200"/>
        <w:jc w:val="left"/>
        <w:outlineLvl w:val="2"/>
        <w:rPr>
          <w:rFonts w:hint="eastAsia" w:ascii="宋体" w:hAnsi="宋体" w:cs="宋体"/>
          <w:b/>
          <w:bCs/>
          <w:color w:val="auto"/>
          <w:sz w:val="24"/>
          <w:highlight w:val="none"/>
        </w:rPr>
      </w:pPr>
      <w:bookmarkStart w:id="85" w:name="_Toc20663"/>
      <w:r>
        <w:rPr>
          <w:rFonts w:hint="eastAsia" w:ascii="宋体" w:hAnsi="宋体" w:cs="宋体"/>
          <w:b/>
          <w:bCs/>
          <w:color w:val="auto"/>
          <w:sz w:val="24"/>
          <w:highlight w:val="none"/>
        </w:rPr>
        <w:t>（二）评审争议事项处理</w:t>
      </w:r>
      <w:bookmarkEnd w:id="85"/>
    </w:p>
    <w:p w14:paraId="64D60FBB">
      <w:pPr>
        <w:pStyle w:val="16"/>
        <w:tabs>
          <w:tab w:val="left" w:pos="2472"/>
        </w:tabs>
        <w:spacing w:line="360" w:lineRule="auto"/>
        <w:ind w:firstLine="420" w:firstLineChars="200"/>
        <w:rPr>
          <w:rFonts w:hint="eastAsia" w:hAnsi="宋体" w:cs="宋体"/>
          <w:color w:val="auto"/>
          <w:highlight w:val="none"/>
        </w:rPr>
      </w:pPr>
      <w:r>
        <w:rPr>
          <w:rFonts w:hint="eastAsia" w:hAnsi="宋体" w:cs="宋体"/>
          <w:color w:val="auto"/>
          <w:highlight w:val="none"/>
        </w:rPr>
        <w:t>评审委员会成员对需要共同认定的事项存在争议的，应当按照少数服从多数的原则作出结论。持不同意见的评审委员会成员应当在评审报告上签署不同意见及理由，否则视为同意评审报告。</w:t>
      </w:r>
    </w:p>
    <w:p w14:paraId="5E0BDDD2">
      <w:pPr>
        <w:pStyle w:val="16"/>
        <w:tabs>
          <w:tab w:val="left" w:pos="2472"/>
        </w:tabs>
        <w:spacing w:line="460" w:lineRule="exact"/>
        <w:rPr>
          <w:rFonts w:hint="eastAsia" w:hAnsi="宋体" w:cs="宋体"/>
          <w:b/>
          <w:color w:val="auto"/>
          <w:sz w:val="36"/>
          <w:highlight w:val="none"/>
        </w:rPr>
        <w:sectPr>
          <w:footerReference r:id="rId8" w:type="default"/>
          <w:pgSz w:w="11906" w:h="16838"/>
          <w:pgMar w:top="1134" w:right="1134" w:bottom="1134" w:left="1134" w:header="720" w:footer="720" w:gutter="0"/>
          <w:pgNumType w:fmt="decimal"/>
          <w:cols w:space="720" w:num="1"/>
          <w:docGrid w:type="lines" w:linePitch="331" w:charSpace="0"/>
        </w:sectPr>
      </w:pPr>
    </w:p>
    <w:p w14:paraId="1858FECC">
      <w:pPr>
        <w:pStyle w:val="16"/>
        <w:tabs>
          <w:tab w:val="left" w:pos="2472"/>
        </w:tabs>
        <w:spacing w:line="460" w:lineRule="exact"/>
        <w:jc w:val="center"/>
        <w:rPr>
          <w:rFonts w:hint="eastAsia" w:hAnsi="宋体" w:cs="宋体"/>
          <w:b/>
          <w:color w:val="auto"/>
          <w:sz w:val="36"/>
          <w:highlight w:val="none"/>
        </w:rPr>
      </w:pPr>
    </w:p>
    <w:p w14:paraId="5C4AAE13">
      <w:pPr>
        <w:pStyle w:val="16"/>
        <w:tabs>
          <w:tab w:val="left" w:pos="2472"/>
        </w:tabs>
        <w:spacing w:line="460" w:lineRule="exact"/>
        <w:jc w:val="center"/>
        <w:rPr>
          <w:rFonts w:hint="eastAsia" w:hAnsi="宋体" w:cs="宋体"/>
          <w:b/>
          <w:color w:val="auto"/>
          <w:sz w:val="36"/>
          <w:highlight w:val="none"/>
        </w:rPr>
      </w:pPr>
    </w:p>
    <w:p w14:paraId="27CD3B37">
      <w:pPr>
        <w:pStyle w:val="16"/>
        <w:tabs>
          <w:tab w:val="left" w:pos="2472"/>
        </w:tabs>
        <w:spacing w:line="460" w:lineRule="exact"/>
        <w:jc w:val="center"/>
        <w:rPr>
          <w:rFonts w:hint="eastAsia" w:hAnsi="宋体" w:cs="宋体"/>
          <w:b/>
          <w:color w:val="auto"/>
          <w:sz w:val="36"/>
          <w:highlight w:val="none"/>
        </w:rPr>
      </w:pPr>
    </w:p>
    <w:p w14:paraId="3477D9EF">
      <w:pPr>
        <w:pStyle w:val="16"/>
        <w:tabs>
          <w:tab w:val="left" w:pos="2472"/>
        </w:tabs>
        <w:spacing w:line="460" w:lineRule="exact"/>
        <w:jc w:val="center"/>
        <w:rPr>
          <w:rFonts w:hint="eastAsia" w:hAnsi="宋体" w:cs="宋体"/>
          <w:b/>
          <w:color w:val="auto"/>
          <w:sz w:val="36"/>
          <w:highlight w:val="none"/>
        </w:rPr>
      </w:pPr>
    </w:p>
    <w:p w14:paraId="057406A0">
      <w:pPr>
        <w:pStyle w:val="16"/>
        <w:tabs>
          <w:tab w:val="left" w:pos="2472"/>
        </w:tabs>
        <w:spacing w:line="460" w:lineRule="exact"/>
        <w:jc w:val="center"/>
        <w:rPr>
          <w:rFonts w:hint="eastAsia" w:hAnsi="宋体" w:cs="宋体"/>
          <w:b/>
          <w:color w:val="auto"/>
          <w:sz w:val="36"/>
          <w:highlight w:val="none"/>
        </w:rPr>
      </w:pPr>
    </w:p>
    <w:p w14:paraId="07A1BD8E">
      <w:pPr>
        <w:pStyle w:val="16"/>
        <w:tabs>
          <w:tab w:val="left" w:pos="2472"/>
        </w:tabs>
        <w:spacing w:line="460" w:lineRule="exact"/>
        <w:jc w:val="center"/>
        <w:rPr>
          <w:rFonts w:hint="eastAsia" w:hAnsi="宋体" w:cs="宋体"/>
          <w:b/>
          <w:color w:val="auto"/>
          <w:sz w:val="36"/>
          <w:highlight w:val="none"/>
        </w:rPr>
      </w:pPr>
    </w:p>
    <w:p w14:paraId="704E250A">
      <w:pPr>
        <w:pStyle w:val="16"/>
        <w:tabs>
          <w:tab w:val="left" w:pos="2472"/>
        </w:tabs>
        <w:spacing w:line="460" w:lineRule="exact"/>
        <w:jc w:val="center"/>
        <w:rPr>
          <w:rFonts w:hint="eastAsia" w:hAnsi="宋体" w:cs="宋体"/>
          <w:b/>
          <w:color w:val="auto"/>
          <w:sz w:val="36"/>
          <w:highlight w:val="none"/>
        </w:rPr>
      </w:pPr>
    </w:p>
    <w:p w14:paraId="154C2190">
      <w:pPr>
        <w:pStyle w:val="16"/>
        <w:tabs>
          <w:tab w:val="left" w:pos="2472"/>
        </w:tabs>
        <w:spacing w:line="460" w:lineRule="exact"/>
        <w:jc w:val="center"/>
        <w:rPr>
          <w:rFonts w:hint="eastAsia" w:hAnsi="宋体" w:cs="宋体"/>
          <w:b/>
          <w:color w:val="auto"/>
          <w:sz w:val="36"/>
          <w:highlight w:val="none"/>
        </w:rPr>
      </w:pPr>
    </w:p>
    <w:p w14:paraId="106176CD">
      <w:pPr>
        <w:pStyle w:val="16"/>
        <w:tabs>
          <w:tab w:val="left" w:pos="2472"/>
        </w:tabs>
        <w:spacing w:line="460" w:lineRule="exact"/>
        <w:jc w:val="center"/>
        <w:rPr>
          <w:rFonts w:hint="eastAsia" w:hAnsi="宋体" w:cs="宋体"/>
          <w:b/>
          <w:color w:val="auto"/>
          <w:sz w:val="36"/>
          <w:highlight w:val="none"/>
        </w:rPr>
      </w:pPr>
    </w:p>
    <w:p w14:paraId="2B138561">
      <w:pPr>
        <w:pStyle w:val="16"/>
        <w:tabs>
          <w:tab w:val="left" w:pos="2472"/>
        </w:tabs>
        <w:spacing w:line="460" w:lineRule="exact"/>
        <w:jc w:val="center"/>
        <w:rPr>
          <w:rFonts w:hint="eastAsia" w:hAnsi="宋体" w:cs="宋体"/>
          <w:b/>
          <w:color w:val="auto"/>
          <w:sz w:val="36"/>
          <w:highlight w:val="none"/>
        </w:rPr>
      </w:pPr>
    </w:p>
    <w:p w14:paraId="3003DB7E">
      <w:pPr>
        <w:pStyle w:val="16"/>
        <w:tabs>
          <w:tab w:val="left" w:pos="2472"/>
        </w:tabs>
        <w:spacing w:line="460" w:lineRule="exact"/>
        <w:jc w:val="center"/>
        <w:rPr>
          <w:rFonts w:hint="eastAsia" w:hAnsi="宋体" w:cs="宋体"/>
          <w:b/>
          <w:color w:val="auto"/>
          <w:sz w:val="36"/>
          <w:highlight w:val="none"/>
        </w:rPr>
      </w:pPr>
    </w:p>
    <w:p w14:paraId="720EA3F8">
      <w:pPr>
        <w:pStyle w:val="16"/>
        <w:tabs>
          <w:tab w:val="left" w:pos="2472"/>
        </w:tabs>
        <w:spacing w:line="460" w:lineRule="exact"/>
        <w:jc w:val="center"/>
        <w:rPr>
          <w:rFonts w:hint="eastAsia" w:hAnsi="宋体" w:cs="宋体"/>
          <w:b/>
          <w:color w:val="auto"/>
          <w:sz w:val="36"/>
          <w:highlight w:val="none"/>
        </w:rPr>
      </w:pPr>
    </w:p>
    <w:p w14:paraId="2EA935A8">
      <w:pPr>
        <w:pStyle w:val="16"/>
        <w:tabs>
          <w:tab w:val="left" w:pos="2472"/>
        </w:tabs>
        <w:spacing w:line="460" w:lineRule="exact"/>
        <w:jc w:val="center"/>
        <w:rPr>
          <w:rFonts w:hint="eastAsia" w:hAnsi="宋体" w:cs="宋体"/>
          <w:b/>
          <w:color w:val="auto"/>
          <w:sz w:val="36"/>
          <w:highlight w:val="none"/>
        </w:rPr>
      </w:pPr>
    </w:p>
    <w:p w14:paraId="1D07E04B">
      <w:pPr>
        <w:pStyle w:val="16"/>
        <w:tabs>
          <w:tab w:val="left" w:pos="2472"/>
        </w:tabs>
        <w:spacing w:line="460" w:lineRule="exact"/>
        <w:jc w:val="center"/>
        <w:outlineLvl w:val="0"/>
        <w:rPr>
          <w:rFonts w:hint="eastAsia" w:hAnsi="宋体" w:cs="宋体"/>
          <w:b/>
          <w:color w:val="auto"/>
          <w:sz w:val="36"/>
          <w:highlight w:val="none"/>
        </w:rPr>
      </w:pPr>
      <w:bookmarkStart w:id="86" w:name="_Toc2578"/>
      <w:bookmarkStart w:id="87" w:name="_Toc20520"/>
      <w:bookmarkStart w:id="88" w:name="_Toc80093009"/>
      <w:r>
        <w:rPr>
          <w:rFonts w:hint="eastAsia" w:hAnsi="宋体" w:cs="宋体"/>
          <w:b/>
          <w:color w:val="auto"/>
          <w:sz w:val="36"/>
          <w:highlight w:val="none"/>
        </w:rPr>
        <w:t>第五章 拟签订的框架协议文本</w:t>
      </w:r>
      <w:bookmarkEnd w:id="86"/>
      <w:bookmarkEnd w:id="87"/>
      <w:bookmarkEnd w:id="88"/>
    </w:p>
    <w:p w14:paraId="6A7AF57C">
      <w:pPr>
        <w:pStyle w:val="16"/>
        <w:tabs>
          <w:tab w:val="left" w:pos="2472"/>
        </w:tabs>
        <w:spacing w:line="460" w:lineRule="exact"/>
        <w:jc w:val="center"/>
        <w:rPr>
          <w:rFonts w:hint="eastAsia" w:hAnsi="宋体" w:cs="宋体"/>
          <w:b/>
          <w:bCs/>
          <w:color w:val="auto"/>
          <w:sz w:val="44"/>
          <w:highlight w:val="none"/>
        </w:rPr>
      </w:pPr>
      <w:r>
        <w:rPr>
          <w:rFonts w:hint="eastAsia" w:hAnsi="宋体" w:cs="宋体"/>
          <w:color w:val="auto"/>
          <w:highlight w:val="none"/>
        </w:rPr>
        <w:br w:type="page"/>
      </w:r>
      <w:bookmarkStart w:id="89" w:name="_Toc27105"/>
    </w:p>
    <w:p w14:paraId="3E2562DD">
      <w:pPr>
        <w:pStyle w:val="16"/>
        <w:tabs>
          <w:tab w:val="left" w:pos="2472"/>
        </w:tabs>
        <w:spacing w:line="460" w:lineRule="exact"/>
        <w:jc w:val="center"/>
        <w:outlineLvl w:val="0"/>
        <w:rPr>
          <w:rFonts w:hint="eastAsia" w:hAnsi="宋体" w:cs="宋体"/>
          <w:b/>
          <w:bCs/>
          <w:color w:val="auto"/>
          <w:sz w:val="44"/>
          <w:highlight w:val="none"/>
        </w:rPr>
      </w:pPr>
    </w:p>
    <w:p w14:paraId="5BCF6147">
      <w:pPr>
        <w:pStyle w:val="16"/>
        <w:tabs>
          <w:tab w:val="left" w:pos="2472"/>
        </w:tabs>
        <w:spacing w:line="460" w:lineRule="exact"/>
        <w:jc w:val="center"/>
        <w:outlineLvl w:val="0"/>
        <w:rPr>
          <w:rFonts w:hint="eastAsia" w:hAnsi="宋体" w:cs="宋体"/>
          <w:b/>
          <w:bCs/>
          <w:color w:val="auto"/>
          <w:sz w:val="44"/>
          <w:highlight w:val="none"/>
        </w:rPr>
      </w:pPr>
    </w:p>
    <w:bookmarkEnd w:id="89"/>
    <w:p w14:paraId="53D42E02">
      <w:pPr>
        <w:spacing w:line="360" w:lineRule="auto"/>
        <w:jc w:val="center"/>
        <w:rPr>
          <w:rFonts w:hint="eastAsia" w:ascii="宋体" w:hAnsi="宋体" w:cs="宋体"/>
          <w:b/>
          <w:bCs/>
          <w:color w:val="auto"/>
          <w:sz w:val="52"/>
          <w:highlight w:val="none"/>
          <w:lang w:val="en-US" w:eastAsia="zh-CN"/>
        </w:rPr>
      </w:pPr>
    </w:p>
    <w:p w14:paraId="7FCCBB53">
      <w:pPr>
        <w:spacing w:line="360" w:lineRule="auto"/>
        <w:jc w:val="center"/>
        <w:rPr>
          <w:rFonts w:hint="eastAsia" w:ascii="宋体" w:hAnsi="宋体" w:cs="宋体"/>
          <w:b/>
          <w:bCs/>
          <w:color w:val="auto"/>
          <w:sz w:val="52"/>
          <w:highlight w:val="none"/>
        </w:rPr>
      </w:pPr>
      <w:r>
        <w:rPr>
          <w:rFonts w:hint="eastAsia" w:ascii="宋体" w:hAnsi="宋体" w:cs="宋体"/>
          <w:b/>
          <w:bCs/>
          <w:color w:val="auto"/>
          <w:sz w:val="52"/>
          <w:highlight w:val="none"/>
        </w:rPr>
        <w:t xml:space="preserve"> 政 府 采 购</w:t>
      </w:r>
    </w:p>
    <w:p w14:paraId="53608FF3">
      <w:pPr>
        <w:spacing w:line="360" w:lineRule="auto"/>
        <w:jc w:val="center"/>
        <w:rPr>
          <w:rFonts w:hint="eastAsia" w:ascii="宋体" w:hAnsi="宋体" w:cs="宋体"/>
          <w:color w:val="auto"/>
          <w:highlight w:val="none"/>
        </w:rPr>
      </w:pPr>
    </w:p>
    <w:p w14:paraId="6ACBD903">
      <w:pPr>
        <w:spacing w:line="360" w:lineRule="auto"/>
        <w:jc w:val="center"/>
        <w:rPr>
          <w:rFonts w:hint="eastAsia" w:ascii="宋体" w:hAnsi="宋体" w:cs="宋体" w:eastAsiaTheme="minorEastAsia"/>
          <w:b/>
          <w:bCs/>
          <w:color w:val="auto"/>
          <w:sz w:val="44"/>
          <w:highlight w:val="none"/>
          <w:lang w:eastAsia="zh-CN"/>
        </w:rPr>
      </w:pPr>
      <w:r>
        <w:rPr>
          <w:rFonts w:hint="eastAsia" w:ascii="宋体" w:hAnsi="宋体" w:cs="宋体"/>
          <w:b/>
          <w:bCs/>
          <w:color w:val="auto"/>
          <w:sz w:val="44"/>
          <w:highlight w:val="none"/>
          <w:lang w:eastAsia="zh-CN"/>
        </w:rPr>
        <w:t>广西—东盟经济技术开发区2025-2027年度预算单位车辆维修和保养服务框架协议采购</w:t>
      </w:r>
    </w:p>
    <w:p w14:paraId="0A323543">
      <w:pPr>
        <w:spacing w:line="360" w:lineRule="auto"/>
        <w:jc w:val="center"/>
        <w:rPr>
          <w:rFonts w:hint="eastAsia" w:ascii="宋体" w:hAnsi="宋体" w:cs="宋体"/>
          <w:b/>
          <w:bCs/>
          <w:color w:val="auto"/>
          <w:sz w:val="44"/>
          <w:highlight w:val="none"/>
        </w:rPr>
      </w:pPr>
    </w:p>
    <w:p w14:paraId="36412B3F">
      <w:pPr>
        <w:spacing w:line="360" w:lineRule="auto"/>
        <w:jc w:val="center"/>
        <w:rPr>
          <w:rFonts w:hint="eastAsia" w:ascii="宋体" w:hAnsi="宋体" w:cs="宋体"/>
          <w:b/>
          <w:bCs/>
          <w:color w:val="auto"/>
          <w:sz w:val="44"/>
          <w:highlight w:val="none"/>
        </w:rPr>
      </w:pPr>
    </w:p>
    <w:p w14:paraId="01B32395">
      <w:pPr>
        <w:spacing w:line="360" w:lineRule="auto"/>
        <w:ind w:firstLine="3507" w:firstLineChars="794"/>
        <w:rPr>
          <w:rFonts w:hint="eastAsia" w:ascii="宋体" w:hAnsi="宋体" w:cs="宋体"/>
          <w:b/>
          <w:bCs/>
          <w:color w:val="auto"/>
          <w:sz w:val="44"/>
          <w:highlight w:val="none"/>
        </w:rPr>
      </w:pPr>
    </w:p>
    <w:p w14:paraId="15251050">
      <w:pPr>
        <w:spacing w:line="360" w:lineRule="auto"/>
        <w:ind w:firstLine="3507" w:firstLineChars="794"/>
        <w:rPr>
          <w:rFonts w:hint="eastAsia" w:ascii="宋体" w:hAnsi="宋体" w:cs="宋体"/>
          <w:b/>
          <w:bCs/>
          <w:color w:val="auto"/>
          <w:sz w:val="44"/>
          <w:highlight w:val="none"/>
        </w:rPr>
      </w:pPr>
    </w:p>
    <w:p w14:paraId="00BE0540">
      <w:pPr>
        <w:ind w:firstLine="1995" w:firstLineChars="552"/>
        <w:rPr>
          <w:rFonts w:hint="eastAsia" w:ascii="宋体" w:hAnsi="宋体" w:cs="宋体"/>
          <w:b/>
          <w:color w:val="auto"/>
          <w:sz w:val="36"/>
          <w:szCs w:val="36"/>
          <w:highlight w:val="none"/>
          <w:u w:val="single"/>
        </w:rPr>
      </w:pPr>
    </w:p>
    <w:p w14:paraId="3F1EA9D2">
      <w:pPr>
        <w:pStyle w:val="3"/>
        <w:rPr>
          <w:rFonts w:hint="eastAsia"/>
          <w:color w:val="auto"/>
          <w:highlight w:val="none"/>
        </w:rPr>
      </w:pPr>
    </w:p>
    <w:p w14:paraId="2CAF3299">
      <w:pPr>
        <w:ind w:firstLine="1995" w:firstLineChars="552"/>
        <w:rPr>
          <w:rFonts w:hint="eastAsia" w:ascii="宋体" w:hAnsi="宋体" w:cs="宋体"/>
          <w:b/>
          <w:color w:val="auto"/>
          <w:sz w:val="36"/>
          <w:szCs w:val="36"/>
          <w:highlight w:val="none"/>
          <w:u w:val="single"/>
        </w:rPr>
      </w:pPr>
    </w:p>
    <w:p w14:paraId="7B107D01">
      <w:pPr>
        <w:tabs>
          <w:tab w:val="left" w:pos="7200"/>
        </w:tabs>
        <w:spacing w:line="360" w:lineRule="auto"/>
        <w:ind w:left="3604" w:leftChars="684" w:hanging="2168" w:hangingChars="600"/>
        <w:jc w:val="both"/>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征</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人：</w:t>
      </w:r>
      <w:r>
        <w:rPr>
          <w:rFonts w:hint="eastAsia" w:ascii="宋体" w:hAnsi="宋体" w:cs="宋体"/>
          <w:b/>
          <w:color w:val="auto"/>
          <w:sz w:val="36"/>
          <w:szCs w:val="36"/>
          <w:highlight w:val="none"/>
          <w:u w:val="single"/>
        </w:rPr>
        <w:t xml:space="preserve"> </w:t>
      </w:r>
      <w:r>
        <w:rPr>
          <w:rFonts w:hint="eastAsia" w:ascii="宋体" w:hAnsi="宋体" w:cs="宋体"/>
          <w:b/>
          <w:color w:val="auto"/>
          <w:sz w:val="36"/>
          <w:szCs w:val="36"/>
          <w:highlight w:val="none"/>
          <w:u w:val="single"/>
          <w:lang w:eastAsia="zh-CN"/>
        </w:rPr>
        <w:t>广西</w:t>
      </w:r>
      <w:r>
        <w:rPr>
          <w:rFonts w:hint="eastAsia" w:ascii="宋体" w:hAnsi="宋体" w:cs="宋体"/>
          <w:b/>
          <w:color w:val="auto"/>
          <w:sz w:val="36"/>
          <w:szCs w:val="36"/>
          <w:highlight w:val="none"/>
          <w:u w:val="single"/>
          <w:lang w:val="en-US" w:eastAsia="zh-CN"/>
        </w:rPr>
        <w:t>—</w:t>
      </w:r>
      <w:r>
        <w:rPr>
          <w:rFonts w:hint="eastAsia" w:ascii="宋体" w:hAnsi="宋体" w:cs="宋体"/>
          <w:b/>
          <w:color w:val="auto"/>
          <w:sz w:val="36"/>
          <w:szCs w:val="36"/>
          <w:highlight w:val="none"/>
          <w:u w:val="single"/>
          <w:lang w:eastAsia="zh-CN"/>
        </w:rPr>
        <w:t>东盟经济技术开发区（南宁华侨投资区）后勤服务中心</w:t>
      </w:r>
    </w:p>
    <w:p w14:paraId="37B24AB4">
      <w:pPr>
        <w:tabs>
          <w:tab w:val="left" w:pos="7380"/>
        </w:tabs>
        <w:spacing w:line="360" w:lineRule="auto"/>
        <w:ind w:firstLine="1995" w:firstLineChars="552"/>
        <w:rPr>
          <w:rFonts w:hint="eastAsia" w:ascii="宋体" w:hAnsi="宋体" w:cs="宋体"/>
          <w:b/>
          <w:color w:val="auto"/>
          <w:sz w:val="36"/>
          <w:szCs w:val="36"/>
          <w:highlight w:val="none"/>
        </w:rPr>
      </w:pPr>
    </w:p>
    <w:p w14:paraId="2A2E918D">
      <w:pPr>
        <w:tabs>
          <w:tab w:val="left" w:pos="7380"/>
        </w:tabs>
        <w:spacing w:line="360" w:lineRule="auto"/>
        <w:ind w:firstLine="1446" w:firstLineChars="400"/>
        <w:rPr>
          <w:rFonts w:hint="eastAsia" w:ascii="宋体" w:hAnsi="宋体" w:cs="宋体"/>
          <w:b/>
          <w:bCs/>
          <w:color w:val="auto"/>
          <w:sz w:val="44"/>
          <w:highlight w:val="none"/>
        </w:rPr>
      </w:pPr>
      <w:r>
        <w:rPr>
          <w:rFonts w:hint="eastAsia" w:ascii="宋体" w:hAnsi="宋体" w:cs="宋体"/>
          <w:b/>
          <w:color w:val="auto"/>
          <w:sz w:val="36"/>
          <w:szCs w:val="36"/>
          <w:highlight w:val="none"/>
        </w:rPr>
        <w:t>入围供应商：</w:t>
      </w:r>
      <w:r>
        <w:rPr>
          <w:rFonts w:hint="eastAsia" w:ascii="宋体" w:hAnsi="宋体" w:cs="宋体"/>
          <w:b/>
          <w:color w:val="auto"/>
          <w:sz w:val="36"/>
          <w:szCs w:val="36"/>
          <w:highlight w:val="none"/>
          <w:u w:val="single"/>
        </w:rPr>
        <w:t xml:space="preserve">       </w:t>
      </w:r>
      <w:r>
        <w:rPr>
          <w:rFonts w:hint="eastAsia" w:ascii="宋体" w:hAnsi="宋体" w:cs="宋体"/>
          <w:b/>
          <w:color w:val="auto"/>
          <w:sz w:val="36"/>
          <w:szCs w:val="36"/>
          <w:highlight w:val="none"/>
          <w:u w:val="single"/>
          <w:lang w:val="en-US" w:eastAsia="zh-CN"/>
        </w:rPr>
        <w:t xml:space="preserve">          </w:t>
      </w:r>
      <w:r>
        <w:rPr>
          <w:rFonts w:hint="eastAsia" w:ascii="宋体" w:hAnsi="宋体" w:cs="宋体"/>
          <w:b/>
          <w:color w:val="auto"/>
          <w:sz w:val="36"/>
          <w:szCs w:val="36"/>
          <w:highlight w:val="none"/>
          <w:u w:val="single"/>
        </w:rPr>
        <w:t xml:space="preserve">       </w:t>
      </w:r>
    </w:p>
    <w:p w14:paraId="1A6A75B8">
      <w:pPr>
        <w:tabs>
          <w:tab w:val="left" w:pos="7380"/>
        </w:tabs>
        <w:spacing w:line="360" w:lineRule="auto"/>
        <w:rPr>
          <w:rFonts w:hint="eastAsia" w:ascii="宋体" w:hAnsi="宋体" w:cs="宋体"/>
          <w:b/>
          <w:bCs/>
          <w:color w:val="auto"/>
          <w:sz w:val="44"/>
          <w:highlight w:val="none"/>
        </w:rPr>
      </w:pPr>
    </w:p>
    <w:p w14:paraId="572900A7">
      <w:pPr>
        <w:tabs>
          <w:tab w:val="left" w:pos="7380"/>
        </w:tabs>
        <w:spacing w:line="360" w:lineRule="auto"/>
        <w:jc w:val="center"/>
        <w:rPr>
          <w:rFonts w:hint="eastAsia" w:ascii="宋体" w:hAnsi="宋体" w:cs="宋体"/>
          <w:b/>
          <w:bCs/>
          <w:color w:val="auto"/>
          <w:sz w:val="44"/>
          <w:highlight w:val="none"/>
        </w:rPr>
      </w:pPr>
      <w:r>
        <w:rPr>
          <w:rFonts w:hint="eastAsia" w:ascii="宋体" w:hAnsi="宋体" w:cs="宋体"/>
          <w:b/>
          <w:bCs/>
          <w:color w:val="auto"/>
          <w:sz w:val="44"/>
          <w:highlight w:val="none"/>
        </w:rPr>
        <w:br w:type="page"/>
      </w:r>
    </w:p>
    <w:p w14:paraId="3EB657E1">
      <w:pPr>
        <w:spacing w:line="440" w:lineRule="exact"/>
        <w:ind w:left="1604" w:leftChars="152" w:hanging="1285" w:hangingChars="400"/>
        <w:jc w:val="center"/>
        <w:rPr>
          <w:rFonts w:hint="eastAsia" w:ascii="宋体" w:cs="宋体"/>
          <w:b/>
          <w:bCs/>
          <w:color w:val="auto"/>
          <w:kern w:val="0"/>
          <w:sz w:val="32"/>
          <w:szCs w:val="32"/>
          <w:highlight w:val="none"/>
          <w:lang w:val="en-US" w:eastAsia="zh-CN"/>
        </w:rPr>
      </w:pPr>
    </w:p>
    <w:p w14:paraId="2E18F2C7">
      <w:pPr>
        <w:spacing w:line="440" w:lineRule="exact"/>
        <w:ind w:left="1602" w:leftChars="304" w:hanging="964" w:hangingChars="300"/>
        <w:jc w:val="both"/>
        <w:rPr>
          <w:rFonts w:hint="eastAsia" w:ascii="宋体" w:cs="宋体"/>
          <w:b/>
          <w:bCs/>
          <w:color w:val="auto"/>
          <w:kern w:val="0"/>
          <w:sz w:val="32"/>
          <w:szCs w:val="32"/>
          <w:highlight w:val="none"/>
          <w:lang w:val="en-US" w:eastAsia="zh-CN"/>
        </w:rPr>
      </w:pPr>
      <w:r>
        <w:rPr>
          <w:rFonts w:hint="eastAsia" w:ascii="宋体" w:cs="宋体"/>
          <w:b/>
          <w:bCs/>
          <w:color w:val="auto"/>
          <w:kern w:val="0"/>
          <w:sz w:val="32"/>
          <w:szCs w:val="32"/>
          <w:highlight w:val="none"/>
          <w:lang w:val="en-US" w:eastAsia="zh-CN"/>
        </w:rPr>
        <w:t>广西—东盟经济技术开发区2025-2027年度预算单位车辆维修</w:t>
      </w:r>
    </w:p>
    <w:p w14:paraId="6260BD20">
      <w:pPr>
        <w:keepNext w:val="0"/>
        <w:keepLines w:val="0"/>
        <w:pageBreakBefore w:val="0"/>
        <w:widowControl w:val="0"/>
        <w:kinsoku/>
        <w:wordWrap/>
        <w:overflowPunct/>
        <w:topLinePunct w:val="0"/>
        <w:autoSpaceDE/>
        <w:autoSpaceDN/>
        <w:bidi w:val="0"/>
        <w:adjustRightInd/>
        <w:spacing w:line="500" w:lineRule="exact"/>
        <w:ind w:left="1602" w:leftChars="304" w:hanging="964" w:hangingChars="300"/>
        <w:jc w:val="both"/>
        <w:textAlignment w:val="auto"/>
        <w:outlineLvl w:val="9"/>
        <w:rPr>
          <w:color w:val="auto"/>
          <w:highlight w:val="none"/>
        </w:rPr>
      </w:pPr>
      <w:r>
        <w:rPr>
          <w:rFonts w:hint="eastAsia" w:ascii="宋体" w:cs="宋体"/>
          <w:b/>
          <w:bCs/>
          <w:color w:val="auto"/>
          <w:kern w:val="0"/>
          <w:sz w:val="32"/>
          <w:szCs w:val="32"/>
          <w:highlight w:val="none"/>
          <w:lang w:val="en-US" w:eastAsia="zh-CN"/>
        </w:rPr>
        <w:t>和保养服务采购项目</w:t>
      </w:r>
      <w:r>
        <w:rPr>
          <w:rFonts w:hint="eastAsia" w:ascii="宋体" w:cs="宋体"/>
          <w:b/>
          <w:bCs/>
          <w:color w:val="auto"/>
          <w:kern w:val="0"/>
          <w:sz w:val="32"/>
          <w:szCs w:val="32"/>
          <w:highlight w:val="none"/>
          <w:lang w:val="zh-CN"/>
        </w:rPr>
        <w:t>框架协议采购</w:t>
      </w:r>
      <w:r>
        <w:rPr>
          <w:rFonts w:hint="eastAsia" w:ascii="宋体" w:hAnsi="宋体"/>
          <w:b/>
          <w:color w:val="auto"/>
          <w:sz w:val="32"/>
          <w:highlight w:val="none"/>
          <w:lang w:eastAsia="zh-CN"/>
        </w:rPr>
        <w:t>第一阶段框架协议</w:t>
      </w:r>
      <w:r>
        <w:rPr>
          <w:rFonts w:hint="eastAsia" w:ascii="宋体" w:hAnsi="宋体"/>
          <w:b/>
          <w:color w:val="auto"/>
          <w:sz w:val="32"/>
          <w:highlight w:val="none"/>
        </w:rPr>
        <w:t>（格式）</w:t>
      </w:r>
    </w:p>
    <w:p w14:paraId="7E855DD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A857D58">
      <w:pPr>
        <w:keepNext w:val="0"/>
        <w:keepLines w:val="0"/>
        <w:pageBreakBefore w:val="0"/>
        <w:widowControl w:val="0"/>
        <w:kinsoku/>
        <w:wordWrap/>
        <w:overflowPunct/>
        <w:topLinePunct w:val="0"/>
        <w:autoSpaceDE/>
        <w:autoSpaceDN/>
        <w:bidi w:val="0"/>
        <w:snapToGrid w:val="0"/>
        <w:spacing w:beforeAutospacing="0" w:afterAutospacing="0" w:line="38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D8FB1FD">
      <w:pPr>
        <w:keepNext w:val="0"/>
        <w:keepLines w:val="0"/>
        <w:pageBreakBefore w:val="0"/>
        <w:widowControl w:val="0"/>
        <w:kinsoku/>
        <w:wordWrap/>
        <w:overflowPunct/>
        <w:topLinePunct w:val="0"/>
        <w:autoSpaceDE/>
        <w:autoSpaceDN/>
        <w:bidi w:val="0"/>
        <w:snapToGrid w:val="0"/>
        <w:spacing w:beforeAutospacing="0" w:afterAutospacing="0" w:line="380" w:lineRule="exact"/>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征集人（甲方）：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F4ADCFF">
      <w:pPr>
        <w:keepNext w:val="0"/>
        <w:keepLines w:val="0"/>
        <w:pageBreakBefore w:val="0"/>
        <w:widowControl w:val="0"/>
        <w:kinsoku/>
        <w:wordWrap/>
        <w:overflowPunct/>
        <w:topLinePunct w:val="0"/>
        <w:autoSpaceDE/>
        <w:autoSpaceDN/>
        <w:bidi w:val="0"/>
        <w:snapToGrid w:val="0"/>
        <w:spacing w:beforeAutospacing="0" w:afterAutospacing="0" w:line="380" w:lineRule="exact"/>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入围供应商（乙方）：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98FAC94">
      <w:pPr>
        <w:spacing w:line="400" w:lineRule="exact"/>
        <w:jc w:val="left"/>
        <w:rPr>
          <w:color w:val="auto"/>
          <w:highlight w:val="none"/>
        </w:rPr>
      </w:pPr>
    </w:p>
    <w:p w14:paraId="709D954D">
      <w:pPr>
        <w:keepNext w:val="0"/>
        <w:keepLines w:val="0"/>
        <w:pageBreakBefore w:val="0"/>
        <w:widowControl w:val="0"/>
        <w:kinsoku/>
        <w:wordWrap/>
        <w:overflowPunct/>
        <w:topLinePunct w:val="0"/>
        <w:autoSpaceDE/>
        <w:autoSpaceDN/>
        <w:bidi w:val="0"/>
        <w:snapToGrid w:val="0"/>
        <w:spacing w:beforeAutospacing="0" w:afterAutospacing="0" w:line="380" w:lineRule="exact"/>
        <w:ind w:lef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为了保护甲乙双方合法权益，根据《中华人民共和国政府采购法》、《中华人民共和国政府采购法实施条例》、</w:t>
      </w:r>
      <w:r>
        <w:rPr>
          <w:rFonts w:hint="eastAsia" w:ascii="宋体" w:hAnsi="Courier New"/>
          <w:color w:val="auto"/>
          <w:szCs w:val="20"/>
          <w:highlight w:val="none"/>
        </w:rPr>
        <w:t>《</w:t>
      </w:r>
      <w:r>
        <w:rPr>
          <w:rFonts w:ascii="宋体" w:hAnsi="Courier New"/>
          <w:color w:val="auto"/>
          <w:szCs w:val="20"/>
          <w:highlight w:val="none"/>
        </w:rPr>
        <w:t>政府采购框架协议采购方式管理暂行办法</w:t>
      </w:r>
      <w:r>
        <w:rPr>
          <w:rFonts w:hint="eastAsia" w:ascii="宋体" w:hAnsi="Courier New"/>
          <w:color w:val="auto"/>
          <w:szCs w:val="20"/>
          <w:highlight w:val="none"/>
        </w:rPr>
        <w:t>》</w:t>
      </w:r>
      <w:r>
        <w:rPr>
          <w:rFonts w:hint="eastAsia" w:ascii="宋体" w:hAnsi="Courier New"/>
          <w:color w:val="auto"/>
          <w:szCs w:val="20"/>
          <w:highlight w:val="none"/>
          <w:lang w:eastAsia="zh-CN"/>
        </w:rPr>
        <w:t>、</w:t>
      </w:r>
      <w:r>
        <w:rPr>
          <w:rFonts w:hint="eastAsia" w:ascii="宋体" w:hAnsi="宋体" w:eastAsia="宋体" w:cs="宋体"/>
          <w:color w:val="auto"/>
          <w:kern w:val="2"/>
          <w:sz w:val="21"/>
          <w:szCs w:val="21"/>
          <w:highlight w:val="none"/>
        </w:rPr>
        <w:t>《中华人民共和国民法典》等法律、法规规定，</w:t>
      </w:r>
      <w:r>
        <w:rPr>
          <w:rFonts w:hint="eastAsia" w:ascii="宋体" w:hAnsi="宋体" w:cs="宋体"/>
          <w:color w:val="auto"/>
          <w:szCs w:val="21"/>
          <w:highlight w:val="none"/>
        </w:rPr>
        <w:t>按照征集文件约定的事项以及协议乙方的响应文件及其承诺,协议甲乙双方签订</w:t>
      </w:r>
      <w:r>
        <w:rPr>
          <w:rFonts w:hint="eastAsia" w:ascii="宋体" w:hAnsi="宋体" w:cs="宋体"/>
          <w:color w:val="auto"/>
          <w:szCs w:val="21"/>
          <w:highlight w:val="none"/>
          <w:lang w:eastAsia="zh-CN"/>
        </w:rPr>
        <w:t>本</w:t>
      </w:r>
      <w:r>
        <w:rPr>
          <w:rFonts w:hint="eastAsia" w:ascii="宋体" w:hAnsi="宋体" w:cs="宋体"/>
          <w:color w:val="auto"/>
          <w:szCs w:val="21"/>
          <w:highlight w:val="none"/>
        </w:rPr>
        <w:t>框架协议</w:t>
      </w:r>
      <w:r>
        <w:rPr>
          <w:rFonts w:hint="eastAsia" w:ascii="宋体" w:hAnsi="宋体" w:eastAsia="宋体" w:cs="宋体"/>
          <w:color w:val="auto"/>
          <w:kern w:val="2"/>
          <w:sz w:val="21"/>
          <w:szCs w:val="21"/>
          <w:highlight w:val="none"/>
        </w:rPr>
        <w:t>，并共同遵守。</w:t>
      </w:r>
    </w:p>
    <w:p w14:paraId="1AA599BA">
      <w:pPr>
        <w:spacing w:line="400" w:lineRule="exact"/>
        <w:ind w:firstLine="422" w:firstLineChars="200"/>
        <w:jc w:val="left"/>
        <w:rPr>
          <w:b/>
          <w:color w:val="auto"/>
          <w:highlight w:val="none"/>
        </w:rPr>
      </w:pPr>
      <w:r>
        <w:rPr>
          <w:rFonts w:hint="eastAsia"/>
          <w:b/>
          <w:color w:val="auto"/>
          <w:highlight w:val="none"/>
        </w:rPr>
        <w:t>一、框架协议内容</w:t>
      </w:r>
    </w:p>
    <w:p w14:paraId="0BD3BD71">
      <w:pPr>
        <w:spacing w:line="400" w:lineRule="exact"/>
        <w:ind w:firstLine="420" w:firstLineChars="200"/>
        <w:jc w:val="left"/>
        <w:rPr>
          <w:color w:val="auto"/>
          <w:highlight w:val="none"/>
        </w:rPr>
      </w:pPr>
      <w:r>
        <w:rPr>
          <w:rFonts w:hint="eastAsia"/>
          <w:color w:val="auto"/>
          <w:highlight w:val="none"/>
        </w:rPr>
        <w:t>经框架协议采购，乙方成为</w:t>
      </w:r>
      <w:r>
        <w:rPr>
          <w:rFonts w:hint="eastAsia"/>
          <w:color w:val="auto"/>
          <w:highlight w:val="none"/>
          <w:lang w:eastAsia="zh-CN"/>
        </w:rPr>
        <w:t>广西—东盟经济技术开发区2025-2027年度预算单位车辆维修和保养服务框架协议采购</w:t>
      </w:r>
      <w:r>
        <w:rPr>
          <w:rFonts w:hint="eastAsia"/>
          <w:color w:val="auto"/>
          <w:highlight w:val="none"/>
        </w:rPr>
        <w:t>入围供应商。乙方必须服从甲方的管理和监督，在</w:t>
      </w:r>
      <w:r>
        <w:rPr>
          <w:rFonts w:hint="eastAsia"/>
          <w:color w:val="auto"/>
          <w:highlight w:val="none"/>
          <w:lang w:eastAsia="zh-CN"/>
        </w:rPr>
        <w:t>广西—东盟经济技术开发区</w:t>
      </w:r>
      <w:r>
        <w:rPr>
          <w:rFonts w:hint="eastAsia"/>
          <w:color w:val="auto"/>
          <w:highlight w:val="none"/>
        </w:rPr>
        <w:t>各预算单位（即采购人）要求其开展</w:t>
      </w:r>
      <w:r>
        <w:rPr>
          <w:rFonts w:hint="eastAsia"/>
          <w:color w:val="auto"/>
          <w:highlight w:val="none"/>
          <w:lang w:eastAsia="zh-CN"/>
        </w:rPr>
        <w:t>广西—东盟经济技术开发区2025-2027年度预算单位车辆维修和保养服务框架协议采购</w:t>
      </w:r>
      <w:r>
        <w:rPr>
          <w:rFonts w:hint="eastAsia"/>
          <w:color w:val="auto"/>
          <w:highlight w:val="none"/>
        </w:rPr>
        <w:t>时，与采购人签订采购合同，并服从采购人的安排，按时、保质、保量地完成车辆维修和保养服务工作。</w:t>
      </w:r>
    </w:p>
    <w:p w14:paraId="0E62873E">
      <w:pPr>
        <w:numPr>
          <w:ilvl w:val="0"/>
          <w:numId w:val="5"/>
        </w:numPr>
        <w:spacing w:line="400" w:lineRule="exact"/>
        <w:ind w:firstLine="422"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框架协议的采购人或者服务对象范围，以及履行合同的地域范围</w:t>
      </w:r>
    </w:p>
    <w:p w14:paraId="7BCB794C">
      <w:pPr>
        <w:spacing w:line="380" w:lineRule="exact"/>
        <w:ind w:firstLine="420" w:firstLineChars="200"/>
        <w:rPr>
          <w:rFonts w:hint="default" w:eastAsia="宋体"/>
          <w:color w:val="auto"/>
          <w:highlight w:val="none"/>
          <w:lang w:val="en-US" w:eastAsia="zh-CN"/>
        </w:rPr>
      </w:pPr>
      <w:r>
        <w:rPr>
          <w:rFonts w:hint="eastAsia" w:ascii="宋体" w:hAnsi="宋体" w:cs="宋体"/>
          <w:color w:val="auto"/>
          <w:szCs w:val="21"/>
          <w:highlight w:val="none"/>
        </w:rPr>
        <w:t>甲方确定乙方为</w:t>
      </w:r>
      <w:r>
        <w:rPr>
          <w:rFonts w:hint="eastAsia" w:ascii="宋体" w:cs="宋体"/>
          <w:b w:val="0"/>
          <w:bCs w:val="0"/>
          <w:color w:val="auto"/>
          <w:kern w:val="0"/>
          <w:szCs w:val="21"/>
          <w:highlight w:val="none"/>
          <w:u w:val="none"/>
          <w:lang w:val="en-US" w:eastAsia="zh-CN"/>
        </w:rPr>
        <w:t>广西—东盟经济技术开发区2025-2027年度预算单位车辆维修和保养服务框架协议采购</w:t>
      </w:r>
      <w:r>
        <w:rPr>
          <w:rFonts w:hint="eastAsia" w:ascii="宋体" w:hAnsi="宋体" w:cs="宋体"/>
          <w:b w:val="0"/>
          <w:bCs w:val="0"/>
          <w:color w:val="auto"/>
          <w:szCs w:val="21"/>
          <w:highlight w:val="none"/>
          <w:u w:val="none"/>
        </w:rPr>
        <w:t>的供应商。乙方可以承接</w:t>
      </w:r>
      <w:r>
        <w:rPr>
          <w:rFonts w:hint="eastAsia"/>
          <w:color w:val="auto"/>
          <w:highlight w:val="none"/>
          <w:lang w:eastAsia="zh-CN"/>
        </w:rPr>
        <w:t>广西—东盟经济技术开发区</w:t>
      </w:r>
      <w:r>
        <w:rPr>
          <w:rFonts w:hint="eastAsia" w:ascii="宋体" w:hAnsi="宋体" w:cs="宋体"/>
          <w:b w:val="0"/>
          <w:bCs w:val="0"/>
          <w:color w:val="auto"/>
          <w:szCs w:val="21"/>
          <w:highlight w:val="none"/>
          <w:u w:val="none"/>
          <w:lang w:eastAsia="zh-CN"/>
        </w:rPr>
        <w:t>预算</w:t>
      </w:r>
      <w:r>
        <w:rPr>
          <w:rFonts w:hint="eastAsia" w:ascii="宋体" w:hAnsi="宋体" w:cs="宋体"/>
          <w:b w:val="0"/>
          <w:bCs w:val="0"/>
          <w:color w:val="auto"/>
          <w:szCs w:val="21"/>
          <w:highlight w:val="none"/>
          <w:u w:val="none"/>
        </w:rPr>
        <w:t>单位公务车辆维修和保养服务。</w:t>
      </w:r>
    </w:p>
    <w:p w14:paraId="0BC593A8">
      <w:pPr>
        <w:numPr>
          <w:ilvl w:val="0"/>
          <w:numId w:val="0"/>
        </w:numPr>
        <w:spacing w:line="400" w:lineRule="exact"/>
        <w:ind w:firstLine="422" w:firstLineChars="200"/>
        <w:jc w:val="left"/>
        <w:rPr>
          <w:b/>
          <w:color w:val="auto"/>
          <w:highlight w:val="none"/>
        </w:rPr>
      </w:pPr>
      <w:r>
        <w:rPr>
          <w:rFonts w:hint="eastAsia"/>
          <w:b/>
          <w:color w:val="auto"/>
          <w:highlight w:val="none"/>
          <w:lang w:eastAsia="zh-CN"/>
        </w:rPr>
        <w:t>三、</w:t>
      </w:r>
      <w:r>
        <w:rPr>
          <w:rFonts w:hint="eastAsia"/>
          <w:b/>
          <w:color w:val="auto"/>
          <w:highlight w:val="none"/>
        </w:rPr>
        <w:t>框架协议有效期</w:t>
      </w:r>
    </w:p>
    <w:p w14:paraId="27F54330">
      <w:pPr>
        <w:spacing w:line="400" w:lineRule="exact"/>
        <w:ind w:firstLine="420" w:firstLineChars="200"/>
        <w:jc w:val="left"/>
        <w:rPr>
          <w:rFonts w:hint="eastAsia" w:ascii="Times New Roman" w:hAnsi="Times New Roman" w:cs="Times New Roman"/>
          <w:b/>
          <w:bCs/>
          <w:color w:val="auto"/>
          <w:kern w:val="2"/>
          <w:sz w:val="21"/>
          <w:szCs w:val="24"/>
          <w:highlight w:val="none"/>
          <w:u w:val="none"/>
          <w:lang w:val="en-US" w:eastAsia="zh-CN" w:bidi="ar-SA"/>
        </w:rPr>
      </w:pPr>
      <w:r>
        <w:rPr>
          <w:rFonts w:hint="eastAsia"/>
          <w:color w:val="auto"/>
          <w:highlight w:val="none"/>
        </w:rPr>
        <w:t>本框架协议期限为二年，从202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日起至202</w:t>
      </w:r>
      <w:r>
        <w:rPr>
          <w:rFonts w:hint="eastAsia"/>
          <w:color w:val="auto"/>
          <w:highlight w:val="none"/>
          <w:lang w:val="en-US" w:eastAsia="zh-CN"/>
        </w:rPr>
        <w:t>7</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日止。</w:t>
      </w:r>
    </w:p>
    <w:p w14:paraId="05DEF4D8">
      <w:pPr>
        <w:pStyle w:val="13"/>
        <w:numPr>
          <w:ilvl w:val="0"/>
          <w:numId w:val="0"/>
        </w:numPr>
        <w:ind w:leftChars="200"/>
        <w:rPr>
          <w:b/>
          <w:color w:val="auto"/>
          <w:highlight w:val="none"/>
        </w:rPr>
      </w:pPr>
      <w:r>
        <w:rPr>
          <w:rFonts w:hint="eastAsia" w:ascii="Times New Roman" w:hAnsi="Times New Roman" w:cs="Times New Roman"/>
          <w:b/>
          <w:bCs/>
          <w:color w:val="auto"/>
          <w:kern w:val="2"/>
          <w:sz w:val="21"/>
          <w:szCs w:val="24"/>
          <w:highlight w:val="none"/>
          <w:u w:val="none"/>
          <w:lang w:val="en-US" w:eastAsia="zh-CN" w:bidi="ar-SA"/>
        </w:rPr>
        <w:t>四、</w:t>
      </w:r>
      <w:r>
        <w:rPr>
          <w:rFonts w:hint="eastAsia"/>
          <w:b/>
          <w:color w:val="auto"/>
          <w:highlight w:val="none"/>
        </w:rPr>
        <w:t>送修手续及相关事项</w:t>
      </w:r>
    </w:p>
    <w:p w14:paraId="3FFBAA7F">
      <w:pPr>
        <w:spacing w:line="400" w:lineRule="exact"/>
        <w:ind w:firstLine="411" w:firstLineChars="196"/>
        <w:rPr>
          <w:color w:val="auto"/>
          <w:highlight w:val="none"/>
        </w:rPr>
      </w:pPr>
      <w:r>
        <w:rPr>
          <w:rFonts w:hint="eastAsia"/>
          <w:color w:val="auto"/>
          <w:highlight w:val="none"/>
        </w:rPr>
        <w:t>1.</w:t>
      </w:r>
      <w:r>
        <w:rPr>
          <w:rFonts w:hint="eastAsia"/>
          <w:color w:val="auto"/>
          <w:highlight w:val="none"/>
          <w:lang w:eastAsia="zh-CN"/>
        </w:rPr>
        <w:t>甲方</w:t>
      </w:r>
      <w:r>
        <w:rPr>
          <w:rFonts w:hint="eastAsia"/>
          <w:color w:val="auto"/>
          <w:highlight w:val="none"/>
        </w:rPr>
        <w:t>送修车辆时必须填写“</w:t>
      </w:r>
      <w:r>
        <w:rPr>
          <w:rFonts w:hint="eastAsia"/>
          <w:color w:val="auto"/>
          <w:highlight w:val="none"/>
          <w:lang w:eastAsia="zh-CN"/>
        </w:rPr>
        <w:t>广西—东盟经济技术开发区</w:t>
      </w:r>
      <w:r>
        <w:rPr>
          <w:rFonts w:hint="eastAsia"/>
          <w:color w:val="auto"/>
          <w:highlight w:val="none"/>
        </w:rPr>
        <w:t>预算单位公务用车维修和保养送修单”（以下简称送修单）。送修单上应注明送修车辆的品牌、车辆牌照号以及具体维修项目，需经</w:t>
      </w:r>
      <w:r>
        <w:rPr>
          <w:rFonts w:hint="eastAsia"/>
          <w:color w:val="auto"/>
          <w:highlight w:val="none"/>
          <w:lang w:eastAsia="zh-CN"/>
        </w:rPr>
        <w:t>甲方</w:t>
      </w:r>
      <w:r>
        <w:rPr>
          <w:rFonts w:hint="eastAsia"/>
          <w:color w:val="auto"/>
          <w:highlight w:val="none"/>
        </w:rPr>
        <w:t>审核签署意见并加盖公章方可送修。</w:t>
      </w:r>
    </w:p>
    <w:p w14:paraId="384E1C78">
      <w:pPr>
        <w:spacing w:line="400" w:lineRule="exact"/>
        <w:ind w:firstLine="420" w:firstLineChars="200"/>
        <w:rPr>
          <w:color w:val="auto"/>
          <w:highlight w:val="none"/>
        </w:rPr>
      </w:pPr>
      <w:r>
        <w:rPr>
          <w:rFonts w:hint="eastAsia"/>
          <w:color w:val="auto"/>
          <w:highlight w:val="none"/>
        </w:rPr>
        <w:t>2.对送修车辆乙方应以修复为主，能不更换的零部件尽量不予更换，确实不能修复或修复不经济的零部件，在征得</w:t>
      </w:r>
      <w:r>
        <w:rPr>
          <w:rFonts w:hint="eastAsia"/>
          <w:color w:val="auto"/>
          <w:highlight w:val="none"/>
          <w:lang w:eastAsia="zh-CN"/>
        </w:rPr>
        <w:t>甲方</w:t>
      </w:r>
      <w:r>
        <w:rPr>
          <w:rFonts w:hint="eastAsia"/>
          <w:color w:val="auto"/>
          <w:highlight w:val="none"/>
        </w:rPr>
        <w:t>同意的情况下，方可进行更换。</w:t>
      </w:r>
    </w:p>
    <w:p w14:paraId="613955A2">
      <w:pPr>
        <w:spacing w:line="400" w:lineRule="exact"/>
        <w:ind w:firstLine="420" w:firstLineChars="200"/>
        <w:rPr>
          <w:color w:val="auto"/>
          <w:highlight w:val="none"/>
        </w:rPr>
      </w:pPr>
      <w:r>
        <w:rPr>
          <w:rFonts w:hint="eastAsia"/>
          <w:color w:val="auto"/>
          <w:highlight w:val="none"/>
        </w:rPr>
        <w:t>3.乙方应对送修车辆进行仔细检查，并根据需要维修的项目和标准在送修单上列明维修工时费以及零配件材料费的数量和单价。</w:t>
      </w:r>
    </w:p>
    <w:p w14:paraId="1BF1D71C">
      <w:pPr>
        <w:spacing w:line="400" w:lineRule="exact"/>
        <w:ind w:firstLine="420" w:firstLineChars="200"/>
        <w:rPr>
          <w:color w:val="auto"/>
          <w:highlight w:val="none"/>
        </w:rPr>
      </w:pPr>
      <w:r>
        <w:rPr>
          <w:rFonts w:hint="eastAsia"/>
          <w:color w:val="auto"/>
          <w:highlight w:val="none"/>
        </w:rPr>
        <w:t>4.乙方按送修单上的维修项目进行维修。在维修过程中，若出现与送修单不符的(增减维修项目)或超出送修范围的，须报</w:t>
      </w:r>
      <w:r>
        <w:rPr>
          <w:rFonts w:hint="eastAsia"/>
          <w:color w:val="auto"/>
          <w:highlight w:val="none"/>
          <w:lang w:eastAsia="zh-CN"/>
        </w:rPr>
        <w:t>甲方</w:t>
      </w:r>
      <w:r>
        <w:rPr>
          <w:rFonts w:hint="eastAsia"/>
          <w:color w:val="auto"/>
          <w:highlight w:val="none"/>
        </w:rPr>
        <w:t>确认。</w:t>
      </w:r>
    </w:p>
    <w:p w14:paraId="16414224">
      <w:pPr>
        <w:spacing w:line="400" w:lineRule="exact"/>
        <w:ind w:firstLine="420" w:firstLineChars="200"/>
        <w:rPr>
          <w:color w:val="auto"/>
          <w:highlight w:val="none"/>
        </w:rPr>
      </w:pPr>
      <w:r>
        <w:rPr>
          <w:rFonts w:hint="eastAsia"/>
          <w:color w:val="auto"/>
          <w:highlight w:val="none"/>
        </w:rPr>
        <w:t>5.送修单一式三份，需由</w:t>
      </w:r>
      <w:r>
        <w:rPr>
          <w:rFonts w:hint="eastAsia"/>
          <w:color w:val="auto"/>
          <w:highlight w:val="none"/>
          <w:lang w:eastAsia="zh-CN"/>
        </w:rPr>
        <w:t>甲方</w:t>
      </w:r>
      <w:r>
        <w:rPr>
          <w:rFonts w:hint="eastAsia"/>
          <w:color w:val="auto"/>
          <w:highlight w:val="none"/>
        </w:rPr>
        <w:t>、乙方双方经办人签字认可；</w:t>
      </w:r>
      <w:r>
        <w:rPr>
          <w:rFonts w:hint="eastAsia"/>
          <w:color w:val="auto"/>
          <w:highlight w:val="none"/>
          <w:lang w:eastAsia="zh-CN"/>
        </w:rPr>
        <w:t>甲方</w:t>
      </w:r>
      <w:r>
        <w:rPr>
          <w:rFonts w:hint="eastAsia"/>
          <w:color w:val="auto"/>
          <w:highlight w:val="none"/>
        </w:rPr>
        <w:t>车管部门和财务部门、乙方各持一份。乙方应妥善保存送修单。</w:t>
      </w:r>
    </w:p>
    <w:p w14:paraId="0330F0D0">
      <w:pPr>
        <w:spacing w:line="400" w:lineRule="exact"/>
        <w:ind w:firstLine="525" w:firstLineChars="249"/>
        <w:jc w:val="left"/>
        <w:rPr>
          <w:b/>
          <w:color w:val="auto"/>
          <w:highlight w:val="none"/>
        </w:rPr>
      </w:pPr>
      <w:r>
        <w:rPr>
          <w:rFonts w:hint="eastAsia"/>
          <w:b/>
          <w:color w:val="auto"/>
          <w:highlight w:val="none"/>
          <w:lang w:eastAsia="zh-CN"/>
        </w:rPr>
        <w:t>五</w:t>
      </w:r>
      <w:r>
        <w:rPr>
          <w:rFonts w:hint="eastAsia"/>
          <w:b/>
          <w:color w:val="auto"/>
          <w:highlight w:val="none"/>
        </w:rPr>
        <w:t>、维修费用</w:t>
      </w:r>
    </w:p>
    <w:p w14:paraId="01380637">
      <w:pPr>
        <w:spacing w:line="360" w:lineRule="auto"/>
        <w:ind w:firstLine="424" w:firstLineChars="202"/>
        <w:jc w:val="left"/>
        <w:rPr>
          <w:rFonts w:ascii="宋体" w:hAnsi="宋体" w:cs="宋体"/>
          <w:b/>
          <w:bCs w:val="0"/>
          <w:color w:val="auto"/>
          <w:highlight w:val="none"/>
        </w:rPr>
      </w:pPr>
      <w:r>
        <w:rPr>
          <w:rFonts w:hint="eastAsia"/>
          <w:color w:val="auto"/>
          <w:highlight w:val="none"/>
        </w:rPr>
        <w:t>1.维修费用由零配件价格</w:t>
      </w:r>
      <w:r>
        <w:rPr>
          <w:rFonts w:hint="eastAsia"/>
          <w:color w:val="auto"/>
          <w:highlight w:val="none"/>
          <w:lang w:val="en-US" w:eastAsia="zh-CN"/>
        </w:rPr>
        <w:t>和</w:t>
      </w:r>
      <w:r>
        <w:rPr>
          <w:rFonts w:hint="eastAsia"/>
          <w:color w:val="auto"/>
          <w:highlight w:val="none"/>
        </w:rPr>
        <w:t>维修工时费组成。乙方响应文件承诺的零配件</w:t>
      </w:r>
      <w:r>
        <w:rPr>
          <w:rFonts w:hint="eastAsia"/>
          <w:color w:val="auto"/>
          <w:highlight w:val="none"/>
          <w:lang w:val="en-US" w:eastAsia="zh-CN"/>
        </w:rPr>
        <w:t>价格</w:t>
      </w:r>
      <w:r>
        <w:rPr>
          <w:rFonts w:hint="eastAsia"/>
          <w:color w:val="auto"/>
          <w:highlight w:val="none"/>
        </w:rPr>
        <w:t>优惠率</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维修</w:t>
      </w:r>
      <w:r>
        <w:rPr>
          <w:rFonts w:hint="eastAsia"/>
          <w:color w:val="auto"/>
          <w:highlight w:val="none"/>
        </w:rPr>
        <w:t>工时</w:t>
      </w:r>
      <w:r>
        <w:rPr>
          <w:rFonts w:hint="eastAsia"/>
          <w:color w:val="auto"/>
          <w:highlight w:val="none"/>
          <w:lang w:val="en-US" w:eastAsia="zh-CN"/>
        </w:rPr>
        <w:t>费</w:t>
      </w:r>
      <w:r>
        <w:rPr>
          <w:rFonts w:hint="eastAsia"/>
          <w:color w:val="auto"/>
          <w:highlight w:val="none"/>
        </w:rPr>
        <w:t>优惠率</w:t>
      </w:r>
      <w:r>
        <w:rPr>
          <w:rFonts w:hint="eastAsia"/>
          <w:color w:val="auto"/>
          <w:highlight w:val="none"/>
          <w:u w:val="single"/>
        </w:rPr>
        <w:t xml:space="preserve">     </w:t>
      </w:r>
      <w:r>
        <w:rPr>
          <w:rFonts w:hint="eastAsia"/>
          <w:color w:val="auto"/>
          <w:highlight w:val="none"/>
        </w:rPr>
        <w:t>%。维修</w:t>
      </w:r>
      <w:r>
        <w:rPr>
          <w:rFonts w:hint="eastAsia"/>
          <w:color w:val="auto"/>
          <w:highlight w:val="none"/>
          <w:lang w:val="en-US" w:eastAsia="zh-CN"/>
        </w:rPr>
        <w:t>和</w:t>
      </w:r>
      <w:r>
        <w:rPr>
          <w:rFonts w:hint="eastAsia"/>
          <w:color w:val="auto"/>
          <w:highlight w:val="none"/>
        </w:rPr>
        <w:t>保养费计算方式：</w:t>
      </w:r>
      <w:r>
        <w:rPr>
          <w:rFonts w:hint="eastAsia" w:ascii="宋体" w:hAnsi="宋体" w:cs="宋体"/>
          <w:b w:val="0"/>
          <w:bCs/>
          <w:color w:val="auto"/>
          <w:highlight w:val="none"/>
        </w:rPr>
        <w:t>零配件价格+</w:t>
      </w:r>
      <w:r>
        <w:rPr>
          <w:rFonts w:hint="eastAsia" w:ascii="宋体" w:hAnsi="宋体" w:cs="宋体"/>
          <w:b w:val="0"/>
          <w:bCs/>
          <w:color w:val="auto"/>
          <w:highlight w:val="none"/>
          <w:lang w:val="en-US" w:eastAsia="zh-CN"/>
        </w:rPr>
        <w:t>维修</w:t>
      </w:r>
      <w:r>
        <w:rPr>
          <w:rFonts w:hint="eastAsia" w:ascii="宋体" w:hAnsi="宋体" w:cs="宋体"/>
          <w:b w:val="0"/>
          <w:bCs/>
          <w:color w:val="auto"/>
          <w:highlight w:val="none"/>
        </w:rPr>
        <w:t>工时费。零配件</w:t>
      </w:r>
      <w:r>
        <w:rPr>
          <w:rFonts w:hint="eastAsia" w:ascii="宋体" w:hAnsi="宋体" w:cs="宋体"/>
          <w:b w:val="0"/>
          <w:bCs/>
          <w:color w:val="auto"/>
          <w:highlight w:val="none"/>
          <w:lang w:val="en-US" w:eastAsia="zh-CN"/>
        </w:rPr>
        <w:t>价格</w:t>
      </w:r>
      <w:r>
        <w:rPr>
          <w:rFonts w:hint="eastAsia" w:ascii="宋体" w:hAnsi="宋体" w:cs="宋体"/>
          <w:b w:val="0"/>
          <w:bCs/>
          <w:color w:val="auto"/>
          <w:highlight w:val="none"/>
        </w:rPr>
        <w:t>＝零配件市场实时价×（1－零配件</w:t>
      </w:r>
      <w:r>
        <w:rPr>
          <w:rFonts w:hint="eastAsia" w:ascii="宋体" w:hAnsi="宋体" w:cs="宋体"/>
          <w:b w:val="0"/>
          <w:bCs/>
          <w:color w:val="auto"/>
          <w:highlight w:val="none"/>
          <w:lang w:val="en-US" w:eastAsia="zh-CN"/>
        </w:rPr>
        <w:t>价格</w:t>
      </w:r>
      <w:r>
        <w:rPr>
          <w:rFonts w:hint="eastAsia" w:ascii="宋体" w:hAnsi="宋体" w:cs="宋体"/>
          <w:b w:val="0"/>
          <w:bCs/>
          <w:color w:val="auto"/>
          <w:highlight w:val="none"/>
        </w:rPr>
        <w:t>优惠率）；</w:t>
      </w:r>
      <w:r>
        <w:rPr>
          <w:rFonts w:hint="eastAsia" w:ascii="宋体" w:hAnsi="宋体" w:cs="宋体"/>
          <w:b w:val="0"/>
          <w:bCs/>
          <w:color w:val="auto"/>
          <w:highlight w:val="none"/>
          <w:lang w:val="en-US" w:eastAsia="zh-CN"/>
        </w:rPr>
        <w:t>维修</w:t>
      </w:r>
      <w:r>
        <w:rPr>
          <w:rFonts w:hint="eastAsia" w:ascii="宋体" w:hAnsi="宋体" w:cs="宋体"/>
          <w:b w:val="0"/>
          <w:bCs/>
          <w:color w:val="auto"/>
          <w:highlight w:val="none"/>
        </w:rPr>
        <w:t>工时费=</w:t>
      </w:r>
      <w:r>
        <w:rPr>
          <w:rFonts w:hint="eastAsia" w:ascii="宋体" w:hAnsi="宋体" w:cs="宋体"/>
          <w:b w:val="0"/>
          <w:bCs/>
          <w:color w:val="auto"/>
          <w:highlight w:val="none"/>
          <w:lang w:val="en-US" w:eastAsia="zh-CN"/>
        </w:rPr>
        <w:t>维修工时总费用</w:t>
      </w:r>
      <w:r>
        <w:rPr>
          <w:rFonts w:hint="eastAsia" w:ascii="宋体" w:hAnsi="宋体" w:cs="宋体"/>
          <w:b w:val="0"/>
          <w:bCs/>
          <w:color w:val="auto"/>
          <w:highlight w:val="none"/>
        </w:rPr>
        <w:t>×（1－</w:t>
      </w:r>
      <w:r>
        <w:rPr>
          <w:rFonts w:hint="eastAsia" w:ascii="宋体" w:hAnsi="宋体" w:cs="宋体"/>
          <w:b w:val="0"/>
          <w:bCs/>
          <w:color w:val="auto"/>
          <w:highlight w:val="none"/>
          <w:lang w:val="en-US" w:eastAsia="zh-CN"/>
        </w:rPr>
        <w:t>维修</w:t>
      </w:r>
      <w:r>
        <w:rPr>
          <w:rFonts w:hint="eastAsia" w:ascii="宋体" w:hAnsi="宋体" w:cs="宋体"/>
          <w:b w:val="0"/>
          <w:bCs/>
          <w:color w:val="auto"/>
          <w:highlight w:val="none"/>
        </w:rPr>
        <w:t>工时</w:t>
      </w:r>
      <w:r>
        <w:rPr>
          <w:rFonts w:hint="eastAsia" w:ascii="宋体" w:hAnsi="宋体" w:cs="宋体"/>
          <w:b w:val="0"/>
          <w:bCs/>
          <w:color w:val="auto"/>
          <w:highlight w:val="none"/>
          <w:lang w:val="en-US" w:eastAsia="zh-CN"/>
        </w:rPr>
        <w:t>费</w:t>
      </w:r>
      <w:r>
        <w:rPr>
          <w:rFonts w:hint="eastAsia" w:ascii="宋体" w:hAnsi="宋体" w:cs="宋体"/>
          <w:b w:val="0"/>
          <w:bCs/>
          <w:color w:val="auto"/>
          <w:highlight w:val="none"/>
        </w:rPr>
        <w:t>优惠率）（均为完税价格）。</w:t>
      </w:r>
      <w:r>
        <w:rPr>
          <w:rFonts w:hint="eastAsia" w:ascii="宋体" w:hAnsi="宋体" w:cs="宋体"/>
          <w:b/>
          <w:bCs w:val="0"/>
          <w:color w:val="auto"/>
          <w:highlight w:val="none"/>
        </w:rPr>
        <w:t>采购人有权与成交供应商在</w:t>
      </w:r>
      <w:r>
        <w:rPr>
          <w:rFonts w:hint="eastAsia" w:ascii="宋体" w:hAnsi="宋体" w:cs="宋体"/>
          <w:b/>
          <w:bCs w:val="0"/>
          <w:color w:val="auto"/>
          <w:highlight w:val="none"/>
          <w:lang w:eastAsia="zh-CN"/>
        </w:rPr>
        <w:t>入围</w:t>
      </w:r>
      <w:r>
        <w:rPr>
          <w:rFonts w:hint="eastAsia" w:ascii="宋体" w:hAnsi="宋体" w:cs="宋体"/>
          <w:b/>
          <w:bCs w:val="0"/>
          <w:color w:val="auto"/>
          <w:highlight w:val="none"/>
        </w:rPr>
        <w:t>所报优惠率的基础上进行价格谈判，以获取更低价格确定维修或采购。</w:t>
      </w:r>
    </w:p>
    <w:p w14:paraId="7EFD556F">
      <w:pPr>
        <w:spacing w:line="360" w:lineRule="auto"/>
        <w:ind w:firstLine="424" w:firstLineChars="202"/>
        <w:jc w:val="left"/>
        <w:rPr>
          <w:rFonts w:hint="eastAsia" w:ascii="宋体" w:hAnsi="宋体" w:cs="宋体"/>
          <w:b w:val="0"/>
          <w:bCs/>
          <w:color w:val="auto"/>
          <w:highlight w:val="none"/>
        </w:rPr>
      </w:pPr>
      <w:r>
        <w:rPr>
          <w:rFonts w:hint="eastAsia" w:ascii="宋体" w:hAnsi="宋体" w:cs="宋体"/>
          <w:b w:val="0"/>
          <w:bCs/>
          <w:color w:val="auto"/>
          <w:highlight w:val="none"/>
        </w:rPr>
        <w:t>2.参照国家、行业或者地方的机动车维修标准和规范或机动车生产企业提供的维修手册进行维修，维修工时费按乙方响应文件承诺的维修工时费执行，乙方响应文件中没有承诺的维修工时费，可由</w:t>
      </w:r>
      <w:r>
        <w:rPr>
          <w:rFonts w:hint="eastAsia" w:ascii="宋体" w:hAnsi="宋体" w:cs="宋体"/>
          <w:b w:val="0"/>
          <w:bCs/>
          <w:color w:val="auto"/>
          <w:highlight w:val="none"/>
          <w:lang w:eastAsia="zh-CN"/>
        </w:rPr>
        <w:t>甲方</w:t>
      </w:r>
      <w:r>
        <w:rPr>
          <w:rFonts w:hint="eastAsia" w:ascii="宋体" w:hAnsi="宋体" w:cs="宋体"/>
          <w:b w:val="0"/>
          <w:bCs/>
          <w:color w:val="auto"/>
          <w:highlight w:val="none"/>
        </w:rPr>
        <w:t>与乙方参照</w:t>
      </w:r>
      <w:r>
        <w:rPr>
          <w:rFonts w:hint="eastAsia"/>
          <w:color w:val="auto"/>
          <w:highlight w:val="none"/>
          <w:lang w:eastAsia="zh-CN"/>
        </w:rPr>
        <w:t>广西—东盟经济技术开发区</w:t>
      </w:r>
      <w:r>
        <w:rPr>
          <w:rFonts w:hint="eastAsia" w:ascii="宋体" w:hAnsi="宋体" w:cs="宋体"/>
          <w:b w:val="0"/>
          <w:bCs/>
          <w:color w:val="auto"/>
          <w:highlight w:val="none"/>
        </w:rPr>
        <w:t>同类维修市场价格商定，并按响应文件承诺的维修工时费优惠率进行结算。</w:t>
      </w:r>
    </w:p>
    <w:p w14:paraId="35849154">
      <w:pPr>
        <w:spacing w:line="360" w:lineRule="auto"/>
        <w:ind w:firstLine="424" w:firstLineChars="202"/>
        <w:jc w:val="left"/>
        <w:rPr>
          <w:rFonts w:hint="eastAsia" w:ascii="宋体" w:hAnsi="宋体" w:cs="宋体"/>
          <w:b w:val="0"/>
          <w:bCs/>
          <w:color w:val="auto"/>
          <w:highlight w:val="none"/>
        </w:rPr>
      </w:pPr>
      <w:r>
        <w:rPr>
          <w:rFonts w:hint="eastAsia" w:ascii="宋体" w:hAnsi="宋体" w:cs="宋体"/>
          <w:b w:val="0"/>
          <w:bCs/>
          <w:color w:val="auto"/>
          <w:highlight w:val="none"/>
        </w:rPr>
        <w:t>3.零配件价格按乙方响应文件承诺的价格执行，并按响应文件承诺的零配件</w:t>
      </w:r>
      <w:r>
        <w:rPr>
          <w:rFonts w:hint="eastAsia" w:ascii="宋体" w:hAnsi="宋体" w:cs="宋体"/>
          <w:b w:val="0"/>
          <w:bCs/>
          <w:color w:val="auto"/>
          <w:highlight w:val="none"/>
          <w:lang w:val="en-US" w:eastAsia="zh-CN"/>
        </w:rPr>
        <w:t>价格</w:t>
      </w:r>
      <w:r>
        <w:rPr>
          <w:rFonts w:hint="eastAsia" w:ascii="宋体" w:hAnsi="宋体" w:cs="宋体"/>
          <w:b w:val="0"/>
          <w:bCs/>
          <w:color w:val="auto"/>
          <w:highlight w:val="none"/>
        </w:rPr>
        <w:t>优惠率进行结算。</w:t>
      </w:r>
    </w:p>
    <w:p w14:paraId="30B63710">
      <w:pPr>
        <w:spacing w:line="360" w:lineRule="auto"/>
        <w:ind w:firstLine="424" w:firstLineChars="202"/>
        <w:jc w:val="left"/>
        <w:rPr>
          <w:rFonts w:hint="eastAsia" w:ascii="宋体" w:hAnsi="宋体" w:cs="宋体"/>
          <w:b w:val="0"/>
          <w:bCs/>
          <w:color w:val="auto"/>
          <w:highlight w:val="none"/>
        </w:rPr>
      </w:pPr>
      <w:r>
        <w:rPr>
          <w:rFonts w:hint="eastAsia" w:ascii="宋体" w:hAnsi="宋体" w:cs="宋体"/>
          <w:b w:val="0"/>
          <w:bCs/>
          <w:color w:val="auto"/>
          <w:highlight w:val="none"/>
        </w:rPr>
        <w:t>4.以上费用均含税金。</w:t>
      </w:r>
    </w:p>
    <w:p w14:paraId="0157F3B6">
      <w:pPr>
        <w:spacing w:line="400" w:lineRule="exact"/>
        <w:ind w:firstLine="422" w:firstLineChars="200"/>
        <w:jc w:val="left"/>
        <w:rPr>
          <w:b/>
          <w:color w:val="auto"/>
          <w:highlight w:val="none"/>
        </w:rPr>
      </w:pPr>
      <w:r>
        <w:rPr>
          <w:rFonts w:hint="eastAsia"/>
          <w:b/>
          <w:color w:val="auto"/>
          <w:highlight w:val="none"/>
          <w:lang w:eastAsia="zh-CN"/>
        </w:rPr>
        <w:t>六</w:t>
      </w:r>
      <w:r>
        <w:rPr>
          <w:rFonts w:hint="eastAsia"/>
          <w:b/>
          <w:color w:val="auto"/>
          <w:highlight w:val="none"/>
        </w:rPr>
        <w:t>、竣工车辆交接手续</w:t>
      </w:r>
    </w:p>
    <w:p w14:paraId="33FB4F3E">
      <w:pPr>
        <w:spacing w:line="360" w:lineRule="auto"/>
        <w:ind w:firstLine="424" w:firstLineChars="202"/>
        <w:jc w:val="left"/>
        <w:rPr>
          <w:rFonts w:hint="eastAsia" w:ascii="宋体" w:hAnsi="宋体" w:cs="宋体"/>
          <w:b w:val="0"/>
          <w:bCs/>
          <w:color w:val="auto"/>
          <w:highlight w:val="none"/>
        </w:rPr>
      </w:pPr>
      <w:r>
        <w:rPr>
          <w:rFonts w:hint="eastAsia" w:ascii="宋体" w:hAnsi="宋体" w:cs="宋体"/>
          <w:b w:val="0"/>
          <w:bCs/>
          <w:color w:val="auto"/>
          <w:highlight w:val="none"/>
        </w:rPr>
        <w:t>1.乙方在对竣工车辆进行准确而全面的检验合格后，应主动通知</w:t>
      </w:r>
      <w:r>
        <w:rPr>
          <w:rFonts w:hint="eastAsia" w:ascii="宋体" w:hAnsi="宋体" w:cs="宋体"/>
          <w:b w:val="0"/>
          <w:bCs/>
          <w:color w:val="auto"/>
          <w:highlight w:val="none"/>
          <w:lang w:eastAsia="zh-CN"/>
        </w:rPr>
        <w:t>甲方</w:t>
      </w:r>
      <w:r>
        <w:rPr>
          <w:rFonts w:hint="eastAsia" w:ascii="宋体" w:hAnsi="宋体" w:cs="宋体"/>
          <w:b w:val="0"/>
          <w:bCs/>
          <w:color w:val="auto"/>
          <w:highlight w:val="none"/>
        </w:rPr>
        <w:t>前来办理交接手续，进行二级维护和大修的车辆须出具一份维修出厂合格证。</w:t>
      </w:r>
    </w:p>
    <w:p w14:paraId="57E141C6">
      <w:pPr>
        <w:spacing w:line="360" w:lineRule="auto"/>
        <w:ind w:firstLine="424" w:firstLineChars="202"/>
        <w:jc w:val="left"/>
        <w:rPr>
          <w:rFonts w:hint="eastAsia" w:ascii="宋体" w:hAnsi="宋体" w:cs="宋体"/>
          <w:b w:val="0"/>
          <w:bCs/>
          <w:color w:val="auto"/>
          <w:highlight w:val="none"/>
        </w:rPr>
      </w:pPr>
      <w:r>
        <w:rPr>
          <w:rFonts w:hint="eastAsia" w:ascii="宋体" w:hAnsi="宋体" w:cs="宋体"/>
          <w:b w:val="0"/>
          <w:bCs/>
          <w:color w:val="auto"/>
          <w:highlight w:val="none"/>
        </w:rPr>
        <w:t>2.</w:t>
      </w:r>
      <w:r>
        <w:rPr>
          <w:rFonts w:hint="eastAsia" w:ascii="宋体" w:hAnsi="宋体" w:cs="宋体"/>
          <w:b w:val="0"/>
          <w:bCs/>
          <w:color w:val="auto"/>
          <w:highlight w:val="none"/>
          <w:lang w:eastAsia="zh-CN"/>
        </w:rPr>
        <w:t>甲方</w:t>
      </w:r>
      <w:r>
        <w:rPr>
          <w:rFonts w:hint="eastAsia" w:ascii="宋体" w:hAnsi="宋体" w:cs="宋体"/>
          <w:b w:val="0"/>
          <w:bCs/>
          <w:color w:val="auto"/>
          <w:highlight w:val="none"/>
        </w:rPr>
        <w:t>应在接到乙方通知后与乙方及时办理交接手续。</w:t>
      </w:r>
      <w:r>
        <w:rPr>
          <w:rFonts w:hint="eastAsia" w:ascii="宋体" w:hAnsi="宋体" w:cs="宋体"/>
          <w:b w:val="0"/>
          <w:bCs/>
          <w:color w:val="auto"/>
          <w:highlight w:val="none"/>
          <w:lang w:eastAsia="zh-CN"/>
        </w:rPr>
        <w:t>甲方</w:t>
      </w:r>
      <w:r>
        <w:rPr>
          <w:rFonts w:hint="eastAsia" w:ascii="宋体" w:hAnsi="宋体" w:cs="宋体"/>
          <w:b w:val="0"/>
          <w:bCs/>
          <w:color w:val="auto"/>
          <w:highlight w:val="none"/>
        </w:rPr>
        <w:t>应仔细检查竣工车辆，如果维修结果符合送修要求、维修费用计算合理，</w:t>
      </w:r>
      <w:r>
        <w:rPr>
          <w:rFonts w:hint="eastAsia" w:ascii="宋体" w:hAnsi="宋体" w:cs="宋体"/>
          <w:b w:val="0"/>
          <w:bCs/>
          <w:color w:val="auto"/>
          <w:highlight w:val="none"/>
          <w:lang w:eastAsia="zh-CN"/>
        </w:rPr>
        <w:t>甲方</w:t>
      </w:r>
      <w:r>
        <w:rPr>
          <w:rFonts w:hint="eastAsia" w:ascii="宋体" w:hAnsi="宋体" w:cs="宋体"/>
          <w:b w:val="0"/>
          <w:bCs/>
          <w:color w:val="auto"/>
          <w:highlight w:val="none"/>
        </w:rPr>
        <w:t>应在“结算单”上签字认可；如果维修结果不符合送修要求，或维修费用计算不合理，或发现使用不符合要求的维修材料，</w:t>
      </w:r>
      <w:r>
        <w:rPr>
          <w:rFonts w:hint="eastAsia" w:ascii="宋体" w:hAnsi="宋体" w:cs="宋体"/>
          <w:b w:val="0"/>
          <w:bCs/>
          <w:color w:val="auto"/>
          <w:highlight w:val="none"/>
          <w:lang w:eastAsia="zh-CN"/>
        </w:rPr>
        <w:t>甲方</w:t>
      </w:r>
      <w:r>
        <w:rPr>
          <w:rFonts w:hint="eastAsia" w:ascii="宋体" w:hAnsi="宋体" w:cs="宋体"/>
          <w:b w:val="0"/>
          <w:bCs/>
          <w:color w:val="auto"/>
          <w:highlight w:val="none"/>
        </w:rPr>
        <w:t>应以书面形式向乙方提出存在的问题，如乙方不能给予令人信服的答复，</w:t>
      </w:r>
      <w:r>
        <w:rPr>
          <w:rFonts w:hint="eastAsia" w:ascii="宋体" w:hAnsi="宋体" w:cs="宋体"/>
          <w:b w:val="0"/>
          <w:bCs/>
          <w:color w:val="auto"/>
          <w:highlight w:val="none"/>
          <w:lang w:eastAsia="zh-CN"/>
        </w:rPr>
        <w:t>甲方</w:t>
      </w:r>
      <w:r>
        <w:rPr>
          <w:rFonts w:hint="eastAsia" w:ascii="宋体" w:hAnsi="宋体" w:cs="宋体"/>
          <w:b w:val="0"/>
          <w:bCs/>
          <w:color w:val="auto"/>
          <w:highlight w:val="none"/>
        </w:rPr>
        <w:t>可报请法定检验机构进行检查。</w:t>
      </w:r>
    </w:p>
    <w:p w14:paraId="233FD126">
      <w:pPr>
        <w:spacing w:line="360" w:lineRule="auto"/>
        <w:ind w:firstLine="424" w:firstLineChars="202"/>
        <w:jc w:val="left"/>
        <w:rPr>
          <w:rFonts w:hint="eastAsia" w:ascii="宋体" w:hAnsi="宋体" w:cs="宋体"/>
          <w:b w:val="0"/>
          <w:bCs/>
          <w:color w:val="auto"/>
          <w:highlight w:val="none"/>
        </w:rPr>
      </w:pPr>
      <w:r>
        <w:rPr>
          <w:rFonts w:hint="eastAsia" w:ascii="宋体" w:hAnsi="宋体" w:cs="宋体"/>
          <w:b w:val="0"/>
          <w:bCs/>
          <w:color w:val="auto"/>
          <w:highlight w:val="none"/>
        </w:rPr>
        <w:t>3.乙方应将修车更换下来的旧件退还</w:t>
      </w:r>
      <w:r>
        <w:rPr>
          <w:rFonts w:hint="eastAsia" w:ascii="宋体" w:hAnsi="宋体" w:cs="宋体"/>
          <w:b w:val="0"/>
          <w:bCs/>
          <w:color w:val="auto"/>
          <w:highlight w:val="none"/>
          <w:lang w:eastAsia="zh-CN"/>
        </w:rPr>
        <w:t>甲方</w:t>
      </w:r>
      <w:r>
        <w:rPr>
          <w:rFonts w:hint="eastAsia" w:ascii="宋体" w:hAnsi="宋体" w:cs="宋体"/>
          <w:b w:val="0"/>
          <w:bCs/>
          <w:color w:val="auto"/>
          <w:highlight w:val="none"/>
        </w:rPr>
        <w:t>，并在“结算单”上认真填写车辆维修的具体部位和消耗的材料、部件及计价情况，注明优惠事宜，以利于核查。</w:t>
      </w:r>
    </w:p>
    <w:p w14:paraId="281F1AE3">
      <w:pPr>
        <w:spacing w:line="360" w:lineRule="auto"/>
        <w:ind w:firstLine="424" w:firstLineChars="202"/>
        <w:jc w:val="left"/>
        <w:rPr>
          <w:rFonts w:hint="eastAsia" w:ascii="宋体" w:hAnsi="宋体" w:cs="宋体"/>
          <w:b w:val="0"/>
          <w:bCs/>
          <w:color w:val="auto"/>
          <w:highlight w:val="none"/>
        </w:rPr>
      </w:pPr>
      <w:r>
        <w:rPr>
          <w:rFonts w:hint="eastAsia" w:ascii="宋体" w:hAnsi="宋体" w:cs="宋体"/>
          <w:b w:val="0"/>
          <w:bCs/>
          <w:color w:val="auto"/>
          <w:highlight w:val="none"/>
        </w:rPr>
        <w:t xml:space="preserve"> 4.</w:t>
      </w:r>
      <w:r>
        <w:rPr>
          <w:rFonts w:hint="eastAsia" w:ascii="宋体" w:hAnsi="宋体" w:cs="宋体"/>
          <w:b w:val="0"/>
          <w:bCs/>
          <w:color w:val="auto"/>
          <w:highlight w:val="none"/>
          <w:lang w:eastAsia="zh-CN"/>
        </w:rPr>
        <w:t>甲方在</w:t>
      </w:r>
      <w:r>
        <w:rPr>
          <w:rFonts w:hint="eastAsia" w:ascii="宋体" w:hAnsi="宋体" w:cs="宋体"/>
          <w:b w:val="0"/>
          <w:bCs/>
          <w:color w:val="auto"/>
          <w:highlight w:val="none"/>
        </w:rPr>
        <w:t>乙方进行竣工车辆交接时，乙方应将送修单、“结算单”各一联，大修、二级维护还需出具出厂合格证一同交给</w:t>
      </w:r>
      <w:r>
        <w:rPr>
          <w:rFonts w:hint="eastAsia" w:ascii="宋体" w:hAnsi="宋体" w:cs="宋体"/>
          <w:b w:val="0"/>
          <w:bCs/>
          <w:color w:val="auto"/>
          <w:highlight w:val="none"/>
          <w:lang w:eastAsia="zh-CN"/>
        </w:rPr>
        <w:t>甲方</w:t>
      </w:r>
      <w:r>
        <w:rPr>
          <w:rFonts w:hint="eastAsia" w:ascii="宋体" w:hAnsi="宋体" w:cs="宋体"/>
          <w:b w:val="0"/>
          <w:bCs/>
          <w:color w:val="auto"/>
          <w:highlight w:val="none"/>
        </w:rPr>
        <w:t>。</w:t>
      </w:r>
    </w:p>
    <w:p w14:paraId="341722DF">
      <w:pPr>
        <w:spacing w:line="360" w:lineRule="auto"/>
        <w:ind w:firstLine="424" w:firstLineChars="202"/>
        <w:jc w:val="left"/>
        <w:rPr>
          <w:color w:val="auto"/>
          <w:highlight w:val="none"/>
        </w:rPr>
      </w:pPr>
      <w:r>
        <w:rPr>
          <w:rFonts w:hint="eastAsia" w:ascii="宋体" w:hAnsi="宋体" w:cs="宋体"/>
          <w:b w:val="0"/>
          <w:bCs/>
          <w:color w:val="auto"/>
          <w:highlight w:val="none"/>
        </w:rPr>
        <w:t xml:space="preserve"> </w:t>
      </w:r>
      <w:r>
        <w:rPr>
          <w:rFonts w:hint="eastAsia" w:ascii="宋体" w:hAnsi="宋体" w:cs="宋体"/>
          <w:b w:val="0"/>
          <w:bCs/>
          <w:color w:val="auto"/>
          <w:highlight w:val="none"/>
          <w:lang w:val="en-US" w:eastAsia="zh-CN"/>
        </w:rPr>
        <w:t>5</w:t>
      </w:r>
      <w:r>
        <w:rPr>
          <w:rFonts w:hint="eastAsia" w:ascii="宋体" w:hAnsi="宋体" w:cs="宋体"/>
          <w:b w:val="0"/>
          <w:bCs/>
          <w:color w:val="auto"/>
          <w:highlight w:val="none"/>
        </w:rPr>
        <w:t>.如</w:t>
      </w:r>
      <w:r>
        <w:rPr>
          <w:rFonts w:hint="eastAsia" w:ascii="宋体" w:hAnsi="宋体" w:cs="宋体"/>
          <w:b w:val="0"/>
          <w:bCs/>
          <w:color w:val="auto"/>
          <w:highlight w:val="none"/>
          <w:lang w:eastAsia="zh-CN"/>
        </w:rPr>
        <w:t>甲方</w:t>
      </w:r>
      <w:r>
        <w:rPr>
          <w:rFonts w:hint="eastAsia" w:ascii="宋体" w:hAnsi="宋体" w:cs="宋体"/>
          <w:b w:val="0"/>
          <w:bCs/>
          <w:color w:val="auto"/>
          <w:highlight w:val="none"/>
        </w:rPr>
        <w:t>在接到乙方通知车辆维修竣工之日起5日内，没有以书面形式向乙方提出问题，又不在”结算单”上签字确认，视为甲修单位同意接受“结算单”中的内容。</w:t>
      </w:r>
    </w:p>
    <w:p w14:paraId="15E6AC53">
      <w:pPr>
        <w:spacing w:line="400" w:lineRule="exact"/>
        <w:ind w:firstLine="422" w:firstLineChars="200"/>
        <w:jc w:val="left"/>
        <w:rPr>
          <w:b/>
          <w:color w:val="auto"/>
          <w:highlight w:val="none"/>
        </w:rPr>
      </w:pPr>
      <w:r>
        <w:rPr>
          <w:rFonts w:hint="eastAsia"/>
          <w:b/>
          <w:color w:val="auto"/>
          <w:highlight w:val="none"/>
          <w:lang w:eastAsia="zh-CN"/>
        </w:rPr>
        <w:t>七</w:t>
      </w:r>
      <w:r>
        <w:rPr>
          <w:rFonts w:hint="eastAsia"/>
          <w:b/>
          <w:color w:val="auto"/>
          <w:highlight w:val="none"/>
        </w:rPr>
        <w:t>、结算方式</w:t>
      </w:r>
    </w:p>
    <w:p w14:paraId="24A84942">
      <w:pPr>
        <w:spacing w:line="400" w:lineRule="exact"/>
        <w:rPr>
          <w:color w:val="auto"/>
          <w:highlight w:val="none"/>
        </w:rPr>
      </w:pPr>
      <w:r>
        <w:rPr>
          <w:rFonts w:hint="eastAsia"/>
          <w:color w:val="auto"/>
          <w:highlight w:val="none"/>
        </w:rPr>
        <w:t xml:space="preserve">    </w:t>
      </w:r>
      <w:r>
        <w:rPr>
          <w:rFonts w:hint="eastAsia" w:ascii="宋体" w:hAnsi="宋体" w:cs="宋体"/>
          <w:b w:val="0"/>
          <w:bCs/>
          <w:color w:val="auto"/>
          <w:highlight w:val="none"/>
        </w:rPr>
        <w:t>本框架协议车辆维修和保养服务费具体付款方式由采购人与成交供应商在采购合同中约定</w:t>
      </w:r>
      <w:r>
        <w:rPr>
          <w:rFonts w:hint="eastAsia" w:ascii="宋体" w:hAnsi="宋体" w:cs="宋体"/>
          <w:b w:val="0"/>
          <w:bCs/>
          <w:color w:val="auto"/>
          <w:highlight w:val="none"/>
          <w:lang w:val="en-US" w:eastAsia="zh-CN"/>
        </w:rPr>
        <w:t>,</w:t>
      </w:r>
      <w:r>
        <w:rPr>
          <w:rFonts w:hint="eastAsia" w:ascii="宋体" w:hAnsi="宋体" w:cs="宋体"/>
          <w:b w:val="0"/>
          <w:bCs/>
          <w:color w:val="auto"/>
          <w:highlight w:val="none"/>
        </w:rPr>
        <w:t>采用非现金方式</w:t>
      </w:r>
      <w:r>
        <w:rPr>
          <w:rFonts w:hint="eastAsia" w:ascii="宋体" w:hAnsi="宋体" w:cs="宋体"/>
          <w:b w:val="0"/>
          <w:bCs/>
          <w:color w:val="auto"/>
          <w:highlight w:val="none"/>
          <w:lang w:eastAsia="zh-CN"/>
        </w:rPr>
        <w:t>进行</w:t>
      </w:r>
      <w:r>
        <w:rPr>
          <w:rFonts w:hint="eastAsia" w:ascii="宋体" w:hAnsi="宋体" w:cs="宋体"/>
          <w:b w:val="0"/>
          <w:bCs/>
          <w:color w:val="auto"/>
          <w:highlight w:val="none"/>
        </w:rPr>
        <w:t>结算。</w:t>
      </w:r>
    </w:p>
    <w:p w14:paraId="62EDBE77">
      <w:pPr>
        <w:spacing w:line="400" w:lineRule="exact"/>
        <w:ind w:firstLine="422" w:firstLineChars="200"/>
        <w:jc w:val="left"/>
        <w:rPr>
          <w:b/>
          <w:color w:val="auto"/>
          <w:highlight w:val="none"/>
        </w:rPr>
      </w:pPr>
      <w:r>
        <w:rPr>
          <w:rFonts w:hint="eastAsia"/>
          <w:b/>
          <w:color w:val="auto"/>
          <w:highlight w:val="none"/>
          <w:lang w:eastAsia="zh-CN"/>
        </w:rPr>
        <w:t>八</w:t>
      </w:r>
      <w:r>
        <w:rPr>
          <w:rFonts w:hint="eastAsia"/>
          <w:b/>
          <w:color w:val="auto"/>
          <w:highlight w:val="none"/>
        </w:rPr>
        <w:t>、质量保证</w:t>
      </w:r>
    </w:p>
    <w:p w14:paraId="284F3EB9">
      <w:pPr>
        <w:spacing w:line="360" w:lineRule="auto"/>
        <w:ind w:firstLine="424" w:firstLineChars="202"/>
        <w:jc w:val="left"/>
        <w:rPr>
          <w:rFonts w:hint="eastAsia" w:ascii="宋体" w:hAnsi="宋体" w:cs="宋体"/>
          <w:b w:val="0"/>
          <w:bCs/>
          <w:color w:val="auto"/>
          <w:highlight w:val="none"/>
        </w:rPr>
      </w:pPr>
      <w:r>
        <w:rPr>
          <w:rFonts w:hint="eastAsia" w:ascii="宋体" w:hAnsi="宋体" w:cs="宋体"/>
          <w:b w:val="0"/>
          <w:bCs/>
          <w:color w:val="auto"/>
          <w:highlight w:val="none"/>
        </w:rPr>
        <w:t>1．乙方提供维修服务时，应按《机动车维修管理规定》中有关规定及标准执行。</w:t>
      </w:r>
    </w:p>
    <w:p w14:paraId="3E28C9FD">
      <w:pPr>
        <w:spacing w:line="360" w:lineRule="auto"/>
        <w:ind w:firstLine="424" w:firstLineChars="202"/>
        <w:jc w:val="left"/>
        <w:rPr>
          <w:rFonts w:hint="eastAsia" w:ascii="宋体" w:hAnsi="宋体" w:cs="宋体"/>
          <w:b w:val="0"/>
          <w:bCs/>
          <w:color w:val="auto"/>
          <w:highlight w:val="none"/>
        </w:rPr>
      </w:pPr>
      <w:r>
        <w:rPr>
          <w:rFonts w:hint="eastAsia" w:ascii="宋体" w:hAnsi="宋体" w:cs="宋体"/>
          <w:b w:val="0"/>
          <w:bCs/>
          <w:color w:val="auto"/>
          <w:highlight w:val="none"/>
        </w:rPr>
        <w:t>2．机动车维修竣工质量检验合格后，乙方的维修质量检验人员应当签发《机动车维修竣工出厂合格证》；未签发机动车维修竣工出厂合格证的机动车，不得交付使用，</w:t>
      </w:r>
      <w:r>
        <w:rPr>
          <w:rFonts w:hint="eastAsia" w:ascii="宋体" w:hAnsi="宋体" w:cs="宋体"/>
          <w:b w:val="0"/>
          <w:bCs/>
          <w:color w:val="auto"/>
          <w:highlight w:val="none"/>
          <w:lang w:eastAsia="zh-CN"/>
        </w:rPr>
        <w:t>甲方</w:t>
      </w:r>
      <w:r>
        <w:rPr>
          <w:rFonts w:hint="eastAsia" w:ascii="宋体" w:hAnsi="宋体" w:cs="宋体"/>
          <w:b w:val="0"/>
          <w:bCs/>
          <w:color w:val="auto"/>
          <w:highlight w:val="none"/>
        </w:rPr>
        <w:t>可以拒绝付款或接车。</w:t>
      </w:r>
    </w:p>
    <w:p w14:paraId="48D0D8E2">
      <w:pPr>
        <w:spacing w:line="360" w:lineRule="auto"/>
        <w:ind w:firstLine="424" w:firstLineChars="202"/>
        <w:jc w:val="left"/>
        <w:rPr>
          <w:rFonts w:hint="eastAsia" w:ascii="宋体" w:hAnsi="宋体" w:cs="宋体"/>
          <w:b w:val="0"/>
          <w:bCs/>
          <w:color w:val="auto"/>
          <w:highlight w:val="none"/>
        </w:rPr>
      </w:pPr>
      <w:r>
        <w:rPr>
          <w:rFonts w:hint="eastAsia" w:ascii="宋体" w:hAnsi="宋体" w:cs="宋体"/>
          <w:b w:val="0"/>
          <w:bCs/>
          <w:color w:val="auto"/>
          <w:highlight w:val="none"/>
        </w:rPr>
        <w:t>3．乙方将维修竣工质量检验合格的机动车交给</w:t>
      </w:r>
      <w:r>
        <w:rPr>
          <w:rFonts w:hint="eastAsia" w:ascii="宋体" w:hAnsi="宋体" w:cs="宋体"/>
          <w:b w:val="0"/>
          <w:bCs/>
          <w:color w:val="auto"/>
          <w:highlight w:val="none"/>
          <w:lang w:eastAsia="zh-CN"/>
        </w:rPr>
        <w:t>甲方</w:t>
      </w:r>
      <w:r>
        <w:rPr>
          <w:rFonts w:hint="eastAsia" w:ascii="宋体" w:hAnsi="宋体" w:cs="宋体"/>
          <w:b w:val="0"/>
          <w:bCs/>
          <w:color w:val="auto"/>
          <w:highlight w:val="none"/>
        </w:rPr>
        <w:t>时，必须将维修材料的产品合格证和更换下的配件交给</w:t>
      </w:r>
      <w:r>
        <w:rPr>
          <w:rFonts w:hint="eastAsia" w:ascii="宋体" w:hAnsi="宋体" w:cs="宋体"/>
          <w:b w:val="0"/>
          <w:bCs/>
          <w:color w:val="auto"/>
          <w:highlight w:val="none"/>
          <w:lang w:eastAsia="zh-CN"/>
        </w:rPr>
        <w:t>甲方</w:t>
      </w:r>
      <w:r>
        <w:rPr>
          <w:rFonts w:hint="eastAsia" w:ascii="宋体" w:hAnsi="宋体" w:cs="宋体"/>
          <w:b w:val="0"/>
          <w:bCs/>
          <w:color w:val="auto"/>
          <w:highlight w:val="none"/>
        </w:rPr>
        <w:t>。</w:t>
      </w:r>
    </w:p>
    <w:p w14:paraId="69496C3E">
      <w:pPr>
        <w:spacing w:line="360" w:lineRule="auto"/>
        <w:ind w:firstLine="424" w:firstLineChars="202"/>
        <w:jc w:val="left"/>
        <w:rPr>
          <w:rFonts w:hint="eastAsia" w:ascii="宋体" w:hAnsi="宋体" w:cs="宋体"/>
          <w:b w:val="0"/>
          <w:bCs/>
          <w:color w:val="auto"/>
          <w:highlight w:val="none"/>
        </w:rPr>
      </w:pPr>
      <w:r>
        <w:rPr>
          <w:rFonts w:hint="eastAsia" w:ascii="宋体" w:hAnsi="宋体" w:cs="宋体"/>
          <w:b w:val="0"/>
          <w:bCs/>
          <w:color w:val="auto"/>
          <w:highlight w:val="none"/>
        </w:rPr>
        <w:t xml:space="preserve"> 4．机动车维修质量保证期，从维修竣工出厂之日起计算。在</w:t>
      </w:r>
      <w:r>
        <w:rPr>
          <w:rFonts w:hint="eastAsia" w:ascii="宋体" w:hAnsi="宋体" w:cs="宋体"/>
          <w:b w:val="0"/>
          <w:bCs/>
          <w:color w:val="auto"/>
          <w:highlight w:val="none"/>
          <w:lang w:eastAsia="zh-CN"/>
        </w:rPr>
        <w:t>甲方</w:t>
      </w:r>
      <w:r>
        <w:rPr>
          <w:rFonts w:hint="eastAsia" w:ascii="宋体" w:hAnsi="宋体" w:cs="宋体"/>
          <w:b w:val="0"/>
          <w:bCs/>
          <w:color w:val="auto"/>
          <w:highlight w:val="none"/>
        </w:rPr>
        <w:t>、乙方约定的质量保证里程或时间内，因维修质量造成的机械事故和经济损失，由乙方全部负责。</w:t>
      </w:r>
    </w:p>
    <w:p w14:paraId="715ADE1C">
      <w:pPr>
        <w:spacing w:line="360" w:lineRule="auto"/>
        <w:ind w:firstLine="426" w:firstLineChars="202"/>
        <w:jc w:val="left"/>
        <w:rPr>
          <w:rFonts w:hint="eastAsia" w:ascii="宋体" w:hAnsi="宋体" w:cs="宋体"/>
          <w:b/>
          <w:bCs w:val="0"/>
          <w:color w:val="auto"/>
          <w:highlight w:val="none"/>
        </w:rPr>
      </w:pPr>
      <w:r>
        <w:rPr>
          <w:rFonts w:hint="eastAsia" w:ascii="宋体" w:hAnsi="宋体" w:cs="宋体"/>
          <w:b/>
          <w:bCs w:val="0"/>
          <w:color w:val="auto"/>
          <w:highlight w:val="none"/>
        </w:rPr>
        <w:t>乙方承诺的质量保证期具体为：</w:t>
      </w:r>
    </w:p>
    <w:p w14:paraId="2D8E366E">
      <w:pPr>
        <w:spacing w:line="360" w:lineRule="auto"/>
        <w:ind w:firstLine="426" w:firstLineChars="202"/>
        <w:jc w:val="left"/>
        <w:rPr>
          <w:rFonts w:hint="eastAsia" w:ascii="宋体" w:hAnsi="宋体" w:cs="宋体"/>
          <w:b/>
          <w:bCs w:val="0"/>
          <w:color w:val="auto"/>
          <w:highlight w:val="none"/>
        </w:rPr>
      </w:pPr>
      <w:r>
        <w:rPr>
          <w:rFonts w:hint="eastAsia" w:ascii="宋体" w:hAnsi="宋体" w:cs="宋体"/>
          <w:b/>
          <w:bCs w:val="0"/>
          <w:color w:val="auto"/>
          <w:highlight w:val="none"/>
        </w:rPr>
        <w:t>（1）整车修理或总成修理质量保证期为车辆行驶</w:t>
      </w:r>
      <w:r>
        <w:rPr>
          <w:rFonts w:hint="eastAsia" w:ascii="宋体" w:hAnsi="宋体" w:cs="宋体"/>
          <w:b/>
          <w:bCs w:val="0"/>
          <w:color w:val="auto"/>
          <w:highlight w:val="none"/>
          <w:u w:val="single"/>
        </w:rPr>
        <w:t xml:space="preserve">     </w:t>
      </w:r>
      <w:r>
        <w:rPr>
          <w:rFonts w:hint="eastAsia" w:ascii="宋体" w:hAnsi="宋体" w:cs="宋体"/>
          <w:b/>
          <w:bCs w:val="0"/>
          <w:color w:val="auto"/>
          <w:highlight w:val="none"/>
          <w:u w:val="single"/>
          <w:lang w:val="en-US" w:eastAsia="zh-CN"/>
        </w:rPr>
        <w:t xml:space="preserve"> </w:t>
      </w:r>
      <w:r>
        <w:rPr>
          <w:rFonts w:hint="eastAsia" w:ascii="宋体" w:hAnsi="宋体" w:cs="宋体"/>
          <w:b/>
          <w:bCs w:val="0"/>
          <w:color w:val="auto"/>
          <w:highlight w:val="none"/>
          <w:u w:val="single"/>
        </w:rPr>
        <w:t xml:space="preserve"> </w:t>
      </w:r>
      <w:r>
        <w:rPr>
          <w:rFonts w:hint="eastAsia" w:ascii="宋体" w:hAnsi="宋体" w:cs="宋体"/>
          <w:b/>
          <w:bCs w:val="0"/>
          <w:color w:val="auto"/>
          <w:highlight w:val="none"/>
        </w:rPr>
        <w:t>公里或者</w:t>
      </w:r>
      <w:r>
        <w:rPr>
          <w:rFonts w:hint="eastAsia" w:ascii="宋体" w:hAnsi="宋体" w:cs="宋体"/>
          <w:b/>
          <w:bCs w:val="0"/>
          <w:color w:val="auto"/>
          <w:highlight w:val="none"/>
          <w:u w:val="single"/>
        </w:rPr>
        <w:t xml:space="preserve">  </w:t>
      </w:r>
      <w:r>
        <w:rPr>
          <w:rFonts w:hint="eastAsia" w:ascii="宋体" w:hAnsi="宋体" w:cs="宋体"/>
          <w:b/>
          <w:bCs w:val="0"/>
          <w:color w:val="auto"/>
          <w:highlight w:val="none"/>
          <w:u w:val="single"/>
          <w:lang w:val="en-US" w:eastAsia="zh-CN"/>
        </w:rPr>
        <w:t xml:space="preserve"> </w:t>
      </w:r>
      <w:r>
        <w:rPr>
          <w:rFonts w:hint="eastAsia" w:ascii="宋体" w:hAnsi="宋体" w:cs="宋体"/>
          <w:b/>
          <w:bCs w:val="0"/>
          <w:color w:val="auto"/>
          <w:highlight w:val="none"/>
          <w:u w:val="single"/>
        </w:rPr>
        <w:t xml:space="preserve">  </w:t>
      </w:r>
      <w:r>
        <w:rPr>
          <w:rFonts w:hint="eastAsia" w:ascii="宋体" w:hAnsi="宋体" w:cs="宋体"/>
          <w:b/>
          <w:bCs w:val="0"/>
          <w:color w:val="auto"/>
          <w:highlight w:val="none"/>
        </w:rPr>
        <w:t>日；</w:t>
      </w:r>
    </w:p>
    <w:p w14:paraId="22C8F0F2">
      <w:pPr>
        <w:spacing w:line="360" w:lineRule="auto"/>
        <w:ind w:firstLine="426" w:firstLineChars="202"/>
        <w:jc w:val="left"/>
        <w:rPr>
          <w:rFonts w:hint="eastAsia" w:ascii="宋体" w:hAnsi="宋体" w:cs="宋体"/>
          <w:b/>
          <w:bCs w:val="0"/>
          <w:color w:val="auto"/>
          <w:highlight w:val="none"/>
        </w:rPr>
      </w:pPr>
      <w:r>
        <w:rPr>
          <w:rFonts w:hint="eastAsia" w:ascii="宋体" w:hAnsi="宋体" w:cs="宋体"/>
          <w:b/>
          <w:bCs w:val="0"/>
          <w:color w:val="auto"/>
          <w:highlight w:val="none"/>
        </w:rPr>
        <w:t>（2）二级维护质量保证期为车辆行驶</w:t>
      </w:r>
      <w:r>
        <w:rPr>
          <w:rFonts w:hint="eastAsia" w:ascii="宋体" w:hAnsi="宋体" w:cs="宋体"/>
          <w:b/>
          <w:bCs w:val="0"/>
          <w:color w:val="auto"/>
          <w:highlight w:val="none"/>
          <w:u w:val="single"/>
        </w:rPr>
        <w:t xml:space="preserve">     </w:t>
      </w:r>
      <w:r>
        <w:rPr>
          <w:rFonts w:hint="eastAsia" w:ascii="宋体" w:hAnsi="宋体" w:cs="宋体"/>
          <w:b/>
          <w:bCs w:val="0"/>
          <w:color w:val="auto"/>
          <w:highlight w:val="none"/>
          <w:u w:val="single"/>
          <w:lang w:val="en-US" w:eastAsia="zh-CN"/>
        </w:rPr>
        <w:t xml:space="preserve"> </w:t>
      </w:r>
      <w:r>
        <w:rPr>
          <w:rFonts w:hint="eastAsia" w:ascii="宋体" w:hAnsi="宋体" w:cs="宋体"/>
          <w:b/>
          <w:bCs w:val="0"/>
          <w:color w:val="auto"/>
          <w:highlight w:val="none"/>
          <w:u w:val="single"/>
        </w:rPr>
        <w:t xml:space="preserve"> </w:t>
      </w:r>
      <w:r>
        <w:rPr>
          <w:rFonts w:hint="eastAsia" w:ascii="宋体" w:hAnsi="宋体" w:cs="宋体"/>
          <w:b/>
          <w:bCs w:val="0"/>
          <w:color w:val="auto"/>
          <w:highlight w:val="none"/>
        </w:rPr>
        <w:t>公里或者</w:t>
      </w:r>
      <w:r>
        <w:rPr>
          <w:rFonts w:hint="eastAsia" w:ascii="宋体" w:hAnsi="宋体" w:cs="宋体"/>
          <w:b/>
          <w:bCs w:val="0"/>
          <w:color w:val="auto"/>
          <w:highlight w:val="none"/>
          <w:u w:val="single"/>
        </w:rPr>
        <w:t xml:space="preserve">  </w:t>
      </w:r>
      <w:r>
        <w:rPr>
          <w:rFonts w:hint="eastAsia" w:ascii="宋体" w:hAnsi="宋体" w:cs="宋体"/>
          <w:b/>
          <w:bCs w:val="0"/>
          <w:color w:val="auto"/>
          <w:highlight w:val="none"/>
          <w:u w:val="single"/>
          <w:lang w:val="en-US" w:eastAsia="zh-CN"/>
        </w:rPr>
        <w:t xml:space="preserve"> </w:t>
      </w:r>
      <w:r>
        <w:rPr>
          <w:rFonts w:hint="eastAsia" w:ascii="宋体" w:hAnsi="宋体" w:cs="宋体"/>
          <w:b/>
          <w:bCs w:val="0"/>
          <w:color w:val="auto"/>
          <w:highlight w:val="none"/>
          <w:u w:val="single"/>
        </w:rPr>
        <w:t xml:space="preserve">  </w:t>
      </w:r>
      <w:r>
        <w:rPr>
          <w:rFonts w:hint="eastAsia" w:ascii="宋体" w:hAnsi="宋体" w:cs="宋体"/>
          <w:b/>
          <w:bCs w:val="0"/>
          <w:color w:val="auto"/>
          <w:highlight w:val="none"/>
        </w:rPr>
        <w:t>日；</w:t>
      </w:r>
    </w:p>
    <w:p w14:paraId="1F68E1E8">
      <w:pPr>
        <w:spacing w:line="360" w:lineRule="auto"/>
        <w:ind w:firstLine="426" w:firstLineChars="202"/>
        <w:jc w:val="left"/>
        <w:rPr>
          <w:rFonts w:hint="eastAsia" w:ascii="宋体" w:hAnsi="宋体" w:cs="宋体"/>
          <w:b/>
          <w:bCs w:val="0"/>
          <w:color w:val="auto"/>
          <w:highlight w:val="none"/>
        </w:rPr>
      </w:pPr>
      <w:r>
        <w:rPr>
          <w:rFonts w:hint="eastAsia" w:ascii="宋体" w:hAnsi="宋体" w:cs="宋体"/>
          <w:b/>
          <w:bCs w:val="0"/>
          <w:color w:val="auto"/>
          <w:highlight w:val="none"/>
        </w:rPr>
        <w:t>（3）一级维护、小修及专项修理质量保证期为车辆行驶</w:t>
      </w:r>
      <w:r>
        <w:rPr>
          <w:rFonts w:hint="eastAsia" w:ascii="宋体" w:hAnsi="宋体" w:cs="宋体"/>
          <w:b/>
          <w:bCs w:val="0"/>
          <w:color w:val="auto"/>
          <w:highlight w:val="none"/>
          <w:u w:val="single"/>
        </w:rPr>
        <w:t xml:space="preserve">    </w:t>
      </w:r>
      <w:r>
        <w:rPr>
          <w:rFonts w:hint="eastAsia" w:ascii="宋体" w:hAnsi="宋体" w:cs="宋体"/>
          <w:b/>
          <w:bCs w:val="0"/>
          <w:color w:val="auto"/>
          <w:highlight w:val="none"/>
          <w:u w:val="single"/>
          <w:lang w:val="en-US" w:eastAsia="zh-CN"/>
        </w:rPr>
        <w:t xml:space="preserve"> </w:t>
      </w:r>
      <w:r>
        <w:rPr>
          <w:rFonts w:hint="eastAsia" w:ascii="宋体" w:hAnsi="宋体" w:cs="宋体"/>
          <w:b/>
          <w:bCs w:val="0"/>
          <w:color w:val="auto"/>
          <w:highlight w:val="none"/>
          <w:u w:val="single"/>
        </w:rPr>
        <w:t xml:space="preserve">  </w:t>
      </w:r>
      <w:r>
        <w:rPr>
          <w:rFonts w:hint="eastAsia" w:ascii="宋体" w:hAnsi="宋体" w:cs="宋体"/>
          <w:b/>
          <w:bCs w:val="0"/>
          <w:color w:val="auto"/>
          <w:highlight w:val="none"/>
        </w:rPr>
        <w:t>公里或者</w:t>
      </w:r>
      <w:r>
        <w:rPr>
          <w:rFonts w:hint="eastAsia" w:ascii="宋体" w:hAnsi="宋体" w:cs="宋体"/>
          <w:b/>
          <w:bCs w:val="0"/>
          <w:color w:val="auto"/>
          <w:highlight w:val="none"/>
          <w:u w:val="single"/>
        </w:rPr>
        <w:t xml:space="preserve">  </w:t>
      </w:r>
      <w:r>
        <w:rPr>
          <w:rFonts w:hint="eastAsia" w:ascii="宋体" w:hAnsi="宋体" w:cs="宋体"/>
          <w:b/>
          <w:bCs w:val="0"/>
          <w:color w:val="auto"/>
          <w:highlight w:val="none"/>
          <w:u w:val="single"/>
          <w:lang w:val="en-US" w:eastAsia="zh-CN"/>
        </w:rPr>
        <w:t xml:space="preserve"> </w:t>
      </w:r>
      <w:r>
        <w:rPr>
          <w:rFonts w:hint="eastAsia" w:ascii="宋体" w:hAnsi="宋体" w:cs="宋体"/>
          <w:b/>
          <w:bCs w:val="0"/>
          <w:color w:val="auto"/>
          <w:highlight w:val="none"/>
          <w:u w:val="single"/>
        </w:rPr>
        <w:t xml:space="preserve"> </w:t>
      </w:r>
      <w:r>
        <w:rPr>
          <w:rFonts w:hint="eastAsia" w:ascii="宋体" w:hAnsi="宋体" w:cs="宋体"/>
          <w:b/>
          <w:bCs w:val="0"/>
          <w:color w:val="auto"/>
          <w:highlight w:val="none"/>
        </w:rPr>
        <w:t>日。</w:t>
      </w:r>
    </w:p>
    <w:p w14:paraId="72AC4F83">
      <w:pPr>
        <w:spacing w:line="360" w:lineRule="auto"/>
        <w:ind w:firstLine="424" w:firstLineChars="202"/>
        <w:jc w:val="left"/>
        <w:rPr>
          <w:rFonts w:hint="eastAsia" w:ascii="宋体" w:hAnsi="宋体" w:cs="宋体"/>
          <w:b w:val="0"/>
          <w:bCs/>
          <w:color w:val="auto"/>
          <w:highlight w:val="none"/>
        </w:rPr>
      </w:pPr>
      <w:r>
        <w:rPr>
          <w:rFonts w:hint="eastAsia" w:ascii="宋体" w:hAnsi="宋体" w:cs="宋体"/>
          <w:b w:val="0"/>
          <w:bCs/>
          <w:color w:val="auto"/>
          <w:highlight w:val="none"/>
        </w:rPr>
        <w:t>5．乙方应保证维修所用材料是全新原厂生产的合格正品，并完全符合合同规定的质量和性能的要求(特殊情况经送修方确认同意，乙方可使用副厂配件进行维修，但要明码标价)。乙方应保证使用的维修材料在正确安装、正常使用和保养条件下，在其使用寿命期内应具有满意的性能。维修竣工车辆移交给</w:t>
      </w:r>
      <w:r>
        <w:rPr>
          <w:rFonts w:hint="eastAsia" w:ascii="宋体" w:hAnsi="宋体" w:cs="宋体"/>
          <w:b w:val="0"/>
          <w:bCs/>
          <w:color w:val="auto"/>
          <w:highlight w:val="none"/>
          <w:lang w:eastAsia="zh-CN"/>
        </w:rPr>
        <w:t>甲方</w:t>
      </w:r>
      <w:r>
        <w:rPr>
          <w:rFonts w:hint="eastAsia" w:ascii="宋体" w:hAnsi="宋体" w:cs="宋体"/>
          <w:b w:val="0"/>
          <w:bCs/>
          <w:color w:val="auto"/>
          <w:highlight w:val="none"/>
        </w:rPr>
        <w:t>后，在质量保证期内，乙方应对由于维修技术、工艺或维修材料的缺陷以及其他由于乙方的原因而发生的任何不足或故障负责，费用由乙方负担。根据法定检验机构的检验结果或者在质量保证里程或时间内，如果证明维修是有缺陷的，包括潜在的缺陷或使用不符合要求的维修材料等，</w:t>
      </w:r>
      <w:r>
        <w:rPr>
          <w:rFonts w:hint="eastAsia" w:ascii="宋体" w:hAnsi="宋体" w:cs="宋体"/>
          <w:b w:val="0"/>
          <w:bCs/>
          <w:color w:val="auto"/>
          <w:highlight w:val="none"/>
          <w:lang w:eastAsia="zh-CN"/>
        </w:rPr>
        <w:t>甲方</w:t>
      </w:r>
      <w:r>
        <w:rPr>
          <w:rFonts w:hint="eastAsia" w:ascii="宋体" w:hAnsi="宋体" w:cs="宋体"/>
          <w:b w:val="0"/>
          <w:bCs/>
          <w:color w:val="auto"/>
          <w:highlight w:val="none"/>
        </w:rPr>
        <w:t>有权以书面形式向乙方提出本保证下的索赔。</w:t>
      </w:r>
    </w:p>
    <w:p w14:paraId="5EECE022">
      <w:pPr>
        <w:spacing w:line="360" w:lineRule="auto"/>
        <w:ind w:firstLine="424" w:firstLineChars="202"/>
        <w:jc w:val="left"/>
        <w:rPr>
          <w:rFonts w:hint="eastAsia" w:ascii="宋体" w:hAnsi="宋体" w:cs="宋体"/>
          <w:b w:val="0"/>
          <w:bCs/>
          <w:color w:val="auto"/>
          <w:highlight w:val="none"/>
        </w:rPr>
      </w:pPr>
      <w:r>
        <w:rPr>
          <w:rFonts w:hint="eastAsia" w:ascii="宋体" w:hAnsi="宋体" w:cs="宋体"/>
          <w:b w:val="0"/>
          <w:bCs/>
          <w:color w:val="auto"/>
          <w:highlight w:val="none"/>
        </w:rPr>
        <w:t>6.如果乙方在收到索赔通知后，在合同中所附服务承诺约定的时间内没有采取措施，</w:t>
      </w:r>
      <w:r>
        <w:rPr>
          <w:rFonts w:hint="eastAsia" w:ascii="宋体" w:hAnsi="宋体" w:cs="宋体"/>
          <w:b w:val="0"/>
          <w:bCs/>
          <w:color w:val="auto"/>
          <w:highlight w:val="none"/>
          <w:lang w:eastAsia="zh-CN"/>
        </w:rPr>
        <w:t>甲方</w:t>
      </w:r>
      <w:r>
        <w:rPr>
          <w:rFonts w:hint="eastAsia" w:ascii="宋体" w:hAnsi="宋体" w:cs="宋体"/>
          <w:b w:val="0"/>
          <w:bCs/>
          <w:color w:val="auto"/>
          <w:highlight w:val="none"/>
        </w:rPr>
        <w:t>可采取必要的补救措施，但风险和费用将由乙方承担。</w:t>
      </w:r>
    </w:p>
    <w:p w14:paraId="2EA806BA">
      <w:pPr>
        <w:spacing w:line="360" w:lineRule="auto"/>
        <w:ind w:firstLine="424" w:firstLineChars="202"/>
        <w:jc w:val="left"/>
        <w:rPr>
          <w:rFonts w:hint="eastAsia" w:ascii="宋体" w:hAnsi="宋体" w:cs="宋体"/>
          <w:b w:val="0"/>
          <w:bCs/>
          <w:color w:val="auto"/>
          <w:highlight w:val="none"/>
        </w:rPr>
      </w:pPr>
      <w:r>
        <w:rPr>
          <w:rFonts w:hint="eastAsia" w:ascii="宋体" w:hAnsi="宋体" w:cs="宋体"/>
          <w:b w:val="0"/>
          <w:bCs/>
          <w:color w:val="auto"/>
          <w:highlight w:val="none"/>
        </w:rPr>
        <w:t>7.入围供应商要建立</w:t>
      </w:r>
      <w:r>
        <w:rPr>
          <w:rFonts w:hint="eastAsia" w:ascii="宋体" w:hAnsi="宋体" w:cs="宋体"/>
          <w:b w:val="0"/>
          <w:bCs/>
          <w:color w:val="auto"/>
          <w:highlight w:val="none"/>
          <w:lang w:eastAsia="zh-CN"/>
        </w:rPr>
        <w:t>甲方</w:t>
      </w:r>
      <w:r>
        <w:rPr>
          <w:rFonts w:hint="eastAsia" w:ascii="宋体" w:hAnsi="宋体" w:cs="宋体"/>
          <w:b w:val="0"/>
          <w:bCs/>
          <w:color w:val="auto"/>
          <w:highlight w:val="none"/>
        </w:rPr>
        <w:t>的公务车辆维修情况记录档案，</w:t>
      </w:r>
      <w:r>
        <w:rPr>
          <w:rFonts w:hint="eastAsia" w:ascii="宋体" w:hAnsi="宋体" w:cs="宋体"/>
          <w:b w:val="0"/>
          <w:bCs/>
          <w:color w:val="auto"/>
          <w:highlight w:val="none"/>
          <w:lang w:eastAsia="zh-CN"/>
        </w:rPr>
        <w:t>甲方</w:t>
      </w:r>
      <w:r>
        <w:rPr>
          <w:rFonts w:hint="eastAsia" w:ascii="宋体" w:hAnsi="宋体" w:cs="宋体"/>
          <w:b w:val="0"/>
          <w:bCs/>
          <w:color w:val="auto"/>
          <w:highlight w:val="none"/>
        </w:rPr>
        <w:t>每年进行检查，有弄虚作假的、偷工减料、以次充好的等不符合规定的情况将要求整改或不予审定结算。</w:t>
      </w:r>
    </w:p>
    <w:p w14:paraId="46E86D07">
      <w:pPr>
        <w:spacing w:line="360" w:lineRule="auto"/>
        <w:ind w:firstLine="422" w:firstLineChars="200"/>
        <w:rPr>
          <w:rFonts w:hint="eastAsia"/>
          <w:b/>
          <w:color w:val="auto"/>
          <w:highlight w:val="none"/>
        </w:rPr>
      </w:pPr>
      <w:r>
        <w:rPr>
          <w:rFonts w:hint="eastAsia"/>
          <w:b/>
          <w:color w:val="auto"/>
          <w:highlight w:val="none"/>
          <w:lang w:eastAsia="zh-CN"/>
        </w:rPr>
        <w:t>九</w:t>
      </w:r>
      <w:r>
        <w:rPr>
          <w:rFonts w:hint="eastAsia"/>
          <w:b/>
          <w:color w:val="auto"/>
          <w:highlight w:val="none"/>
        </w:rPr>
        <w:t>、确定第二阶段成交供应商的方式</w:t>
      </w:r>
    </w:p>
    <w:p w14:paraId="597A34AD">
      <w:pPr>
        <w:spacing w:line="360" w:lineRule="auto"/>
        <w:ind w:firstLine="420" w:firstLineChars="200"/>
        <w:rPr>
          <w:color w:val="auto"/>
          <w:highlight w:val="none"/>
        </w:rPr>
      </w:pPr>
      <w:r>
        <w:rPr>
          <w:rFonts w:hint="eastAsia"/>
          <w:color w:val="auto"/>
          <w:highlight w:val="none"/>
        </w:rPr>
        <w:t>确定第二阶段成交供应商的方式为直接选定。由采购人依据项目实际情况、供应商服务质量、价格及服务便利性、用户评价等因素，从第一阶段入围供应商中直接选定。</w:t>
      </w:r>
    </w:p>
    <w:p w14:paraId="784669AA">
      <w:pPr>
        <w:spacing w:line="400" w:lineRule="exact"/>
        <w:ind w:firstLine="422" w:firstLineChars="200"/>
        <w:jc w:val="left"/>
        <w:rPr>
          <w:b/>
          <w:color w:val="auto"/>
          <w:highlight w:val="none"/>
        </w:rPr>
      </w:pPr>
      <w:r>
        <w:rPr>
          <w:rFonts w:hint="eastAsia"/>
          <w:b/>
          <w:color w:val="auto"/>
          <w:highlight w:val="none"/>
          <w:lang w:eastAsia="zh-CN"/>
        </w:rPr>
        <w:t>十</w:t>
      </w:r>
      <w:r>
        <w:rPr>
          <w:rFonts w:hint="eastAsia"/>
          <w:b/>
          <w:color w:val="auto"/>
          <w:highlight w:val="none"/>
        </w:rPr>
        <w:t>、采购人的权利和义务</w:t>
      </w:r>
    </w:p>
    <w:p w14:paraId="11812CC4">
      <w:pPr>
        <w:spacing w:line="360" w:lineRule="auto"/>
        <w:ind w:firstLine="420" w:firstLineChars="200"/>
        <w:rPr>
          <w:rFonts w:hint="eastAsia"/>
          <w:color w:val="auto"/>
          <w:highlight w:val="none"/>
        </w:rPr>
      </w:pPr>
      <w:r>
        <w:rPr>
          <w:rFonts w:hint="eastAsia"/>
          <w:color w:val="auto"/>
          <w:highlight w:val="none"/>
        </w:rPr>
        <w:t>1.送修汽车必须填写送修单，检修的车辆必须是</w:t>
      </w:r>
      <w:r>
        <w:rPr>
          <w:rFonts w:hint="eastAsia"/>
          <w:color w:val="auto"/>
          <w:highlight w:val="none"/>
          <w:lang w:eastAsia="zh-CN"/>
        </w:rPr>
        <w:t>甲方</w:t>
      </w:r>
      <w:r>
        <w:rPr>
          <w:rFonts w:hint="eastAsia"/>
          <w:color w:val="auto"/>
          <w:highlight w:val="none"/>
        </w:rPr>
        <w:t>所列的车辆及检修内容，办好进厂维修车辆的随车证件、附件的交托手续。</w:t>
      </w:r>
    </w:p>
    <w:p w14:paraId="5516EB42">
      <w:pPr>
        <w:spacing w:line="360" w:lineRule="auto"/>
        <w:ind w:firstLine="420" w:firstLineChars="200"/>
        <w:rPr>
          <w:rFonts w:hint="eastAsia"/>
          <w:color w:val="auto"/>
          <w:highlight w:val="none"/>
        </w:rPr>
      </w:pPr>
      <w:r>
        <w:rPr>
          <w:rFonts w:hint="eastAsia"/>
          <w:color w:val="auto"/>
          <w:highlight w:val="none"/>
        </w:rPr>
        <w:t>2.必须按时接收已维修竣工车辆。对已维修竣工车辆，如发现不合格，</w:t>
      </w:r>
      <w:r>
        <w:rPr>
          <w:rFonts w:hint="eastAsia"/>
          <w:color w:val="auto"/>
          <w:highlight w:val="none"/>
          <w:lang w:eastAsia="zh-CN"/>
        </w:rPr>
        <w:t>甲方</w:t>
      </w:r>
      <w:r>
        <w:rPr>
          <w:rFonts w:hint="eastAsia"/>
          <w:color w:val="auto"/>
          <w:highlight w:val="none"/>
        </w:rPr>
        <w:t>有权要求乙方无偿返工，直至符合要求为止；如发现所修的车辆的维修项目与</w:t>
      </w:r>
      <w:r>
        <w:rPr>
          <w:rFonts w:hint="eastAsia"/>
          <w:color w:val="auto"/>
          <w:highlight w:val="none"/>
          <w:lang w:eastAsia="zh-CN"/>
        </w:rPr>
        <w:t>甲方</w:t>
      </w:r>
      <w:r>
        <w:rPr>
          <w:rFonts w:hint="eastAsia"/>
          <w:color w:val="auto"/>
          <w:highlight w:val="none"/>
        </w:rPr>
        <w:t>项目不符，</w:t>
      </w:r>
      <w:r>
        <w:rPr>
          <w:rFonts w:hint="eastAsia"/>
          <w:color w:val="auto"/>
          <w:highlight w:val="none"/>
          <w:lang w:eastAsia="zh-CN"/>
        </w:rPr>
        <w:t>甲方</w:t>
      </w:r>
      <w:r>
        <w:rPr>
          <w:rFonts w:hint="eastAsia"/>
          <w:color w:val="auto"/>
          <w:highlight w:val="none"/>
        </w:rPr>
        <w:t>有权拒付维修费用，并有权向有关部门投诉乙方违约行为。</w:t>
      </w:r>
    </w:p>
    <w:p w14:paraId="04854988">
      <w:pPr>
        <w:spacing w:line="360" w:lineRule="auto"/>
        <w:ind w:firstLine="420" w:firstLineChars="200"/>
        <w:rPr>
          <w:rFonts w:hint="eastAsia"/>
          <w:color w:val="auto"/>
          <w:highlight w:val="none"/>
        </w:rPr>
      </w:pPr>
      <w:r>
        <w:rPr>
          <w:rFonts w:hint="eastAsia"/>
          <w:color w:val="auto"/>
          <w:highlight w:val="none"/>
        </w:rPr>
        <w:t>3.对乙方在维修中更换的零配旧件，</w:t>
      </w:r>
      <w:r>
        <w:rPr>
          <w:rFonts w:hint="eastAsia"/>
          <w:color w:val="auto"/>
          <w:highlight w:val="none"/>
          <w:lang w:eastAsia="zh-CN"/>
        </w:rPr>
        <w:t>甲方</w:t>
      </w:r>
      <w:r>
        <w:rPr>
          <w:rFonts w:hint="eastAsia"/>
          <w:color w:val="auto"/>
          <w:highlight w:val="none"/>
        </w:rPr>
        <w:t>有权保留作出鉴定的依据。</w:t>
      </w:r>
    </w:p>
    <w:p w14:paraId="063D0D9E">
      <w:pPr>
        <w:spacing w:line="360" w:lineRule="auto"/>
        <w:ind w:firstLine="420" w:firstLineChars="200"/>
        <w:rPr>
          <w:rFonts w:hint="eastAsia"/>
          <w:color w:val="auto"/>
          <w:highlight w:val="none"/>
        </w:rPr>
      </w:pPr>
      <w:r>
        <w:rPr>
          <w:rFonts w:hint="eastAsia"/>
          <w:color w:val="auto"/>
          <w:highlight w:val="none"/>
        </w:rPr>
        <w:t>4.按合同规定或双方签订的期限及时与乙方结算车辆维修费用。</w:t>
      </w:r>
    </w:p>
    <w:p w14:paraId="01ECF299">
      <w:pPr>
        <w:spacing w:line="360" w:lineRule="auto"/>
        <w:ind w:firstLine="420" w:firstLineChars="200"/>
        <w:rPr>
          <w:rFonts w:hint="eastAsia"/>
          <w:color w:val="auto"/>
          <w:highlight w:val="none"/>
        </w:rPr>
      </w:pPr>
      <w:r>
        <w:rPr>
          <w:rFonts w:hint="eastAsia"/>
          <w:color w:val="auto"/>
          <w:highlight w:val="none"/>
        </w:rPr>
        <w:t>5.确因乙方原因对</w:t>
      </w:r>
      <w:r>
        <w:rPr>
          <w:rFonts w:hint="eastAsia"/>
          <w:color w:val="auto"/>
          <w:highlight w:val="none"/>
          <w:lang w:eastAsia="zh-CN"/>
        </w:rPr>
        <w:t>甲方</w:t>
      </w:r>
      <w:r>
        <w:rPr>
          <w:rFonts w:hint="eastAsia"/>
          <w:color w:val="auto"/>
          <w:highlight w:val="none"/>
        </w:rPr>
        <w:t>送修车辆未能进行维修，</w:t>
      </w:r>
      <w:r>
        <w:rPr>
          <w:rFonts w:hint="eastAsia"/>
          <w:color w:val="auto"/>
          <w:highlight w:val="none"/>
          <w:lang w:eastAsia="zh-CN"/>
        </w:rPr>
        <w:t>甲方</w:t>
      </w:r>
      <w:r>
        <w:rPr>
          <w:rFonts w:hint="eastAsia"/>
          <w:color w:val="auto"/>
          <w:highlight w:val="none"/>
        </w:rPr>
        <w:t>凭乙方开具的证明先向本级政府采购监督管理部门反馈，经备案后，方可将车辆送到特约维修站维修。</w:t>
      </w:r>
    </w:p>
    <w:p w14:paraId="539CF9B3">
      <w:pPr>
        <w:spacing w:line="360" w:lineRule="auto"/>
        <w:ind w:firstLine="420" w:firstLineChars="200"/>
        <w:rPr>
          <w:color w:val="auto"/>
          <w:highlight w:val="none"/>
        </w:rPr>
      </w:pPr>
      <w:r>
        <w:rPr>
          <w:rFonts w:hint="eastAsia"/>
          <w:color w:val="auto"/>
          <w:highlight w:val="none"/>
        </w:rPr>
        <w:t>6.不得向乙方提出除修车以外的服务要求。</w:t>
      </w:r>
    </w:p>
    <w:p w14:paraId="131383F5">
      <w:pPr>
        <w:spacing w:line="400" w:lineRule="exact"/>
        <w:ind w:firstLine="422" w:firstLineChars="200"/>
        <w:jc w:val="left"/>
        <w:rPr>
          <w:b/>
          <w:color w:val="auto"/>
          <w:highlight w:val="none"/>
        </w:rPr>
      </w:pPr>
      <w:r>
        <w:rPr>
          <w:rFonts w:hint="eastAsia"/>
          <w:b/>
          <w:color w:val="auto"/>
          <w:highlight w:val="none"/>
        </w:rPr>
        <w:t>十</w:t>
      </w:r>
      <w:r>
        <w:rPr>
          <w:rFonts w:hint="eastAsia"/>
          <w:b/>
          <w:color w:val="auto"/>
          <w:highlight w:val="none"/>
          <w:lang w:eastAsia="zh-CN"/>
        </w:rPr>
        <w:t>一</w:t>
      </w:r>
      <w:r>
        <w:rPr>
          <w:rFonts w:hint="eastAsia"/>
          <w:b/>
          <w:color w:val="auto"/>
          <w:highlight w:val="none"/>
        </w:rPr>
        <w:t>、乙方的权利和义务</w:t>
      </w:r>
    </w:p>
    <w:p w14:paraId="30D49876">
      <w:pPr>
        <w:spacing w:line="360" w:lineRule="auto"/>
        <w:ind w:firstLine="420" w:firstLineChars="200"/>
        <w:rPr>
          <w:rFonts w:hint="eastAsia"/>
          <w:color w:val="auto"/>
          <w:highlight w:val="none"/>
        </w:rPr>
      </w:pPr>
      <w:r>
        <w:rPr>
          <w:rFonts w:hint="eastAsia"/>
          <w:color w:val="auto"/>
          <w:highlight w:val="none"/>
        </w:rPr>
        <w:t>1.有权要求送修汽车的人出示需经</w:t>
      </w:r>
      <w:r>
        <w:rPr>
          <w:rFonts w:hint="eastAsia"/>
          <w:color w:val="auto"/>
          <w:highlight w:val="none"/>
          <w:lang w:eastAsia="zh-CN"/>
        </w:rPr>
        <w:t>甲方</w:t>
      </w:r>
      <w:r>
        <w:rPr>
          <w:rFonts w:hint="eastAsia"/>
          <w:color w:val="auto"/>
          <w:highlight w:val="none"/>
        </w:rPr>
        <w:t>审核签署意见并加盖公章的送修单。</w:t>
      </w:r>
    </w:p>
    <w:p w14:paraId="65B44260">
      <w:pPr>
        <w:spacing w:line="360" w:lineRule="auto"/>
        <w:ind w:firstLine="420" w:firstLineChars="200"/>
        <w:rPr>
          <w:rFonts w:hint="eastAsia"/>
          <w:color w:val="auto"/>
          <w:highlight w:val="none"/>
        </w:rPr>
      </w:pPr>
      <w:r>
        <w:rPr>
          <w:rFonts w:hint="eastAsia"/>
          <w:color w:val="auto"/>
          <w:highlight w:val="none"/>
        </w:rPr>
        <w:t>2.有权要求</w:t>
      </w:r>
      <w:r>
        <w:rPr>
          <w:rFonts w:hint="eastAsia"/>
          <w:color w:val="auto"/>
          <w:highlight w:val="none"/>
          <w:lang w:eastAsia="zh-CN"/>
        </w:rPr>
        <w:t>甲方</w:t>
      </w:r>
      <w:r>
        <w:rPr>
          <w:rFonts w:hint="eastAsia"/>
          <w:color w:val="auto"/>
          <w:highlight w:val="none"/>
        </w:rPr>
        <w:t>按合同规定及双方商定的期限内结清车辆维修费用。</w:t>
      </w:r>
    </w:p>
    <w:p w14:paraId="35171396">
      <w:pPr>
        <w:spacing w:line="360" w:lineRule="auto"/>
        <w:ind w:firstLine="420" w:firstLineChars="200"/>
        <w:rPr>
          <w:rFonts w:hint="eastAsia"/>
          <w:color w:val="auto"/>
          <w:highlight w:val="none"/>
        </w:rPr>
      </w:pPr>
      <w:r>
        <w:rPr>
          <w:rFonts w:hint="eastAsia"/>
          <w:color w:val="auto"/>
          <w:highlight w:val="none"/>
        </w:rPr>
        <w:t>3.有权拒绝</w:t>
      </w:r>
      <w:r>
        <w:rPr>
          <w:rFonts w:hint="eastAsia"/>
          <w:color w:val="auto"/>
          <w:highlight w:val="none"/>
          <w:lang w:eastAsia="zh-CN"/>
        </w:rPr>
        <w:t>甲方</w:t>
      </w:r>
      <w:r>
        <w:rPr>
          <w:rFonts w:hint="eastAsia"/>
          <w:color w:val="auto"/>
          <w:highlight w:val="none"/>
        </w:rPr>
        <w:t>提出除维修服务以外的服务要求。</w:t>
      </w:r>
    </w:p>
    <w:p w14:paraId="245E56A1">
      <w:pPr>
        <w:spacing w:line="360" w:lineRule="auto"/>
        <w:ind w:firstLine="420" w:firstLineChars="200"/>
        <w:rPr>
          <w:rFonts w:hint="eastAsia"/>
          <w:color w:val="auto"/>
          <w:highlight w:val="none"/>
        </w:rPr>
      </w:pPr>
      <w:r>
        <w:rPr>
          <w:rFonts w:hint="eastAsia"/>
          <w:color w:val="auto"/>
          <w:highlight w:val="none"/>
        </w:rPr>
        <w:t>4.有权向有关部门投诉</w:t>
      </w:r>
      <w:r>
        <w:rPr>
          <w:rFonts w:hint="eastAsia"/>
          <w:color w:val="auto"/>
          <w:highlight w:val="none"/>
          <w:lang w:eastAsia="zh-CN"/>
        </w:rPr>
        <w:t>甲方</w:t>
      </w:r>
      <w:r>
        <w:rPr>
          <w:rFonts w:hint="eastAsia"/>
          <w:color w:val="auto"/>
          <w:highlight w:val="none"/>
        </w:rPr>
        <w:t>的违约行为。</w:t>
      </w:r>
    </w:p>
    <w:p w14:paraId="657A8B53">
      <w:pPr>
        <w:spacing w:line="360" w:lineRule="auto"/>
        <w:ind w:firstLine="420" w:firstLineChars="200"/>
        <w:rPr>
          <w:rFonts w:hint="eastAsia"/>
          <w:color w:val="auto"/>
          <w:highlight w:val="none"/>
        </w:rPr>
      </w:pPr>
      <w:r>
        <w:rPr>
          <w:rFonts w:hint="eastAsia"/>
          <w:color w:val="auto"/>
          <w:highlight w:val="none"/>
        </w:rPr>
        <w:t>5.优先为</w:t>
      </w:r>
      <w:r>
        <w:rPr>
          <w:rFonts w:hint="eastAsia"/>
          <w:color w:val="auto"/>
          <w:highlight w:val="none"/>
          <w:lang w:eastAsia="zh-CN"/>
        </w:rPr>
        <w:t>甲方</w:t>
      </w:r>
      <w:r>
        <w:rPr>
          <w:rFonts w:hint="eastAsia"/>
          <w:color w:val="auto"/>
          <w:highlight w:val="none"/>
        </w:rPr>
        <w:t>的送修车辆提供维修服务。</w:t>
      </w:r>
    </w:p>
    <w:p w14:paraId="63409E47">
      <w:pPr>
        <w:spacing w:line="360" w:lineRule="auto"/>
        <w:ind w:firstLine="420" w:firstLineChars="200"/>
        <w:rPr>
          <w:rFonts w:hint="eastAsia"/>
          <w:color w:val="auto"/>
          <w:highlight w:val="none"/>
        </w:rPr>
      </w:pPr>
      <w:r>
        <w:rPr>
          <w:rFonts w:hint="eastAsia"/>
          <w:color w:val="auto"/>
          <w:highlight w:val="none"/>
        </w:rPr>
        <w:t>6.乙方未经</w:t>
      </w:r>
      <w:r>
        <w:rPr>
          <w:rFonts w:hint="eastAsia"/>
          <w:color w:val="auto"/>
          <w:highlight w:val="none"/>
          <w:lang w:eastAsia="zh-CN"/>
        </w:rPr>
        <w:t>甲方</w:t>
      </w:r>
      <w:r>
        <w:rPr>
          <w:rFonts w:hint="eastAsia"/>
          <w:color w:val="auto"/>
          <w:highlight w:val="none"/>
        </w:rPr>
        <w:t>和</w:t>
      </w:r>
      <w:r>
        <w:rPr>
          <w:rFonts w:hint="eastAsia"/>
          <w:color w:val="auto"/>
          <w:highlight w:val="none"/>
          <w:lang w:eastAsia="zh-CN"/>
        </w:rPr>
        <w:t>广西—</w:t>
      </w:r>
      <w:r>
        <w:rPr>
          <w:rFonts w:hint="eastAsia"/>
          <w:color w:val="auto"/>
          <w:highlight w:val="none"/>
          <w:lang w:val="en-US" w:eastAsia="zh-CN"/>
        </w:rPr>
        <w:t>东盟经济技术开发区</w:t>
      </w:r>
      <w:r>
        <w:rPr>
          <w:rFonts w:hint="eastAsia"/>
          <w:color w:val="auto"/>
          <w:highlight w:val="none"/>
        </w:rPr>
        <w:t>采购监督管理部门同意，不得将送修车辆转厂维修。</w:t>
      </w:r>
    </w:p>
    <w:p w14:paraId="21E63E28">
      <w:pPr>
        <w:spacing w:line="360" w:lineRule="auto"/>
        <w:ind w:firstLine="420" w:firstLineChars="200"/>
        <w:rPr>
          <w:rFonts w:hint="eastAsia"/>
          <w:color w:val="auto"/>
          <w:highlight w:val="none"/>
        </w:rPr>
      </w:pPr>
      <w:r>
        <w:rPr>
          <w:rFonts w:hint="eastAsia"/>
          <w:color w:val="auto"/>
          <w:highlight w:val="none"/>
        </w:rPr>
        <w:t>7.必须按送修单上的要求按时完成维修工作，做好进厂维修车的随车证件、附件的核收、保管，做好维修前检测、维修中质检、竣工后的检验，保证所用配件符合质量标准及车方的要求，不得以换代修、以次充好、以旧换新或随意更换汽车配件，不得随意提高工时费和材料费，保证送修车辆的安全。</w:t>
      </w:r>
    </w:p>
    <w:p w14:paraId="1A50A008">
      <w:pPr>
        <w:spacing w:line="360" w:lineRule="auto"/>
        <w:ind w:firstLine="420" w:firstLineChars="200"/>
        <w:rPr>
          <w:rFonts w:hint="eastAsia"/>
          <w:color w:val="auto"/>
          <w:highlight w:val="none"/>
        </w:rPr>
      </w:pPr>
      <w:r>
        <w:rPr>
          <w:rFonts w:hint="eastAsia"/>
          <w:color w:val="auto"/>
          <w:highlight w:val="none"/>
        </w:rPr>
        <w:t>8.按协议承诺优惠价收取工时、材料价格。</w:t>
      </w:r>
    </w:p>
    <w:p w14:paraId="48E1C788">
      <w:pPr>
        <w:spacing w:line="360" w:lineRule="auto"/>
        <w:ind w:firstLine="420" w:firstLineChars="200"/>
        <w:rPr>
          <w:rFonts w:hint="eastAsia"/>
          <w:color w:val="auto"/>
          <w:highlight w:val="none"/>
        </w:rPr>
      </w:pPr>
      <w:r>
        <w:rPr>
          <w:rFonts w:hint="eastAsia"/>
          <w:color w:val="auto"/>
          <w:highlight w:val="none"/>
        </w:rPr>
        <w:t>9.乙方负责指导</w:t>
      </w:r>
      <w:r>
        <w:rPr>
          <w:rFonts w:hint="eastAsia"/>
          <w:color w:val="auto"/>
          <w:highlight w:val="none"/>
          <w:lang w:eastAsia="zh-CN"/>
        </w:rPr>
        <w:t>甲方</w:t>
      </w:r>
      <w:r>
        <w:rPr>
          <w:rFonts w:hint="eastAsia"/>
          <w:color w:val="auto"/>
          <w:highlight w:val="none"/>
        </w:rPr>
        <w:t>车辆的一般保养维护。</w:t>
      </w:r>
    </w:p>
    <w:p w14:paraId="48740049">
      <w:pPr>
        <w:spacing w:line="360" w:lineRule="auto"/>
        <w:ind w:firstLine="420" w:firstLineChars="200"/>
        <w:rPr>
          <w:rFonts w:hint="eastAsia"/>
          <w:color w:val="auto"/>
          <w:highlight w:val="none"/>
        </w:rPr>
      </w:pPr>
      <w:r>
        <w:rPr>
          <w:rFonts w:hint="eastAsia"/>
          <w:color w:val="auto"/>
          <w:highlight w:val="none"/>
        </w:rPr>
        <w:t>10.乙方在对</w:t>
      </w:r>
      <w:r>
        <w:rPr>
          <w:rFonts w:hint="eastAsia"/>
          <w:color w:val="auto"/>
          <w:highlight w:val="none"/>
          <w:lang w:eastAsia="zh-CN"/>
        </w:rPr>
        <w:t>甲方</w:t>
      </w:r>
      <w:r>
        <w:rPr>
          <w:rFonts w:hint="eastAsia"/>
          <w:color w:val="auto"/>
          <w:highlight w:val="none"/>
        </w:rPr>
        <w:t>车辆维修过程中因技术等原因未能进行维修保养的，乙方应实事求是开具证明给</w:t>
      </w:r>
      <w:r>
        <w:rPr>
          <w:rFonts w:hint="eastAsia"/>
          <w:color w:val="auto"/>
          <w:highlight w:val="none"/>
          <w:lang w:eastAsia="zh-CN"/>
        </w:rPr>
        <w:t>甲方</w:t>
      </w:r>
      <w:r>
        <w:rPr>
          <w:rFonts w:hint="eastAsia"/>
          <w:color w:val="auto"/>
          <w:highlight w:val="none"/>
        </w:rPr>
        <w:t>。</w:t>
      </w:r>
    </w:p>
    <w:p w14:paraId="07BCE36D">
      <w:pPr>
        <w:spacing w:line="400" w:lineRule="exact"/>
        <w:ind w:firstLine="422" w:firstLineChars="200"/>
        <w:jc w:val="left"/>
        <w:rPr>
          <w:b/>
          <w:color w:val="auto"/>
          <w:highlight w:val="none"/>
        </w:rPr>
      </w:pPr>
      <w:r>
        <w:rPr>
          <w:rFonts w:hint="eastAsia"/>
          <w:b/>
          <w:color w:val="auto"/>
          <w:highlight w:val="none"/>
        </w:rPr>
        <w:t>十</w:t>
      </w:r>
      <w:r>
        <w:rPr>
          <w:rFonts w:hint="eastAsia"/>
          <w:b/>
          <w:color w:val="auto"/>
          <w:highlight w:val="none"/>
          <w:lang w:eastAsia="zh-CN"/>
        </w:rPr>
        <w:t>二</w:t>
      </w:r>
      <w:r>
        <w:rPr>
          <w:rFonts w:hint="eastAsia"/>
          <w:b/>
          <w:color w:val="auto"/>
          <w:highlight w:val="none"/>
        </w:rPr>
        <w:t>、入围供应商的清退和补充规则</w:t>
      </w:r>
    </w:p>
    <w:p w14:paraId="603C2231">
      <w:pPr>
        <w:spacing w:line="360" w:lineRule="auto"/>
        <w:ind w:firstLine="420" w:firstLineChars="200"/>
        <w:rPr>
          <w:rFonts w:hint="eastAsia"/>
          <w:color w:val="auto"/>
          <w:highlight w:val="none"/>
        </w:rPr>
      </w:pPr>
      <w:r>
        <w:rPr>
          <w:rFonts w:hint="eastAsia"/>
          <w:color w:val="auto"/>
          <w:highlight w:val="none"/>
        </w:rPr>
        <w:t>1.乙方有下列情形之一，尚未签订框架协议的，取消其入围资格；已经签订框架协议的，解除与其签订的框架协议： </w:t>
      </w:r>
    </w:p>
    <w:p w14:paraId="5209FCBF">
      <w:pPr>
        <w:spacing w:line="360" w:lineRule="auto"/>
        <w:ind w:firstLine="420" w:firstLineChars="200"/>
        <w:rPr>
          <w:rFonts w:hint="eastAsia"/>
          <w:color w:val="auto"/>
          <w:highlight w:val="none"/>
        </w:rPr>
      </w:pPr>
      <w:r>
        <w:rPr>
          <w:rFonts w:hint="eastAsia"/>
          <w:color w:val="auto"/>
          <w:highlight w:val="none"/>
        </w:rPr>
        <w:t>（1）恶意串通谋取入围或者合同成交的； </w:t>
      </w:r>
    </w:p>
    <w:p w14:paraId="3099CDA4">
      <w:pPr>
        <w:spacing w:line="360" w:lineRule="auto"/>
        <w:ind w:firstLine="420" w:firstLineChars="200"/>
        <w:rPr>
          <w:rFonts w:hint="eastAsia"/>
          <w:color w:val="auto"/>
          <w:highlight w:val="none"/>
        </w:rPr>
      </w:pPr>
      <w:r>
        <w:rPr>
          <w:rFonts w:hint="eastAsia"/>
          <w:color w:val="auto"/>
          <w:highlight w:val="none"/>
        </w:rPr>
        <w:t>（2）提供虚假材料谋取入围或者合同成交的； </w:t>
      </w:r>
    </w:p>
    <w:p w14:paraId="2EC094B0">
      <w:pPr>
        <w:spacing w:line="360" w:lineRule="auto"/>
        <w:ind w:firstLine="420" w:firstLineChars="200"/>
        <w:rPr>
          <w:rFonts w:hint="eastAsia"/>
          <w:color w:val="auto"/>
          <w:highlight w:val="none"/>
        </w:rPr>
      </w:pPr>
      <w:r>
        <w:rPr>
          <w:rFonts w:hint="eastAsia"/>
          <w:color w:val="auto"/>
          <w:highlight w:val="none"/>
        </w:rPr>
        <w:t>（3）无正当理由拒不接受合同授予的； </w:t>
      </w:r>
    </w:p>
    <w:p w14:paraId="28347667">
      <w:pPr>
        <w:spacing w:line="360" w:lineRule="auto"/>
        <w:ind w:firstLine="420" w:firstLineChars="200"/>
        <w:rPr>
          <w:rFonts w:hint="eastAsia"/>
          <w:color w:val="auto"/>
          <w:highlight w:val="none"/>
        </w:rPr>
      </w:pPr>
      <w:r>
        <w:rPr>
          <w:rFonts w:hint="eastAsia"/>
          <w:color w:val="auto"/>
          <w:highlight w:val="none"/>
        </w:rPr>
        <w:t>（4）不履行合同义务或者履行合同义务不符合约定，经采购人请求履行后仍不履行或者仍未按约定履行的； </w:t>
      </w:r>
    </w:p>
    <w:p w14:paraId="12A1370D">
      <w:pPr>
        <w:spacing w:line="360" w:lineRule="auto"/>
        <w:ind w:firstLine="420" w:firstLineChars="200"/>
        <w:rPr>
          <w:rFonts w:hint="eastAsia"/>
          <w:color w:val="auto"/>
          <w:highlight w:val="none"/>
        </w:rPr>
      </w:pPr>
      <w:r>
        <w:rPr>
          <w:rFonts w:hint="eastAsia"/>
          <w:color w:val="auto"/>
          <w:highlight w:val="none"/>
        </w:rPr>
        <w:t>（5）框架协议有效期内，因违法行为被禁止或限制参加政府采购活动的； </w:t>
      </w:r>
    </w:p>
    <w:p w14:paraId="143DACBF">
      <w:pPr>
        <w:spacing w:line="360" w:lineRule="auto"/>
        <w:ind w:firstLine="420" w:firstLineChars="200"/>
        <w:rPr>
          <w:rFonts w:hint="eastAsia"/>
          <w:color w:val="auto"/>
          <w:highlight w:val="none"/>
        </w:rPr>
      </w:pPr>
      <w:r>
        <w:rPr>
          <w:rFonts w:hint="eastAsia"/>
          <w:color w:val="auto"/>
          <w:highlight w:val="none"/>
        </w:rPr>
        <w:t>（6）供应商违反职业道德，有违规违纪问题的；</w:t>
      </w:r>
    </w:p>
    <w:p w14:paraId="0032C51E">
      <w:pPr>
        <w:spacing w:line="360" w:lineRule="auto"/>
        <w:ind w:firstLine="420" w:firstLineChars="200"/>
        <w:rPr>
          <w:rFonts w:hint="eastAsia"/>
          <w:color w:val="auto"/>
          <w:highlight w:val="none"/>
        </w:rPr>
      </w:pPr>
      <w:r>
        <w:rPr>
          <w:rFonts w:hint="eastAsia"/>
          <w:color w:val="auto"/>
          <w:highlight w:val="none"/>
        </w:rPr>
        <w:t>（7）框架协议约定的其他情形。 </w:t>
      </w:r>
    </w:p>
    <w:p w14:paraId="7ECE4FB2">
      <w:pPr>
        <w:spacing w:line="360" w:lineRule="auto"/>
        <w:ind w:firstLine="420" w:firstLineChars="200"/>
        <w:rPr>
          <w:rFonts w:hint="eastAsia"/>
          <w:color w:val="auto"/>
          <w:highlight w:val="none"/>
        </w:rPr>
      </w:pPr>
      <w:r>
        <w:rPr>
          <w:rFonts w:hint="eastAsia"/>
          <w:color w:val="auto"/>
          <w:highlight w:val="none"/>
        </w:rPr>
        <w:t>2.补充规则：框架协议有效期内，不再补充征集供应商。</w:t>
      </w:r>
    </w:p>
    <w:p w14:paraId="4062E917">
      <w:pPr>
        <w:spacing w:line="400" w:lineRule="exact"/>
        <w:ind w:firstLine="422" w:firstLineChars="200"/>
        <w:jc w:val="left"/>
        <w:rPr>
          <w:b/>
          <w:color w:val="auto"/>
          <w:highlight w:val="none"/>
        </w:rPr>
      </w:pPr>
      <w:r>
        <w:rPr>
          <w:rFonts w:hint="eastAsia"/>
          <w:b/>
          <w:color w:val="auto"/>
          <w:highlight w:val="none"/>
        </w:rPr>
        <w:t>十</w:t>
      </w:r>
      <w:r>
        <w:rPr>
          <w:rFonts w:hint="eastAsia"/>
          <w:b/>
          <w:color w:val="auto"/>
          <w:highlight w:val="none"/>
          <w:lang w:eastAsia="zh-CN"/>
        </w:rPr>
        <w:t>三</w:t>
      </w:r>
      <w:r>
        <w:rPr>
          <w:rFonts w:hint="eastAsia"/>
          <w:b/>
          <w:color w:val="auto"/>
          <w:highlight w:val="none"/>
        </w:rPr>
        <w:t>、违约责任</w:t>
      </w:r>
    </w:p>
    <w:p w14:paraId="4A986598">
      <w:pPr>
        <w:spacing w:line="360" w:lineRule="auto"/>
        <w:ind w:firstLine="420" w:firstLineChars="200"/>
        <w:rPr>
          <w:rFonts w:hint="eastAsia"/>
          <w:color w:val="auto"/>
          <w:highlight w:val="none"/>
        </w:rPr>
      </w:pPr>
      <w:r>
        <w:rPr>
          <w:rFonts w:hint="eastAsia"/>
          <w:color w:val="auto"/>
          <w:highlight w:val="none"/>
        </w:rPr>
        <w:t>1.甲乙双方必须以合同为准则，诚信守法</w:t>
      </w:r>
      <w:r>
        <w:rPr>
          <w:rFonts w:hint="eastAsia"/>
          <w:color w:val="auto"/>
          <w:highlight w:val="none"/>
          <w:lang w:eastAsia="zh-CN"/>
        </w:rPr>
        <w:t>，</w:t>
      </w:r>
      <w:r>
        <w:rPr>
          <w:rFonts w:hint="eastAsia"/>
          <w:color w:val="auto"/>
          <w:highlight w:val="none"/>
        </w:rPr>
        <w:t>自觉履行合同规定</w:t>
      </w:r>
      <w:r>
        <w:rPr>
          <w:rFonts w:hint="eastAsia"/>
          <w:color w:val="auto"/>
          <w:highlight w:val="none"/>
          <w:lang w:eastAsia="zh-CN"/>
        </w:rPr>
        <w:t>，</w:t>
      </w:r>
      <w:r>
        <w:rPr>
          <w:rFonts w:hint="eastAsia"/>
          <w:color w:val="auto"/>
          <w:highlight w:val="none"/>
        </w:rPr>
        <w:t>按合同所规定的条例办事。</w:t>
      </w:r>
    </w:p>
    <w:p w14:paraId="2E503E37">
      <w:pPr>
        <w:spacing w:line="360" w:lineRule="auto"/>
        <w:ind w:firstLine="420" w:firstLineChars="200"/>
        <w:rPr>
          <w:rFonts w:hint="eastAsia"/>
          <w:color w:val="auto"/>
          <w:highlight w:val="none"/>
        </w:rPr>
      </w:pPr>
      <w:r>
        <w:rPr>
          <w:rFonts w:hint="eastAsia"/>
          <w:color w:val="auto"/>
          <w:highlight w:val="none"/>
        </w:rPr>
        <w:t>2.乙方不按规定的期限完成维修工作，乙方应按每日该汽车维修费 5%的违约金支付给</w:t>
      </w:r>
      <w:r>
        <w:rPr>
          <w:rFonts w:hint="eastAsia"/>
          <w:color w:val="auto"/>
          <w:highlight w:val="none"/>
          <w:lang w:eastAsia="zh-CN"/>
        </w:rPr>
        <w:t>甲方</w:t>
      </w:r>
      <w:r>
        <w:rPr>
          <w:rFonts w:hint="eastAsia"/>
          <w:color w:val="auto"/>
          <w:highlight w:val="none"/>
        </w:rPr>
        <w:t>。该费用可从</w:t>
      </w:r>
      <w:r>
        <w:rPr>
          <w:rFonts w:hint="eastAsia"/>
          <w:color w:val="auto"/>
          <w:highlight w:val="none"/>
          <w:lang w:eastAsia="zh-CN"/>
        </w:rPr>
        <w:t>甲方</w:t>
      </w:r>
      <w:r>
        <w:rPr>
          <w:rFonts w:hint="eastAsia"/>
          <w:color w:val="auto"/>
          <w:highlight w:val="none"/>
        </w:rPr>
        <w:t>应支付给乙方的维修费中扣减。</w:t>
      </w:r>
    </w:p>
    <w:p w14:paraId="6DA23971">
      <w:pPr>
        <w:spacing w:line="360" w:lineRule="auto"/>
        <w:ind w:firstLine="420" w:firstLineChars="200"/>
        <w:rPr>
          <w:rFonts w:hint="eastAsia"/>
          <w:color w:val="auto"/>
          <w:highlight w:val="none"/>
        </w:rPr>
      </w:pPr>
      <w:r>
        <w:rPr>
          <w:rFonts w:hint="eastAsia"/>
          <w:color w:val="auto"/>
          <w:highlight w:val="none"/>
        </w:rPr>
        <w:t>3.</w:t>
      </w:r>
      <w:r>
        <w:rPr>
          <w:rFonts w:hint="eastAsia"/>
          <w:color w:val="auto"/>
          <w:highlight w:val="none"/>
          <w:lang w:eastAsia="zh-CN"/>
        </w:rPr>
        <w:t>甲方</w:t>
      </w:r>
      <w:r>
        <w:rPr>
          <w:rFonts w:hint="eastAsia"/>
          <w:color w:val="auto"/>
          <w:highlight w:val="none"/>
        </w:rPr>
        <w:t>送修汽车在乙方维修期间因维修质量问题造成损失或出现丢失或损毁，乙方应承担赔偿责任。</w:t>
      </w:r>
    </w:p>
    <w:p w14:paraId="413E947E">
      <w:pPr>
        <w:spacing w:line="400" w:lineRule="exact"/>
        <w:ind w:firstLine="422" w:firstLineChars="200"/>
        <w:jc w:val="left"/>
        <w:rPr>
          <w:b/>
          <w:color w:val="auto"/>
          <w:highlight w:val="none"/>
        </w:rPr>
      </w:pPr>
      <w:r>
        <w:rPr>
          <w:rFonts w:hint="eastAsia"/>
          <w:b/>
          <w:color w:val="auto"/>
          <w:highlight w:val="none"/>
        </w:rPr>
        <w:t>十</w:t>
      </w:r>
      <w:r>
        <w:rPr>
          <w:rFonts w:hint="eastAsia"/>
          <w:b/>
          <w:color w:val="auto"/>
          <w:highlight w:val="none"/>
          <w:lang w:eastAsia="zh-CN"/>
        </w:rPr>
        <w:t>四</w:t>
      </w:r>
      <w:r>
        <w:rPr>
          <w:rFonts w:hint="eastAsia"/>
          <w:b/>
          <w:color w:val="auto"/>
          <w:highlight w:val="none"/>
        </w:rPr>
        <w:t>、协议的终止</w:t>
      </w:r>
    </w:p>
    <w:p w14:paraId="4F9E24EB">
      <w:pPr>
        <w:spacing w:line="360" w:lineRule="auto"/>
        <w:ind w:firstLine="420" w:firstLineChars="200"/>
        <w:rPr>
          <w:rFonts w:hint="eastAsia"/>
          <w:color w:val="auto"/>
          <w:highlight w:val="none"/>
        </w:rPr>
      </w:pPr>
      <w:r>
        <w:rPr>
          <w:rFonts w:hint="eastAsia"/>
          <w:color w:val="auto"/>
          <w:highlight w:val="none"/>
        </w:rPr>
        <w:t>1.任何一方如因发生不可抗拒事件而丧失履行合同能力，本协议可自行终止。</w:t>
      </w:r>
    </w:p>
    <w:p w14:paraId="57A58FF3">
      <w:pPr>
        <w:spacing w:line="360" w:lineRule="auto"/>
        <w:ind w:firstLine="420" w:firstLineChars="200"/>
        <w:rPr>
          <w:rFonts w:hint="eastAsia"/>
          <w:color w:val="auto"/>
          <w:highlight w:val="none"/>
        </w:rPr>
      </w:pPr>
      <w:r>
        <w:rPr>
          <w:rFonts w:hint="eastAsia"/>
          <w:color w:val="auto"/>
          <w:highlight w:val="none"/>
        </w:rPr>
        <w:t>2.甲乙双方有下列一种情况出现，双方都有权单方面终止协议，追究对方经济赔偿：</w:t>
      </w:r>
    </w:p>
    <w:p w14:paraId="19448A13">
      <w:pPr>
        <w:spacing w:line="360" w:lineRule="auto"/>
        <w:ind w:firstLine="420" w:firstLineChars="200"/>
        <w:rPr>
          <w:rFonts w:hint="eastAsia"/>
          <w:color w:val="auto"/>
          <w:highlight w:val="none"/>
        </w:rPr>
      </w:pPr>
      <w:r>
        <w:rPr>
          <w:rFonts w:hint="eastAsia"/>
          <w:color w:val="auto"/>
          <w:highlight w:val="none"/>
          <w:lang w:val="en-US" w:eastAsia="zh-CN"/>
        </w:rPr>
        <w:t>（1）</w:t>
      </w:r>
      <w:r>
        <w:rPr>
          <w:rFonts w:hint="eastAsia"/>
          <w:color w:val="auto"/>
          <w:highlight w:val="none"/>
          <w:lang w:eastAsia="zh-CN"/>
        </w:rPr>
        <w:t>甲方</w:t>
      </w:r>
      <w:r>
        <w:rPr>
          <w:rFonts w:hint="eastAsia"/>
          <w:color w:val="auto"/>
          <w:highlight w:val="none"/>
        </w:rPr>
        <w:t>对乙方的有效投诉记录累积一年内 3 次以上的（含 3 次）。</w:t>
      </w:r>
    </w:p>
    <w:p w14:paraId="3B26CDF3">
      <w:pPr>
        <w:spacing w:line="360" w:lineRule="auto"/>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未经</w:t>
      </w:r>
      <w:r>
        <w:rPr>
          <w:rFonts w:hint="eastAsia"/>
          <w:color w:val="auto"/>
          <w:highlight w:val="none"/>
          <w:lang w:eastAsia="zh-CN"/>
        </w:rPr>
        <w:t>甲方</w:t>
      </w:r>
      <w:r>
        <w:rPr>
          <w:rFonts w:hint="eastAsia"/>
          <w:color w:val="auto"/>
          <w:highlight w:val="none"/>
        </w:rPr>
        <w:t>同意，乙方将送修汽车交由他厂维修。</w:t>
      </w:r>
    </w:p>
    <w:p w14:paraId="268E4057">
      <w:pPr>
        <w:spacing w:line="360" w:lineRule="auto"/>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未经</w:t>
      </w:r>
      <w:r>
        <w:rPr>
          <w:rFonts w:hint="eastAsia"/>
          <w:color w:val="auto"/>
          <w:highlight w:val="none"/>
          <w:lang w:eastAsia="zh-CN"/>
        </w:rPr>
        <w:t>甲方</w:t>
      </w:r>
      <w:r>
        <w:rPr>
          <w:rFonts w:hint="eastAsia"/>
          <w:color w:val="auto"/>
          <w:highlight w:val="none"/>
        </w:rPr>
        <w:t>同意，乙方擅自使用非原厂配件或以旧件换取</w:t>
      </w:r>
      <w:r>
        <w:rPr>
          <w:rFonts w:hint="eastAsia"/>
          <w:color w:val="auto"/>
          <w:highlight w:val="none"/>
          <w:lang w:eastAsia="zh-CN"/>
        </w:rPr>
        <w:t>甲方</w:t>
      </w:r>
      <w:r>
        <w:rPr>
          <w:rFonts w:hint="eastAsia"/>
          <w:color w:val="auto"/>
          <w:highlight w:val="none"/>
        </w:rPr>
        <w:t>送修汽车零件。</w:t>
      </w:r>
    </w:p>
    <w:p w14:paraId="4B65AC0A">
      <w:pPr>
        <w:spacing w:line="360" w:lineRule="auto"/>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因乙方维修质量问题，导致</w:t>
      </w:r>
      <w:r>
        <w:rPr>
          <w:rFonts w:hint="eastAsia"/>
          <w:color w:val="auto"/>
          <w:highlight w:val="none"/>
          <w:lang w:eastAsia="zh-CN"/>
        </w:rPr>
        <w:t>甲方</w:t>
      </w:r>
      <w:r>
        <w:rPr>
          <w:rFonts w:hint="eastAsia"/>
          <w:color w:val="auto"/>
          <w:highlight w:val="none"/>
        </w:rPr>
        <w:t>汽车出现事故造成重大损失的。</w:t>
      </w:r>
    </w:p>
    <w:p w14:paraId="6DD62E8D">
      <w:pPr>
        <w:spacing w:line="360" w:lineRule="auto"/>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乙方对</w:t>
      </w:r>
      <w:r>
        <w:rPr>
          <w:rFonts w:hint="eastAsia"/>
          <w:color w:val="auto"/>
          <w:highlight w:val="none"/>
          <w:lang w:eastAsia="zh-CN"/>
        </w:rPr>
        <w:t>甲方</w:t>
      </w:r>
      <w:r>
        <w:rPr>
          <w:rFonts w:hint="eastAsia"/>
          <w:color w:val="auto"/>
          <w:highlight w:val="none"/>
        </w:rPr>
        <w:t>的有效投诉一年内达 3 次以上的（含 3 次）。</w:t>
      </w:r>
    </w:p>
    <w:p w14:paraId="6A15AC89">
      <w:pPr>
        <w:spacing w:line="360" w:lineRule="auto"/>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）甲方</w:t>
      </w:r>
      <w:r>
        <w:rPr>
          <w:rFonts w:hint="eastAsia"/>
          <w:color w:val="auto"/>
          <w:highlight w:val="none"/>
        </w:rPr>
        <w:t>维修费用逾期 6 个月未及时结算的。</w:t>
      </w:r>
    </w:p>
    <w:p w14:paraId="241D4FD8">
      <w:pPr>
        <w:spacing w:line="360" w:lineRule="auto"/>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w:t>
      </w:r>
      <w:r>
        <w:rPr>
          <w:rFonts w:hint="eastAsia"/>
          <w:color w:val="auto"/>
          <w:highlight w:val="none"/>
        </w:rPr>
        <w:t>未经乙方同意，</w:t>
      </w:r>
      <w:r>
        <w:rPr>
          <w:rFonts w:hint="eastAsia"/>
          <w:color w:val="auto"/>
          <w:highlight w:val="none"/>
          <w:lang w:eastAsia="zh-CN"/>
        </w:rPr>
        <w:t>甲方</w:t>
      </w:r>
      <w:r>
        <w:rPr>
          <w:rFonts w:hint="eastAsia"/>
          <w:color w:val="auto"/>
          <w:highlight w:val="none"/>
        </w:rPr>
        <w:t>私自将进厂维修车辆驾离厂区或造成损失的。</w:t>
      </w:r>
    </w:p>
    <w:p w14:paraId="1F52500C">
      <w:pPr>
        <w:spacing w:line="400" w:lineRule="exact"/>
        <w:ind w:firstLine="422" w:firstLineChars="200"/>
        <w:jc w:val="left"/>
        <w:rPr>
          <w:b/>
          <w:color w:val="auto"/>
          <w:highlight w:val="none"/>
        </w:rPr>
      </w:pPr>
      <w:r>
        <w:rPr>
          <w:rFonts w:hint="eastAsia"/>
          <w:b/>
          <w:color w:val="auto"/>
          <w:highlight w:val="none"/>
        </w:rPr>
        <w:t>十</w:t>
      </w:r>
      <w:r>
        <w:rPr>
          <w:rFonts w:hint="eastAsia"/>
          <w:b/>
          <w:color w:val="auto"/>
          <w:highlight w:val="none"/>
          <w:lang w:eastAsia="zh-CN"/>
        </w:rPr>
        <w:t>五</w:t>
      </w:r>
      <w:r>
        <w:rPr>
          <w:rFonts w:hint="eastAsia"/>
          <w:b/>
          <w:color w:val="auto"/>
          <w:highlight w:val="none"/>
        </w:rPr>
        <w:t>、投诉与仲裁</w:t>
      </w:r>
    </w:p>
    <w:p w14:paraId="17973A6F">
      <w:pPr>
        <w:spacing w:line="360" w:lineRule="auto"/>
        <w:ind w:firstLine="420" w:firstLineChars="200"/>
        <w:rPr>
          <w:rFonts w:hint="eastAsia"/>
          <w:color w:val="auto"/>
          <w:highlight w:val="none"/>
        </w:rPr>
      </w:pPr>
      <w:r>
        <w:rPr>
          <w:rFonts w:hint="eastAsia"/>
          <w:color w:val="auto"/>
          <w:highlight w:val="none"/>
        </w:rPr>
        <w:t>为了保障双方的权益，本协议建立投诉监管制度。</w:t>
      </w:r>
    </w:p>
    <w:p w14:paraId="39FF7748">
      <w:pPr>
        <w:spacing w:line="360" w:lineRule="auto"/>
        <w:ind w:firstLine="420" w:firstLineChars="200"/>
        <w:rPr>
          <w:rFonts w:hint="eastAsia"/>
          <w:color w:val="auto"/>
          <w:highlight w:val="none"/>
        </w:rPr>
      </w:pPr>
      <w:r>
        <w:rPr>
          <w:rFonts w:hint="eastAsia"/>
          <w:color w:val="auto"/>
          <w:highlight w:val="none"/>
        </w:rPr>
        <w:t>1.</w:t>
      </w:r>
      <w:r>
        <w:rPr>
          <w:rFonts w:hint="eastAsia"/>
          <w:color w:val="auto"/>
          <w:highlight w:val="none"/>
          <w:lang w:eastAsia="zh-CN"/>
        </w:rPr>
        <w:t>甲方</w:t>
      </w:r>
      <w:r>
        <w:rPr>
          <w:rFonts w:hint="eastAsia"/>
          <w:color w:val="auto"/>
          <w:highlight w:val="none"/>
        </w:rPr>
        <w:t>可就乙方的维修质量或服务问题向主管部门投诉。</w:t>
      </w:r>
    </w:p>
    <w:p w14:paraId="5CB2C24D">
      <w:pPr>
        <w:spacing w:line="360" w:lineRule="auto"/>
        <w:ind w:firstLine="420" w:firstLineChars="200"/>
        <w:rPr>
          <w:rFonts w:hint="eastAsia"/>
          <w:color w:val="auto"/>
          <w:highlight w:val="none"/>
        </w:rPr>
      </w:pPr>
      <w:r>
        <w:rPr>
          <w:rFonts w:hint="eastAsia"/>
          <w:color w:val="auto"/>
          <w:highlight w:val="none"/>
        </w:rPr>
        <w:t>2.乙方可就</w:t>
      </w:r>
      <w:r>
        <w:rPr>
          <w:rFonts w:hint="eastAsia"/>
          <w:color w:val="auto"/>
          <w:highlight w:val="none"/>
          <w:lang w:eastAsia="zh-CN"/>
        </w:rPr>
        <w:t>甲方</w:t>
      </w:r>
      <w:r>
        <w:rPr>
          <w:rFonts w:hint="eastAsia"/>
          <w:color w:val="auto"/>
          <w:highlight w:val="none"/>
        </w:rPr>
        <w:t>所提出的除维修服务以外的要求向主管部门投诉。</w:t>
      </w:r>
    </w:p>
    <w:p w14:paraId="2BE4D39A">
      <w:pPr>
        <w:spacing w:line="360" w:lineRule="auto"/>
        <w:ind w:firstLine="420" w:firstLineChars="200"/>
        <w:rPr>
          <w:rFonts w:hint="eastAsia"/>
          <w:color w:val="auto"/>
          <w:highlight w:val="none"/>
        </w:rPr>
      </w:pPr>
      <w:r>
        <w:rPr>
          <w:rFonts w:hint="eastAsia"/>
          <w:color w:val="auto"/>
          <w:highlight w:val="none"/>
        </w:rPr>
        <w:t>3.如双方在履行合同时发生纠纷，应尽量协商解决</w:t>
      </w:r>
      <w:r>
        <w:rPr>
          <w:rFonts w:hint="eastAsia"/>
          <w:color w:val="auto"/>
          <w:highlight w:val="none"/>
          <w:lang w:eastAsia="zh-CN"/>
        </w:rPr>
        <w:t>。</w:t>
      </w:r>
      <w:r>
        <w:rPr>
          <w:rFonts w:hint="eastAsia"/>
          <w:color w:val="auto"/>
          <w:highlight w:val="none"/>
        </w:rPr>
        <w:t>协商不成，可向监管部门投诉，可到仲裁部门申请仲裁或向人民法院起诉。</w:t>
      </w:r>
    </w:p>
    <w:p w14:paraId="5391C9C1">
      <w:pPr>
        <w:spacing w:line="400" w:lineRule="exact"/>
        <w:ind w:firstLine="422" w:firstLineChars="200"/>
        <w:jc w:val="left"/>
        <w:rPr>
          <w:b/>
          <w:color w:val="auto"/>
          <w:highlight w:val="none"/>
        </w:rPr>
      </w:pPr>
      <w:r>
        <w:rPr>
          <w:rFonts w:hint="eastAsia"/>
          <w:b/>
          <w:color w:val="auto"/>
          <w:highlight w:val="none"/>
        </w:rPr>
        <w:t>十</w:t>
      </w:r>
      <w:r>
        <w:rPr>
          <w:rFonts w:hint="eastAsia"/>
          <w:b/>
          <w:color w:val="auto"/>
          <w:highlight w:val="none"/>
          <w:lang w:eastAsia="zh-CN"/>
        </w:rPr>
        <w:t>六</w:t>
      </w:r>
      <w:r>
        <w:rPr>
          <w:rFonts w:hint="eastAsia"/>
          <w:b/>
          <w:color w:val="auto"/>
          <w:highlight w:val="none"/>
        </w:rPr>
        <w:t>、框架协议生效及其它</w:t>
      </w:r>
    </w:p>
    <w:p w14:paraId="5D269C2E">
      <w:pPr>
        <w:spacing w:line="360" w:lineRule="auto"/>
        <w:ind w:firstLine="420" w:firstLineChars="200"/>
        <w:rPr>
          <w:rFonts w:hint="eastAsia"/>
          <w:color w:val="auto"/>
          <w:highlight w:val="none"/>
        </w:rPr>
      </w:pPr>
      <w:r>
        <w:rPr>
          <w:rFonts w:hint="eastAsia"/>
          <w:color w:val="auto"/>
          <w:highlight w:val="none"/>
        </w:rPr>
        <w:t>1.框架协议经双方法定代表人或授权委托代理人签字并加盖单位公章后生效。</w:t>
      </w:r>
    </w:p>
    <w:p w14:paraId="3E4F9CF9">
      <w:pPr>
        <w:spacing w:line="360" w:lineRule="auto"/>
        <w:ind w:firstLine="420" w:firstLineChars="200"/>
        <w:rPr>
          <w:rFonts w:hint="eastAsia"/>
          <w:color w:val="auto"/>
          <w:highlight w:val="none"/>
        </w:rPr>
      </w:pPr>
      <w:r>
        <w:rPr>
          <w:rFonts w:hint="eastAsia"/>
          <w:color w:val="auto"/>
          <w:highlight w:val="none"/>
        </w:rPr>
        <w:t>2.框架协议执行中，如需修改或补充框架协议内容，由双方协商另签署书面修改或补充协议作为主框架协议不可分割的一部分。</w:t>
      </w:r>
    </w:p>
    <w:p w14:paraId="7647DB0E">
      <w:pPr>
        <w:spacing w:line="360" w:lineRule="auto"/>
        <w:ind w:firstLine="420" w:firstLineChars="200"/>
        <w:rPr>
          <w:rFonts w:hint="eastAsia"/>
          <w:color w:val="auto"/>
          <w:highlight w:val="none"/>
        </w:rPr>
      </w:pPr>
      <w:r>
        <w:rPr>
          <w:rFonts w:hint="eastAsia"/>
          <w:color w:val="auto"/>
          <w:highlight w:val="none"/>
        </w:rPr>
        <w:t>3.当事人一方要求变更或解除框架协议时，应当在变更或解除框架协议前5个工作日通知对方，因变更或解除框架协议使一方遭受损失的，除依法可以免除的责任外，应由责任方负责赔偿。变更或解除框架协议的通知或协议必须采取书面形式，协议未达成之前，原框架协议仍然有效。</w:t>
      </w:r>
    </w:p>
    <w:p w14:paraId="332667BF">
      <w:pPr>
        <w:spacing w:line="360" w:lineRule="auto"/>
        <w:ind w:firstLine="420" w:firstLineChars="200"/>
        <w:rPr>
          <w:rFonts w:hint="eastAsia"/>
          <w:color w:val="auto"/>
          <w:highlight w:val="none"/>
        </w:rPr>
      </w:pPr>
      <w:r>
        <w:rPr>
          <w:rFonts w:hint="eastAsia"/>
          <w:color w:val="auto"/>
          <w:highlight w:val="none"/>
        </w:rPr>
        <w:t>4.本框架协议未尽事宜，遵照《中华人民共和国民法典》有关条文执行。</w:t>
      </w:r>
    </w:p>
    <w:p w14:paraId="7692B80F">
      <w:pPr>
        <w:spacing w:line="360" w:lineRule="auto"/>
        <w:ind w:firstLine="420" w:firstLineChars="200"/>
        <w:rPr>
          <w:rFonts w:hint="eastAsia"/>
          <w:color w:val="auto"/>
          <w:highlight w:val="none"/>
        </w:rPr>
      </w:pPr>
      <w:r>
        <w:rPr>
          <w:rFonts w:hint="eastAsia"/>
          <w:color w:val="auto"/>
          <w:highlight w:val="none"/>
        </w:rPr>
        <w:t>5.本框架协议一式</w:t>
      </w:r>
      <w:r>
        <w:rPr>
          <w:rFonts w:hint="eastAsia"/>
          <w:color w:val="auto"/>
          <w:highlight w:val="none"/>
          <w:lang w:val="en-US" w:eastAsia="zh-CN"/>
        </w:rPr>
        <w:t>贰</w:t>
      </w:r>
      <w:r>
        <w:rPr>
          <w:rFonts w:hint="eastAsia"/>
          <w:color w:val="auto"/>
          <w:highlight w:val="none"/>
        </w:rPr>
        <w:t>份，甲乙</w:t>
      </w:r>
      <w:r>
        <w:rPr>
          <w:rFonts w:hint="eastAsia"/>
          <w:color w:val="auto"/>
          <w:highlight w:val="none"/>
          <w:lang w:val="en-US" w:eastAsia="zh-CN"/>
        </w:rPr>
        <w:t>双方</w:t>
      </w:r>
      <w:r>
        <w:rPr>
          <w:rFonts w:hint="eastAsia"/>
          <w:color w:val="auto"/>
          <w:highlight w:val="none"/>
        </w:rPr>
        <w:t xml:space="preserve">各执一份。 </w:t>
      </w:r>
    </w:p>
    <w:p w14:paraId="15C5DEAD">
      <w:pPr>
        <w:pStyle w:val="2"/>
        <w:rPr>
          <w:rFonts w:hint="eastAsia"/>
          <w:color w:val="auto"/>
          <w:highlight w:val="none"/>
        </w:rPr>
      </w:pPr>
    </w:p>
    <w:p w14:paraId="4CC26BE0">
      <w:pPr>
        <w:spacing w:line="400" w:lineRule="exact"/>
        <w:ind w:firstLine="420" w:firstLineChars="200"/>
        <w:jc w:val="left"/>
        <w:rPr>
          <w:color w:val="auto"/>
          <w:highlight w:val="none"/>
        </w:rPr>
      </w:pPr>
    </w:p>
    <w:p w14:paraId="47AD9108">
      <w:pPr>
        <w:pStyle w:val="16"/>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olor w:val="auto"/>
          <w:sz w:val="21"/>
          <w:szCs w:val="21"/>
          <w:highlight w:val="none"/>
          <w:u w:val="single"/>
        </w:rPr>
      </w:pPr>
      <w:r>
        <w:rPr>
          <w:rFonts w:hint="eastAsia" w:hAnsi="宋体"/>
          <w:color w:val="auto"/>
          <w:sz w:val="21"/>
          <w:szCs w:val="21"/>
          <w:highlight w:val="none"/>
        </w:rPr>
        <w:t>甲方：</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乙方：</w:t>
      </w:r>
      <w:r>
        <w:rPr>
          <w:rFonts w:hint="eastAsia" w:hAnsi="宋体"/>
          <w:color w:val="auto"/>
          <w:sz w:val="21"/>
          <w:szCs w:val="21"/>
          <w:highlight w:val="none"/>
          <w:u w:val="single"/>
        </w:rPr>
        <w:t xml:space="preserve">                                    </w:t>
      </w:r>
    </w:p>
    <w:p w14:paraId="79D97B8B">
      <w:pPr>
        <w:pStyle w:val="16"/>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olor w:val="auto"/>
          <w:sz w:val="21"/>
          <w:szCs w:val="21"/>
          <w:highlight w:val="none"/>
        </w:rPr>
      </w:pPr>
      <w:r>
        <w:rPr>
          <w:rFonts w:hint="eastAsia" w:hAnsi="宋体"/>
          <w:color w:val="auto"/>
          <w:sz w:val="21"/>
          <w:szCs w:val="21"/>
          <w:highlight w:val="none"/>
        </w:rPr>
        <w:t>地址：</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地址：</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w:t>
      </w:r>
    </w:p>
    <w:p w14:paraId="5D1E22F4">
      <w:pPr>
        <w:pStyle w:val="16"/>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olor w:val="auto"/>
          <w:sz w:val="21"/>
          <w:szCs w:val="21"/>
          <w:highlight w:val="none"/>
        </w:rPr>
      </w:pPr>
      <w:r>
        <w:rPr>
          <w:rFonts w:hint="eastAsia" w:hAnsi="宋体"/>
          <w:color w:val="auto"/>
          <w:sz w:val="21"/>
          <w:szCs w:val="21"/>
          <w:highlight w:val="none"/>
        </w:rPr>
        <w:t>法定代表人：</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法定代表人：</w:t>
      </w:r>
      <w:r>
        <w:rPr>
          <w:rFonts w:hint="eastAsia" w:hAnsi="宋体"/>
          <w:color w:val="auto"/>
          <w:sz w:val="21"/>
          <w:szCs w:val="21"/>
          <w:highlight w:val="none"/>
          <w:u w:val="single"/>
        </w:rPr>
        <w:t xml:space="preserve">                              </w:t>
      </w:r>
    </w:p>
    <w:p w14:paraId="63817CE7">
      <w:pPr>
        <w:pStyle w:val="16"/>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olor w:val="auto"/>
          <w:sz w:val="21"/>
          <w:szCs w:val="21"/>
          <w:highlight w:val="none"/>
        </w:rPr>
      </w:pPr>
      <w:r>
        <w:rPr>
          <w:rFonts w:hint="eastAsia" w:hAnsi="宋体"/>
          <w:color w:val="auto"/>
          <w:sz w:val="21"/>
          <w:szCs w:val="21"/>
          <w:highlight w:val="none"/>
        </w:rPr>
        <w:t>电话：</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委托代理人：</w:t>
      </w:r>
      <w:r>
        <w:rPr>
          <w:rFonts w:hint="eastAsia" w:hAnsi="宋体"/>
          <w:color w:val="auto"/>
          <w:sz w:val="21"/>
          <w:szCs w:val="21"/>
          <w:highlight w:val="none"/>
          <w:u w:val="single"/>
        </w:rPr>
        <w:t xml:space="preserve">                              </w:t>
      </w:r>
    </w:p>
    <w:p w14:paraId="752738EC">
      <w:pPr>
        <w:pStyle w:val="16"/>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olor w:val="auto"/>
          <w:sz w:val="21"/>
          <w:szCs w:val="21"/>
          <w:highlight w:val="none"/>
        </w:rPr>
      </w:pPr>
      <w:r>
        <w:rPr>
          <w:rFonts w:hint="eastAsia" w:hAnsi="宋体"/>
          <w:color w:val="auto"/>
          <w:sz w:val="21"/>
          <w:szCs w:val="21"/>
          <w:highlight w:val="none"/>
        </w:rPr>
        <w:t>传真：</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电话：</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w:t>
      </w:r>
    </w:p>
    <w:p w14:paraId="318819C2">
      <w:pPr>
        <w:pStyle w:val="16"/>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1"/>
          <w:szCs w:val="21"/>
          <w:highlight w:val="none"/>
        </w:rPr>
      </w:pPr>
      <w:r>
        <w:rPr>
          <w:rFonts w:hint="eastAsia" w:hAnsi="宋体"/>
          <w:color w:val="auto"/>
          <w:sz w:val="21"/>
          <w:szCs w:val="21"/>
          <w:highlight w:val="none"/>
        </w:rPr>
        <w:t>邮政编码：</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传真：</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w:t>
      </w:r>
    </w:p>
    <w:p w14:paraId="07CF9DC4">
      <w:pPr>
        <w:pStyle w:val="16"/>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1"/>
          <w:szCs w:val="21"/>
          <w:highlight w:val="none"/>
        </w:rPr>
      </w:pPr>
      <w:r>
        <w:rPr>
          <w:rFonts w:hint="eastAsia"/>
          <w:color w:val="auto"/>
          <w:sz w:val="21"/>
          <w:szCs w:val="21"/>
          <w:highlight w:val="none"/>
        </w:rPr>
        <w:t>协议签订地点：</w:t>
      </w:r>
      <w:r>
        <w:rPr>
          <w:rFonts w:hint="eastAsia" w:hAnsi="宋体"/>
          <w:color w:val="auto"/>
          <w:sz w:val="21"/>
          <w:szCs w:val="21"/>
          <w:highlight w:val="none"/>
          <w:u w:val="single"/>
        </w:rPr>
        <w:t xml:space="preserve">                            </w:t>
      </w:r>
    </w:p>
    <w:p w14:paraId="6D44826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协议签订时间：</w:t>
      </w:r>
      <w:r>
        <w:rPr>
          <w:rFonts w:hint="eastAsia" w:ascii="宋体" w:hAnsi="宋体" w:eastAsia="宋体" w:cs="宋体"/>
          <w:color w:val="auto"/>
          <w:sz w:val="21"/>
          <w:szCs w:val="21"/>
          <w:highlight w:val="none"/>
          <w:u w:val="single"/>
        </w:rPr>
        <w:t xml:space="preserve">                            </w:t>
      </w:r>
    </w:p>
    <w:p w14:paraId="156243DB">
      <w:pPr>
        <w:ind w:left="1285" w:hanging="1285" w:hangingChars="400"/>
        <w:rPr>
          <w:rFonts w:hint="eastAsia" w:ascii="宋体" w:cs="宋体"/>
          <w:b/>
          <w:bCs/>
          <w:color w:val="auto"/>
          <w:kern w:val="0"/>
          <w:sz w:val="32"/>
          <w:szCs w:val="32"/>
          <w:highlight w:val="none"/>
          <w:lang w:val="en-US" w:eastAsia="zh-CN"/>
        </w:rPr>
      </w:pPr>
    </w:p>
    <w:p w14:paraId="7E74B4D0">
      <w:pPr>
        <w:spacing w:line="440" w:lineRule="exact"/>
        <w:jc w:val="both"/>
        <w:rPr>
          <w:rFonts w:hint="eastAsia"/>
          <w:color w:val="auto"/>
          <w:sz w:val="36"/>
          <w:szCs w:val="36"/>
          <w:highlight w:val="none"/>
        </w:rPr>
      </w:pPr>
    </w:p>
    <w:p w14:paraId="1F86AC2E">
      <w:pPr>
        <w:spacing w:line="440" w:lineRule="exact"/>
        <w:ind w:firstLine="720" w:firstLineChars="200"/>
        <w:jc w:val="center"/>
        <w:rPr>
          <w:rFonts w:hint="eastAsia"/>
          <w:color w:val="auto"/>
          <w:sz w:val="36"/>
          <w:szCs w:val="36"/>
          <w:highlight w:val="none"/>
        </w:rPr>
      </w:pPr>
    </w:p>
    <w:p w14:paraId="64253DA9">
      <w:pPr>
        <w:spacing w:line="440" w:lineRule="exact"/>
        <w:ind w:firstLine="720" w:firstLineChars="200"/>
        <w:jc w:val="center"/>
        <w:rPr>
          <w:rFonts w:hint="eastAsia"/>
          <w:color w:val="auto"/>
          <w:sz w:val="36"/>
          <w:szCs w:val="36"/>
          <w:highlight w:val="none"/>
        </w:rPr>
      </w:pPr>
    </w:p>
    <w:p w14:paraId="060BDFC2">
      <w:pPr>
        <w:ind w:left="1285" w:hanging="2088" w:hangingChars="400"/>
        <w:rPr>
          <w:rFonts w:hint="eastAsia" w:ascii="宋体" w:cs="宋体"/>
          <w:b/>
          <w:bCs/>
          <w:color w:val="auto"/>
          <w:kern w:val="0"/>
          <w:sz w:val="32"/>
          <w:szCs w:val="32"/>
          <w:highlight w:val="none"/>
          <w:lang w:val="zh-CN"/>
        </w:rPr>
      </w:pPr>
      <w:r>
        <w:rPr>
          <w:rFonts w:hint="eastAsia" w:ascii="宋体" w:hAnsi="宋体" w:cs="宋体"/>
          <w:b/>
          <w:bCs/>
          <w:color w:val="auto"/>
          <w:sz w:val="52"/>
          <w:highlight w:val="none"/>
        </w:rPr>
        <w:br w:type="page"/>
      </w:r>
      <w:r>
        <w:rPr>
          <w:rFonts w:hint="eastAsia" w:ascii="宋体" w:cs="宋体"/>
          <w:b/>
          <w:bCs/>
          <w:color w:val="auto"/>
          <w:kern w:val="0"/>
          <w:sz w:val="32"/>
          <w:szCs w:val="32"/>
          <w:highlight w:val="none"/>
          <w:lang w:val="en-US" w:eastAsia="zh-CN"/>
        </w:rPr>
        <w:t>广西—东盟经济技术开发区2025-2027年度预算单位车辆维修和保养服务框架协议采购</w:t>
      </w:r>
      <w:r>
        <w:rPr>
          <w:rFonts w:hint="eastAsia" w:ascii="宋体" w:cs="宋体"/>
          <w:b/>
          <w:bCs/>
          <w:color w:val="auto"/>
          <w:kern w:val="0"/>
          <w:sz w:val="32"/>
          <w:szCs w:val="32"/>
          <w:highlight w:val="none"/>
          <w:lang w:val="zh-CN" w:eastAsia="zh-CN"/>
        </w:rPr>
        <w:t>第二阶段采购</w:t>
      </w:r>
      <w:r>
        <w:rPr>
          <w:rFonts w:hint="eastAsia" w:ascii="宋体" w:cs="宋体"/>
          <w:b/>
          <w:bCs/>
          <w:color w:val="auto"/>
          <w:kern w:val="0"/>
          <w:sz w:val="32"/>
          <w:szCs w:val="32"/>
          <w:highlight w:val="none"/>
          <w:lang w:val="zh-CN"/>
        </w:rPr>
        <w:t>合同</w:t>
      </w:r>
      <w:r>
        <w:rPr>
          <w:rFonts w:hint="eastAsia" w:ascii="宋体" w:cs="宋体"/>
          <w:b/>
          <w:bCs/>
          <w:color w:val="auto"/>
          <w:kern w:val="0"/>
          <w:sz w:val="32"/>
          <w:szCs w:val="32"/>
          <w:highlight w:val="none"/>
          <w:lang w:val="zh-CN" w:eastAsia="zh-CN"/>
        </w:rPr>
        <w:t>文本</w:t>
      </w:r>
      <w:r>
        <w:rPr>
          <w:rFonts w:hint="eastAsia" w:ascii="宋体" w:cs="宋体"/>
          <w:b/>
          <w:bCs/>
          <w:color w:val="auto"/>
          <w:kern w:val="0"/>
          <w:sz w:val="32"/>
          <w:szCs w:val="32"/>
          <w:highlight w:val="none"/>
          <w:lang w:val="zh-CN"/>
        </w:rPr>
        <w:t>（格式）</w:t>
      </w:r>
    </w:p>
    <w:p w14:paraId="07447731">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p>
    <w:p w14:paraId="50336A4D">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合同编号：</w:t>
      </w:r>
      <w:r>
        <w:rPr>
          <w:rFonts w:hint="eastAsia" w:ascii="宋体" w:hAnsi="宋体" w:eastAsia="宋体" w:cs="宋体"/>
          <w:color w:val="auto"/>
          <w:sz w:val="21"/>
          <w:szCs w:val="21"/>
          <w:highlight w:val="none"/>
          <w:u w:val="single"/>
          <w:lang w:val="en-US" w:eastAsia="zh-CN"/>
        </w:rPr>
        <w:t xml:space="preserve">                                                     </w:t>
      </w:r>
    </w:p>
    <w:p w14:paraId="18518D4A">
      <w:pPr>
        <w:keepNext w:val="0"/>
        <w:keepLines w:val="0"/>
        <w:pageBreakBefore w:val="0"/>
        <w:widowControl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394D17B5">
      <w:pPr>
        <w:keepNext w:val="0"/>
        <w:keepLines w:val="0"/>
        <w:pageBreakBefore w:val="0"/>
        <w:widowControl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0804B899">
      <w:pPr>
        <w:keepNext w:val="0"/>
        <w:keepLines w:val="0"/>
        <w:pageBreakBefore w:val="0"/>
        <w:widowControl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（服务对象、采购人）</w:t>
      </w:r>
      <w:r>
        <w:rPr>
          <w:rFonts w:hint="eastAsia" w:ascii="宋体" w:hAnsi="宋体" w:eastAsia="宋体" w:cs="宋体"/>
          <w:color w:val="auto"/>
          <w:sz w:val="21"/>
          <w:szCs w:val="21"/>
          <w:highlight w:val="none"/>
          <w:u w:val="single"/>
          <w:lang w:val="en-US" w:eastAsia="zh-CN"/>
        </w:rPr>
        <w:t xml:space="preserve">                  </w:t>
      </w:r>
    </w:p>
    <w:p w14:paraId="1098AC75">
      <w:pPr>
        <w:keepNext w:val="0"/>
        <w:keepLines w:val="0"/>
        <w:pageBreakBefore w:val="0"/>
        <w:widowControl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入围供应商）</w:t>
      </w:r>
      <w:r>
        <w:rPr>
          <w:rFonts w:hint="eastAsia" w:ascii="宋体" w:hAnsi="宋体" w:eastAsia="宋体" w:cs="宋体"/>
          <w:color w:val="auto"/>
          <w:sz w:val="21"/>
          <w:szCs w:val="21"/>
          <w:highlight w:val="none"/>
          <w:u w:val="single"/>
          <w:lang w:val="en-US" w:eastAsia="zh-CN"/>
        </w:rPr>
        <w:t xml:space="preserve">                        </w:t>
      </w:r>
    </w:p>
    <w:p w14:paraId="1634F5ED">
      <w:pPr>
        <w:keepNext w:val="0"/>
        <w:keepLines w:val="0"/>
        <w:pageBreakBefore w:val="0"/>
        <w:widowControl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p>
    <w:p w14:paraId="5D4150C4">
      <w:pPr>
        <w:keepNext w:val="0"/>
        <w:keepLines w:val="0"/>
        <w:pageBreakBefore w:val="0"/>
        <w:widowControl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根据《中华人民共和国政府采购法》《中华人民共和国政府采购法实施条例》《中华人民共和国民法典》等法律、法规规定，按照</w:t>
      </w:r>
      <w:r>
        <w:rPr>
          <w:rFonts w:hint="eastAsia" w:ascii="宋体" w:hAnsi="宋体" w:eastAsia="宋体" w:cs="宋体"/>
          <w:color w:val="auto"/>
          <w:sz w:val="21"/>
          <w:szCs w:val="21"/>
          <w:highlight w:val="none"/>
          <w:lang w:eastAsia="zh-CN"/>
        </w:rPr>
        <w:t>征集文件</w:t>
      </w:r>
      <w:r>
        <w:rPr>
          <w:rFonts w:hint="eastAsia" w:ascii="宋体" w:hAnsi="宋体" w:eastAsia="宋体" w:cs="宋体"/>
          <w:color w:val="auto"/>
          <w:sz w:val="21"/>
          <w:szCs w:val="21"/>
          <w:highlight w:val="none"/>
        </w:rPr>
        <w:t>、响应文件规定条款和入围供应商承诺、甲乙双方签订本采购合同。</w:t>
      </w:r>
    </w:p>
    <w:p w14:paraId="6A36A0D9">
      <w:pPr>
        <w:keepNext w:val="0"/>
        <w:keepLines w:val="0"/>
        <w:pageBreakBefore w:val="0"/>
        <w:widowControl w:val="0"/>
        <w:numPr>
          <w:ilvl w:val="0"/>
          <w:numId w:val="6"/>
        </w:numPr>
        <w:kinsoku/>
        <w:wordWrap/>
        <w:overflowPunct/>
        <w:topLinePunct w:val="0"/>
        <w:autoSpaceDE/>
        <w:autoSpaceDN/>
        <w:bidi w:val="0"/>
        <w:spacing w:line="360" w:lineRule="exact"/>
        <w:ind w:left="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合同标的及合同</w:t>
      </w:r>
      <w:r>
        <w:rPr>
          <w:rFonts w:hint="eastAsia" w:ascii="宋体" w:hAnsi="宋体" w:eastAsia="宋体" w:cs="宋体"/>
          <w:b/>
          <w:color w:val="auto"/>
          <w:sz w:val="21"/>
          <w:szCs w:val="21"/>
          <w:highlight w:val="none"/>
          <w:lang w:eastAsia="zh-CN"/>
        </w:rPr>
        <w:t>报价</w:t>
      </w:r>
    </w:p>
    <w:p w14:paraId="2EA6F84A">
      <w:pPr>
        <w:spacing w:line="400" w:lineRule="exact"/>
        <w:ind w:firstLine="205" w:firstLineChars="98"/>
        <w:rPr>
          <w:rFonts w:hint="eastAsia" w:ascii="宋体" w:hAnsi="宋体"/>
          <w:b w:val="0"/>
          <w:bCs/>
          <w:color w:val="auto"/>
          <w:szCs w:val="21"/>
          <w:highlight w:val="none"/>
        </w:rPr>
      </w:pPr>
      <w:r>
        <w:rPr>
          <w:rFonts w:hint="eastAsia" w:ascii="宋体" w:hAnsi="宋体"/>
          <w:b w:val="0"/>
          <w:bCs/>
          <w:color w:val="auto"/>
          <w:szCs w:val="21"/>
          <w:highlight w:val="none"/>
        </w:rPr>
        <w:t>车辆维修和保养服务价格</w:t>
      </w:r>
    </w:p>
    <w:tbl>
      <w:tblPr>
        <w:tblStyle w:val="2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2201"/>
        <w:gridCol w:w="690"/>
        <w:gridCol w:w="765"/>
        <w:gridCol w:w="885"/>
        <w:gridCol w:w="951"/>
        <w:gridCol w:w="1129"/>
        <w:gridCol w:w="1152"/>
        <w:gridCol w:w="1020"/>
      </w:tblGrid>
      <w:tr w14:paraId="667C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14:paraId="0111B1B5">
            <w:pPr>
              <w:spacing w:line="400" w:lineRule="exact"/>
              <w:jc w:val="center"/>
              <w:rPr>
                <w:rFonts w:hint="default" w:ascii="宋体" w:hAnsi="宋体" w:eastAsiaTheme="minorEastAsia"/>
                <w:b w:val="0"/>
                <w:bCs/>
                <w:color w:val="auto"/>
                <w:szCs w:val="21"/>
                <w:highlight w:val="none"/>
                <w:lang w:val="en-US" w:eastAsia="zh-CN"/>
              </w:rPr>
            </w:pPr>
            <w:r>
              <w:rPr>
                <w:rFonts w:hint="eastAsia" w:ascii="宋体" w:hAnsi="宋体"/>
                <w:b w:val="0"/>
                <w:bCs/>
                <w:color w:val="auto"/>
                <w:szCs w:val="21"/>
                <w:highlight w:val="none"/>
                <w:lang w:val="en-US" w:eastAsia="zh-CN"/>
              </w:rPr>
              <w:t>需求类型</w:t>
            </w:r>
          </w:p>
        </w:tc>
        <w:tc>
          <w:tcPr>
            <w:tcW w:w="2201" w:type="dxa"/>
            <w:vAlign w:val="center"/>
          </w:tcPr>
          <w:p w14:paraId="3DCBAB7E">
            <w:pPr>
              <w:spacing w:line="400" w:lineRule="exact"/>
              <w:jc w:val="center"/>
              <w:rPr>
                <w:rFonts w:hint="default" w:ascii="宋体" w:hAnsi="宋体" w:eastAsiaTheme="minorEastAsia" w:cstheme="minorBidi"/>
                <w:b w:val="0"/>
                <w:bCs/>
                <w:color w:val="auto"/>
                <w:kern w:val="2"/>
                <w:sz w:val="21"/>
                <w:szCs w:val="21"/>
                <w:highlight w:val="none"/>
                <w:lang w:val="en-US" w:eastAsia="zh-CN" w:bidi="ar-SA"/>
              </w:rPr>
            </w:pPr>
            <w:r>
              <w:rPr>
                <w:rFonts w:hint="eastAsia" w:ascii="宋体" w:hAnsi="宋体" w:cstheme="minorBidi"/>
                <w:b w:val="0"/>
                <w:bCs/>
                <w:color w:val="auto"/>
                <w:kern w:val="2"/>
                <w:sz w:val="21"/>
                <w:szCs w:val="21"/>
                <w:highlight w:val="none"/>
                <w:lang w:val="en-US" w:eastAsia="zh-CN" w:bidi="ar-SA"/>
              </w:rPr>
              <w:t>描述</w:t>
            </w:r>
          </w:p>
        </w:tc>
        <w:tc>
          <w:tcPr>
            <w:tcW w:w="690" w:type="dxa"/>
            <w:vAlign w:val="center"/>
          </w:tcPr>
          <w:p w14:paraId="12CB1B4D">
            <w:pPr>
              <w:spacing w:line="400" w:lineRule="exact"/>
              <w:jc w:val="center"/>
              <w:rPr>
                <w:rFonts w:ascii="宋体" w:hAnsi="宋体" w:eastAsiaTheme="minorEastAsia" w:cstheme="minorBidi"/>
                <w:b w:val="0"/>
                <w:bCs/>
                <w:color w:val="auto"/>
                <w:kern w:val="2"/>
                <w:sz w:val="21"/>
                <w:szCs w:val="21"/>
                <w:highlight w:val="none"/>
                <w:lang w:val="en-US" w:eastAsia="zh-CN" w:bidi="ar-SA"/>
              </w:rPr>
            </w:pPr>
            <w:r>
              <w:rPr>
                <w:rFonts w:hint="eastAsia" w:ascii="宋体" w:hAnsi="宋体"/>
                <w:b w:val="0"/>
                <w:bCs/>
                <w:color w:val="auto"/>
                <w:szCs w:val="21"/>
                <w:highlight w:val="none"/>
              </w:rPr>
              <w:t>数量</w:t>
            </w:r>
          </w:p>
        </w:tc>
        <w:tc>
          <w:tcPr>
            <w:tcW w:w="765" w:type="dxa"/>
            <w:vAlign w:val="center"/>
          </w:tcPr>
          <w:p w14:paraId="753154A7">
            <w:pPr>
              <w:spacing w:line="400" w:lineRule="exact"/>
              <w:jc w:val="center"/>
              <w:rPr>
                <w:rFonts w:hint="eastAsia" w:ascii="宋体" w:hAnsi="宋体" w:eastAsiaTheme="minorEastAsia" w:cstheme="minorBidi"/>
                <w:b w:val="0"/>
                <w:bCs/>
                <w:color w:val="auto"/>
                <w:kern w:val="2"/>
                <w:sz w:val="21"/>
                <w:szCs w:val="21"/>
                <w:highlight w:val="none"/>
                <w:lang w:val="en-US" w:eastAsia="zh-CN" w:bidi="ar-SA"/>
              </w:rPr>
            </w:pPr>
            <w:r>
              <w:rPr>
                <w:rFonts w:hint="eastAsia" w:ascii="宋体" w:hAnsi="宋体"/>
                <w:b w:val="0"/>
                <w:bCs/>
                <w:color w:val="auto"/>
                <w:szCs w:val="21"/>
                <w:highlight w:val="none"/>
              </w:rPr>
              <w:t>单</w:t>
            </w:r>
            <w:r>
              <w:rPr>
                <w:rFonts w:hint="eastAsia" w:ascii="宋体" w:hAnsi="宋体"/>
                <w:b w:val="0"/>
                <w:bCs/>
                <w:color w:val="auto"/>
                <w:szCs w:val="21"/>
                <w:highlight w:val="none"/>
                <w:lang w:val="en-US" w:eastAsia="zh-CN"/>
              </w:rPr>
              <w:t>位</w:t>
            </w:r>
          </w:p>
        </w:tc>
        <w:tc>
          <w:tcPr>
            <w:tcW w:w="885" w:type="dxa"/>
            <w:vAlign w:val="center"/>
          </w:tcPr>
          <w:p w14:paraId="22F88B54">
            <w:pPr>
              <w:spacing w:line="400" w:lineRule="exact"/>
              <w:jc w:val="center"/>
              <w:rPr>
                <w:rFonts w:hint="default" w:ascii="宋体" w:hAnsi="宋体" w:eastAsiaTheme="minorEastAsia" w:cstheme="minorBidi"/>
                <w:b w:val="0"/>
                <w:bCs/>
                <w:color w:val="auto"/>
                <w:kern w:val="2"/>
                <w:sz w:val="21"/>
                <w:szCs w:val="21"/>
                <w:highlight w:val="none"/>
                <w:lang w:val="en-US" w:eastAsia="zh-CN" w:bidi="ar-SA"/>
              </w:rPr>
            </w:pPr>
            <w:r>
              <w:rPr>
                <w:rFonts w:hint="eastAsia" w:ascii="宋体" w:hAnsi="宋体"/>
                <w:b w:val="0"/>
                <w:bCs/>
                <w:color w:val="auto"/>
                <w:szCs w:val="21"/>
                <w:highlight w:val="none"/>
                <w:lang w:val="en-US" w:eastAsia="zh-CN"/>
              </w:rPr>
              <w:t>市场实时价</w:t>
            </w:r>
          </w:p>
        </w:tc>
        <w:tc>
          <w:tcPr>
            <w:tcW w:w="951" w:type="dxa"/>
            <w:vAlign w:val="center"/>
          </w:tcPr>
          <w:p w14:paraId="691FCC82">
            <w:pPr>
              <w:spacing w:line="400" w:lineRule="exact"/>
              <w:jc w:val="center"/>
              <w:rPr>
                <w:rFonts w:hint="default" w:ascii="宋体" w:hAnsi="宋体" w:eastAsiaTheme="minorEastAsia" w:cstheme="minorBidi"/>
                <w:b w:val="0"/>
                <w:bCs/>
                <w:color w:val="auto"/>
                <w:kern w:val="2"/>
                <w:sz w:val="21"/>
                <w:szCs w:val="21"/>
                <w:highlight w:val="none"/>
                <w:lang w:val="en-US" w:eastAsia="zh-CN" w:bidi="ar-SA"/>
              </w:rPr>
            </w:pPr>
            <w:r>
              <w:rPr>
                <w:rFonts w:hint="eastAsia" w:ascii="宋体" w:hAnsi="宋体"/>
                <w:b w:val="0"/>
                <w:bCs/>
                <w:color w:val="auto"/>
                <w:szCs w:val="21"/>
                <w:highlight w:val="none"/>
                <w:lang w:val="en-US" w:eastAsia="zh-CN"/>
              </w:rPr>
              <w:t>入围优惠率（%）</w:t>
            </w:r>
          </w:p>
        </w:tc>
        <w:tc>
          <w:tcPr>
            <w:tcW w:w="1129" w:type="dxa"/>
            <w:vAlign w:val="center"/>
          </w:tcPr>
          <w:p w14:paraId="1C606676">
            <w:pPr>
              <w:spacing w:line="400" w:lineRule="exact"/>
              <w:jc w:val="center"/>
              <w:rPr>
                <w:rFonts w:ascii="宋体" w:hAnsi="宋体" w:eastAsiaTheme="minorEastAsia" w:cstheme="minorBidi"/>
                <w:b w:val="0"/>
                <w:bCs/>
                <w:color w:val="auto"/>
                <w:kern w:val="2"/>
                <w:sz w:val="21"/>
                <w:szCs w:val="21"/>
                <w:highlight w:val="none"/>
                <w:lang w:val="en-US" w:eastAsia="zh-CN" w:bidi="ar-SA"/>
              </w:rPr>
            </w:pPr>
            <w:r>
              <w:rPr>
                <w:rFonts w:hint="eastAsia" w:ascii="宋体" w:hAnsi="宋体"/>
                <w:b w:val="0"/>
                <w:bCs/>
                <w:color w:val="auto"/>
                <w:szCs w:val="21"/>
                <w:highlight w:val="none"/>
              </w:rPr>
              <w:t>本次给予的优惠率（%）</w:t>
            </w:r>
          </w:p>
        </w:tc>
        <w:tc>
          <w:tcPr>
            <w:tcW w:w="1152" w:type="dxa"/>
            <w:vAlign w:val="center"/>
          </w:tcPr>
          <w:p w14:paraId="469BEE29">
            <w:pPr>
              <w:spacing w:line="400" w:lineRule="exact"/>
              <w:jc w:val="center"/>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总价</w:t>
            </w:r>
          </w:p>
          <w:p w14:paraId="6B627CD4">
            <w:pPr>
              <w:spacing w:line="400" w:lineRule="exact"/>
              <w:jc w:val="center"/>
              <w:rPr>
                <w:rFonts w:hint="default" w:ascii="宋体" w:hAnsi="宋体" w:eastAsiaTheme="minorEastAsia"/>
                <w:b w:val="0"/>
                <w:bCs/>
                <w:color w:val="auto"/>
                <w:szCs w:val="21"/>
                <w:highlight w:val="none"/>
                <w:lang w:val="en-US" w:eastAsia="zh-CN"/>
              </w:rPr>
            </w:pPr>
            <w:r>
              <w:rPr>
                <w:rFonts w:hint="eastAsia" w:ascii="宋体" w:hAnsi="宋体"/>
                <w:b w:val="0"/>
                <w:bCs/>
                <w:color w:val="auto"/>
                <w:szCs w:val="21"/>
                <w:highlight w:val="none"/>
                <w:lang w:val="en-US" w:eastAsia="zh-CN"/>
              </w:rPr>
              <w:t>（元）</w:t>
            </w:r>
          </w:p>
        </w:tc>
        <w:tc>
          <w:tcPr>
            <w:tcW w:w="1020" w:type="dxa"/>
            <w:vAlign w:val="center"/>
          </w:tcPr>
          <w:p w14:paraId="3599AE7C">
            <w:pPr>
              <w:spacing w:line="400" w:lineRule="exact"/>
              <w:jc w:val="center"/>
              <w:rPr>
                <w:rFonts w:hint="eastAsia" w:ascii="宋体" w:hAnsi="宋体"/>
                <w:b w:val="0"/>
                <w:bCs/>
                <w:color w:val="auto"/>
                <w:szCs w:val="21"/>
                <w:highlight w:val="none"/>
              </w:rPr>
            </w:pPr>
            <w:r>
              <w:rPr>
                <w:rFonts w:hint="eastAsia" w:ascii="宋体" w:hAnsi="宋体"/>
                <w:b w:val="0"/>
                <w:bCs/>
                <w:color w:val="auto"/>
                <w:szCs w:val="21"/>
                <w:highlight w:val="none"/>
              </w:rPr>
              <w:t>车牌</w:t>
            </w:r>
          </w:p>
          <w:p w14:paraId="66D572A7">
            <w:pPr>
              <w:spacing w:line="400" w:lineRule="exact"/>
              <w:jc w:val="center"/>
              <w:rPr>
                <w:rFonts w:hint="eastAsia" w:ascii="宋体" w:hAnsi="宋体"/>
                <w:b w:val="0"/>
                <w:bCs/>
                <w:color w:val="auto"/>
                <w:szCs w:val="21"/>
                <w:highlight w:val="none"/>
              </w:rPr>
            </w:pPr>
            <w:r>
              <w:rPr>
                <w:rFonts w:hint="eastAsia" w:ascii="宋体" w:hAnsi="宋体"/>
                <w:b w:val="0"/>
                <w:bCs/>
                <w:color w:val="auto"/>
                <w:szCs w:val="21"/>
                <w:highlight w:val="none"/>
              </w:rPr>
              <w:t>号码</w:t>
            </w:r>
          </w:p>
        </w:tc>
      </w:tr>
      <w:tr w14:paraId="649D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top"/>
          </w:tcPr>
          <w:p w14:paraId="09ED4A54">
            <w:pPr>
              <w:spacing w:line="400" w:lineRule="exact"/>
              <w:rPr>
                <w:rFonts w:ascii="宋体" w:hAnsi="宋体"/>
                <w:b w:val="0"/>
                <w:bCs/>
                <w:color w:val="auto"/>
                <w:szCs w:val="21"/>
                <w:highlight w:val="none"/>
              </w:rPr>
            </w:pPr>
          </w:p>
        </w:tc>
        <w:tc>
          <w:tcPr>
            <w:tcW w:w="2201" w:type="dxa"/>
            <w:vAlign w:val="top"/>
          </w:tcPr>
          <w:p w14:paraId="540F8640">
            <w:pPr>
              <w:spacing w:line="400" w:lineRule="exact"/>
              <w:rPr>
                <w:rFonts w:ascii="宋体" w:hAnsi="宋体"/>
                <w:b w:val="0"/>
                <w:bCs/>
                <w:color w:val="auto"/>
                <w:szCs w:val="21"/>
                <w:highlight w:val="none"/>
              </w:rPr>
            </w:pPr>
          </w:p>
        </w:tc>
        <w:tc>
          <w:tcPr>
            <w:tcW w:w="690" w:type="dxa"/>
            <w:vAlign w:val="top"/>
          </w:tcPr>
          <w:p w14:paraId="71E3C2CE">
            <w:pPr>
              <w:spacing w:line="400" w:lineRule="exact"/>
              <w:rPr>
                <w:rFonts w:ascii="宋体" w:hAnsi="宋体"/>
                <w:b w:val="0"/>
                <w:bCs/>
                <w:color w:val="auto"/>
                <w:szCs w:val="21"/>
                <w:highlight w:val="none"/>
              </w:rPr>
            </w:pPr>
          </w:p>
        </w:tc>
        <w:tc>
          <w:tcPr>
            <w:tcW w:w="765" w:type="dxa"/>
            <w:vAlign w:val="top"/>
          </w:tcPr>
          <w:p w14:paraId="0CCC7AB1">
            <w:pPr>
              <w:spacing w:line="400" w:lineRule="exact"/>
              <w:rPr>
                <w:rFonts w:ascii="宋体" w:hAnsi="宋体"/>
                <w:b w:val="0"/>
                <w:bCs/>
                <w:color w:val="auto"/>
                <w:szCs w:val="21"/>
                <w:highlight w:val="none"/>
              </w:rPr>
            </w:pPr>
          </w:p>
        </w:tc>
        <w:tc>
          <w:tcPr>
            <w:tcW w:w="885" w:type="dxa"/>
            <w:vAlign w:val="top"/>
          </w:tcPr>
          <w:p w14:paraId="2C064DA5">
            <w:pPr>
              <w:spacing w:line="400" w:lineRule="exact"/>
              <w:rPr>
                <w:rFonts w:ascii="宋体" w:hAnsi="宋体"/>
                <w:b w:val="0"/>
                <w:bCs/>
                <w:color w:val="auto"/>
                <w:szCs w:val="21"/>
                <w:highlight w:val="none"/>
              </w:rPr>
            </w:pPr>
          </w:p>
        </w:tc>
        <w:tc>
          <w:tcPr>
            <w:tcW w:w="951" w:type="dxa"/>
            <w:vAlign w:val="top"/>
          </w:tcPr>
          <w:p w14:paraId="48426F6E">
            <w:pPr>
              <w:spacing w:line="400" w:lineRule="exact"/>
              <w:rPr>
                <w:rFonts w:ascii="宋体" w:hAnsi="宋体"/>
                <w:b w:val="0"/>
                <w:bCs/>
                <w:color w:val="auto"/>
                <w:szCs w:val="21"/>
                <w:highlight w:val="none"/>
              </w:rPr>
            </w:pPr>
          </w:p>
        </w:tc>
        <w:tc>
          <w:tcPr>
            <w:tcW w:w="1129" w:type="dxa"/>
            <w:vAlign w:val="top"/>
          </w:tcPr>
          <w:p w14:paraId="0D676D5D">
            <w:pPr>
              <w:spacing w:line="400" w:lineRule="exact"/>
              <w:rPr>
                <w:rFonts w:ascii="宋体" w:hAnsi="宋体"/>
                <w:b w:val="0"/>
                <w:bCs/>
                <w:color w:val="auto"/>
                <w:szCs w:val="21"/>
                <w:highlight w:val="none"/>
              </w:rPr>
            </w:pPr>
          </w:p>
        </w:tc>
        <w:tc>
          <w:tcPr>
            <w:tcW w:w="1152" w:type="dxa"/>
            <w:vAlign w:val="top"/>
          </w:tcPr>
          <w:p w14:paraId="4C8F98B5">
            <w:pPr>
              <w:spacing w:line="400" w:lineRule="exact"/>
              <w:rPr>
                <w:rFonts w:ascii="宋体" w:hAnsi="宋体"/>
                <w:b w:val="0"/>
                <w:bCs/>
                <w:color w:val="auto"/>
                <w:szCs w:val="21"/>
                <w:highlight w:val="none"/>
              </w:rPr>
            </w:pPr>
          </w:p>
        </w:tc>
        <w:tc>
          <w:tcPr>
            <w:tcW w:w="1020" w:type="dxa"/>
            <w:vAlign w:val="top"/>
          </w:tcPr>
          <w:p w14:paraId="1170C050">
            <w:pPr>
              <w:spacing w:line="400" w:lineRule="exact"/>
              <w:rPr>
                <w:rFonts w:ascii="宋体" w:hAnsi="宋体"/>
                <w:b w:val="0"/>
                <w:bCs/>
                <w:color w:val="auto"/>
                <w:szCs w:val="21"/>
                <w:highlight w:val="none"/>
              </w:rPr>
            </w:pPr>
          </w:p>
        </w:tc>
      </w:tr>
      <w:tr w14:paraId="01D7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top"/>
          </w:tcPr>
          <w:p w14:paraId="601ECA45">
            <w:pPr>
              <w:spacing w:line="400" w:lineRule="exact"/>
              <w:rPr>
                <w:rFonts w:ascii="宋体" w:hAnsi="宋体"/>
                <w:b w:val="0"/>
                <w:bCs/>
                <w:color w:val="auto"/>
                <w:szCs w:val="21"/>
                <w:highlight w:val="none"/>
              </w:rPr>
            </w:pPr>
          </w:p>
        </w:tc>
        <w:tc>
          <w:tcPr>
            <w:tcW w:w="2201" w:type="dxa"/>
            <w:vAlign w:val="top"/>
          </w:tcPr>
          <w:p w14:paraId="1A2BCF7F">
            <w:pPr>
              <w:spacing w:line="400" w:lineRule="exact"/>
              <w:rPr>
                <w:rFonts w:ascii="宋体" w:hAnsi="宋体"/>
                <w:b w:val="0"/>
                <w:bCs/>
                <w:color w:val="auto"/>
                <w:szCs w:val="21"/>
                <w:highlight w:val="none"/>
              </w:rPr>
            </w:pPr>
          </w:p>
        </w:tc>
        <w:tc>
          <w:tcPr>
            <w:tcW w:w="690" w:type="dxa"/>
            <w:vAlign w:val="top"/>
          </w:tcPr>
          <w:p w14:paraId="55B64342">
            <w:pPr>
              <w:spacing w:line="400" w:lineRule="exact"/>
              <w:rPr>
                <w:rFonts w:ascii="宋体" w:hAnsi="宋体"/>
                <w:b w:val="0"/>
                <w:bCs/>
                <w:color w:val="auto"/>
                <w:szCs w:val="21"/>
                <w:highlight w:val="none"/>
              </w:rPr>
            </w:pPr>
          </w:p>
        </w:tc>
        <w:tc>
          <w:tcPr>
            <w:tcW w:w="765" w:type="dxa"/>
            <w:vAlign w:val="top"/>
          </w:tcPr>
          <w:p w14:paraId="39A36FB5">
            <w:pPr>
              <w:spacing w:line="400" w:lineRule="exact"/>
              <w:rPr>
                <w:rFonts w:ascii="宋体" w:hAnsi="宋体"/>
                <w:b w:val="0"/>
                <w:bCs/>
                <w:color w:val="auto"/>
                <w:szCs w:val="21"/>
                <w:highlight w:val="none"/>
              </w:rPr>
            </w:pPr>
          </w:p>
        </w:tc>
        <w:tc>
          <w:tcPr>
            <w:tcW w:w="885" w:type="dxa"/>
            <w:vAlign w:val="top"/>
          </w:tcPr>
          <w:p w14:paraId="76E1244A">
            <w:pPr>
              <w:spacing w:line="400" w:lineRule="exact"/>
              <w:rPr>
                <w:rFonts w:ascii="宋体" w:hAnsi="宋体"/>
                <w:b w:val="0"/>
                <w:bCs/>
                <w:color w:val="auto"/>
                <w:szCs w:val="21"/>
                <w:highlight w:val="none"/>
              </w:rPr>
            </w:pPr>
          </w:p>
        </w:tc>
        <w:tc>
          <w:tcPr>
            <w:tcW w:w="951" w:type="dxa"/>
            <w:vAlign w:val="top"/>
          </w:tcPr>
          <w:p w14:paraId="69F35AF1">
            <w:pPr>
              <w:spacing w:line="400" w:lineRule="exact"/>
              <w:rPr>
                <w:rFonts w:ascii="宋体" w:hAnsi="宋体"/>
                <w:b w:val="0"/>
                <w:bCs/>
                <w:color w:val="auto"/>
                <w:szCs w:val="21"/>
                <w:highlight w:val="none"/>
              </w:rPr>
            </w:pPr>
          </w:p>
        </w:tc>
        <w:tc>
          <w:tcPr>
            <w:tcW w:w="1129" w:type="dxa"/>
            <w:vAlign w:val="top"/>
          </w:tcPr>
          <w:p w14:paraId="7B0CA810">
            <w:pPr>
              <w:spacing w:line="400" w:lineRule="exact"/>
              <w:rPr>
                <w:rFonts w:ascii="宋体" w:hAnsi="宋体"/>
                <w:b w:val="0"/>
                <w:bCs/>
                <w:color w:val="auto"/>
                <w:szCs w:val="21"/>
                <w:highlight w:val="none"/>
              </w:rPr>
            </w:pPr>
          </w:p>
        </w:tc>
        <w:tc>
          <w:tcPr>
            <w:tcW w:w="1152" w:type="dxa"/>
            <w:vAlign w:val="top"/>
          </w:tcPr>
          <w:p w14:paraId="6E258380">
            <w:pPr>
              <w:spacing w:line="400" w:lineRule="exact"/>
              <w:rPr>
                <w:rFonts w:ascii="宋体" w:hAnsi="宋体"/>
                <w:b w:val="0"/>
                <w:bCs/>
                <w:color w:val="auto"/>
                <w:szCs w:val="21"/>
                <w:highlight w:val="none"/>
              </w:rPr>
            </w:pPr>
          </w:p>
        </w:tc>
        <w:tc>
          <w:tcPr>
            <w:tcW w:w="1020" w:type="dxa"/>
            <w:vAlign w:val="top"/>
          </w:tcPr>
          <w:p w14:paraId="403DA076">
            <w:pPr>
              <w:spacing w:line="400" w:lineRule="exact"/>
              <w:rPr>
                <w:rFonts w:ascii="宋体" w:hAnsi="宋体"/>
                <w:b w:val="0"/>
                <w:bCs/>
                <w:color w:val="auto"/>
                <w:szCs w:val="21"/>
                <w:highlight w:val="none"/>
              </w:rPr>
            </w:pPr>
          </w:p>
        </w:tc>
      </w:tr>
      <w:tr w14:paraId="1E7A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2" w:type="dxa"/>
            <w:gridSpan w:val="7"/>
            <w:vAlign w:val="top"/>
          </w:tcPr>
          <w:p w14:paraId="2AC0D092">
            <w:pPr>
              <w:spacing w:line="400" w:lineRule="exact"/>
              <w:jc w:val="center"/>
              <w:rPr>
                <w:rFonts w:ascii="宋体" w:hAnsi="宋体"/>
                <w:b w:val="0"/>
                <w:bCs/>
                <w:color w:val="auto"/>
                <w:szCs w:val="21"/>
                <w:highlight w:val="none"/>
              </w:rPr>
            </w:pPr>
            <w:r>
              <w:rPr>
                <w:rFonts w:hint="eastAsia" w:ascii="宋体" w:hAnsi="宋体"/>
                <w:b w:val="0"/>
                <w:bCs/>
                <w:color w:val="auto"/>
                <w:szCs w:val="21"/>
                <w:highlight w:val="none"/>
              </w:rPr>
              <w:t>合计</w:t>
            </w:r>
          </w:p>
        </w:tc>
        <w:tc>
          <w:tcPr>
            <w:tcW w:w="1152" w:type="dxa"/>
            <w:vAlign w:val="top"/>
          </w:tcPr>
          <w:p w14:paraId="6DECF364">
            <w:pPr>
              <w:spacing w:line="400" w:lineRule="exact"/>
              <w:rPr>
                <w:rFonts w:ascii="宋体" w:hAnsi="宋体"/>
                <w:b w:val="0"/>
                <w:bCs/>
                <w:color w:val="auto"/>
                <w:szCs w:val="21"/>
                <w:highlight w:val="none"/>
              </w:rPr>
            </w:pPr>
          </w:p>
        </w:tc>
        <w:tc>
          <w:tcPr>
            <w:tcW w:w="1020" w:type="dxa"/>
            <w:vAlign w:val="top"/>
          </w:tcPr>
          <w:p w14:paraId="25DE3644">
            <w:pPr>
              <w:spacing w:line="400" w:lineRule="exact"/>
              <w:rPr>
                <w:rFonts w:ascii="宋体" w:hAnsi="宋体"/>
                <w:b w:val="0"/>
                <w:bCs/>
                <w:color w:val="auto"/>
                <w:szCs w:val="21"/>
                <w:highlight w:val="none"/>
              </w:rPr>
            </w:pPr>
          </w:p>
        </w:tc>
      </w:tr>
    </w:tbl>
    <w:p w14:paraId="45FB7BE5">
      <w:pPr>
        <w:spacing w:line="400" w:lineRule="exact"/>
        <w:ind w:firstLine="411" w:firstLineChars="196"/>
        <w:rPr>
          <w:rFonts w:hint="eastAsia" w:ascii="宋体" w:hAnsi="宋体"/>
          <w:b w:val="0"/>
          <w:bCs/>
          <w:color w:val="auto"/>
          <w:szCs w:val="21"/>
          <w:highlight w:val="none"/>
          <w:u w:val="single"/>
        </w:rPr>
      </w:pPr>
      <w:r>
        <w:rPr>
          <w:rFonts w:hint="eastAsia" w:ascii="宋体" w:hAnsi="宋体"/>
          <w:b w:val="0"/>
          <w:bCs/>
          <w:color w:val="auto"/>
          <w:szCs w:val="21"/>
          <w:highlight w:val="none"/>
        </w:rPr>
        <w:t>合同总价大写人民币：</w:t>
      </w:r>
      <w:r>
        <w:rPr>
          <w:rFonts w:hint="eastAsia" w:ascii="宋体" w:hAnsi="宋体"/>
          <w:b w:val="0"/>
          <w:bCs/>
          <w:color w:val="auto"/>
          <w:szCs w:val="21"/>
          <w:highlight w:val="none"/>
          <w:u w:val="single"/>
        </w:rPr>
        <w:t xml:space="preserve">                  </w:t>
      </w:r>
    </w:p>
    <w:p w14:paraId="2682EA3F">
      <w:pPr>
        <w:keepNext w:val="0"/>
        <w:keepLines w:val="0"/>
        <w:pageBreakBefore w:val="0"/>
        <w:kinsoku/>
        <w:wordWrap/>
        <w:overflowPunct/>
        <w:topLinePunct w:val="0"/>
        <w:autoSpaceDE/>
        <w:autoSpaceDN/>
        <w:bidi w:val="0"/>
        <w:spacing w:line="360" w:lineRule="auto"/>
        <w:ind w:left="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注：维修和保养费计算方式：</w:t>
      </w:r>
      <w:r>
        <w:rPr>
          <w:rFonts w:hint="eastAsia" w:ascii="宋体" w:hAnsi="宋体" w:cs="宋体"/>
          <w:b w:val="0"/>
          <w:bCs/>
          <w:color w:val="auto"/>
          <w:highlight w:val="none"/>
        </w:rPr>
        <w:t>零配件价格+</w:t>
      </w:r>
      <w:r>
        <w:rPr>
          <w:rFonts w:hint="eastAsia" w:ascii="宋体" w:hAnsi="宋体" w:cs="宋体"/>
          <w:b w:val="0"/>
          <w:bCs/>
          <w:color w:val="auto"/>
          <w:highlight w:val="none"/>
          <w:lang w:val="en-US" w:eastAsia="zh-CN"/>
        </w:rPr>
        <w:t>维修</w:t>
      </w:r>
      <w:r>
        <w:rPr>
          <w:rFonts w:hint="eastAsia" w:ascii="宋体" w:hAnsi="宋体" w:cs="宋体"/>
          <w:b w:val="0"/>
          <w:bCs/>
          <w:color w:val="auto"/>
          <w:highlight w:val="none"/>
        </w:rPr>
        <w:t>工时费</w:t>
      </w:r>
      <w:r>
        <w:rPr>
          <w:rFonts w:hint="eastAsia" w:ascii="宋体" w:hAnsi="宋体" w:cs="宋体"/>
          <w:b w:val="0"/>
          <w:bCs/>
          <w:color w:val="auto"/>
          <w:highlight w:val="none"/>
          <w:lang w:eastAsia="zh-CN"/>
        </w:rPr>
        <w:t>，</w:t>
      </w:r>
      <w:r>
        <w:rPr>
          <w:rFonts w:hint="eastAsia" w:ascii="宋体" w:hAnsi="宋体" w:cs="宋体"/>
          <w:b w:val="0"/>
          <w:bCs/>
          <w:color w:val="auto"/>
          <w:highlight w:val="none"/>
        </w:rPr>
        <w:t>零配件</w:t>
      </w:r>
      <w:r>
        <w:rPr>
          <w:rFonts w:hint="eastAsia" w:ascii="宋体" w:hAnsi="宋体" w:cs="宋体"/>
          <w:b w:val="0"/>
          <w:bCs/>
          <w:color w:val="auto"/>
          <w:highlight w:val="none"/>
          <w:lang w:val="en-US" w:eastAsia="zh-CN"/>
        </w:rPr>
        <w:t>价格</w:t>
      </w:r>
      <w:r>
        <w:rPr>
          <w:rFonts w:hint="eastAsia" w:ascii="宋体" w:hAnsi="宋体" w:cs="宋体"/>
          <w:b w:val="0"/>
          <w:bCs/>
          <w:color w:val="auto"/>
          <w:highlight w:val="none"/>
        </w:rPr>
        <w:t>＝零配件市场实时价×（1－</w:t>
      </w:r>
      <w:r>
        <w:rPr>
          <w:rFonts w:hint="eastAsia" w:ascii="宋体" w:hAnsi="宋体" w:cs="宋体"/>
          <w:b w:val="0"/>
          <w:bCs/>
          <w:color w:val="auto"/>
          <w:highlight w:val="none"/>
          <w:lang w:val="en-US" w:eastAsia="zh-CN"/>
        </w:rPr>
        <w:t>本次给予的</w:t>
      </w:r>
      <w:r>
        <w:rPr>
          <w:rFonts w:hint="eastAsia" w:ascii="宋体" w:hAnsi="宋体" w:cs="宋体"/>
          <w:b w:val="0"/>
          <w:bCs/>
          <w:color w:val="auto"/>
          <w:highlight w:val="none"/>
        </w:rPr>
        <w:t>零配件</w:t>
      </w:r>
      <w:r>
        <w:rPr>
          <w:rFonts w:hint="eastAsia" w:ascii="宋体" w:hAnsi="宋体" w:cs="宋体"/>
          <w:b w:val="0"/>
          <w:bCs/>
          <w:color w:val="auto"/>
          <w:highlight w:val="none"/>
          <w:lang w:val="en-US" w:eastAsia="zh-CN"/>
        </w:rPr>
        <w:t>价格</w:t>
      </w:r>
      <w:r>
        <w:rPr>
          <w:rFonts w:hint="eastAsia" w:ascii="宋体" w:hAnsi="宋体" w:cs="宋体"/>
          <w:b w:val="0"/>
          <w:bCs/>
          <w:color w:val="auto"/>
          <w:highlight w:val="none"/>
        </w:rPr>
        <w:t>优惠率）；</w:t>
      </w:r>
      <w:r>
        <w:rPr>
          <w:rFonts w:hint="eastAsia" w:ascii="宋体" w:hAnsi="宋体" w:cs="宋体"/>
          <w:b w:val="0"/>
          <w:bCs/>
          <w:color w:val="auto"/>
          <w:highlight w:val="none"/>
          <w:lang w:val="en-US" w:eastAsia="zh-CN"/>
        </w:rPr>
        <w:t>维修</w:t>
      </w:r>
      <w:r>
        <w:rPr>
          <w:rFonts w:hint="eastAsia" w:ascii="宋体" w:hAnsi="宋体" w:cs="宋体"/>
          <w:b w:val="0"/>
          <w:bCs/>
          <w:color w:val="auto"/>
          <w:highlight w:val="none"/>
        </w:rPr>
        <w:t>工时费=</w:t>
      </w:r>
      <w:r>
        <w:rPr>
          <w:rFonts w:hint="eastAsia" w:ascii="宋体" w:hAnsi="宋体" w:cs="宋体"/>
          <w:b w:val="0"/>
          <w:bCs/>
          <w:color w:val="auto"/>
          <w:highlight w:val="none"/>
          <w:lang w:val="en-US" w:eastAsia="zh-CN"/>
        </w:rPr>
        <w:t>维修工时总费用</w:t>
      </w:r>
      <w:r>
        <w:rPr>
          <w:rFonts w:hint="eastAsia" w:ascii="宋体" w:hAnsi="宋体" w:cs="宋体"/>
          <w:b w:val="0"/>
          <w:bCs/>
          <w:color w:val="auto"/>
          <w:highlight w:val="none"/>
        </w:rPr>
        <w:t>×（1－</w:t>
      </w:r>
      <w:r>
        <w:rPr>
          <w:rFonts w:hint="eastAsia" w:ascii="宋体" w:hAnsi="宋体" w:cs="宋体"/>
          <w:b w:val="0"/>
          <w:bCs/>
          <w:color w:val="auto"/>
          <w:highlight w:val="none"/>
          <w:lang w:val="en-US" w:eastAsia="zh-CN"/>
        </w:rPr>
        <w:t>本次给予的维修</w:t>
      </w:r>
      <w:r>
        <w:rPr>
          <w:rFonts w:hint="eastAsia" w:ascii="宋体" w:hAnsi="宋体" w:cs="宋体"/>
          <w:b w:val="0"/>
          <w:bCs/>
          <w:color w:val="auto"/>
          <w:highlight w:val="none"/>
        </w:rPr>
        <w:t>工时</w:t>
      </w:r>
      <w:r>
        <w:rPr>
          <w:rFonts w:hint="eastAsia" w:ascii="宋体" w:hAnsi="宋体" w:cs="宋体"/>
          <w:b w:val="0"/>
          <w:bCs/>
          <w:color w:val="auto"/>
          <w:highlight w:val="none"/>
          <w:lang w:val="en-US" w:eastAsia="zh-CN"/>
        </w:rPr>
        <w:t>费</w:t>
      </w:r>
      <w:r>
        <w:rPr>
          <w:rFonts w:hint="eastAsia" w:ascii="宋体" w:hAnsi="宋体" w:cs="宋体"/>
          <w:b w:val="0"/>
          <w:bCs/>
          <w:color w:val="auto"/>
          <w:highlight w:val="none"/>
        </w:rPr>
        <w:t>优惠率）（均为完税价格）</w:t>
      </w:r>
      <w:r>
        <w:rPr>
          <w:rFonts w:hint="eastAsia" w:ascii="宋体" w:hAnsi="宋体" w:cs="宋体"/>
          <w:b w:val="0"/>
          <w:bCs/>
          <w:color w:val="auto"/>
          <w:highlight w:val="none"/>
          <w:lang w:eastAsia="zh-CN"/>
        </w:rPr>
        <w:t>，</w:t>
      </w:r>
      <w:r>
        <w:rPr>
          <w:rFonts w:hint="eastAsia" w:ascii="宋体" w:hAnsi="宋体" w:eastAsia="宋体" w:cs="宋体"/>
          <w:b/>
          <w:bCs/>
          <w:color w:val="auto"/>
          <w:szCs w:val="21"/>
          <w:highlight w:val="none"/>
          <w:lang w:val="en-US" w:eastAsia="zh-CN"/>
        </w:rPr>
        <w:t>本次给予的优惠率不能低于入围优惠率。</w:t>
      </w:r>
    </w:p>
    <w:p w14:paraId="48CD8B85">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b w:val="0"/>
          <w:bCs/>
          <w:color w:val="auto"/>
          <w:szCs w:val="21"/>
          <w:highlight w:val="none"/>
        </w:rPr>
      </w:pPr>
      <w:r>
        <w:rPr>
          <w:rFonts w:hint="eastAsia" w:ascii="宋体" w:hAnsi="宋体" w:cs="宋体"/>
          <w:b w:val="0"/>
          <w:bCs/>
          <w:color w:val="auto"/>
          <w:highlight w:val="none"/>
          <w:lang w:val="en-US" w:eastAsia="zh-CN"/>
        </w:rPr>
        <w:t>甲方</w:t>
      </w:r>
      <w:r>
        <w:rPr>
          <w:rFonts w:hint="eastAsia" w:ascii="宋体" w:hAnsi="宋体" w:cs="宋体"/>
          <w:b w:val="0"/>
          <w:bCs/>
          <w:color w:val="auto"/>
          <w:highlight w:val="none"/>
        </w:rPr>
        <w:t>有权与</w:t>
      </w:r>
      <w:r>
        <w:rPr>
          <w:rFonts w:hint="eastAsia" w:ascii="宋体" w:hAnsi="宋体" w:cs="宋体"/>
          <w:b w:val="0"/>
          <w:bCs/>
          <w:color w:val="auto"/>
          <w:highlight w:val="none"/>
          <w:lang w:val="en-US" w:eastAsia="zh-CN"/>
        </w:rPr>
        <w:t>乙方</w:t>
      </w:r>
      <w:r>
        <w:rPr>
          <w:rFonts w:hint="eastAsia" w:ascii="宋体" w:hAnsi="宋体" w:cs="宋体"/>
          <w:b w:val="0"/>
          <w:bCs/>
          <w:color w:val="auto"/>
          <w:highlight w:val="none"/>
        </w:rPr>
        <w:t>在</w:t>
      </w:r>
      <w:r>
        <w:rPr>
          <w:rFonts w:hint="eastAsia" w:ascii="宋体" w:hAnsi="宋体" w:cs="宋体"/>
          <w:b w:val="0"/>
          <w:bCs/>
          <w:color w:val="auto"/>
          <w:highlight w:val="none"/>
          <w:lang w:eastAsia="zh-CN"/>
        </w:rPr>
        <w:t>入围</w:t>
      </w:r>
      <w:r>
        <w:rPr>
          <w:rFonts w:hint="eastAsia" w:ascii="宋体" w:hAnsi="宋体" w:cs="宋体"/>
          <w:b w:val="0"/>
          <w:bCs/>
          <w:color w:val="auto"/>
          <w:highlight w:val="none"/>
        </w:rPr>
        <w:t>所报优惠率的基础上进行价格谈判，以获取更低价格确定维修或采购。</w:t>
      </w:r>
    </w:p>
    <w:p w14:paraId="17F81F45">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  服务</w:t>
      </w:r>
      <w:r>
        <w:rPr>
          <w:rFonts w:hint="eastAsia" w:ascii="宋体" w:hAnsi="宋体" w:cs="宋体"/>
          <w:b/>
          <w:color w:val="auto"/>
          <w:szCs w:val="21"/>
          <w:highlight w:val="none"/>
          <w:lang w:eastAsia="zh-CN"/>
        </w:rPr>
        <w:t>、质量</w:t>
      </w:r>
      <w:r>
        <w:rPr>
          <w:rFonts w:hint="eastAsia" w:ascii="宋体" w:hAnsi="宋体" w:eastAsia="宋体" w:cs="宋体"/>
          <w:b/>
          <w:color w:val="auto"/>
          <w:szCs w:val="21"/>
          <w:highlight w:val="none"/>
        </w:rPr>
        <w:t>保证</w:t>
      </w:r>
    </w:p>
    <w:p w14:paraId="02A3FB34">
      <w:pPr>
        <w:keepNext w:val="0"/>
        <w:keepLines w:val="0"/>
        <w:pageBreakBefore w:val="0"/>
        <w:kinsoku/>
        <w:wordWrap/>
        <w:overflowPunct/>
        <w:topLinePunct w:val="0"/>
        <w:autoSpaceDE/>
        <w:autoSpaceDN/>
        <w:bidi w:val="0"/>
        <w:snapToGrid w:val="0"/>
        <w:spacing w:line="360" w:lineRule="auto"/>
        <w:ind w:left="0" w:firstLine="422" w:firstLineChars="200"/>
        <w:textAlignment w:val="auto"/>
        <w:rPr>
          <w:rFonts w:hint="eastAsia" w:ascii="宋体" w:hAnsi="宋体" w:eastAsia="宋体" w:cs="宋体"/>
          <w:color w:val="auto"/>
          <w:szCs w:val="21"/>
          <w:highlight w:val="none"/>
        </w:rPr>
      </w:pPr>
      <w:r>
        <w:rPr>
          <w:rFonts w:hint="eastAsia" w:ascii="宋体" w:hAnsi="宋体" w:cs="宋体"/>
          <w:b/>
          <w:bCs/>
          <w:color w:val="auto"/>
          <w:szCs w:val="21"/>
          <w:highlight w:val="none"/>
          <w:lang w:eastAsia="zh-CN"/>
        </w:rPr>
        <w:t>服务保证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入围人应按征集文件、响应文件和承诺规定的服务内容向采购人提供相应服务。</w:t>
      </w:r>
    </w:p>
    <w:p w14:paraId="5892308F">
      <w:pPr>
        <w:spacing w:line="400" w:lineRule="exact"/>
        <w:rPr>
          <w:rFonts w:hint="eastAsia" w:ascii="宋体" w:hAnsi="宋体" w:eastAsia="宋体"/>
          <w:b/>
          <w:color w:val="auto"/>
          <w:szCs w:val="21"/>
          <w:highlight w:val="none"/>
          <w:lang w:eastAsia="zh-CN"/>
        </w:rPr>
      </w:pPr>
      <w:r>
        <w:rPr>
          <w:rFonts w:hint="eastAsia" w:ascii="宋体" w:hAnsi="宋体"/>
          <w:b/>
          <w:color w:val="auto"/>
          <w:szCs w:val="21"/>
          <w:highlight w:val="none"/>
        </w:rPr>
        <w:t>质量保证</w:t>
      </w:r>
      <w:r>
        <w:rPr>
          <w:rFonts w:hint="eastAsia" w:ascii="宋体" w:hAnsi="宋体"/>
          <w:b/>
          <w:color w:val="auto"/>
          <w:szCs w:val="21"/>
          <w:highlight w:val="none"/>
          <w:lang w:eastAsia="zh-CN"/>
        </w:rPr>
        <w:t>：</w:t>
      </w:r>
    </w:p>
    <w:p w14:paraId="3BE68EED">
      <w:pPr>
        <w:spacing w:line="360" w:lineRule="auto"/>
        <w:ind w:firstLine="420" w:firstLineChars="20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乙方提供维修服务时，应按《机动车维修管理规定》中有关维修质量的规定及标准执行。</w:t>
      </w:r>
    </w:p>
    <w:p w14:paraId="665B9DEE">
      <w:pPr>
        <w:spacing w:line="360" w:lineRule="auto"/>
        <w:ind w:firstLine="420" w:firstLineChars="200"/>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机动车维修竣工质量检验合格后，乙方的维修质量检验人员应当签发《机动车维修竣工出厂合格证》；未签发机动车维修竣工出厂合格证的机动车，不得交付使用，甲方可以拒绝交费或接车。</w:t>
      </w:r>
    </w:p>
    <w:p w14:paraId="22453153">
      <w:pPr>
        <w:spacing w:line="360" w:lineRule="auto"/>
        <w:ind w:firstLine="420" w:firstLineChars="200"/>
        <w:rPr>
          <w:rFonts w:hint="eastAsia"/>
          <w:color w:val="auto"/>
          <w:highlight w:val="none"/>
          <w:lang w:val="en-US" w:eastAsia="zh-CN"/>
        </w:rPr>
      </w:pPr>
      <w:r>
        <w:rPr>
          <w:rFonts w:hint="eastAsia"/>
          <w:color w:val="auto"/>
          <w:highlight w:val="none"/>
        </w:rPr>
        <w:t>3</w:t>
      </w:r>
      <w:r>
        <w:rPr>
          <w:rFonts w:hint="eastAsia"/>
          <w:color w:val="auto"/>
          <w:highlight w:val="none"/>
          <w:lang w:eastAsia="zh-CN"/>
        </w:rPr>
        <w:t>.</w:t>
      </w:r>
      <w:r>
        <w:rPr>
          <w:rFonts w:hint="eastAsia"/>
          <w:color w:val="auto"/>
          <w:highlight w:val="none"/>
        </w:rPr>
        <w:t>机动车维修质量保证期，从维修竣工出厂之日起计算。在甲、乙双方约定的质量保证里程或时间内，因</w:t>
      </w:r>
      <w:r>
        <w:rPr>
          <w:rFonts w:hint="eastAsia"/>
          <w:color w:val="auto"/>
          <w:highlight w:val="none"/>
          <w:lang w:val="en-US" w:eastAsia="zh-CN"/>
        </w:rPr>
        <w:t>维修质量造成的机械事故和经济损失，由乙方全部负责。</w:t>
      </w:r>
    </w:p>
    <w:p w14:paraId="26D4124B">
      <w:pPr>
        <w:spacing w:line="360" w:lineRule="auto"/>
        <w:ind w:firstLine="422" w:firstLineChars="200"/>
        <w:rPr>
          <w:rFonts w:hint="eastAsia"/>
          <w:b/>
          <w:bCs/>
          <w:color w:val="auto"/>
          <w:highlight w:val="none"/>
          <w:lang w:val="en-US" w:eastAsia="zh-CN"/>
        </w:rPr>
      </w:pPr>
      <w:r>
        <w:rPr>
          <w:rFonts w:hint="eastAsia"/>
          <w:b/>
          <w:bCs/>
          <w:color w:val="auto"/>
          <w:highlight w:val="none"/>
          <w:lang w:val="en-US" w:eastAsia="zh-CN"/>
        </w:rPr>
        <w:t>4.乙方承诺的质量保证期具体为：</w:t>
      </w:r>
    </w:p>
    <w:p w14:paraId="173FB256">
      <w:pPr>
        <w:spacing w:line="360" w:lineRule="auto"/>
        <w:ind w:firstLine="422" w:firstLineChars="200"/>
        <w:rPr>
          <w:rFonts w:hint="eastAsia"/>
          <w:b/>
          <w:bCs/>
          <w:color w:val="auto"/>
          <w:highlight w:val="none"/>
          <w:lang w:val="en-US" w:eastAsia="zh-CN"/>
        </w:rPr>
      </w:pPr>
      <w:r>
        <w:rPr>
          <w:rFonts w:hint="eastAsia"/>
          <w:b/>
          <w:bCs/>
          <w:color w:val="auto"/>
          <w:highlight w:val="none"/>
          <w:lang w:val="en-US" w:eastAsia="zh-CN"/>
        </w:rPr>
        <w:t>（1）整车修理或总成修理质量保证期为车辆行驶</w:t>
      </w:r>
      <w:r>
        <w:rPr>
          <w:rFonts w:hint="eastAsia"/>
          <w:b/>
          <w:bCs/>
          <w:color w:val="auto"/>
          <w:highlight w:val="none"/>
          <w:u w:val="single"/>
          <w:lang w:val="en-US" w:eastAsia="zh-CN"/>
        </w:rPr>
        <w:t xml:space="preserve">      </w:t>
      </w:r>
      <w:r>
        <w:rPr>
          <w:rFonts w:hint="eastAsia"/>
          <w:b/>
          <w:bCs/>
          <w:color w:val="auto"/>
          <w:highlight w:val="none"/>
          <w:lang w:val="en-US" w:eastAsia="zh-CN"/>
        </w:rPr>
        <w:t>公里或者</w:t>
      </w:r>
      <w:r>
        <w:rPr>
          <w:rFonts w:hint="eastAsia"/>
          <w:b/>
          <w:bCs/>
          <w:color w:val="auto"/>
          <w:highlight w:val="none"/>
          <w:u w:val="single"/>
          <w:lang w:val="en-US" w:eastAsia="zh-CN"/>
        </w:rPr>
        <w:t xml:space="preserve">    </w:t>
      </w:r>
      <w:r>
        <w:rPr>
          <w:rFonts w:hint="eastAsia"/>
          <w:b/>
          <w:bCs/>
          <w:color w:val="auto"/>
          <w:highlight w:val="none"/>
          <w:lang w:val="en-US" w:eastAsia="zh-CN"/>
        </w:rPr>
        <w:t>日；</w:t>
      </w:r>
    </w:p>
    <w:p w14:paraId="4D5C9B9C">
      <w:pPr>
        <w:spacing w:line="360" w:lineRule="auto"/>
        <w:ind w:firstLine="422" w:firstLineChars="200"/>
        <w:rPr>
          <w:rFonts w:hint="eastAsia"/>
          <w:b/>
          <w:bCs/>
          <w:color w:val="auto"/>
          <w:highlight w:val="none"/>
          <w:lang w:val="en-US" w:eastAsia="zh-CN"/>
        </w:rPr>
      </w:pPr>
      <w:r>
        <w:rPr>
          <w:rFonts w:hint="eastAsia"/>
          <w:b/>
          <w:bCs/>
          <w:color w:val="auto"/>
          <w:highlight w:val="none"/>
          <w:lang w:val="en-US" w:eastAsia="zh-CN"/>
        </w:rPr>
        <w:t xml:space="preserve">（2）二级维护质量保证期为车辆行驶 </w:t>
      </w:r>
      <w:r>
        <w:rPr>
          <w:rFonts w:hint="eastAsia"/>
          <w:b/>
          <w:bCs/>
          <w:color w:val="auto"/>
          <w:highlight w:val="none"/>
          <w:u w:val="single"/>
          <w:lang w:val="en-US" w:eastAsia="zh-CN"/>
        </w:rPr>
        <w:t xml:space="preserve">     </w:t>
      </w:r>
      <w:r>
        <w:rPr>
          <w:rFonts w:hint="eastAsia"/>
          <w:b/>
          <w:bCs/>
          <w:color w:val="auto"/>
          <w:highlight w:val="none"/>
          <w:lang w:val="en-US" w:eastAsia="zh-CN"/>
        </w:rPr>
        <w:t>公里或者</w:t>
      </w:r>
      <w:r>
        <w:rPr>
          <w:rFonts w:hint="eastAsia"/>
          <w:b/>
          <w:bCs/>
          <w:color w:val="auto"/>
          <w:highlight w:val="none"/>
          <w:u w:val="single"/>
          <w:lang w:val="en-US" w:eastAsia="zh-CN"/>
        </w:rPr>
        <w:t xml:space="preserve">    </w:t>
      </w:r>
      <w:r>
        <w:rPr>
          <w:rFonts w:hint="eastAsia"/>
          <w:b/>
          <w:bCs/>
          <w:color w:val="auto"/>
          <w:highlight w:val="none"/>
          <w:lang w:val="en-US" w:eastAsia="zh-CN"/>
        </w:rPr>
        <w:t>日；</w:t>
      </w:r>
    </w:p>
    <w:p w14:paraId="3F4FD720">
      <w:pPr>
        <w:spacing w:line="360" w:lineRule="auto"/>
        <w:ind w:firstLine="422" w:firstLineChars="200"/>
        <w:rPr>
          <w:rFonts w:hint="eastAsia"/>
          <w:color w:val="auto"/>
          <w:highlight w:val="none"/>
          <w:lang w:val="en-US" w:eastAsia="zh-CN"/>
        </w:rPr>
      </w:pPr>
      <w:r>
        <w:rPr>
          <w:rFonts w:hint="eastAsia"/>
          <w:b/>
          <w:bCs/>
          <w:color w:val="auto"/>
          <w:highlight w:val="none"/>
          <w:lang w:val="en-US" w:eastAsia="zh-CN"/>
        </w:rPr>
        <w:t xml:space="preserve">（3）一级维护、小修及专项修理质量保证期为车辆行驶 </w:t>
      </w:r>
      <w:r>
        <w:rPr>
          <w:rFonts w:hint="eastAsia"/>
          <w:b/>
          <w:bCs/>
          <w:color w:val="auto"/>
          <w:highlight w:val="none"/>
          <w:u w:val="single"/>
          <w:lang w:val="en-US" w:eastAsia="zh-CN"/>
        </w:rPr>
        <w:t xml:space="preserve">     </w:t>
      </w:r>
      <w:r>
        <w:rPr>
          <w:rFonts w:hint="eastAsia"/>
          <w:b/>
          <w:bCs/>
          <w:color w:val="auto"/>
          <w:highlight w:val="none"/>
          <w:lang w:val="en-US" w:eastAsia="zh-CN"/>
        </w:rPr>
        <w:t>公里或者</w:t>
      </w:r>
      <w:r>
        <w:rPr>
          <w:rFonts w:hint="eastAsia"/>
          <w:b/>
          <w:bCs/>
          <w:color w:val="auto"/>
          <w:highlight w:val="none"/>
          <w:u w:val="single"/>
          <w:lang w:val="en-US" w:eastAsia="zh-CN"/>
        </w:rPr>
        <w:t xml:space="preserve">   </w:t>
      </w:r>
      <w:r>
        <w:rPr>
          <w:rFonts w:hint="eastAsia"/>
          <w:b/>
          <w:bCs/>
          <w:color w:val="auto"/>
          <w:highlight w:val="none"/>
          <w:lang w:val="en-US" w:eastAsia="zh-CN"/>
        </w:rPr>
        <w:t>日。</w:t>
      </w:r>
    </w:p>
    <w:p w14:paraId="039304E1">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5.乙方应保证维修所用材料是全新原厂生产的合格正品，并完全符合合同规定的质量和性能的要求（特殊情况或经送修方确认同意，乙方可使用副厂配件进行维修，但要明码标价)。乙方应保证使用的维修材料在正确安装、正常使用和保养条件下，在其使用寿命期内应具有满意的性能。如发生零配件的更换，乙方必须将零配件的产品合格证交给甲方。</w:t>
      </w:r>
    </w:p>
    <w:p w14:paraId="2E941C7C">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第三条  </w:t>
      </w:r>
      <w:r>
        <w:rPr>
          <w:rFonts w:hint="eastAsia" w:ascii="宋体" w:hAnsi="宋体" w:cs="宋体"/>
          <w:b/>
          <w:color w:val="auto"/>
          <w:szCs w:val="21"/>
          <w:highlight w:val="none"/>
          <w:lang w:eastAsia="zh-CN"/>
        </w:rPr>
        <w:t>合同</w:t>
      </w:r>
      <w:r>
        <w:rPr>
          <w:rFonts w:hint="eastAsia" w:ascii="宋体" w:hAnsi="宋体" w:eastAsia="宋体" w:cs="宋体"/>
          <w:b/>
          <w:color w:val="auto"/>
          <w:szCs w:val="21"/>
          <w:highlight w:val="none"/>
        </w:rPr>
        <w:t>期限</w:t>
      </w:r>
    </w:p>
    <w:p w14:paraId="53A215D1">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合同</w:t>
      </w:r>
      <w:r>
        <w:rPr>
          <w:rFonts w:hint="eastAsia" w:ascii="宋体" w:hAnsi="宋体" w:eastAsia="宋体" w:cs="宋体"/>
          <w:color w:val="auto"/>
          <w:szCs w:val="21"/>
          <w:highlight w:val="none"/>
        </w:rPr>
        <w:t>期限:</w:t>
      </w:r>
    </w:p>
    <w:p w14:paraId="46491119">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交付</w:t>
      </w:r>
    </w:p>
    <w:p w14:paraId="090168A3">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1.服务开始时间：</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；服务地点：</w:t>
      </w:r>
      <w:r>
        <w:rPr>
          <w:rFonts w:hint="eastAsia" w:ascii="宋体" w:hAnsi="宋体" w:eastAsia="宋体" w:cs="宋体"/>
          <w:color w:val="auto"/>
          <w:szCs w:val="21"/>
          <w:highlight w:val="none"/>
          <w:u w:val="single"/>
        </w:rPr>
        <w:t>服务对象指定地点</w:t>
      </w:r>
      <w:r>
        <w:rPr>
          <w:rFonts w:hint="eastAsia" w:ascii="宋体" w:hAnsi="宋体" w:eastAsia="宋体" w:cs="宋体"/>
          <w:color w:val="auto"/>
          <w:szCs w:val="21"/>
          <w:highlight w:val="none"/>
        </w:rPr>
        <w:t>。</w:t>
      </w:r>
    </w:p>
    <w:p w14:paraId="59FE8146">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2.乙方提供不符合招响应文件和本合同规定的服务，甲方有权拒绝接受。</w:t>
      </w:r>
    </w:p>
    <w:p w14:paraId="4BEB1DD4">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税费</w:t>
      </w:r>
    </w:p>
    <w:p w14:paraId="0AB0ABFB">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w:t>
      </w:r>
    </w:p>
    <w:p w14:paraId="574161CE">
      <w:pPr>
        <w:keepNext w:val="0"/>
        <w:keepLines w:val="0"/>
        <w:pageBreakBefore w:val="0"/>
        <w:widowControl w:val="0"/>
        <w:numPr>
          <w:ilvl w:val="0"/>
          <w:numId w:val="7"/>
        </w:numPr>
        <w:kinsoku/>
        <w:wordWrap/>
        <w:overflowPunct/>
        <w:topLinePunct w:val="0"/>
        <w:autoSpaceDE/>
        <w:autoSpaceDN/>
        <w:bidi w:val="0"/>
        <w:spacing w:line="360" w:lineRule="auto"/>
        <w:ind w:left="0" w:firstLine="422" w:firstLineChars="200"/>
        <w:jc w:val="both"/>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支付方式、时间和条件</w:t>
      </w:r>
    </w:p>
    <w:p w14:paraId="155B09D8">
      <w:pPr>
        <w:adjustRightInd w:val="0"/>
        <w:spacing w:line="400" w:lineRule="exact"/>
        <w:ind w:firstLine="435"/>
        <w:rPr>
          <w:rFonts w:ascii="宋体" w:hAnsi="宋体"/>
          <w:color w:val="auto"/>
          <w:szCs w:val="24"/>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甲方应对有关单据进行审核，审核无误后，</w:t>
      </w:r>
      <w:r>
        <w:rPr>
          <w:rFonts w:hint="eastAsia" w:ascii="宋体" w:hAnsi="宋体"/>
          <w:color w:val="auto"/>
          <w:szCs w:val="24"/>
          <w:highlight w:val="none"/>
        </w:rPr>
        <w:t>采用非现金方式与乙方定期结算维修费用。</w:t>
      </w:r>
    </w:p>
    <w:p w14:paraId="04F190F8">
      <w:pPr>
        <w:adjustRightInd w:val="0"/>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eastAsia="zh-CN"/>
        </w:rPr>
        <w:t>.</w:t>
      </w:r>
      <w:r>
        <w:rPr>
          <w:rFonts w:hint="eastAsia" w:ascii="宋体" w:hAnsi="宋体"/>
          <w:b/>
          <w:color w:val="auto"/>
          <w:szCs w:val="21"/>
          <w:highlight w:val="none"/>
        </w:rPr>
        <w:t>甲方与乙方约定的结算方式：</w:t>
      </w:r>
    </w:p>
    <w:tbl>
      <w:tblPr>
        <w:tblStyle w:val="2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14:paraId="70B2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467ABC92">
            <w:pPr>
              <w:adjustRightInd w:val="0"/>
              <w:spacing w:line="400" w:lineRule="exact"/>
              <w:jc w:val="center"/>
              <w:rPr>
                <w:rFonts w:ascii="宋体" w:hAnsi="宋体"/>
                <w:b/>
                <w:color w:val="auto"/>
                <w:highlight w:val="none"/>
              </w:rPr>
            </w:pPr>
            <w:r>
              <w:rPr>
                <w:rFonts w:hint="eastAsia" w:ascii="宋体" w:hAnsi="宋体"/>
                <w:b/>
                <w:color w:val="auto"/>
                <w:highlight w:val="none"/>
              </w:rPr>
              <w:t>付款时间</w:t>
            </w:r>
          </w:p>
        </w:tc>
        <w:tc>
          <w:tcPr>
            <w:tcW w:w="2463" w:type="dxa"/>
            <w:vAlign w:val="center"/>
          </w:tcPr>
          <w:p w14:paraId="2A88AF53">
            <w:pPr>
              <w:adjustRightInd w:val="0"/>
              <w:spacing w:line="400" w:lineRule="exact"/>
              <w:jc w:val="center"/>
              <w:rPr>
                <w:rFonts w:ascii="宋体" w:hAnsi="宋体"/>
                <w:b/>
                <w:color w:val="auto"/>
                <w:highlight w:val="none"/>
              </w:rPr>
            </w:pPr>
            <w:r>
              <w:rPr>
                <w:rFonts w:hint="eastAsia" w:ascii="宋体" w:hAnsi="宋体"/>
                <w:b/>
                <w:color w:val="auto"/>
                <w:highlight w:val="none"/>
              </w:rPr>
              <w:t>付款比例（%）</w:t>
            </w:r>
          </w:p>
        </w:tc>
        <w:tc>
          <w:tcPr>
            <w:tcW w:w="2464" w:type="dxa"/>
            <w:vAlign w:val="center"/>
          </w:tcPr>
          <w:p w14:paraId="2F673015">
            <w:pPr>
              <w:adjustRightInd w:val="0"/>
              <w:spacing w:line="400" w:lineRule="exact"/>
              <w:jc w:val="center"/>
              <w:rPr>
                <w:rFonts w:ascii="宋体" w:hAnsi="宋体"/>
                <w:b/>
                <w:color w:val="auto"/>
                <w:highlight w:val="none"/>
              </w:rPr>
            </w:pPr>
            <w:r>
              <w:rPr>
                <w:rFonts w:hint="eastAsia" w:ascii="宋体" w:hAnsi="宋体"/>
                <w:b/>
                <w:color w:val="auto"/>
                <w:highlight w:val="none"/>
              </w:rPr>
              <w:t>金额（元）</w:t>
            </w:r>
          </w:p>
        </w:tc>
        <w:tc>
          <w:tcPr>
            <w:tcW w:w="2464" w:type="dxa"/>
            <w:vAlign w:val="center"/>
          </w:tcPr>
          <w:p w14:paraId="68964F60">
            <w:pPr>
              <w:adjustRightInd w:val="0"/>
              <w:spacing w:line="400" w:lineRule="exact"/>
              <w:jc w:val="center"/>
              <w:rPr>
                <w:rFonts w:ascii="宋体" w:hAnsi="宋体"/>
                <w:b/>
                <w:color w:val="auto"/>
                <w:highlight w:val="none"/>
              </w:rPr>
            </w:pPr>
            <w:r>
              <w:rPr>
                <w:rFonts w:hint="eastAsia" w:ascii="宋体" w:hAnsi="宋体"/>
                <w:b/>
                <w:color w:val="auto"/>
                <w:highlight w:val="none"/>
              </w:rPr>
              <w:t>备注</w:t>
            </w:r>
          </w:p>
        </w:tc>
      </w:tr>
      <w:tr w14:paraId="3013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top"/>
          </w:tcPr>
          <w:p w14:paraId="05592354">
            <w:pPr>
              <w:adjustRightInd w:val="0"/>
              <w:spacing w:line="400" w:lineRule="exact"/>
              <w:rPr>
                <w:rFonts w:ascii="宋体" w:hAnsi="宋体"/>
                <w:b/>
                <w:color w:val="auto"/>
                <w:highlight w:val="none"/>
              </w:rPr>
            </w:pPr>
          </w:p>
        </w:tc>
        <w:tc>
          <w:tcPr>
            <w:tcW w:w="2463" w:type="dxa"/>
            <w:vAlign w:val="top"/>
          </w:tcPr>
          <w:p w14:paraId="16684843">
            <w:pPr>
              <w:adjustRightInd w:val="0"/>
              <w:spacing w:line="400" w:lineRule="exact"/>
              <w:rPr>
                <w:rFonts w:ascii="宋体" w:hAnsi="宋体"/>
                <w:b/>
                <w:color w:val="auto"/>
                <w:highlight w:val="none"/>
              </w:rPr>
            </w:pPr>
          </w:p>
        </w:tc>
        <w:tc>
          <w:tcPr>
            <w:tcW w:w="2464" w:type="dxa"/>
            <w:vAlign w:val="top"/>
          </w:tcPr>
          <w:p w14:paraId="0CE66DB7">
            <w:pPr>
              <w:adjustRightInd w:val="0"/>
              <w:spacing w:line="400" w:lineRule="exact"/>
              <w:rPr>
                <w:rFonts w:ascii="宋体" w:hAnsi="宋体"/>
                <w:b/>
                <w:color w:val="auto"/>
                <w:highlight w:val="none"/>
              </w:rPr>
            </w:pPr>
          </w:p>
        </w:tc>
        <w:tc>
          <w:tcPr>
            <w:tcW w:w="2464" w:type="dxa"/>
            <w:vAlign w:val="top"/>
          </w:tcPr>
          <w:p w14:paraId="0F61198F">
            <w:pPr>
              <w:adjustRightInd w:val="0"/>
              <w:spacing w:line="400" w:lineRule="exact"/>
              <w:rPr>
                <w:rFonts w:ascii="宋体" w:hAnsi="宋体"/>
                <w:b/>
                <w:color w:val="auto"/>
                <w:highlight w:val="none"/>
              </w:rPr>
            </w:pPr>
          </w:p>
        </w:tc>
      </w:tr>
    </w:tbl>
    <w:p w14:paraId="31CAC364">
      <w:pPr>
        <w:keepNext w:val="0"/>
        <w:keepLines w:val="0"/>
        <w:pageBreakBefore w:val="0"/>
        <w:kinsoku/>
        <w:wordWrap/>
        <w:overflowPunct/>
        <w:topLinePunct w:val="0"/>
        <w:autoSpaceDE/>
        <w:autoSpaceDN/>
        <w:bidi w:val="0"/>
        <w:adjustRightInd w:val="0"/>
        <w:spacing w:line="360" w:lineRule="auto"/>
        <w:ind w:left="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采购资金的支付按照现行</w:t>
      </w:r>
      <w:r>
        <w:rPr>
          <w:rFonts w:hint="eastAsia" w:ascii="宋体" w:hAnsi="宋体" w:eastAsia="宋体" w:cs="宋体"/>
          <w:color w:val="auto"/>
          <w:szCs w:val="21"/>
          <w:highlight w:val="none"/>
          <w:lang w:eastAsia="zh-CN"/>
        </w:rPr>
        <w:t>广西—东盟经济技术开发区</w:t>
      </w:r>
      <w:r>
        <w:rPr>
          <w:rFonts w:hint="eastAsia" w:ascii="宋体" w:hAnsi="宋体" w:eastAsia="宋体" w:cs="宋体"/>
          <w:color w:val="auto"/>
          <w:szCs w:val="21"/>
          <w:highlight w:val="none"/>
        </w:rPr>
        <w:t>有关国库集中支付管理规定执行。</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与</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签订书面采购合同时，应在合同中明确约定货款结算与支付频率。对单项车辆维修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保养，服务对象可与供应商约定采用一次性支付或分次支付，分次支付的应写明具体支付方式；</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与</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签订的是本次框架协议车辆维修和保养服务期限内的一揽子合同的，约定采用季度货款结算与支付频率。车辆维修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保养经</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验收合格后，按照采购合同约定的支付时间，由</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按财政授权支付程序将款项支付给</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p>
    <w:p w14:paraId="2A2AC104">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违约责任</w:t>
      </w:r>
    </w:p>
    <w:p w14:paraId="262771B0">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1.乙方所提供的服务质量不合格的，应及时更换，更换不及时的按逾期处罚，乙方应向甲方支付合同金额</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违约金并赔偿甲方经济损失。</w:t>
      </w:r>
    </w:p>
    <w:p w14:paraId="5F941C26">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2.乙方提供的服务如果侵犯了第三方合法权益而引发的任何纠纷或诉讼，均由乙方负责交涉并承担全部责任。</w:t>
      </w:r>
    </w:p>
    <w:p w14:paraId="4AD2EB47">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3.乙方无故延期服务交付的，每天向对方偿付违约合同金额</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违约金，但违约金累计不得超过合同金额</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，超过</w:t>
      </w:r>
      <w:r>
        <w:rPr>
          <w:rFonts w:hint="eastAsia" w:ascii="宋体" w:hAnsi="宋体" w:eastAsia="宋体" w:cs="宋体"/>
          <w:color w:val="auto"/>
          <w:szCs w:val="21"/>
          <w:highlight w:val="none"/>
          <w:u w:val="single"/>
        </w:rPr>
        <w:t>20</w:t>
      </w:r>
      <w:r>
        <w:rPr>
          <w:rFonts w:hint="eastAsia" w:ascii="宋体" w:hAnsi="宋体" w:eastAsia="宋体" w:cs="宋体"/>
          <w:color w:val="auto"/>
          <w:szCs w:val="21"/>
          <w:highlight w:val="none"/>
        </w:rPr>
        <w:t>天对方（甲方）有权解除合同，违约方承担因此给对方造成经济损失；甲方不能按期付款的，每天向乙方偿付延合同金额</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滞纳金，但滞纳金累计不得超过合同金额</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w:t>
      </w:r>
    </w:p>
    <w:p w14:paraId="26936D62">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4.乙方未按本合同和响应文件中规定的服务承诺提供服务的，乙方应按本合同金额</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向甲方支付违约金。</w:t>
      </w:r>
    </w:p>
    <w:p w14:paraId="41A5B0E8">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5.其他违约行为按照合同金额</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收取违约金并赔偿守约方经济损失。</w:t>
      </w:r>
    </w:p>
    <w:p w14:paraId="1091E678">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不可抗力事件处理</w:t>
      </w:r>
    </w:p>
    <w:p w14:paraId="3163E3F4">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1.在合同有效期内，乙方因不可抗力事件导致不能履行合同，则合同履行期可延长，其延长期与不可抗力影响期相同。</w:t>
      </w:r>
    </w:p>
    <w:p w14:paraId="1945C7E6">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14:paraId="4FA45970">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3.不可抗力事件延续一百二十天以上，双方应通过友好协商，确定是否继续履行合同。</w:t>
      </w:r>
    </w:p>
    <w:p w14:paraId="11EF31CD">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  合同争议解决</w:t>
      </w:r>
    </w:p>
    <w:p w14:paraId="3B4393B6">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1、因服务问题发生争议的，应邀请国家认可的相关机构进行鉴定。服务符合要求的，鉴定费由采购人承担；服务不符合要求的，鉴定费由入围人承担。</w:t>
      </w:r>
    </w:p>
    <w:p w14:paraId="4EE1C871">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与本合同有关的争议，甲乙双方应首先通过友好协商解决，如果协商不能解决，选择采购人所在地有管辖权的人民法院为诉讼管辖法院，因诉讼产生的律师服务费和实现债权的费用由败诉方承担。</w:t>
      </w:r>
    </w:p>
    <w:p w14:paraId="2FEF271F">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14:paraId="44AFFFA4">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合同生效及其它</w:t>
      </w:r>
    </w:p>
    <w:p w14:paraId="61294BB3">
      <w:pPr>
        <w:keepNext w:val="0"/>
        <w:keepLines w:val="0"/>
        <w:pageBreakBefore w:val="0"/>
        <w:numPr>
          <w:ilvl w:val="0"/>
          <w:numId w:val="8"/>
        </w:numPr>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合同经甲乙双方法定代表人、负责人</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自然人或相应的授权代表签字并加盖甲方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采购人</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、供应商公章后生效。</w:t>
      </w:r>
    </w:p>
    <w:p w14:paraId="34C2C9D7">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2.合同执行中涉及采购资金和采购内容修改或补充的，需经本级</w:t>
      </w:r>
      <w:r>
        <w:rPr>
          <w:rFonts w:hint="eastAsia" w:ascii="宋体" w:hAnsi="宋体" w:eastAsia="宋体" w:cs="宋体"/>
          <w:color w:val="auto"/>
          <w:szCs w:val="21"/>
          <w:highlight w:val="none"/>
          <w:lang w:eastAsia="zh-CN"/>
        </w:rPr>
        <w:t>财</w:t>
      </w:r>
      <w:r>
        <w:rPr>
          <w:rFonts w:hint="eastAsia" w:ascii="宋体" w:hAnsi="宋体" w:eastAsia="宋体" w:cs="宋体"/>
          <w:color w:val="auto"/>
          <w:szCs w:val="21"/>
          <w:highlight w:val="none"/>
        </w:rPr>
        <w:t>政部门审批，并签订书面补充协议报本级财政部门备案，方可作为主合同不可分割的一部分，未经本级财政部门审批的，仍按照本级财政部门审批前的履行。</w:t>
      </w:r>
    </w:p>
    <w:p w14:paraId="0B588C69">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3.本合同未尽事宜，遵照《中华人民共和国民法典》有关条文执行。</w:t>
      </w:r>
    </w:p>
    <w:p w14:paraId="5A3C51EB">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第十一条  合同的变更、终止与转让</w:t>
      </w:r>
    </w:p>
    <w:p w14:paraId="56772110">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14:paraId="4D88A8DA">
      <w:pPr>
        <w:spacing w:line="400" w:lineRule="exact"/>
        <w:ind w:right="17"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eastAsia="zh-CN"/>
        </w:rPr>
        <w:t>如</w:t>
      </w:r>
      <w:r>
        <w:rPr>
          <w:rFonts w:hint="eastAsia" w:ascii="宋体" w:hAnsi="宋体"/>
          <w:color w:val="auto"/>
          <w:szCs w:val="21"/>
          <w:highlight w:val="none"/>
        </w:rPr>
        <w:t>在本</w:t>
      </w:r>
      <w:r>
        <w:rPr>
          <w:rFonts w:hint="eastAsia" w:ascii="宋体" w:hAnsi="宋体"/>
          <w:color w:val="auto"/>
          <w:szCs w:val="24"/>
          <w:highlight w:val="none"/>
        </w:rPr>
        <w:t>合同</w:t>
      </w:r>
      <w:r>
        <w:rPr>
          <w:rFonts w:hint="eastAsia" w:ascii="宋体" w:hAnsi="宋体"/>
          <w:color w:val="auto"/>
          <w:szCs w:val="21"/>
          <w:highlight w:val="none"/>
        </w:rPr>
        <w:t>执行过程中，有下列情况出现，甲方可向乙方发出终止部分或全部</w:t>
      </w:r>
      <w:r>
        <w:rPr>
          <w:rFonts w:hint="eastAsia" w:ascii="宋体" w:hAnsi="宋体"/>
          <w:color w:val="auto"/>
          <w:szCs w:val="24"/>
          <w:highlight w:val="none"/>
        </w:rPr>
        <w:t>合同</w:t>
      </w:r>
      <w:r>
        <w:rPr>
          <w:rFonts w:hint="eastAsia" w:ascii="宋体" w:hAnsi="宋体"/>
          <w:color w:val="auto"/>
          <w:szCs w:val="21"/>
          <w:highlight w:val="none"/>
        </w:rPr>
        <w:t>的书面通知：</w:t>
      </w:r>
    </w:p>
    <w:p w14:paraId="59640CA4">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（1）未经甲方同意，乙方将送修车辆交由其他机动车维修经营者维修的；</w:t>
      </w:r>
    </w:p>
    <w:p w14:paraId="76E7CBDA">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w:t>
      </w:r>
      <w:r>
        <w:rPr>
          <w:rFonts w:hint="eastAsia" w:ascii="宋体" w:hAnsi="宋体" w:eastAsia="宋体" w:cs="宋体"/>
          <w:color w:val="auto"/>
          <w:szCs w:val="21"/>
          <w:highlight w:val="none"/>
          <w:lang w:eastAsia="zh-CN"/>
        </w:rPr>
        <w:t>合同的约定</w:t>
      </w:r>
      <w:r>
        <w:rPr>
          <w:rFonts w:hint="eastAsia" w:ascii="宋体" w:hAnsi="宋体" w:eastAsia="宋体" w:cs="宋体"/>
          <w:color w:val="auto"/>
          <w:szCs w:val="21"/>
          <w:highlight w:val="none"/>
        </w:rPr>
        <w:t>给予</w:t>
      </w:r>
      <w:r>
        <w:rPr>
          <w:rFonts w:hint="eastAsia" w:ascii="宋体" w:hAnsi="宋体" w:eastAsia="宋体" w:cs="宋体"/>
          <w:color w:val="auto"/>
          <w:szCs w:val="21"/>
          <w:highlight w:val="none"/>
          <w:lang w:eastAsia="zh-CN"/>
        </w:rPr>
        <w:t>零配件</w:t>
      </w:r>
      <w:r>
        <w:rPr>
          <w:rFonts w:hint="eastAsia" w:ascii="宋体" w:hAnsi="宋体" w:eastAsia="宋体" w:cs="宋体"/>
          <w:color w:val="auto"/>
          <w:szCs w:val="21"/>
          <w:highlight w:val="none"/>
        </w:rPr>
        <w:t>价格</w:t>
      </w:r>
      <w:r>
        <w:rPr>
          <w:rFonts w:hint="eastAsia" w:ascii="宋体" w:hAnsi="宋体" w:eastAsia="宋体" w:cs="宋体"/>
          <w:color w:val="auto"/>
          <w:szCs w:val="21"/>
          <w:highlight w:val="none"/>
          <w:lang w:eastAsia="zh-CN"/>
        </w:rPr>
        <w:t>、工时费优惠率</w:t>
      </w:r>
      <w:r>
        <w:rPr>
          <w:rFonts w:hint="eastAsia" w:ascii="宋体" w:hAnsi="宋体" w:eastAsia="宋体" w:cs="宋体"/>
          <w:color w:val="auto"/>
          <w:szCs w:val="21"/>
          <w:highlight w:val="none"/>
        </w:rPr>
        <w:t>的；</w:t>
      </w:r>
    </w:p>
    <w:p w14:paraId="14FE492B">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）未经甲方同意，乙方擅自使用非全新原厂生产的零部件用于该单位送修车辆维修的；</w:t>
      </w:r>
    </w:p>
    <w:p w14:paraId="3CBC052F">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）无论在任何情况下，乙方以旧件换取甲方送修车辆零部件的；</w:t>
      </w:r>
    </w:p>
    <w:p w14:paraId="49A51B6A">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）因乙方维修质量问题，导致甲方车辆出现事故，造成重大损失的；</w:t>
      </w:r>
    </w:p>
    <w:p w14:paraId="01043857">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）未按本合同基本服务要求履行或未按投标时承诺的服务承诺履行的。</w:t>
      </w:r>
    </w:p>
    <w:p w14:paraId="4217E632">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.乙方在任何情况下都不得向甲方经办人提供任何形式的回扣，一经发现，</w:t>
      </w:r>
      <w:r>
        <w:rPr>
          <w:rFonts w:hint="eastAsia" w:ascii="宋体" w:hAnsi="宋体" w:eastAsia="宋体" w:cs="宋体"/>
          <w:color w:val="auto"/>
          <w:szCs w:val="21"/>
          <w:highlight w:val="none"/>
          <w:lang w:eastAsia="zh-CN"/>
        </w:rPr>
        <w:t>广西—</w:t>
      </w:r>
      <w:r>
        <w:rPr>
          <w:rFonts w:hint="eastAsia" w:ascii="宋体" w:hAnsi="宋体" w:eastAsia="宋体" w:cs="宋体"/>
          <w:color w:val="auto"/>
          <w:szCs w:val="21"/>
          <w:highlight w:val="none"/>
        </w:rPr>
        <w:t>东盟经济</w:t>
      </w: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 xml:space="preserve">开发区财政局立即全面终止合同的执行，同时提请有关部门追究有关当事人的责任。 </w:t>
      </w:r>
    </w:p>
    <w:p w14:paraId="619F08BD">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如果乙方破产或无清偿能力，甲方可在任何时候以书面形式通知乙方中止合同而不给乙方补偿。该中止合同将不损害或影响甲方已经采取或将要采取的任何行动或补救措施的权力。</w:t>
      </w:r>
    </w:p>
    <w:p w14:paraId="2920596D">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.乙方不得擅自转让(无进口资格的供应商委托进口货物除外)其应履行的合同义务。</w:t>
      </w:r>
    </w:p>
    <w:p w14:paraId="5785F50F">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第十二条  签订本合同依据</w:t>
      </w:r>
    </w:p>
    <w:p w14:paraId="18B01DCC">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1.征集文件；</w:t>
      </w:r>
    </w:p>
    <w:p w14:paraId="0ECDBB6C">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2.乙方提供的响应文件；</w:t>
      </w:r>
    </w:p>
    <w:p w14:paraId="2BB1A9AE">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3.服务承诺书；</w:t>
      </w:r>
    </w:p>
    <w:p w14:paraId="5118C1A4">
      <w:pPr>
        <w:keepNext w:val="0"/>
        <w:keepLines w:val="0"/>
        <w:pageBreakBefore w:val="0"/>
        <w:kinsoku/>
        <w:wordWrap/>
        <w:overflowPunct/>
        <w:topLinePunct w:val="0"/>
        <w:autoSpaceDE/>
        <w:autoSpaceDN/>
        <w:bidi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4.入围通知书。</w:t>
      </w:r>
    </w:p>
    <w:p w14:paraId="4C87E448">
      <w:pPr>
        <w:spacing w:line="400" w:lineRule="exact"/>
        <w:ind w:firstLine="420" w:firstLineChars="200"/>
        <w:rPr>
          <w:rFonts w:ascii="宋体" w:hAnsi="宋体"/>
          <w:color w:val="auto"/>
          <w:szCs w:val="21"/>
          <w:highlight w:val="none"/>
        </w:rPr>
      </w:pPr>
      <w:r>
        <w:rPr>
          <w:rFonts w:hint="eastAsia" w:ascii="宋体" w:hAnsi="宋体"/>
          <w:color w:val="auto"/>
          <w:szCs w:val="24"/>
          <w:highlight w:val="none"/>
        </w:rPr>
        <w:t>本合同一式两份，具有同等法律效力，甲、乙双方各执一份。</w:t>
      </w:r>
    </w:p>
    <w:p w14:paraId="0B14B13F">
      <w:pPr>
        <w:pStyle w:val="13"/>
        <w:keepNext w:val="0"/>
        <w:keepLines w:val="0"/>
        <w:pageBreakBefore w:val="0"/>
        <w:widowControl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p>
    <w:p w14:paraId="6080FAE8">
      <w:pPr>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乙方（公章）：</w:t>
      </w:r>
      <w:r>
        <w:rPr>
          <w:rFonts w:hint="eastAsia" w:ascii="宋体" w:hAnsi="宋体" w:eastAsia="宋体" w:cs="宋体"/>
          <w:color w:val="auto"/>
          <w:sz w:val="21"/>
          <w:szCs w:val="21"/>
          <w:highlight w:val="none"/>
          <w:u w:val="single"/>
        </w:rPr>
        <w:t xml:space="preserve">                       </w:t>
      </w:r>
    </w:p>
    <w:p w14:paraId="0B4D9D5B">
      <w:pPr>
        <w:spacing w:line="440" w:lineRule="exact"/>
        <w:ind w:left="4620" w:hanging="4620" w:hangingChars="2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p>
    <w:p w14:paraId="1B2DC3E9">
      <w:pPr>
        <w:tabs>
          <w:tab w:val="left" w:pos="468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14:paraId="23CB5B70">
      <w:pPr>
        <w:tabs>
          <w:tab w:val="left" w:pos="504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 </w:t>
      </w:r>
      <w:r>
        <w:rPr>
          <w:rFonts w:hint="eastAsia" w:ascii="宋体" w:hAnsi="宋体" w:eastAsia="宋体" w:cs="宋体"/>
          <w:color w:val="auto"/>
          <w:sz w:val="21"/>
          <w:szCs w:val="21"/>
          <w:highlight w:val="none"/>
          <w:u w:val="single"/>
        </w:rPr>
        <w:t xml:space="preserve">                           </w:t>
      </w:r>
    </w:p>
    <w:p w14:paraId="4F726894">
      <w:pPr>
        <w:tabs>
          <w:tab w:val="left" w:pos="5040"/>
        </w:tabs>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开户名称：</w:t>
      </w:r>
      <w:r>
        <w:rPr>
          <w:rFonts w:hint="eastAsia" w:ascii="宋体" w:hAnsi="宋体" w:eastAsia="宋体" w:cs="宋体"/>
          <w:color w:val="auto"/>
          <w:sz w:val="21"/>
          <w:szCs w:val="21"/>
          <w:highlight w:val="none"/>
          <w:u w:val="single"/>
        </w:rPr>
        <w:t xml:space="preserve">                           </w:t>
      </w:r>
    </w:p>
    <w:p w14:paraId="692E3B79">
      <w:pPr>
        <w:tabs>
          <w:tab w:val="left" w:pos="504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1580E2F6">
      <w:pPr>
        <w:tabs>
          <w:tab w:val="left" w:pos="5040"/>
        </w:tabs>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银行账号：</w:t>
      </w:r>
      <w:r>
        <w:rPr>
          <w:rFonts w:hint="eastAsia" w:ascii="宋体" w:hAnsi="宋体" w:eastAsia="宋体" w:cs="宋体"/>
          <w:color w:val="auto"/>
          <w:sz w:val="21"/>
          <w:szCs w:val="21"/>
          <w:highlight w:val="none"/>
          <w:u w:val="single"/>
        </w:rPr>
        <w:t xml:space="preserve">                           </w:t>
      </w:r>
    </w:p>
    <w:p w14:paraId="56071626">
      <w:pPr>
        <w:tabs>
          <w:tab w:val="left" w:pos="5040"/>
        </w:tabs>
        <w:spacing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u w:val="single"/>
        </w:rPr>
        <w:t xml:space="preserve">                           </w:t>
      </w:r>
    </w:p>
    <w:p w14:paraId="5BC4BA91">
      <w:pPr>
        <w:pStyle w:val="2"/>
        <w:rPr>
          <w:rFonts w:hint="eastAsia" w:ascii="宋体" w:hAnsi="宋体" w:eastAsia="宋体" w:cs="宋体"/>
          <w:color w:val="auto"/>
          <w:kern w:val="0"/>
          <w:sz w:val="21"/>
          <w:szCs w:val="21"/>
          <w:highlight w:val="none"/>
        </w:rPr>
      </w:pPr>
    </w:p>
    <w:p w14:paraId="2240722D">
      <w:pPr>
        <w:pStyle w:val="2"/>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签订地点：</w:t>
      </w:r>
      <w:r>
        <w:rPr>
          <w:rFonts w:hint="eastAsia" w:ascii="宋体" w:hAnsi="宋体" w:eastAsia="宋体" w:cs="宋体"/>
          <w:color w:val="auto"/>
          <w:kern w:val="0"/>
          <w:sz w:val="21"/>
          <w:szCs w:val="21"/>
          <w:highlight w:val="none"/>
          <w:lang w:eastAsia="zh-CN"/>
        </w:rPr>
        <w:t>广西—东盟经济技术开发区</w:t>
      </w:r>
    </w:p>
    <w:p w14:paraId="4FAF8BFF">
      <w:pPr>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br w:type="page"/>
      </w:r>
    </w:p>
    <w:p w14:paraId="6745B936">
      <w:pPr>
        <w:pStyle w:val="2"/>
        <w:rPr>
          <w:b/>
          <w:bCs/>
          <w:color w:val="auto"/>
          <w:highlight w:val="none"/>
        </w:rPr>
      </w:pPr>
      <w:r>
        <w:rPr>
          <w:rFonts w:hint="eastAsia" w:ascii="宋体" w:hAnsi="宋体" w:eastAsia="宋体" w:cs="宋体"/>
          <w:color w:val="auto"/>
          <w:kern w:val="0"/>
          <w:sz w:val="21"/>
          <w:szCs w:val="21"/>
          <w:highlight w:val="none"/>
        </w:rPr>
        <w:t>        </w:t>
      </w:r>
    </w:p>
    <w:p w14:paraId="734C33B9">
      <w:pPr>
        <w:spacing w:line="360" w:lineRule="auto"/>
        <w:jc w:val="both"/>
        <w:rPr>
          <w:rFonts w:hint="eastAsia" w:hAnsi="宋体" w:cs="宋体"/>
          <w:b/>
          <w:color w:val="auto"/>
          <w:sz w:val="36"/>
          <w:highlight w:val="none"/>
        </w:rPr>
      </w:pPr>
      <w:r>
        <w:rPr>
          <w:rFonts w:hint="eastAsia" w:ascii="宋体" w:hAnsi="宋体" w:cs="宋体"/>
          <w:b/>
          <w:bCs/>
          <w:color w:val="auto"/>
          <w:sz w:val="52"/>
          <w:highlight w:val="none"/>
        </w:rPr>
        <w:t xml:space="preserve"> </w:t>
      </w:r>
      <w:bookmarkStart w:id="90" w:name="_Toc80093010"/>
      <w:bookmarkStart w:id="91" w:name="_Toc25244"/>
    </w:p>
    <w:p w14:paraId="182BD586">
      <w:pPr>
        <w:widowControl/>
        <w:jc w:val="center"/>
        <w:rPr>
          <w:rFonts w:hint="eastAsia" w:hAnsi="宋体" w:cs="宋体"/>
          <w:b/>
          <w:color w:val="auto"/>
          <w:sz w:val="36"/>
          <w:highlight w:val="none"/>
        </w:rPr>
      </w:pPr>
    </w:p>
    <w:p w14:paraId="26B7FC25">
      <w:pPr>
        <w:widowControl/>
        <w:jc w:val="center"/>
        <w:rPr>
          <w:rFonts w:hint="eastAsia" w:hAnsi="宋体" w:cs="宋体"/>
          <w:b/>
          <w:color w:val="auto"/>
          <w:sz w:val="36"/>
          <w:highlight w:val="none"/>
        </w:rPr>
      </w:pPr>
    </w:p>
    <w:p w14:paraId="1E415E23">
      <w:pPr>
        <w:widowControl/>
        <w:jc w:val="center"/>
        <w:rPr>
          <w:rFonts w:hint="eastAsia" w:hAnsi="宋体" w:cs="宋体"/>
          <w:b/>
          <w:color w:val="auto"/>
          <w:sz w:val="36"/>
          <w:highlight w:val="none"/>
        </w:rPr>
      </w:pPr>
    </w:p>
    <w:p w14:paraId="75422F3F">
      <w:pPr>
        <w:widowControl/>
        <w:jc w:val="center"/>
        <w:rPr>
          <w:rFonts w:hint="eastAsia" w:hAnsi="宋体" w:cs="宋体"/>
          <w:b/>
          <w:color w:val="auto"/>
          <w:sz w:val="36"/>
          <w:highlight w:val="none"/>
        </w:rPr>
      </w:pPr>
    </w:p>
    <w:p w14:paraId="3A47FF72">
      <w:pPr>
        <w:widowControl/>
        <w:jc w:val="center"/>
        <w:rPr>
          <w:rFonts w:hint="eastAsia" w:hAnsi="宋体" w:cs="宋体"/>
          <w:b/>
          <w:color w:val="auto"/>
          <w:sz w:val="36"/>
          <w:highlight w:val="none"/>
        </w:rPr>
      </w:pPr>
    </w:p>
    <w:p w14:paraId="4CAD5CEE">
      <w:pPr>
        <w:widowControl/>
        <w:jc w:val="center"/>
        <w:rPr>
          <w:rFonts w:hint="eastAsia" w:hAnsi="宋体" w:cs="宋体"/>
          <w:b/>
          <w:color w:val="auto"/>
          <w:sz w:val="36"/>
          <w:highlight w:val="none"/>
        </w:rPr>
      </w:pPr>
    </w:p>
    <w:p w14:paraId="398C2CE9">
      <w:pPr>
        <w:widowControl/>
        <w:jc w:val="center"/>
        <w:rPr>
          <w:rFonts w:hint="eastAsia" w:hAnsi="宋体" w:cs="宋体"/>
          <w:b/>
          <w:color w:val="auto"/>
          <w:sz w:val="36"/>
          <w:highlight w:val="none"/>
        </w:rPr>
      </w:pPr>
    </w:p>
    <w:p w14:paraId="1FAD7C3C">
      <w:pPr>
        <w:widowControl/>
        <w:jc w:val="center"/>
        <w:rPr>
          <w:rFonts w:hint="eastAsia" w:hAnsi="宋体" w:cs="宋体"/>
          <w:b/>
          <w:color w:val="auto"/>
          <w:sz w:val="36"/>
          <w:highlight w:val="none"/>
        </w:rPr>
      </w:pPr>
      <w:r>
        <w:rPr>
          <w:rFonts w:hint="eastAsia" w:hAnsi="宋体" w:cs="宋体"/>
          <w:b/>
          <w:color w:val="auto"/>
          <w:sz w:val="36"/>
          <w:highlight w:val="none"/>
        </w:rPr>
        <w:t>第六章 响应文件格式</w:t>
      </w:r>
      <w:bookmarkEnd w:id="90"/>
      <w:bookmarkEnd w:id="91"/>
    </w:p>
    <w:p w14:paraId="6CF80A53">
      <w:pPr>
        <w:pStyle w:val="16"/>
        <w:spacing w:line="360" w:lineRule="auto"/>
        <w:rPr>
          <w:rFonts w:hint="eastAsia" w:hAnsi="宋体" w:cs="宋体"/>
          <w:color w:val="auto"/>
          <w:highlight w:val="none"/>
        </w:rPr>
        <w:sectPr>
          <w:pgSz w:w="11906" w:h="16838"/>
          <w:pgMar w:top="1134" w:right="1134" w:bottom="1134" w:left="1134" w:header="720" w:footer="720" w:gutter="0"/>
          <w:pgNumType w:fmt="decimal"/>
          <w:cols w:space="720" w:num="1"/>
          <w:docGrid w:type="lines" w:linePitch="331" w:charSpace="0"/>
        </w:sectPr>
      </w:pPr>
    </w:p>
    <w:p w14:paraId="2DB3D595">
      <w:pPr>
        <w:pStyle w:val="16"/>
        <w:ind w:firstLine="551" w:firstLineChars="196"/>
        <w:jc w:val="center"/>
        <w:outlineLvl w:val="1"/>
        <w:rPr>
          <w:rFonts w:hint="eastAsia" w:hAnsi="宋体" w:cs="宋体"/>
          <w:b/>
          <w:bCs/>
          <w:color w:val="auto"/>
          <w:sz w:val="28"/>
          <w:szCs w:val="28"/>
          <w:highlight w:val="none"/>
        </w:rPr>
      </w:pPr>
      <w:bookmarkStart w:id="92" w:name="_Toc80093011"/>
      <w:bookmarkStart w:id="93" w:name="_Toc20704"/>
    </w:p>
    <w:p w14:paraId="03E53D93">
      <w:pPr>
        <w:pStyle w:val="6"/>
        <w:rPr>
          <w:rFonts w:hint="eastAsia"/>
          <w:color w:val="auto"/>
          <w:highlight w:val="none"/>
        </w:rPr>
      </w:pPr>
    </w:p>
    <w:p w14:paraId="5FFDA78A">
      <w:pPr>
        <w:pStyle w:val="16"/>
        <w:ind w:firstLine="551" w:firstLineChars="196"/>
        <w:jc w:val="center"/>
        <w:outlineLvl w:val="1"/>
        <w:rPr>
          <w:rFonts w:hint="eastAsia" w:hAnsi="宋体" w:cs="宋体"/>
          <w:b/>
          <w:bCs/>
          <w:color w:val="auto"/>
          <w:sz w:val="28"/>
          <w:szCs w:val="28"/>
          <w:highlight w:val="none"/>
        </w:rPr>
      </w:pPr>
      <w:bookmarkStart w:id="94" w:name="_Toc4172"/>
      <w:r>
        <w:rPr>
          <w:rFonts w:hint="eastAsia" w:hAnsi="宋体" w:cs="宋体"/>
          <w:b/>
          <w:bCs/>
          <w:color w:val="auto"/>
          <w:sz w:val="28"/>
          <w:szCs w:val="28"/>
          <w:highlight w:val="none"/>
        </w:rPr>
        <w:t>第一节 响应文件外层包装封面格式</w:t>
      </w:r>
      <w:bookmarkEnd w:id="92"/>
      <w:bookmarkEnd w:id="93"/>
      <w:bookmarkEnd w:id="94"/>
    </w:p>
    <w:p w14:paraId="6999C006">
      <w:pPr>
        <w:spacing w:before="120" w:beforeLines="50" w:after="120" w:afterLines="50"/>
        <w:jc w:val="center"/>
        <w:rPr>
          <w:rFonts w:hint="eastAsia" w:ascii="宋体" w:hAnsi="宋体" w:cs="宋体"/>
          <w:color w:val="auto"/>
          <w:spacing w:val="20"/>
          <w:sz w:val="44"/>
          <w:szCs w:val="44"/>
          <w:highlight w:val="none"/>
        </w:rPr>
      </w:pPr>
    </w:p>
    <w:p w14:paraId="794FAE5C">
      <w:pPr>
        <w:spacing w:before="120" w:beforeLines="50" w:after="120" w:afterLines="50"/>
        <w:jc w:val="center"/>
        <w:rPr>
          <w:rFonts w:hint="eastAsia" w:ascii="宋体" w:hAnsi="宋体" w:cs="宋体"/>
          <w:color w:val="auto"/>
          <w:spacing w:val="20"/>
          <w:sz w:val="44"/>
          <w:szCs w:val="44"/>
          <w:highlight w:val="none"/>
        </w:rPr>
      </w:pPr>
    </w:p>
    <w:p w14:paraId="768C5D20">
      <w:pPr>
        <w:spacing w:before="120" w:beforeLines="50" w:after="120" w:afterLines="50"/>
        <w:jc w:val="center"/>
        <w:rPr>
          <w:rFonts w:hint="eastAsia" w:ascii="宋体" w:hAnsi="宋体" w:cs="宋体"/>
          <w:color w:val="auto"/>
          <w:spacing w:val="20"/>
          <w:sz w:val="44"/>
          <w:szCs w:val="44"/>
          <w:highlight w:val="none"/>
        </w:rPr>
      </w:pPr>
    </w:p>
    <w:p w14:paraId="76C78DD2">
      <w:pPr>
        <w:spacing w:before="120" w:beforeLines="50" w:after="120" w:afterLines="50"/>
        <w:jc w:val="center"/>
        <w:rPr>
          <w:rFonts w:hint="eastAsia" w:ascii="宋体" w:hAnsi="宋体" w:cs="宋体"/>
          <w:color w:val="auto"/>
          <w:spacing w:val="20"/>
          <w:sz w:val="44"/>
          <w:szCs w:val="44"/>
          <w:highlight w:val="none"/>
        </w:rPr>
      </w:pPr>
    </w:p>
    <w:p w14:paraId="3CD4ABFD">
      <w:pPr>
        <w:spacing w:before="120" w:beforeLines="50" w:after="120" w:afterLines="50"/>
        <w:jc w:val="center"/>
        <w:rPr>
          <w:rFonts w:hint="eastAsia" w:ascii="宋体" w:hAnsi="宋体" w:cs="宋体"/>
          <w:color w:val="auto"/>
          <w:spacing w:val="20"/>
          <w:sz w:val="44"/>
          <w:szCs w:val="44"/>
          <w:highlight w:val="none"/>
        </w:rPr>
      </w:pPr>
      <w:r>
        <w:rPr>
          <w:rFonts w:hint="eastAsia" w:ascii="宋体" w:hAnsi="宋体" w:cs="宋体"/>
          <w:color w:val="auto"/>
          <w:spacing w:val="20"/>
          <w:sz w:val="44"/>
          <w:szCs w:val="44"/>
          <w:highlight w:val="none"/>
        </w:rPr>
        <w:t>XXXXX（项目名称）</w:t>
      </w:r>
    </w:p>
    <w:p w14:paraId="30718E38">
      <w:pPr>
        <w:spacing w:before="120" w:beforeLines="50" w:after="120" w:afterLines="50"/>
        <w:jc w:val="center"/>
        <w:rPr>
          <w:rFonts w:hint="eastAsia"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响应文件</w:t>
      </w:r>
    </w:p>
    <w:p w14:paraId="35FD849F">
      <w:pPr>
        <w:jc w:val="center"/>
        <w:rPr>
          <w:rFonts w:hint="eastAsia" w:ascii="宋体" w:hAnsi="宋体" w:cs="宋体"/>
          <w:color w:val="auto"/>
          <w:sz w:val="24"/>
          <w:highlight w:val="none"/>
        </w:rPr>
      </w:pPr>
      <w:r>
        <w:rPr>
          <w:rFonts w:hint="eastAsia" w:ascii="宋体" w:hAnsi="宋体" w:cs="宋体"/>
          <w:color w:val="auto"/>
          <w:sz w:val="24"/>
          <w:highlight w:val="none"/>
        </w:rPr>
        <w:t>（电子响应文件）</w:t>
      </w:r>
    </w:p>
    <w:tbl>
      <w:tblPr>
        <w:tblStyle w:val="24"/>
        <w:tblW w:w="8839" w:type="dxa"/>
        <w:jc w:val="center"/>
        <w:tblLayout w:type="fixed"/>
        <w:tblCellMar>
          <w:top w:w="0" w:type="dxa"/>
          <w:left w:w="108" w:type="dxa"/>
          <w:bottom w:w="0" w:type="dxa"/>
          <w:right w:w="108" w:type="dxa"/>
        </w:tblCellMar>
      </w:tblPr>
      <w:tblGrid>
        <w:gridCol w:w="2075"/>
        <w:gridCol w:w="6764"/>
      </w:tblGrid>
      <w:tr w14:paraId="77F1D711">
        <w:tblPrEx>
          <w:tblCellMar>
            <w:top w:w="0" w:type="dxa"/>
            <w:left w:w="108" w:type="dxa"/>
            <w:bottom w:w="0" w:type="dxa"/>
            <w:right w:w="108" w:type="dxa"/>
          </w:tblCellMar>
        </w:tblPrEx>
        <w:trPr>
          <w:jc w:val="center"/>
        </w:trPr>
        <w:tc>
          <w:tcPr>
            <w:tcW w:w="8839" w:type="dxa"/>
            <w:gridSpan w:val="2"/>
            <w:vAlign w:val="bottom"/>
          </w:tcPr>
          <w:p w14:paraId="64B40C8E">
            <w:pPr>
              <w:jc w:val="distribute"/>
              <w:rPr>
                <w:rFonts w:hint="eastAsia" w:ascii="宋体" w:hAnsi="宋体" w:cs="宋体"/>
                <w:color w:val="auto"/>
                <w:sz w:val="24"/>
                <w:highlight w:val="none"/>
              </w:rPr>
            </w:pPr>
          </w:p>
          <w:p w14:paraId="146D1B06">
            <w:pPr>
              <w:rPr>
                <w:rFonts w:hint="eastAsia" w:ascii="宋体" w:hAnsi="宋体" w:cs="宋体"/>
                <w:color w:val="auto"/>
                <w:sz w:val="24"/>
                <w:highlight w:val="none"/>
              </w:rPr>
            </w:pPr>
          </w:p>
          <w:p w14:paraId="2BA91AC9">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 目名称：</w:t>
            </w:r>
            <w:r>
              <w:rPr>
                <w:rFonts w:hint="eastAsia" w:ascii="宋体" w:hAnsi="宋体" w:cs="宋体"/>
                <w:color w:val="auto"/>
                <w:sz w:val="24"/>
                <w:szCs w:val="24"/>
                <w:highlight w:val="none"/>
                <w:lang w:eastAsia="zh-CN"/>
              </w:rPr>
              <w:t>广西—东盟经济技术开发区2025-2027年度预算单位车辆维修和保养服务框架协议采购</w:t>
            </w:r>
          </w:p>
          <w:p w14:paraId="5F34E06A">
            <w:pPr>
              <w:jc w:val="left"/>
              <w:rPr>
                <w:rFonts w:hint="eastAsia" w:ascii="宋体" w:hAnsi="宋体" w:cs="宋体"/>
                <w:color w:val="auto"/>
                <w:sz w:val="24"/>
                <w:highlight w:val="none"/>
              </w:rPr>
            </w:pPr>
            <w:r>
              <w:rPr>
                <w:rFonts w:hint="eastAsia" w:ascii="宋体" w:hAnsi="宋体" w:cs="宋体"/>
                <w:color w:val="auto"/>
                <w:sz w:val="24"/>
                <w:highlight w:val="none"/>
              </w:rPr>
              <w:t>采购方式：封闭式框架协议采购</w:t>
            </w:r>
          </w:p>
          <w:p w14:paraId="7F3295EF">
            <w:pPr>
              <w:spacing w:line="360" w:lineRule="auto"/>
              <w:rPr>
                <w:rFonts w:hint="eastAsia"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Cs w:val="21"/>
                <w:highlight w:val="none"/>
                <w:lang w:eastAsia="zh-CN"/>
              </w:rPr>
              <w:t>NNZC2025-K3-510013-GXJL</w:t>
            </w:r>
          </w:p>
        </w:tc>
      </w:tr>
      <w:tr w14:paraId="29575D8C">
        <w:tblPrEx>
          <w:tblCellMar>
            <w:top w:w="0" w:type="dxa"/>
            <w:left w:w="108" w:type="dxa"/>
            <w:bottom w:w="0" w:type="dxa"/>
            <w:right w:w="108" w:type="dxa"/>
          </w:tblCellMar>
        </w:tblPrEx>
        <w:trPr>
          <w:jc w:val="center"/>
        </w:trPr>
        <w:tc>
          <w:tcPr>
            <w:tcW w:w="2075" w:type="dxa"/>
            <w:vAlign w:val="bottom"/>
          </w:tcPr>
          <w:p w14:paraId="3D8B9C00">
            <w:pPr>
              <w:jc w:val="distribute"/>
              <w:rPr>
                <w:rFonts w:hint="eastAsia" w:ascii="宋体" w:hAnsi="宋体" w:cs="宋体"/>
                <w:color w:val="auto"/>
                <w:sz w:val="24"/>
                <w:highlight w:val="none"/>
              </w:rPr>
            </w:pPr>
            <w:r>
              <w:rPr>
                <w:rFonts w:hint="eastAsia" w:ascii="宋体" w:hAnsi="宋体" w:cs="宋体"/>
                <w:color w:val="auto"/>
                <w:sz w:val="24"/>
                <w:highlight w:val="none"/>
              </w:rPr>
              <w:t>所投分标：</w:t>
            </w:r>
          </w:p>
        </w:tc>
        <w:tc>
          <w:tcPr>
            <w:tcW w:w="6764" w:type="dxa"/>
            <w:tcBorders>
              <w:top w:val="single" w:color="000000" w:sz="4" w:space="0"/>
              <w:bottom w:val="single" w:color="000000" w:sz="4" w:space="0"/>
            </w:tcBorders>
            <w:vAlign w:val="bottom"/>
          </w:tcPr>
          <w:p w14:paraId="3A558AFE">
            <w:pPr>
              <w:jc w:val="left"/>
              <w:rPr>
                <w:rFonts w:hint="eastAsia" w:ascii="宋体" w:hAnsi="宋体" w:cs="宋体"/>
                <w:color w:val="auto"/>
                <w:sz w:val="24"/>
                <w:highlight w:val="none"/>
              </w:rPr>
            </w:pPr>
          </w:p>
        </w:tc>
      </w:tr>
      <w:tr w14:paraId="66ECFB42">
        <w:tblPrEx>
          <w:tblCellMar>
            <w:top w:w="0" w:type="dxa"/>
            <w:left w:w="108" w:type="dxa"/>
            <w:bottom w:w="0" w:type="dxa"/>
            <w:right w:w="108" w:type="dxa"/>
          </w:tblCellMar>
        </w:tblPrEx>
        <w:trPr>
          <w:jc w:val="center"/>
        </w:trPr>
        <w:tc>
          <w:tcPr>
            <w:tcW w:w="2075" w:type="dxa"/>
            <w:vAlign w:val="bottom"/>
          </w:tcPr>
          <w:p w14:paraId="1E23E485">
            <w:pPr>
              <w:jc w:val="distribute"/>
              <w:rPr>
                <w:rFonts w:hint="eastAsia" w:ascii="宋体" w:hAnsi="宋体" w:cs="宋体"/>
                <w:color w:val="auto"/>
                <w:sz w:val="24"/>
                <w:highlight w:val="none"/>
              </w:rPr>
            </w:pPr>
            <w:r>
              <w:rPr>
                <w:rFonts w:hint="eastAsia" w:ascii="宋体" w:hAnsi="宋体" w:cs="宋体"/>
                <w:color w:val="auto"/>
                <w:sz w:val="24"/>
                <w:highlight w:val="none"/>
              </w:rPr>
              <w:t>供应商名称：</w:t>
            </w:r>
          </w:p>
        </w:tc>
        <w:tc>
          <w:tcPr>
            <w:tcW w:w="6764" w:type="dxa"/>
            <w:tcBorders>
              <w:top w:val="single" w:color="000000" w:sz="4" w:space="0"/>
              <w:bottom w:val="single" w:color="000000" w:sz="4" w:space="0"/>
            </w:tcBorders>
            <w:vAlign w:val="bottom"/>
          </w:tcPr>
          <w:p w14:paraId="242D4CB9">
            <w:pPr>
              <w:jc w:val="left"/>
              <w:rPr>
                <w:rFonts w:hint="eastAsia" w:ascii="宋体" w:hAnsi="宋体" w:cs="宋体"/>
                <w:color w:val="auto"/>
                <w:sz w:val="24"/>
                <w:highlight w:val="none"/>
              </w:rPr>
            </w:pPr>
          </w:p>
        </w:tc>
      </w:tr>
      <w:tr w14:paraId="357E9CEE">
        <w:tblPrEx>
          <w:tblCellMar>
            <w:top w:w="0" w:type="dxa"/>
            <w:left w:w="108" w:type="dxa"/>
            <w:bottom w:w="0" w:type="dxa"/>
            <w:right w:w="108" w:type="dxa"/>
          </w:tblCellMar>
        </w:tblPrEx>
        <w:trPr>
          <w:jc w:val="center"/>
        </w:trPr>
        <w:tc>
          <w:tcPr>
            <w:tcW w:w="2075" w:type="dxa"/>
            <w:vAlign w:val="bottom"/>
          </w:tcPr>
          <w:p w14:paraId="0728F287">
            <w:pPr>
              <w:jc w:val="distribute"/>
              <w:rPr>
                <w:rFonts w:hint="eastAsia" w:ascii="宋体" w:hAnsi="宋体" w:cs="宋体"/>
                <w:color w:val="auto"/>
                <w:sz w:val="24"/>
                <w:highlight w:val="none"/>
              </w:rPr>
            </w:pPr>
            <w:r>
              <w:rPr>
                <w:rFonts w:hint="eastAsia" w:ascii="宋体" w:hAnsi="宋体" w:cs="宋体"/>
                <w:color w:val="auto"/>
                <w:sz w:val="24"/>
                <w:highlight w:val="none"/>
              </w:rPr>
              <w:t>供应商地址：</w:t>
            </w:r>
          </w:p>
        </w:tc>
        <w:tc>
          <w:tcPr>
            <w:tcW w:w="6764" w:type="dxa"/>
            <w:tcBorders>
              <w:top w:val="single" w:color="000000" w:sz="4" w:space="0"/>
              <w:bottom w:val="single" w:color="000000" w:sz="4" w:space="0"/>
            </w:tcBorders>
            <w:vAlign w:val="bottom"/>
          </w:tcPr>
          <w:p w14:paraId="2DF5DF50">
            <w:pPr>
              <w:jc w:val="left"/>
              <w:rPr>
                <w:rFonts w:hint="eastAsia" w:ascii="宋体" w:hAnsi="宋体" w:cs="宋体"/>
                <w:color w:val="auto"/>
                <w:sz w:val="24"/>
                <w:highlight w:val="none"/>
              </w:rPr>
            </w:pPr>
          </w:p>
        </w:tc>
      </w:tr>
    </w:tbl>
    <w:p w14:paraId="4C7EDBC6">
      <w:pPr>
        <w:ind w:firstLine="4200" w:firstLineChars="1750"/>
        <w:rPr>
          <w:rFonts w:hint="eastAsia" w:ascii="宋体" w:hAnsi="宋体" w:cs="宋体"/>
          <w:color w:val="auto"/>
          <w:sz w:val="24"/>
          <w:highlight w:val="none"/>
        </w:rPr>
      </w:pPr>
    </w:p>
    <w:p w14:paraId="6DD50D6F">
      <w:pPr>
        <w:ind w:firstLine="4200" w:firstLineChars="1750"/>
        <w:rPr>
          <w:rFonts w:hint="eastAsia" w:ascii="宋体" w:hAnsi="宋体" w:cs="宋体"/>
          <w:color w:val="auto"/>
          <w:sz w:val="24"/>
          <w:highlight w:val="none"/>
        </w:rPr>
      </w:pPr>
    </w:p>
    <w:p w14:paraId="103D40B6">
      <w:pPr>
        <w:ind w:firstLine="4200" w:firstLineChars="1750"/>
        <w:rPr>
          <w:rFonts w:hint="eastAsia" w:ascii="宋体" w:hAnsi="宋体" w:cs="宋体"/>
          <w:color w:val="auto"/>
          <w:sz w:val="24"/>
          <w:highlight w:val="none"/>
        </w:rPr>
      </w:pPr>
    </w:p>
    <w:p w14:paraId="08FA4BBE">
      <w:pPr>
        <w:ind w:firstLine="5880" w:firstLineChars="2450"/>
        <w:rPr>
          <w:rFonts w:hint="eastAsia" w:ascii="宋体" w:hAnsi="宋体" w:cs="宋体"/>
          <w:color w:val="auto"/>
          <w:sz w:val="24"/>
          <w:highlight w:val="none"/>
        </w:rPr>
      </w:pPr>
      <w:r>
        <w:rPr>
          <w:rFonts w:hint="eastAsia" w:ascii="宋体" w:hAnsi="宋体" w:cs="宋体"/>
          <w:color w:val="auto"/>
          <w:sz w:val="24"/>
          <w:highlight w:val="none"/>
        </w:rPr>
        <w:t>响应截止时间前不得解密</w:t>
      </w:r>
    </w:p>
    <w:p w14:paraId="1BFE757F">
      <w:pPr>
        <w:ind w:firstLine="6480" w:firstLineChars="2700"/>
        <w:rPr>
          <w:rFonts w:hint="eastAsia" w:ascii="宋体" w:hAnsi="宋体" w:cs="宋体"/>
          <w:color w:val="auto"/>
          <w:sz w:val="24"/>
          <w:highlight w:val="none"/>
        </w:rPr>
        <w:sectPr>
          <w:headerReference r:id="rId9" w:type="default"/>
          <w:footerReference r:id="rId10" w:type="default"/>
          <w:pgSz w:w="11907" w:h="16840"/>
          <w:pgMar w:top="1531" w:right="1418" w:bottom="1361" w:left="1418" w:header="720" w:footer="720" w:gutter="0"/>
          <w:pgNumType w:fmt="decimal"/>
          <w:cols w:space="720" w:num="1"/>
          <w:docGrid w:linePitch="285" w:charSpace="0"/>
        </w:sectPr>
      </w:pPr>
      <w:r>
        <w:rPr>
          <w:rFonts w:hint="eastAsia" w:ascii="宋体" w:hAnsi="宋体" w:cs="宋体"/>
          <w:color w:val="auto"/>
          <w:sz w:val="24"/>
          <w:highlight w:val="none"/>
        </w:rPr>
        <w:t>年   月   日</w:t>
      </w:r>
    </w:p>
    <w:p w14:paraId="57137528">
      <w:pPr>
        <w:pStyle w:val="16"/>
        <w:jc w:val="center"/>
        <w:outlineLvl w:val="1"/>
        <w:rPr>
          <w:rFonts w:hint="eastAsia" w:hAnsi="宋体" w:cs="宋体"/>
          <w:b/>
          <w:bCs/>
          <w:color w:val="auto"/>
          <w:sz w:val="28"/>
          <w:szCs w:val="28"/>
          <w:highlight w:val="none"/>
        </w:rPr>
      </w:pPr>
      <w:bookmarkStart w:id="95" w:name="_Toc10589"/>
      <w:bookmarkStart w:id="96" w:name="_Toc80093012"/>
    </w:p>
    <w:p w14:paraId="720839FC">
      <w:pPr>
        <w:pStyle w:val="16"/>
        <w:jc w:val="center"/>
        <w:outlineLvl w:val="1"/>
        <w:rPr>
          <w:rFonts w:hint="eastAsia" w:hAnsi="宋体" w:cs="宋体"/>
          <w:b/>
          <w:bCs/>
          <w:color w:val="auto"/>
          <w:sz w:val="28"/>
          <w:szCs w:val="28"/>
          <w:highlight w:val="none"/>
        </w:rPr>
      </w:pPr>
    </w:p>
    <w:p w14:paraId="70F0BF3F">
      <w:pPr>
        <w:pStyle w:val="16"/>
        <w:jc w:val="center"/>
        <w:outlineLvl w:val="1"/>
        <w:rPr>
          <w:rFonts w:hint="eastAsia" w:hAnsi="宋体" w:cs="宋体"/>
          <w:b/>
          <w:bCs/>
          <w:color w:val="auto"/>
          <w:sz w:val="28"/>
          <w:szCs w:val="28"/>
          <w:highlight w:val="none"/>
        </w:rPr>
      </w:pPr>
      <w:bookmarkStart w:id="97" w:name="_Toc16494"/>
      <w:r>
        <w:rPr>
          <w:rFonts w:hint="eastAsia" w:hAnsi="宋体" w:cs="宋体"/>
          <w:b/>
          <w:bCs/>
          <w:color w:val="auto"/>
          <w:sz w:val="28"/>
          <w:szCs w:val="28"/>
          <w:highlight w:val="none"/>
        </w:rPr>
        <w:t>第二节 资格证明文件格式</w:t>
      </w:r>
      <w:bookmarkEnd w:id="95"/>
      <w:bookmarkEnd w:id="96"/>
      <w:bookmarkEnd w:id="97"/>
    </w:p>
    <w:p w14:paraId="4CFF8F17">
      <w:pPr>
        <w:pStyle w:val="16"/>
        <w:spacing w:line="360" w:lineRule="auto"/>
        <w:ind w:firstLine="420"/>
        <w:rPr>
          <w:rFonts w:hint="eastAsia" w:hAnsi="宋体" w:cs="宋体"/>
          <w:color w:val="auto"/>
          <w:sz w:val="30"/>
          <w:highlight w:val="none"/>
        </w:rPr>
      </w:pPr>
    </w:p>
    <w:p w14:paraId="719FDEBD">
      <w:pPr>
        <w:snapToGrid w:val="0"/>
        <w:spacing w:before="165" w:beforeLines="50" w:after="50"/>
        <w:jc w:val="center"/>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
          <w:color w:val="auto"/>
          <w:sz w:val="32"/>
          <w:szCs w:val="32"/>
          <w:highlight w:val="none"/>
        </w:rPr>
        <w:t>电子响应文件</w:t>
      </w:r>
    </w:p>
    <w:p w14:paraId="0C4827BC">
      <w:pPr>
        <w:snapToGrid w:val="0"/>
        <w:spacing w:before="165" w:beforeLines="50" w:after="50"/>
        <w:rPr>
          <w:rFonts w:hint="eastAsia" w:ascii="宋体" w:hAnsi="宋体" w:cs="宋体"/>
          <w:color w:val="auto"/>
          <w:sz w:val="24"/>
          <w:szCs w:val="20"/>
          <w:highlight w:val="none"/>
        </w:rPr>
      </w:pPr>
    </w:p>
    <w:p w14:paraId="61F39A21">
      <w:pPr>
        <w:snapToGrid w:val="0"/>
        <w:spacing w:before="165" w:beforeLines="50" w:after="50"/>
        <w:jc w:val="center"/>
        <w:rPr>
          <w:rFonts w:hint="eastAsia"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6918A8C3">
      <w:pPr>
        <w:snapToGrid w:val="0"/>
        <w:spacing w:before="165" w:beforeLines="50" w:after="50"/>
        <w:rPr>
          <w:rFonts w:hint="eastAsia" w:ascii="宋体" w:hAnsi="宋体" w:cs="宋体"/>
          <w:bCs/>
          <w:color w:val="auto"/>
          <w:sz w:val="24"/>
          <w:szCs w:val="20"/>
          <w:highlight w:val="none"/>
        </w:rPr>
      </w:pPr>
    </w:p>
    <w:p w14:paraId="53D9AAF2">
      <w:pPr>
        <w:snapToGrid w:val="0"/>
        <w:spacing w:before="165" w:beforeLines="50" w:after="50"/>
        <w:rPr>
          <w:rFonts w:hint="eastAsia" w:ascii="宋体" w:hAnsi="宋体" w:cs="宋体"/>
          <w:bCs/>
          <w:color w:val="auto"/>
          <w:sz w:val="24"/>
          <w:szCs w:val="20"/>
          <w:highlight w:val="none"/>
        </w:rPr>
      </w:pPr>
    </w:p>
    <w:p w14:paraId="2D91DC14">
      <w:pPr>
        <w:snapToGrid w:val="0"/>
        <w:spacing w:before="165" w:beforeLines="50" w:after="50"/>
        <w:rPr>
          <w:rFonts w:hint="eastAsia" w:ascii="宋体" w:hAnsi="宋体" w:cs="宋体"/>
          <w:bCs/>
          <w:color w:val="auto"/>
          <w:sz w:val="24"/>
          <w:szCs w:val="20"/>
          <w:highlight w:val="none"/>
        </w:rPr>
      </w:pPr>
    </w:p>
    <w:p w14:paraId="7ACCCD11">
      <w:pPr>
        <w:snapToGrid w:val="0"/>
        <w:spacing w:before="165" w:beforeLines="50" w:after="50"/>
        <w:rPr>
          <w:rFonts w:hint="eastAsia" w:ascii="宋体" w:hAnsi="宋体" w:cs="宋体"/>
          <w:bCs/>
          <w:color w:val="auto"/>
          <w:sz w:val="24"/>
          <w:szCs w:val="20"/>
          <w:highlight w:val="none"/>
        </w:rPr>
      </w:pPr>
    </w:p>
    <w:p w14:paraId="1594F6D2">
      <w:pPr>
        <w:snapToGrid w:val="0"/>
        <w:spacing w:before="165" w:beforeLines="50" w:after="50"/>
        <w:rPr>
          <w:rFonts w:hint="eastAsia" w:ascii="宋体" w:hAnsi="宋体" w:cs="宋体"/>
          <w:bCs/>
          <w:color w:val="auto"/>
          <w:sz w:val="24"/>
          <w:szCs w:val="20"/>
          <w:highlight w:val="none"/>
        </w:rPr>
      </w:pPr>
    </w:p>
    <w:p w14:paraId="13FEDE08">
      <w:pPr>
        <w:snapToGrid w:val="0"/>
        <w:spacing w:before="165" w:beforeLines="50" w:after="50"/>
        <w:rPr>
          <w:rFonts w:hint="eastAsia" w:ascii="宋体" w:hAnsi="宋体" w:cs="宋体"/>
          <w:bCs/>
          <w:color w:val="auto"/>
          <w:sz w:val="24"/>
          <w:szCs w:val="20"/>
          <w:highlight w:val="none"/>
        </w:rPr>
      </w:pPr>
    </w:p>
    <w:p w14:paraId="0AA4D80C">
      <w:pPr>
        <w:snapToGrid w:val="0"/>
        <w:spacing w:before="165" w:beforeLines="50" w:after="50"/>
        <w:rPr>
          <w:rFonts w:hint="eastAsia" w:ascii="宋体" w:hAnsi="宋体" w:cs="宋体"/>
          <w:bCs/>
          <w:color w:val="auto"/>
          <w:sz w:val="24"/>
          <w:szCs w:val="20"/>
          <w:highlight w:val="none"/>
        </w:rPr>
      </w:pPr>
    </w:p>
    <w:p w14:paraId="4448E937">
      <w:pPr>
        <w:snapToGrid w:val="0"/>
        <w:spacing w:before="165" w:beforeLines="50" w:after="50"/>
        <w:ind w:firstLine="540" w:firstLineChars="225"/>
        <w:rPr>
          <w:rFonts w:hint="eastAsia" w:ascii="宋体" w:hAnsi="宋体" w:eastAsia="宋体" w:cs="宋体"/>
          <w:bCs/>
          <w:color w:val="auto"/>
          <w:sz w:val="24"/>
          <w:szCs w:val="20"/>
          <w:highlight w:val="none"/>
          <w:lang w:eastAsia="zh-CN"/>
        </w:rPr>
      </w:pPr>
      <w:r>
        <w:rPr>
          <w:rFonts w:hint="eastAsia" w:ascii="宋体" w:hAnsi="宋体" w:cs="宋体"/>
          <w:bCs/>
          <w:color w:val="auto"/>
          <w:sz w:val="24"/>
          <w:highlight w:val="none"/>
        </w:rPr>
        <w:t>项目名称：</w:t>
      </w:r>
      <w:r>
        <w:rPr>
          <w:rFonts w:hint="eastAsia" w:ascii="宋体" w:hAnsi="宋体" w:cs="宋体"/>
          <w:bCs/>
          <w:color w:val="auto"/>
          <w:sz w:val="24"/>
          <w:highlight w:val="none"/>
          <w:lang w:eastAsia="zh-CN"/>
        </w:rPr>
        <w:t>广西—东盟经济技术开发区2025-2027年度预算单位车辆维修和保养服务框架协议采购</w:t>
      </w:r>
    </w:p>
    <w:p w14:paraId="6478388C">
      <w:pPr>
        <w:snapToGrid w:val="0"/>
        <w:spacing w:before="165" w:beforeLines="50" w:after="50"/>
        <w:ind w:firstLine="540" w:firstLineChars="225"/>
        <w:rPr>
          <w:rFonts w:hint="eastAsia" w:ascii="宋体" w:hAnsi="宋体" w:cs="宋体"/>
          <w:bCs/>
          <w:color w:val="auto"/>
          <w:sz w:val="24"/>
          <w:highlight w:val="none"/>
        </w:rPr>
      </w:pPr>
    </w:p>
    <w:p w14:paraId="3BEE869A">
      <w:pPr>
        <w:snapToGrid w:val="0"/>
        <w:spacing w:before="165" w:beforeLines="50" w:after="50"/>
        <w:ind w:firstLine="540" w:firstLineChars="225"/>
        <w:rPr>
          <w:rFonts w:hint="eastAsia" w:ascii="宋体" w:hAnsi="宋体" w:cs="宋体" w:eastAsiaTheme="minorEastAsia"/>
          <w:bCs/>
          <w:color w:val="auto"/>
          <w:sz w:val="24"/>
          <w:highlight w:val="none"/>
          <w:lang w:eastAsia="zh-CN"/>
        </w:rPr>
      </w:pPr>
      <w:r>
        <w:rPr>
          <w:rFonts w:hint="eastAsia" w:ascii="宋体" w:hAnsi="宋体" w:cs="宋体"/>
          <w:bCs/>
          <w:color w:val="auto"/>
          <w:sz w:val="24"/>
          <w:highlight w:val="none"/>
        </w:rPr>
        <w:t>项目编号：</w:t>
      </w:r>
      <w:r>
        <w:rPr>
          <w:rFonts w:hint="eastAsia" w:ascii="宋体" w:hAnsi="宋体" w:cs="宋体"/>
          <w:bCs/>
          <w:color w:val="auto"/>
          <w:sz w:val="24"/>
          <w:highlight w:val="none"/>
          <w:lang w:eastAsia="zh-CN"/>
        </w:rPr>
        <w:t>NNZC2025-K3-510013-GXJL</w:t>
      </w:r>
    </w:p>
    <w:p w14:paraId="63FFAF68">
      <w:pPr>
        <w:snapToGrid w:val="0"/>
        <w:spacing w:before="165" w:beforeLines="50" w:after="50"/>
        <w:ind w:firstLine="540" w:firstLineChars="225"/>
        <w:rPr>
          <w:rFonts w:hint="eastAsia" w:ascii="宋体" w:hAnsi="宋体" w:cs="宋体"/>
          <w:bCs/>
          <w:color w:val="auto"/>
          <w:sz w:val="24"/>
          <w:szCs w:val="20"/>
          <w:highlight w:val="none"/>
        </w:rPr>
      </w:pPr>
      <w:r>
        <w:rPr>
          <w:rFonts w:hint="eastAsia" w:ascii="宋体" w:hAnsi="宋体" w:cs="宋体"/>
          <w:bCs/>
          <w:color w:val="auto"/>
          <w:sz w:val="24"/>
          <w:highlight w:val="none"/>
        </w:rPr>
        <w:t xml:space="preserve"> </w:t>
      </w:r>
    </w:p>
    <w:p w14:paraId="0396C11E">
      <w:pPr>
        <w:snapToGrid w:val="0"/>
        <w:spacing w:before="165"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所投分标：</w:t>
      </w:r>
    </w:p>
    <w:p w14:paraId="0489A421">
      <w:pPr>
        <w:pStyle w:val="11"/>
        <w:snapToGrid w:val="0"/>
        <w:spacing w:before="50" w:after="50"/>
        <w:ind w:firstLine="540" w:firstLineChars="225"/>
        <w:rPr>
          <w:rFonts w:hint="eastAsia" w:ascii="宋体" w:hAnsi="宋体" w:cs="宋体"/>
          <w:bCs/>
          <w:color w:val="auto"/>
          <w:sz w:val="24"/>
          <w:szCs w:val="24"/>
          <w:highlight w:val="none"/>
        </w:rPr>
      </w:pPr>
    </w:p>
    <w:p w14:paraId="186265B3">
      <w:pPr>
        <w:pStyle w:val="11"/>
        <w:snapToGrid w:val="0"/>
        <w:spacing w:before="50" w:after="50"/>
        <w:ind w:firstLine="540" w:firstLineChars="225"/>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供应商名称：</w:t>
      </w:r>
    </w:p>
    <w:p w14:paraId="4564F8EA">
      <w:pPr>
        <w:pStyle w:val="11"/>
        <w:snapToGrid w:val="0"/>
        <w:spacing w:before="50" w:after="50"/>
        <w:ind w:firstLine="540" w:firstLineChars="225"/>
        <w:rPr>
          <w:rFonts w:hint="eastAsia" w:ascii="宋体" w:hAnsi="宋体" w:cs="宋体"/>
          <w:bCs/>
          <w:color w:val="auto"/>
          <w:sz w:val="24"/>
          <w:szCs w:val="24"/>
          <w:highlight w:val="none"/>
        </w:rPr>
      </w:pPr>
    </w:p>
    <w:p w14:paraId="53E58CD3">
      <w:pPr>
        <w:pStyle w:val="11"/>
        <w:snapToGrid w:val="0"/>
        <w:spacing w:before="50" w:after="50"/>
        <w:ind w:firstLine="960" w:firstLineChars="400"/>
        <w:rPr>
          <w:rFonts w:hint="eastAsia" w:ascii="宋体" w:hAnsi="宋体" w:cs="宋体"/>
          <w:bCs/>
          <w:color w:val="auto"/>
          <w:sz w:val="24"/>
          <w:szCs w:val="24"/>
          <w:highlight w:val="none"/>
        </w:rPr>
      </w:pPr>
    </w:p>
    <w:p w14:paraId="61D8859A">
      <w:pPr>
        <w:snapToGrid w:val="0"/>
        <w:spacing w:before="165" w:beforeLines="50" w:after="50"/>
        <w:ind w:firstLine="645"/>
        <w:jc w:val="center"/>
        <w:rPr>
          <w:rFonts w:hint="eastAsia" w:ascii="宋体" w:hAnsi="宋体" w:cs="宋体"/>
          <w:color w:val="auto"/>
          <w:sz w:val="24"/>
          <w:highlight w:val="none"/>
        </w:rPr>
      </w:pPr>
      <w:r>
        <w:rPr>
          <w:rFonts w:hint="eastAsia" w:ascii="宋体" w:hAnsi="宋体" w:cs="宋体"/>
          <w:color w:val="auto"/>
          <w:sz w:val="24"/>
          <w:highlight w:val="none"/>
        </w:rPr>
        <w:t>年  月  日</w:t>
      </w:r>
    </w:p>
    <w:p w14:paraId="05C3491A">
      <w:pPr>
        <w:pStyle w:val="16"/>
        <w:spacing w:line="360" w:lineRule="auto"/>
        <w:ind w:firstLine="420"/>
        <w:rPr>
          <w:rFonts w:hint="eastAsia" w:hAnsi="宋体" w:cs="宋体"/>
          <w:color w:val="auto"/>
          <w:sz w:val="30"/>
          <w:highlight w:val="none"/>
        </w:rPr>
        <w:sectPr>
          <w:pgSz w:w="11906" w:h="16838"/>
          <w:pgMar w:top="1134" w:right="1134" w:bottom="1134" w:left="1134" w:header="720" w:footer="720" w:gutter="0"/>
          <w:pgNumType w:fmt="decimal"/>
          <w:cols w:space="720" w:num="1"/>
          <w:docGrid w:type="lines" w:linePitch="331" w:charSpace="0"/>
        </w:sectPr>
      </w:pPr>
    </w:p>
    <w:p w14:paraId="5D99D10B">
      <w:pPr>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4EBBA951">
      <w:pPr>
        <w:snapToGrid w:val="0"/>
        <w:spacing w:line="360" w:lineRule="auto"/>
        <w:rPr>
          <w:rFonts w:hint="eastAsia" w:ascii="宋体" w:hAnsi="宋体" w:cs="宋体"/>
          <w:color w:val="auto"/>
          <w:kern w:val="0"/>
          <w:sz w:val="24"/>
          <w:highlight w:val="none"/>
        </w:rPr>
      </w:pPr>
    </w:p>
    <w:p w14:paraId="1D1B02CF">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w:t>
      </w:r>
      <w:r>
        <w:rPr>
          <w:rFonts w:hint="eastAsia" w:ascii="宋体" w:hAnsi="宋体" w:eastAsia="宋体" w:cs="宋体"/>
          <w:color w:val="auto"/>
          <w:sz w:val="21"/>
          <w:szCs w:val="21"/>
          <w:highlight w:val="none"/>
        </w:rPr>
        <w:t>营业执照(或事业法人登记证或其他工商等登记证明材料)扫描件</w:t>
      </w:r>
      <w:r>
        <w:rPr>
          <w:rFonts w:hint="eastAsia" w:ascii="宋体" w:hAnsi="宋体" w:eastAsia="宋体" w:cs="宋体"/>
          <w:color w:val="auto"/>
          <w:kern w:val="0"/>
          <w:sz w:val="21"/>
          <w:szCs w:val="21"/>
          <w:highlight w:val="none"/>
        </w:rPr>
        <w:t>………………………………（页码）</w:t>
      </w:r>
    </w:p>
    <w:p w14:paraId="4D58BD98">
      <w:pPr>
        <w:snapToGrid w:val="0"/>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二、依法缴纳税收</w:t>
      </w:r>
      <w:r>
        <w:rPr>
          <w:rFonts w:hint="eastAsia" w:ascii="宋体" w:hAnsi="宋体" w:eastAsia="宋体" w:cs="宋体"/>
          <w:color w:val="auto"/>
          <w:kern w:val="0"/>
          <w:sz w:val="21"/>
          <w:szCs w:val="21"/>
          <w:highlight w:val="none"/>
          <w:lang w:val="en-US" w:eastAsia="zh-CN"/>
        </w:rPr>
        <w:t>的材料</w:t>
      </w:r>
      <w:r>
        <w:rPr>
          <w:rFonts w:hint="eastAsia" w:ascii="宋体" w:hAnsi="宋体" w:eastAsia="宋体" w:cs="宋体"/>
          <w:color w:val="auto"/>
          <w:kern w:val="0"/>
          <w:sz w:val="21"/>
          <w:szCs w:val="21"/>
          <w:highlight w:val="none"/>
        </w:rPr>
        <w:t>…………………………………………………………………………………（页码）</w:t>
      </w:r>
    </w:p>
    <w:p w14:paraId="51C1A2B2">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依法缴纳</w:t>
      </w:r>
      <w:r>
        <w:rPr>
          <w:rFonts w:hint="eastAsia" w:ascii="宋体" w:hAnsi="宋体" w:eastAsia="宋体" w:cs="宋体"/>
          <w:color w:val="auto"/>
          <w:kern w:val="0"/>
          <w:sz w:val="21"/>
          <w:szCs w:val="21"/>
          <w:highlight w:val="none"/>
        </w:rPr>
        <w:t>社会保障资金的材料………………………………………………………………………（页码）</w:t>
      </w:r>
    </w:p>
    <w:p w14:paraId="67FB620A">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、财务状况报告方面的材料……………………………………………………………………………（页码）</w:t>
      </w:r>
    </w:p>
    <w:p w14:paraId="4AACC6D9">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、供应商直接控股股东信息</w:t>
      </w:r>
      <w:r>
        <w:rPr>
          <w:rFonts w:hint="eastAsia" w:ascii="宋体" w:hAnsi="宋体" w:eastAsia="宋体" w:cs="宋体"/>
          <w:color w:val="auto"/>
          <w:kern w:val="0"/>
          <w:sz w:val="21"/>
          <w:szCs w:val="21"/>
          <w:highlight w:val="none"/>
        </w:rPr>
        <w:t>……………………………………………………………………………（页码）</w:t>
      </w:r>
    </w:p>
    <w:p w14:paraId="77BE29E6">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、供应商直接关联关系信息表</w:t>
      </w:r>
      <w:r>
        <w:rPr>
          <w:rFonts w:hint="eastAsia" w:ascii="宋体" w:hAnsi="宋体" w:eastAsia="宋体" w:cs="宋体"/>
          <w:color w:val="auto"/>
          <w:kern w:val="0"/>
          <w:sz w:val="21"/>
          <w:szCs w:val="21"/>
          <w:highlight w:val="none"/>
        </w:rPr>
        <w:t>…………………………………………………………………………（页码）</w:t>
      </w:r>
    </w:p>
    <w:p w14:paraId="5298A5F7">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七</w:t>
      </w:r>
      <w:r>
        <w:rPr>
          <w:rFonts w:hint="eastAsia" w:ascii="宋体" w:hAnsi="宋体" w:eastAsia="宋体" w:cs="宋体"/>
          <w:color w:val="auto"/>
          <w:kern w:val="0"/>
          <w:sz w:val="21"/>
          <w:szCs w:val="21"/>
          <w:highlight w:val="none"/>
        </w:rPr>
        <w:t>、响应资格声明…………………………………………………………………………………………（页码）</w:t>
      </w:r>
    </w:p>
    <w:p w14:paraId="7ABE327C">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八</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特定资格证明</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kern w:val="0"/>
          <w:sz w:val="21"/>
          <w:szCs w:val="21"/>
          <w:highlight w:val="none"/>
        </w:rPr>
        <w:t>……………………………………………………………………………………（页码）</w:t>
      </w:r>
    </w:p>
    <w:p w14:paraId="18F05D6B">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九</w:t>
      </w:r>
      <w:r>
        <w:rPr>
          <w:rFonts w:hint="eastAsia" w:ascii="宋体" w:hAnsi="宋体" w:eastAsia="宋体" w:cs="宋体"/>
          <w:color w:val="auto"/>
          <w:kern w:val="0"/>
          <w:sz w:val="21"/>
          <w:szCs w:val="21"/>
          <w:highlight w:val="none"/>
        </w:rPr>
        <w:t>、中小企业声明函（</w:t>
      </w:r>
      <w:r>
        <w:rPr>
          <w:rFonts w:hint="eastAsia" w:ascii="宋体" w:hAnsi="宋体" w:eastAsia="宋体" w:cs="宋体"/>
          <w:b/>
          <w:color w:val="auto"/>
          <w:kern w:val="0"/>
          <w:sz w:val="21"/>
          <w:szCs w:val="21"/>
          <w:highlight w:val="none"/>
        </w:rPr>
        <w:t>供应商应为小微企业、</w:t>
      </w:r>
      <w:r>
        <w:rPr>
          <w:rFonts w:hint="eastAsia" w:ascii="宋体" w:hAnsi="宋体" w:eastAsia="宋体" w:cs="宋体"/>
          <w:color w:val="auto"/>
          <w:kern w:val="0"/>
          <w:sz w:val="21"/>
          <w:szCs w:val="21"/>
          <w:highlight w:val="none"/>
        </w:rPr>
        <w:t>监狱企业、残疾人福利性单位）……………………（页码）</w:t>
      </w:r>
    </w:p>
    <w:p w14:paraId="63931803">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十</w:t>
      </w:r>
      <w:r>
        <w:rPr>
          <w:rFonts w:hint="eastAsia" w:ascii="宋体" w:hAnsi="宋体" w:eastAsia="宋体" w:cs="宋体"/>
          <w:color w:val="auto"/>
          <w:kern w:val="0"/>
          <w:sz w:val="21"/>
          <w:szCs w:val="21"/>
          <w:highlight w:val="none"/>
        </w:rPr>
        <w:t>、供应商认为需要提供的其他证明材料…………………………………………………………………（页码）</w:t>
      </w:r>
    </w:p>
    <w:p w14:paraId="43A1DC2C">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1"/>
          <w:szCs w:val="21"/>
          <w:highlight w:val="none"/>
        </w:rPr>
        <w:t>注：以上目录是基本格式要求，各供应商可根据自身情况进一步向下增加内容或细化。</w:t>
      </w:r>
    </w:p>
    <w:p w14:paraId="648DCEA2">
      <w:pPr>
        <w:widowControl/>
        <w:spacing w:line="360" w:lineRule="auto"/>
        <w:jc w:val="left"/>
        <w:rPr>
          <w:rFonts w:hint="eastAsia" w:ascii="宋体" w:hAnsi="宋体" w:eastAsia="宋体" w:cs="宋体"/>
          <w:color w:val="auto"/>
          <w:sz w:val="30"/>
          <w:szCs w:val="20"/>
          <w:highlight w:val="none"/>
        </w:rPr>
        <w:sectPr>
          <w:pgSz w:w="11906" w:h="16838"/>
          <w:pgMar w:top="1134" w:right="1134" w:bottom="1134" w:left="1134" w:header="720" w:footer="720" w:gutter="0"/>
          <w:cols w:space="720" w:num="1"/>
          <w:docGrid w:type="lines" w:linePitch="331" w:charSpace="0"/>
        </w:sectPr>
      </w:pPr>
    </w:p>
    <w:p w14:paraId="2DE720A3">
      <w:pPr>
        <w:spacing w:line="360" w:lineRule="auto"/>
        <w:jc w:val="center"/>
        <w:rPr>
          <w:rFonts w:hint="eastAsia" w:ascii="仿宋_GB2312" w:hAnsi="仿宋" w:eastAsia="仿宋_GB2312" w:cs="仿宋_GB2312"/>
          <w:b/>
          <w:color w:val="auto"/>
          <w:kern w:val="0"/>
          <w:sz w:val="30"/>
          <w:szCs w:val="30"/>
          <w:highlight w:val="none"/>
          <w:lang w:val="zh-CN"/>
        </w:rPr>
      </w:pPr>
    </w:p>
    <w:p w14:paraId="47C027DB">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kern w:val="0"/>
          <w:sz w:val="30"/>
          <w:szCs w:val="30"/>
          <w:highlight w:val="none"/>
          <w:lang w:val="zh-CN"/>
        </w:rPr>
        <w:t>一、</w:t>
      </w:r>
      <w:r>
        <w:rPr>
          <w:rFonts w:hint="eastAsia" w:ascii="宋体" w:hAnsi="宋体" w:eastAsia="宋体" w:cs="宋体"/>
          <w:b/>
          <w:color w:val="auto"/>
          <w:sz w:val="30"/>
          <w:szCs w:val="30"/>
          <w:highlight w:val="none"/>
        </w:rPr>
        <w:t>营业执照(或事业法人登记证或其他工商等登记证明材料)扫描件</w:t>
      </w:r>
    </w:p>
    <w:p w14:paraId="2D24AC25">
      <w:pPr>
        <w:rPr>
          <w:rFonts w:hint="eastAsia" w:ascii="宋体" w:hAnsi="宋体" w:eastAsia="宋体" w:cs="宋体"/>
          <w:color w:val="auto"/>
          <w:highlight w:val="none"/>
        </w:rPr>
      </w:pPr>
    </w:p>
    <w:p w14:paraId="41D40790">
      <w:pPr>
        <w:spacing w:line="360" w:lineRule="auto"/>
        <w:rPr>
          <w:rFonts w:hint="eastAsia" w:ascii="宋体" w:hAnsi="宋体" w:eastAsia="宋体" w:cs="宋体"/>
          <w:b/>
          <w:color w:val="auto"/>
          <w:sz w:val="30"/>
          <w:szCs w:val="30"/>
          <w:highlight w:val="none"/>
        </w:rPr>
      </w:pPr>
    </w:p>
    <w:p w14:paraId="5AB19F56">
      <w:pPr>
        <w:snapToGrid w:val="0"/>
        <w:spacing w:line="360" w:lineRule="auto"/>
        <w:ind w:firstLine="576"/>
        <w:jc w:val="center"/>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b w:val="0"/>
          <w:bCs/>
          <w:color w:val="auto"/>
          <w:kern w:val="0"/>
          <w:sz w:val="24"/>
          <w:szCs w:val="24"/>
          <w:highlight w:val="none"/>
          <w:lang w:val="zh-CN"/>
        </w:rPr>
        <w:t>供应商名称(电子签章)：</w:t>
      </w:r>
      <w:r>
        <w:rPr>
          <w:rFonts w:hint="eastAsia" w:ascii="宋体" w:hAnsi="宋体" w:eastAsia="宋体" w:cs="宋体"/>
          <w:b w:val="0"/>
          <w:bCs/>
          <w:color w:val="auto"/>
          <w:kern w:val="0"/>
          <w:sz w:val="24"/>
          <w:szCs w:val="24"/>
          <w:highlight w:val="none"/>
          <w:u w:val="single"/>
          <w:lang w:val="zh-CN"/>
        </w:rPr>
        <w:t xml:space="preserve">  </w:t>
      </w:r>
      <w:r>
        <w:rPr>
          <w:rFonts w:hint="eastAsia" w:ascii="宋体" w:hAnsi="宋体" w:eastAsia="宋体" w:cs="宋体"/>
          <w:b/>
          <w:color w:val="auto"/>
          <w:kern w:val="0"/>
          <w:sz w:val="24"/>
          <w:szCs w:val="24"/>
          <w:highlight w:val="none"/>
          <w:u w:val="single"/>
          <w:lang w:val="zh-CN"/>
        </w:rPr>
        <w:t xml:space="preserve">                    </w:t>
      </w:r>
      <w:r>
        <w:rPr>
          <w:rFonts w:hint="eastAsia" w:ascii="宋体" w:hAnsi="宋体" w:eastAsia="宋体" w:cs="宋体"/>
          <w:b/>
          <w:color w:val="auto"/>
          <w:kern w:val="0"/>
          <w:sz w:val="24"/>
          <w:szCs w:val="24"/>
          <w:highlight w:val="none"/>
          <w:lang w:val="zh-CN"/>
        </w:rPr>
        <w:t xml:space="preserve">        </w:t>
      </w:r>
    </w:p>
    <w:p w14:paraId="63B6DBB1">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kern w:val="0"/>
          <w:sz w:val="24"/>
          <w:szCs w:val="24"/>
          <w:highlight w:val="none"/>
          <w:lang w:val="zh-CN"/>
        </w:rPr>
        <w:t xml:space="preserve">                   日期：  年  月</w:t>
      </w:r>
    </w:p>
    <w:p w14:paraId="73C4268B">
      <w:pPr>
        <w:spacing w:line="360" w:lineRule="auto"/>
        <w:jc w:val="center"/>
        <w:rPr>
          <w:rFonts w:hint="eastAsia" w:ascii="宋体" w:hAnsi="宋体" w:eastAsia="宋体" w:cs="宋体"/>
          <w:b/>
          <w:color w:val="auto"/>
          <w:sz w:val="30"/>
          <w:szCs w:val="30"/>
          <w:highlight w:val="none"/>
        </w:rPr>
      </w:pPr>
    </w:p>
    <w:p w14:paraId="466E7D93">
      <w:pPr>
        <w:pStyle w:val="6"/>
        <w:rPr>
          <w:rFonts w:hint="eastAsia" w:ascii="宋体" w:hAnsi="宋体" w:eastAsia="宋体" w:cs="宋体"/>
          <w:color w:val="auto"/>
          <w:highlight w:val="none"/>
        </w:rPr>
      </w:pPr>
    </w:p>
    <w:p w14:paraId="327C8F80">
      <w:pPr>
        <w:rPr>
          <w:rFonts w:hint="eastAsia"/>
          <w:color w:val="auto"/>
          <w:highlight w:val="none"/>
        </w:rPr>
      </w:pPr>
    </w:p>
    <w:p w14:paraId="4D03058B">
      <w:pPr>
        <w:rPr>
          <w:rFonts w:hint="eastAsia" w:ascii="宋体" w:hAnsi="宋体" w:eastAsia="宋体" w:cs="宋体"/>
          <w:color w:val="auto"/>
          <w:highlight w:val="none"/>
        </w:rPr>
      </w:pPr>
    </w:p>
    <w:p w14:paraId="0B3A0721">
      <w:pPr>
        <w:snapToGrid w:val="0"/>
        <w:spacing w:line="360" w:lineRule="auto"/>
        <w:ind w:right="480"/>
        <w:jc w:val="left"/>
        <w:rPr>
          <w:rFonts w:hint="eastAsia" w:ascii="宋体" w:hAnsi="宋体" w:eastAsia="宋体" w:cs="宋体"/>
          <w:b/>
          <w:color w:val="auto"/>
          <w:kern w:val="0"/>
          <w:sz w:val="30"/>
          <w:szCs w:val="30"/>
          <w:highlight w:val="none"/>
        </w:rPr>
      </w:pPr>
      <w:r>
        <w:rPr>
          <w:rFonts w:hint="eastAsia" w:ascii="宋体" w:hAnsi="宋体" w:eastAsia="宋体" w:cs="宋体"/>
          <w:b/>
          <w:color w:val="auto"/>
          <w:sz w:val="30"/>
          <w:szCs w:val="30"/>
          <w:highlight w:val="none"/>
        </w:rPr>
        <w:t>二、</w:t>
      </w:r>
      <w:r>
        <w:rPr>
          <w:rFonts w:hint="eastAsia" w:ascii="宋体" w:hAnsi="宋体" w:eastAsia="宋体" w:cs="宋体"/>
          <w:b/>
          <w:color w:val="auto"/>
          <w:kern w:val="0"/>
          <w:sz w:val="30"/>
          <w:szCs w:val="30"/>
          <w:highlight w:val="none"/>
        </w:rPr>
        <w:t>依法缴纳税收的材料</w:t>
      </w:r>
    </w:p>
    <w:p w14:paraId="5305A3A0">
      <w:pPr>
        <w:snapToGrid w:val="0"/>
        <w:spacing w:line="360" w:lineRule="auto"/>
        <w:ind w:firstLine="480" w:firstLineChars="200"/>
        <w:rPr>
          <w:rFonts w:hint="eastAsia" w:ascii="宋体" w:hAnsi="宋体" w:eastAsia="宋体" w:cs="宋体"/>
          <w:color w:val="auto"/>
          <w:sz w:val="24"/>
          <w:szCs w:val="24"/>
          <w:highlight w:val="none"/>
        </w:rPr>
      </w:pPr>
    </w:p>
    <w:p w14:paraId="049C1A87">
      <w:pPr>
        <w:snapToGrid w:val="0"/>
        <w:spacing w:line="360" w:lineRule="auto"/>
        <w:rPr>
          <w:rFonts w:hint="eastAsia" w:ascii="宋体" w:hAnsi="宋体" w:eastAsia="宋体" w:cs="宋体"/>
          <w:b w:val="0"/>
          <w:bCs w:val="0"/>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p>
    <w:p w14:paraId="2CE10AD3">
      <w:pPr>
        <w:snapToGrid w:val="0"/>
        <w:spacing w:line="360" w:lineRule="auto"/>
        <w:ind w:firstLine="5040" w:firstLineChars="2100"/>
        <w:rPr>
          <w:rFonts w:hint="eastAsia" w:ascii="宋体" w:hAnsi="宋体" w:eastAsia="宋体" w:cs="宋体"/>
          <w:b/>
          <w:color w:val="auto"/>
          <w:kern w:val="0"/>
          <w:sz w:val="24"/>
          <w:szCs w:val="24"/>
          <w:highlight w:val="none"/>
        </w:rPr>
      </w:pPr>
      <w:r>
        <w:rPr>
          <w:rFonts w:hint="eastAsia" w:ascii="宋体" w:hAnsi="宋体" w:eastAsia="宋体" w:cs="宋体"/>
          <w:b w:val="0"/>
          <w:bCs w:val="0"/>
          <w:color w:val="auto"/>
          <w:kern w:val="0"/>
          <w:sz w:val="24"/>
          <w:szCs w:val="24"/>
          <w:highlight w:val="none"/>
          <w:lang w:val="zh-CN"/>
        </w:rPr>
        <w:t xml:space="preserve"> 供应商名称(电子签章)：</w:t>
      </w:r>
      <w:r>
        <w:rPr>
          <w:rFonts w:hint="eastAsia" w:ascii="宋体" w:hAnsi="宋体" w:eastAsia="宋体" w:cs="宋体"/>
          <w:b w:val="0"/>
          <w:bCs w:val="0"/>
          <w:color w:val="auto"/>
          <w:kern w:val="0"/>
          <w:sz w:val="24"/>
          <w:szCs w:val="24"/>
          <w:highlight w:val="none"/>
          <w:u w:val="single"/>
          <w:lang w:val="zh-CN"/>
        </w:rPr>
        <w:t xml:space="preserve"> </w:t>
      </w:r>
      <w:r>
        <w:rPr>
          <w:rFonts w:hint="eastAsia" w:ascii="宋体" w:hAnsi="宋体" w:eastAsia="宋体" w:cs="宋体"/>
          <w:b/>
          <w:color w:val="auto"/>
          <w:kern w:val="0"/>
          <w:sz w:val="24"/>
          <w:szCs w:val="24"/>
          <w:highlight w:val="none"/>
          <w:u w:val="single"/>
          <w:lang w:val="zh-CN"/>
        </w:rPr>
        <w:t xml:space="preserve">         </w:t>
      </w:r>
    </w:p>
    <w:p w14:paraId="31EEFBA6">
      <w:pPr>
        <w:snapToGrid w:val="0"/>
        <w:spacing w:line="360" w:lineRule="auto"/>
        <w:ind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3DDCD90F">
      <w:pPr>
        <w:snapToGrid w:val="0"/>
        <w:spacing w:line="360" w:lineRule="auto"/>
        <w:ind w:right="480"/>
        <w:rPr>
          <w:rFonts w:hint="eastAsia" w:ascii="宋体" w:hAnsi="宋体" w:eastAsia="宋体" w:cs="宋体"/>
          <w:b/>
          <w:color w:val="auto"/>
          <w:sz w:val="30"/>
          <w:szCs w:val="30"/>
          <w:highlight w:val="none"/>
        </w:rPr>
      </w:pPr>
    </w:p>
    <w:p w14:paraId="03735176">
      <w:pPr>
        <w:snapToGrid w:val="0"/>
        <w:spacing w:line="360" w:lineRule="auto"/>
        <w:ind w:right="480"/>
        <w:jc w:val="left"/>
        <w:rPr>
          <w:rFonts w:hint="eastAsia" w:ascii="宋体" w:hAnsi="宋体" w:eastAsia="宋体" w:cs="宋体"/>
          <w:b/>
          <w:color w:val="auto"/>
          <w:sz w:val="30"/>
          <w:szCs w:val="30"/>
          <w:highlight w:val="none"/>
        </w:rPr>
      </w:pPr>
    </w:p>
    <w:p w14:paraId="0C64AB39">
      <w:pPr>
        <w:pStyle w:val="13"/>
        <w:rPr>
          <w:rFonts w:hint="eastAsia" w:ascii="宋体" w:hAnsi="宋体" w:eastAsia="宋体" w:cs="宋体"/>
          <w:b/>
          <w:color w:val="auto"/>
          <w:sz w:val="30"/>
          <w:szCs w:val="30"/>
          <w:highlight w:val="none"/>
        </w:rPr>
      </w:pPr>
    </w:p>
    <w:p w14:paraId="51BD700F">
      <w:pPr>
        <w:rPr>
          <w:rFonts w:hint="eastAsia"/>
          <w:color w:val="auto"/>
          <w:highlight w:val="none"/>
        </w:rPr>
      </w:pPr>
    </w:p>
    <w:p w14:paraId="7DE817E9">
      <w:pPr>
        <w:snapToGrid w:val="0"/>
        <w:spacing w:line="360" w:lineRule="auto"/>
        <w:ind w:right="480"/>
        <w:jc w:val="left"/>
        <w:rPr>
          <w:rFonts w:hint="eastAsia" w:ascii="宋体" w:hAnsi="宋体" w:eastAsia="宋体" w:cs="宋体"/>
          <w:b/>
          <w:color w:val="auto"/>
          <w:kern w:val="0"/>
          <w:sz w:val="30"/>
          <w:szCs w:val="30"/>
          <w:highlight w:val="none"/>
        </w:rPr>
      </w:pPr>
      <w:r>
        <w:rPr>
          <w:rFonts w:hint="eastAsia" w:ascii="宋体" w:hAnsi="宋体" w:eastAsia="宋体" w:cs="宋体"/>
          <w:b/>
          <w:color w:val="auto"/>
          <w:sz w:val="30"/>
          <w:szCs w:val="30"/>
          <w:highlight w:val="none"/>
          <w:lang w:val="en-US" w:eastAsia="zh-CN"/>
        </w:rPr>
        <w:t>三</w:t>
      </w:r>
      <w:r>
        <w:rPr>
          <w:rFonts w:hint="eastAsia" w:ascii="宋体" w:hAnsi="宋体" w:eastAsia="宋体" w:cs="宋体"/>
          <w:b/>
          <w:color w:val="auto"/>
          <w:sz w:val="30"/>
          <w:szCs w:val="30"/>
          <w:highlight w:val="none"/>
        </w:rPr>
        <w:t>、依法缴纳社会保障资金的材料</w:t>
      </w:r>
    </w:p>
    <w:p w14:paraId="751B8202">
      <w:pPr>
        <w:snapToGrid w:val="0"/>
        <w:spacing w:line="360" w:lineRule="auto"/>
        <w:ind w:firstLine="480" w:firstLineChars="200"/>
        <w:rPr>
          <w:rFonts w:hint="eastAsia" w:ascii="宋体" w:hAnsi="宋体" w:eastAsia="宋体" w:cs="宋体"/>
          <w:color w:val="auto"/>
          <w:sz w:val="24"/>
          <w:szCs w:val="24"/>
          <w:highlight w:val="none"/>
        </w:rPr>
      </w:pPr>
    </w:p>
    <w:p w14:paraId="7D56F23F">
      <w:pPr>
        <w:snapToGrid w:val="0"/>
        <w:spacing w:line="360" w:lineRule="auto"/>
        <w:rPr>
          <w:rFonts w:hint="eastAsia" w:ascii="宋体" w:hAnsi="宋体" w:eastAsia="宋体" w:cs="宋体"/>
          <w:b w:val="0"/>
          <w:bCs w:val="0"/>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p>
    <w:p w14:paraId="171C3F11">
      <w:pPr>
        <w:snapToGrid w:val="0"/>
        <w:spacing w:line="360" w:lineRule="auto"/>
        <w:ind w:firstLine="5040" w:firstLineChars="2100"/>
        <w:rPr>
          <w:rFonts w:hint="eastAsia" w:ascii="宋体" w:hAnsi="宋体" w:eastAsia="宋体" w:cs="宋体"/>
          <w:b/>
          <w:color w:val="auto"/>
          <w:kern w:val="0"/>
          <w:sz w:val="24"/>
          <w:szCs w:val="24"/>
          <w:highlight w:val="none"/>
        </w:rPr>
      </w:pPr>
      <w:r>
        <w:rPr>
          <w:rFonts w:hint="eastAsia" w:ascii="宋体" w:hAnsi="宋体" w:eastAsia="宋体" w:cs="宋体"/>
          <w:b w:val="0"/>
          <w:bCs w:val="0"/>
          <w:color w:val="auto"/>
          <w:kern w:val="0"/>
          <w:sz w:val="24"/>
          <w:szCs w:val="24"/>
          <w:highlight w:val="none"/>
          <w:lang w:val="zh-CN"/>
        </w:rPr>
        <w:t xml:space="preserve"> 供应商名称(电子签章)：</w:t>
      </w:r>
      <w:r>
        <w:rPr>
          <w:rFonts w:hint="eastAsia" w:ascii="宋体" w:hAnsi="宋体" w:eastAsia="宋体" w:cs="宋体"/>
          <w:b w:val="0"/>
          <w:bCs w:val="0"/>
          <w:color w:val="auto"/>
          <w:kern w:val="0"/>
          <w:sz w:val="24"/>
          <w:szCs w:val="24"/>
          <w:highlight w:val="none"/>
          <w:u w:val="single"/>
          <w:lang w:val="zh-CN"/>
        </w:rPr>
        <w:t xml:space="preserve"> </w:t>
      </w:r>
      <w:r>
        <w:rPr>
          <w:rFonts w:hint="eastAsia" w:ascii="宋体" w:hAnsi="宋体" w:eastAsia="宋体" w:cs="宋体"/>
          <w:b/>
          <w:color w:val="auto"/>
          <w:kern w:val="0"/>
          <w:sz w:val="24"/>
          <w:szCs w:val="24"/>
          <w:highlight w:val="none"/>
          <w:u w:val="single"/>
          <w:lang w:val="zh-CN"/>
        </w:rPr>
        <w:t xml:space="preserve">         </w:t>
      </w:r>
    </w:p>
    <w:p w14:paraId="6E1DF41A">
      <w:pPr>
        <w:snapToGrid w:val="0"/>
        <w:spacing w:line="360" w:lineRule="auto"/>
        <w:ind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50171B62">
      <w:pPr>
        <w:snapToGrid w:val="0"/>
        <w:spacing w:line="360" w:lineRule="auto"/>
        <w:ind w:right="480"/>
        <w:rPr>
          <w:rFonts w:hint="eastAsia" w:ascii="宋体" w:hAnsi="宋体" w:eastAsia="宋体" w:cs="宋体"/>
          <w:b/>
          <w:color w:val="auto"/>
          <w:sz w:val="30"/>
          <w:szCs w:val="30"/>
          <w:highlight w:val="none"/>
          <w:lang w:val="en-US" w:eastAsia="zh-CN"/>
        </w:rPr>
      </w:pPr>
    </w:p>
    <w:p w14:paraId="5A319BF0">
      <w:pPr>
        <w:snapToGrid w:val="0"/>
        <w:spacing w:line="360" w:lineRule="auto"/>
        <w:ind w:right="480"/>
        <w:rPr>
          <w:rFonts w:hint="eastAsia" w:ascii="宋体" w:hAnsi="宋体" w:eastAsia="宋体" w:cs="宋体"/>
          <w:b/>
          <w:color w:val="auto"/>
          <w:sz w:val="30"/>
          <w:szCs w:val="30"/>
          <w:highlight w:val="none"/>
        </w:rPr>
      </w:pPr>
    </w:p>
    <w:p w14:paraId="59F136A1">
      <w:pPr>
        <w:pStyle w:val="13"/>
        <w:rPr>
          <w:rFonts w:hint="eastAsia"/>
          <w:color w:val="auto"/>
          <w:highlight w:val="none"/>
        </w:rPr>
      </w:pPr>
    </w:p>
    <w:p w14:paraId="129E9919">
      <w:pPr>
        <w:snapToGrid w:val="0"/>
        <w:spacing w:line="360" w:lineRule="auto"/>
        <w:ind w:right="480"/>
        <w:rPr>
          <w:rFonts w:hint="eastAsia" w:ascii="宋体" w:hAnsi="宋体" w:eastAsia="宋体" w:cs="宋体"/>
          <w:b/>
          <w:color w:val="auto"/>
          <w:kern w:val="0"/>
          <w:sz w:val="30"/>
          <w:szCs w:val="30"/>
          <w:highlight w:val="none"/>
        </w:rPr>
      </w:pP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rPr>
        <w:t>、</w:t>
      </w:r>
      <w:r>
        <w:rPr>
          <w:rFonts w:hint="eastAsia" w:ascii="宋体" w:hAnsi="宋体" w:eastAsia="宋体" w:cs="宋体"/>
          <w:b/>
          <w:color w:val="auto"/>
          <w:kern w:val="0"/>
          <w:sz w:val="30"/>
          <w:szCs w:val="30"/>
          <w:highlight w:val="none"/>
        </w:rPr>
        <w:t>财务状况报告方面的材料</w:t>
      </w:r>
    </w:p>
    <w:p w14:paraId="54F1E94E">
      <w:pPr>
        <w:snapToGrid w:val="0"/>
        <w:spacing w:line="360" w:lineRule="auto"/>
        <w:ind w:firstLine="480" w:firstLineChars="200"/>
        <w:rPr>
          <w:rFonts w:hint="eastAsia" w:ascii="宋体" w:hAnsi="宋体" w:eastAsia="宋体" w:cs="宋体"/>
          <w:color w:val="auto"/>
          <w:sz w:val="24"/>
          <w:szCs w:val="24"/>
          <w:highlight w:val="none"/>
        </w:rPr>
      </w:pPr>
    </w:p>
    <w:p w14:paraId="2A3A3ABD">
      <w:pPr>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p>
    <w:p w14:paraId="4C0B2B94">
      <w:pPr>
        <w:snapToGrid w:val="0"/>
        <w:spacing w:line="360" w:lineRule="auto"/>
        <w:ind w:firstLine="5040" w:firstLineChars="21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b w:val="0"/>
          <w:bCs/>
          <w:color w:val="auto"/>
          <w:kern w:val="0"/>
          <w:sz w:val="24"/>
          <w:szCs w:val="24"/>
          <w:highlight w:val="none"/>
          <w:lang w:val="zh-CN"/>
        </w:rPr>
        <w:t>供应商名称(电子签章)：</w:t>
      </w:r>
      <w:r>
        <w:rPr>
          <w:rFonts w:hint="eastAsia" w:ascii="宋体" w:hAnsi="宋体" w:eastAsia="宋体" w:cs="宋体"/>
          <w:b w:val="0"/>
          <w:bCs/>
          <w:color w:val="auto"/>
          <w:kern w:val="0"/>
          <w:sz w:val="24"/>
          <w:szCs w:val="24"/>
          <w:highlight w:val="none"/>
          <w:u w:val="single"/>
          <w:lang w:val="zh-CN"/>
        </w:rPr>
        <w:t xml:space="preserve">     </w:t>
      </w:r>
      <w:r>
        <w:rPr>
          <w:rFonts w:hint="eastAsia" w:ascii="宋体" w:hAnsi="宋体" w:eastAsia="宋体" w:cs="宋体"/>
          <w:b/>
          <w:color w:val="auto"/>
          <w:kern w:val="0"/>
          <w:sz w:val="24"/>
          <w:szCs w:val="24"/>
          <w:highlight w:val="none"/>
          <w:u w:val="single"/>
          <w:lang w:val="zh-CN"/>
        </w:rPr>
        <w:t xml:space="preserve">      </w:t>
      </w:r>
    </w:p>
    <w:p w14:paraId="2522E75C">
      <w:pPr>
        <w:snapToGrid w:val="0"/>
        <w:spacing w:line="360" w:lineRule="auto"/>
        <w:ind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5D799938">
      <w:pPr>
        <w:snapToGrid w:val="0"/>
        <w:spacing w:line="360" w:lineRule="auto"/>
        <w:ind w:firstLine="5160" w:firstLineChars="2150"/>
        <w:rPr>
          <w:rFonts w:hint="eastAsia" w:ascii="宋体" w:hAnsi="宋体" w:eastAsia="宋体" w:cs="宋体"/>
          <w:color w:val="auto"/>
          <w:kern w:val="0"/>
          <w:sz w:val="24"/>
          <w:szCs w:val="24"/>
          <w:highlight w:val="none"/>
          <w:lang w:val="zh-CN"/>
        </w:rPr>
      </w:pPr>
    </w:p>
    <w:p w14:paraId="3F3F3D68">
      <w:pPr>
        <w:snapToGrid w:val="0"/>
        <w:spacing w:before="50" w:after="165" w:afterLines="50" w:line="360" w:lineRule="auto"/>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五</w:t>
      </w:r>
      <w:r>
        <w:rPr>
          <w:rFonts w:hint="eastAsia" w:ascii="宋体" w:hAnsi="宋体" w:eastAsia="宋体" w:cs="宋体"/>
          <w:b/>
          <w:color w:val="auto"/>
          <w:kern w:val="0"/>
          <w:sz w:val="30"/>
          <w:szCs w:val="30"/>
          <w:highlight w:val="none"/>
        </w:rPr>
        <w:t>、供应商直接控股股东信息表</w:t>
      </w:r>
    </w:p>
    <w:tbl>
      <w:tblPr>
        <w:tblStyle w:val="24"/>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D7C81B3">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C81D3F">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3509C0">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4D7515">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E42AD2">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身份证号码或者</w:t>
            </w:r>
          </w:p>
          <w:p w14:paraId="5E3B2459">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A602D6">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1AA68C3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57CA04">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E97D4E">
            <w:pPr>
              <w:spacing w:line="360" w:lineRule="auto"/>
              <w:jc w:val="center"/>
              <w:rPr>
                <w:rFonts w:hint="eastAsia"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809AFF">
            <w:pPr>
              <w:spacing w:line="360" w:lineRule="auto"/>
              <w:jc w:val="center"/>
              <w:rPr>
                <w:rFonts w:hint="eastAsia" w:ascii="宋体" w:hAnsi="宋体" w:eastAsia="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EC0CAE">
            <w:pPr>
              <w:spacing w:line="360" w:lineRule="auto"/>
              <w:jc w:val="center"/>
              <w:rPr>
                <w:rFonts w:hint="eastAsia" w:ascii="宋体" w:hAnsi="宋体" w:eastAsia="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BD3A37">
            <w:pPr>
              <w:spacing w:line="360" w:lineRule="auto"/>
              <w:jc w:val="center"/>
              <w:rPr>
                <w:rFonts w:hint="eastAsia" w:ascii="宋体" w:hAnsi="宋体" w:eastAsia="宋体" w:cs="宋体"/>
                <w:color w:val="auto"/>
                <w:kern w:val="0"/>
                <w:sz w:val="24"/>
                <w:szCs w:val="24"/>
                <w:highlight w:val="none"/>
              </w:rPr>
            </w:pPr>
          </w:p>
        </w:tc>
      </w:tr>
      <w:tr w14:paraId="736C8E4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83CB14">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547F30">
            <w:pPr>
              <w:spacing w:line="360" w:lineRule="auto"/>
              <w:jc w:val="center"/>
              <w:rPr>
                <w:rFonts w:hint="eastAsia"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F398DB">
            <w:pPr>
              <w:spacing w:line="360" w:lineRule="auto"/>
              <w:jc w:val="center"/>
              <w:rPr>
                <w:rFonts w:hint="eastAsia" w:ascii="宋体" w:hAnsi="宋体" w:eastAsia="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915089">
            <w:pPr>
              <w:spacing w:line="360" w:lineRule="auto"/>
              <w:jc w:val="center"/>
              <w:rPr>
                <w:rFonts w:hint="eastAsia" w:ascii="宋体" w:hAnsi="宋体" w:eastAsia="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E2FD64">
            <w:pPr>
              <w:spacing w:line="360" w:lineRule="auto"/>
              <w:jc w:val="center"/>
              <w:rPr>
                <w:rFonts w:hint="eastAsia" w:ascii="宋体" w:hAnsi="宋体" w:eastAsia="宋体" w:cs="宋体"/>
                <w:color w:val="auto"/>
                <w:kern w:val="0"/>
                <w:sz w:val="24"/>
                <w:szCs w:val="24"/>
                <w:highlight w:val="none"/>
              </w:rPr>
            </w:pPr>
          </w:p>
        </w:tc>
      </w:tr>
      <w:tr w14:paraId="1F6237D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847BE6">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0B0FBA">
            <w:pPr>
              <w:spacing w:line="360" w:lineRule="auto"/>
              <w:jc w:val="center"/>
              <w:rPr>
                <w:rFonts w:hint="eastAsia"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F9C80D">
            <w:pPr>
              <w:spacing w:line="360" w:lineRule="auto"/>
              <w:jc w:val="center"/>
              <w:rPr>
                <w:rFonts w:hint="eastAsia" w:ascii="宋体" w:hAnsi="宋体" w:eastAsia="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5847BB">
            <w:pPr>
              <w:spacing w:line="360" w:lineRule="auto"/>
              <w:jc w:val="center"/>
              <w:rPr>
                <w:rFonts w:hint="eastAsia" w:ascii="宋体" w:hAnsi="宋体" w:eastAsia="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D08533">
            <w:pPr>
              <w:spacing w:line="360" w:lineRule="auto"/>
              <w:jc w:val="center"/>
              <w:rPr>
                <w:rFonts w:hint="eastAsia" w:ascii="宋体" w:hAnsi="宋体" w:eastAsia="宋体" w:cs="宋体"/>
                <w:color w:val="auto"/>
                <w:kern w:val="0"/>
                <w:sz w:val="24"/>
                <w:szCs w:val="24"/>
                <w:highlight w:val="none"/>
              </w:rPr>
            </w:pPr>
          </w:p>
        </w:tc>
      </w:tr>
      <w:tr w14:paraId="35AC545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DA19CB">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A9F7AC">
            <w:pPr>
              <w:spacing w:line="360" w:lineRule="auto"/>
              <w:jc w:val="center"/>
              <w:rPr>
                <w:rFonts w:hint="eastAsia"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B60BEB">
            <w:pPr>
              <w:spacing w:line="360" w:lineRule="auto"/>
              <w:jc w:val="center"/>
              <w:rPr>
                <w:rFonts w:hint="eastAsia" w:ascii="宋体" w:hAnsi="宋体" w:eastAsia="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6ADCEE">
            <w:pPr>
              <w:spacing w:line="360" w:lineRule="auto"/>
              <w:jc w:val="center"/>
              <w:rPr>
                <w:rFonts w:hint="eastAsia" w:ascii="宋体" w:hAnsi="宋体" w:eastAsia="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81B841">
            <w:pPr>
              <w:spacing w:line="360" w:lineRule="auto"/>
              <w:jc w:val="center"/>
              <w:rPr>
                <w:rFonts w:hint="eastAsia" w:ascii="宋体" w:hAnsi="宋体" w:eastAsia="宋体" w:cs="宋体"/>
                <w:color w:val="auto"/>
                <w:kern w:val="0"/>
                <w:sz w:val="24"/>
                <w:szCs w:val="24"/>
                <w:highlight w:val="none"/>
              </w:rPr>
            </w:pPr>
          </w:p>
        </w:tc>
      </w:tr>
    </w:tbl>
    <w:p w14:paraId="07CDD4E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49C7CB5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C328FE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2.本表所指的控股关系仅限于直接控股关系，不包括间接的控股关系。公司实际控制人与公司之间的关系不属于本表所指的直接控股关系。</w:t>
      </w:r>
    </w:p>
    <w:p w14:paraId="259F686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3.供应商不存在直接控股股东的，则填“无”。</w:t>
      </w:r>
    </w:p>
    <w:p w14:paraId="47E36EAD">
      <w:pPr>
        <w:snapToGrid w:val="0"/>
        <w:spacing w:line="360" w:lineRule="auto"/>
        <w:jc w:val="left"/>
        <w:rPr>
          <w:rFonts w:hint="eastAsia" w:ascii="宋体" w:hAnsi="宋体" w:eastAsia="宋体" w:cs="宋体"/>
          <w:color w:val="auto"/>
          <w:sz w:val="24"/>
          <w:szCs w:val="24"/>
          <w:highlight w:val="none"/>
        </w:rPr>
      </w:pPr>
    </w:p>
    <w:p w14:paraId="46689870">
      <w:pPr>
        <w:snapToGrid w:val="0"/>
        <w:spacing w:line="360" w:lineRule="auto"/>
        <w:jc w:val="left"/>
        <w:rPr>
          <w:rFonts w:hint="eastAsia" w:ascii="宋体" w:hAnsi="宋体" w:eastAsia="宋体" w:cs="宋体"/>
          <w:color w:val="auto"/>
          <w:sz w:val="24"/>
          <w:szCs w:val="24"/>
          <w:highlight w:val="none"/>
        </w:rPr>
      </w:pPr>
    </w:p>
    <w:p w14:paraId="52A20E92">
      <w:pPr>
        <w:snapToGrid w:val="0"/>
        <w:spacing w:line="360" w:lineRule="auto"/>
        <w:jc w:val="left"/>
        <w:rPr>
          <w:rFonts w:hint="eastAsia" w:ascii="宋体" w:hAnsi="宋体" w:eastAsia="宋体" w:cs="宋体"/>
          <w:color w:val="auto"/>
          <w:sz w:val="24"/>
          <w:szCs w:val="24"/>
          <w:highlight w:val="none"/>
        </w:rPr>
      </w:pPr>
    </w:p>
    <w:p w14:paraId="7E0AC0B4">
      <w:pPr>
        <w:snapToGrid w:val="0"/>
        <w:spacing w:line="360" w:lineRule="auto"/>
        <w:jc w:val="left"/>
        <w:rPr>
          <w:rFonts w:hint="eastAsia" w:ascii="宋体" w:hAnsi="宋体" w:eastAsia="宋体" w:cs="宋体"/>
          <w:color w:val="auto"/>
          <w:sz w:val="24"/>
          <w:szCs w:val="24"/>
          <w:highlight w:val="none"/>
        </w:rPr>
      </w:pPr>
    </w:p>
    <w:p w14:paraId="67FA4275">
      <w:pPr>
        <w:snapToGrid w:val="0"/>
        <w:spacing w:line="360" w:lineRule="auto"/>
        <w:jc w:val="left"/>
        <w:rPr>
          <w:rFonts w:hint="eastAsia" w:ascii="宋体" w:hAnsi="宋体" w:eastAsia="宋体" w:cs="宋体"/>
          <w:color w:val="auto"/>
          <w:sz w:val="24"/>
          <w:szCs w:val="24"/>
          <w:highlight w:val="none"/>
        </w:rPr>
      </w:pPr>
    </w:p>
    <w:p w14:paraId="1159A098">
      <w:pPr>
        <w:snapToGrid w:val="0"/>
        <w:spacing w:line="360" w:lineRule="auto"/>
        <w:ind w:firstLine="5040" w:firstLineChars="2100"/>
        <w:rPr>
          <w:rFonts w:hint="eastAsia" w:ascii="宋体" w:hAnsi="宋体" w:eastAsia="宋体" w:cs="宋体"/>
          <w:b/>
          <w:color w:val="auto"/>
          <w:kern w:val="0"/>
          <w:sz w:val="24"/>
          <w:szCs w:val="24"/>
          <w:highlight w:val="none"/>
        </w:rPr>
      </w:pPr>
      <w:r>
        <w:rPr>
          <w:rFonts w:hint="eastAsia" w:ascii="宋体" w:hAnsi="宋体" w:eastAsia="宋体" w:cs="宋体"/>
          <w:b w:val="0"/>
          <w:bCs/>
          <w:color w:val="auto"/>
          <w:kern w:val="0"/>
          <w:sz w:val="24"/>
          <w:szCs w:val="24"/>
          <w:highlight w:val="none"/>
          <w:lang w:val="zh-CN"/>
        </w:rPr>
        <w:t>供应商名称(电子签章)：</w:t>
      </w:r>
      <w:r>
        <w:rPr>
          <w:rFonts w:hint="eastAsia" w:ascii="宋体" w:hAnsi="宋体" w:eastAsia="宋体" w:cs="宋体"/>
          <w:b w:val="0"/>
          <w:bCs/>
          <w:color w:val="auto"/>
          <w:kern w:val="0"/>
          <w:sz w:val="24"/>
          <w:szCs w:val="24"/>
          <w:highlight w:val="none"/>
          <w:u w:val="single"/>
          <w:lang w:val="zh-CN"/>
        </w:rPr>
        <w:t xml:space="preserve"> </w:t>
      </w:r>
      <w:r>
        <w:rPr>
          <w:rFonts w:hint="eastAsia" w:ascii="宋体" w:hAnsi="宋体" w:eastAsia="宋体" w:cs="宋体"/>
          <w:b/>
          <w:color w:val="auto"/>
          <w:kern w:val="0"/>
          <w:sz w:val="24"/>
          <w:szCs w:val="24"/>
          <w:highlight w:val="none"/>
          <w:u w:val="single"/>
          <w:lang w:val="zh-CN"/>
        </w:rPr>
        <w:t xml:space="preserve">           </w:t>
      </w:r>
      <w:r>
        <w:rPr>
          <w:rFonts w:hint="eastAsia" w:ascii="宋体" w:hAnsi="宋体" w:eastAsia="宋体" w:cs="宋体"/>
          <w:b/>
          <w:color w:val="auto"/>
          <w:kern w:val="0"/>
          <w:sz w:val="24"/>
          <w:szCs w:val="24"/>
          <w:highlight w:val="none"/>
          <w:lang w:val="zh-CN"/>
        </w:rPr>
        <w:t xml:space="preserve"> </w:t>
      </w:r>
    </w:p>
    <w:p w14:paraId="07E994C0">
      <w:pPr>
        <w:snapToGrid w:val="0"/>
        <w:spacing w:line="360" w:lineRule="auto"/>
        <w:ind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67E27923">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5A492D59">
      <w:pPr>
        <w:snapToGrid w:val="0"/>
        <w:spacing w:line="360" w:lineRule="auto"/>
        <w:jc w:val="center"/>
        <w:rPr>
          <w:rFonts w:hint="eastAsia" w:ascii="宋体" w:hAnsi="宋体" w:eastAsia="宋体" w:cs="宋体"/>
          <w:b/>
          <w:color w:val="auto"/>
          <w:sz w:val="30"/>
          <w:szCs w:val="30"/>
          <w:highlight w:val="none"/>
        </w:rPr>
      </w:pPr>
    </w:p>
    <w:p w14:paraId="33DCC0ED">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lang w:val="en-US" w:eastAsia="zh-CN"/>
        </w:rPr>
        <w:t>六</w:t>
      </w:r>
      <w:r>
        <w:rPr>
          <w:rFonts w:hint="eastAsia" w:ascii="宋体" w:hAnsi="宋体" w:eastAsia="宋体" w:cs="宋体"/>
          <w:b/>
          <w:color w:val="auto"/>
          <w:sz w:val="30"/>
          <w:szCs w:val="30"/>
          <w:highlight w:val="none"/>
        </w:rPr>
        <w:t>、供应商直接管理关系信息表</w:t>
      </w:r>
    </w:p>
    <w:tbl>
      <w:tblPr>
        <w:tblStyle w:val="24"/>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472AAC82">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EAC325">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49B309">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4618D2">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4B0735">
            <w:pPr>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09F71D8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8C245A">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2070E4">
            <w:pPr>
              <w:spacing w:line="360" w:lineRule="auto"/>
              <w:jc w:val="center"/>
              <w:rPr>
                <w:rFonts w:hint="eastAsia" w:ascii="宋体" w:hAnsi="宋体" w:eastAsia="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5C9658">
            <w:pPr>
              <w:spacing w:line="360" w:lineRule="auto"/>
              <w:jc w:val="center"/>
              <w:rPr>
                <w:rFonts w:hint="eastAsia" w:ascii="宋体" w:hAnsi="宋体" w:eastAsia="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16BC79">
            <w:pPr>
              <w:spacing w:line="360" w:lineRule="auto"/>
              <w:jc w:val="center"/>
              <w:rPr>
                <w:rFonts w:hint="eastAsia" w:ascii="宋体" w:hAnsi="宋体" w:eastAsia="宋体" w:cs="宋体"/>
                <w:color w:val="auto"/>
                <w:kern w:val="0"/>
                <w:sz w:val="24"/>
                <w:szCs w:val="24"/>
                <w:highlight w:val="none"/>
              </w:rPr>
            </w:pPr>
          </w:p>
        </w:tc>
      </w:tr>
      <w:tr w14:paraId="3C6443F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570411">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90FE00">
            <w:pPr>
              <w:spacing w:line="360" w:lineRule="auto"/>
              <w:jc w:val="center"/>
              <w:rPr>
                <w:rFonts w:hint="eastAsia" w:ascii="宋体" w:hAnsi="宋体" w:eastAsia="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E84072">
            <w:pPr>
              <w:spacing w:line="360" w:lineRule="auto"/>
              <w:jc w:val="center"/>
              <w:rPr>
                <w:rFonts w:hint="eastAsia" w:ascii="宋体" w:hAnsi="宋体" w:eastAsia="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98197C">
            <w:pPr>
              <w:spacing w:line="360" w:lineRule="auto"/>
              <w:jc w:val="center"/>
              <w:rPr>
                <w:rFonts w:hint="eastAsia" w:ascii="宋体" w:hAnsi="宋体" w:eastAsia="宋体" w:cs="宋体"/>
                <w:color w:val="auto"/>
                <w:kern w:val="0"/>
                <w:sz w:val="24"/>
                <w:szCs w:val="24"/>
                <w:highlight w:val="none"/>
              </w:rPr>
            </w:pPr>
          </w:p>
        </w:tc>
      </w:tr>
      <w:tr w14:paraId="2D2E8DA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550883">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CBEBD9">
            <w:pPr>
              <w:spacing w:line="360" w:lineRule="auto"/>
              <w:jc w:val="center"/>
              <w:rPr>
                <w:rFonts w:hint="eastAsia" w:ascii="宋体" w:hAnsi="宋体" w:eastAsia="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691808">
            <w:pPr>
              <w:spacing w:line="360" w:lineRule="auto"/>
              <w:jc w:val="center"/>
              <w:rPr>
                <w:rFonts w:hint="eastAsia" w:ascii="宋体" w:hAnsi="宋体" w:eastAsia="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9D004A">
            <w:pPr>
              <w:spacing w:line="360" w:lineRule="auto"/>
              <w:jc w:val="center"/>
              <w:rPr>
                <w:rFonts w:hint="eastAsia" w:ascii="宋体" w:hAnsi="宋体" w:eastAsia="宋体" w:cs="宋体"/>
                <w:color w:val="auto"/>
                <w:kern w:val="0"/>
                <w:sz w:val="24"/>
                <w:szCs w:val="24"/>
                <w:highlight w:val="none"/>
              </w:rPr>
            </w:pPr>
          </w:p>
        </w:tc>
      </w:tr>
      <w:tr w14:paraId="2DCF730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495C7D">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B0C440">
            <w:pPr>
              <w:spacing w:line="360" w:lineRule="auto"/>
              <w:jc w:val="center"/>
              <w:rPr>
                <w:rFonts w:hint="eastAsia" w:ascii="宋体" w:hAnsi="宋体" w:eastAsia="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7CC24F">
            <w:pPr>
              <w:spacing w:line="360" w:lineRule="auto"/>
              <w:jc w:val="center"/>
              <w:rPr>
                <w:rFonts w:hint="eastAsia" w:ascii="宋体" w:hAnsi="宋体" w:eastAsia="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2608B1">
            <w:pPr>
              <w:spacing w:line="360" w:lineRule="auto"/>
              <w:jc w:val="center"/>
              <w:rPr>
                <w:rFonts w:hint="eastAsia" w:ascii="宋体" w:hAnsi="宋体" w:eastAsia="宋体" w:cs="宋体"/>
                <w:color w:val="auto"/>
                <w:kern w:val="0"/>
                <w:sz w:val="24"/>
                <w:szCs w:val="24"/>
                <w:highlight w:val="none"/>
              </w:rPr>
            </w:pPr>
          </w:p>
        </w:tc>
      </w:tr>
    </w:tbl>
    <w:p w14:paraId="507F171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44A92DC">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1.管理关系：是指不具有出资持股关系的其他单位之间存在的管理与被管理关系，如一些上下级关系的事业单位和团体组织。</w:t>
      </w:r>
    </w:p>
    <w:p w14:paraId="5E663E3B">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pacing w:val="-6"/>
          <w:szCs w:val="21"/>
          <w:highlight w:val="none"/>
        </w:rPr>
        <w:t>本表所指的管理关系仅限于直接管理关系，不包括间接的管理关系。</w:t>
      </w:r>
    </w:p>
    <w:p w14:paraId="639D22FE">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3.供应商不存在直接管理关系的，则填“无”。</w:t>
      </w:r>
    </w:p>
    <w:p w14:paraId="5AC80C5C">
      <w:pPr>
        <w:snapToGrid w:val="0"/>
        <w:spacing w:line="360" w:lineRule="auto"/>
        <w:jc w:val="left"/>
        <w:rPr>
          <w:rFonts w:hint="eastAsia" w:ascii="宋体" w:hAnsi="宋体" w:eastAsia="宋体" w:cs="宋体"/>
          <w:color w:val="auto"/>
          <w:szCs w:val="21"/>
          <w:highlight w:val="none"/>
        </w:rPr>
      </w:pPr>
    </w:p>
    <w:p w14:paraId="4A8E5DCE">
      <w:pPr>
        <w:snapToGrid w:val="0"/>
        <w:spacing w:line="360" w:lineRule="auto"/>
        <w:jc w:val="left"/>
        <w:rPr>
          <w:rFonts w:hint="eastAsia" w:ascii="宋体" w:hAnsi="宋体" w:eastAsia="宋体" w:cs="宋体"/>
          <w:color w:val="auto"/>
          <w:sz w:val="24"/>
          <w:szCs w:val="24"/>
          <w:highlight w:val="none"/>
        </w:rPr>
      </w:pPr>
    </w:p>
    <w:p w14:paraId="17044721">
      <w:pPr>
        <w:snapToGrid w:val="0"/>
        <w:spacing w:line="360" w:lineRule="auto"/>
        <w:jc w:val="left"/>
        <w:rPr>
          <w:rFonts w:hint="eastAsia" w:ascii="宋体" w:hAnsi="宋体" w:eastAsia="宋体" w:cs="宋体"/>
          <w:color w:val="auto"/>
          <w:sz w:val="24"/>
          <w:szCs w:val="24"/>
          <w:highlight w:val="none"/>
        </w:rPr>
      </w:pPr>
    </w:p>
    <w:p w14:paraId="2D844B1D">
      <w:pPr>
        <w:snapToGrid w:val="0"/>
        <w:spacing w:line="360" w:lineRule="auto"/>
        <w:jc w:val="left"/>
        <w:rPr>
          <w:rFonts w:hint="eastAsia" w:ascii="宋体" w:hAnsi="宋体" w:eastAsia="宋体" w:cs="宋体"/>
          <w:color w:val="auto"/>
          <w:sz w:val="24"/>
          <w:szCs w:val="24"/>
          <w:highlight w:val="none"/>
        </w:rPr>
      </w:pPr>
    </w:p>
    <w:p w14:paraId="4B922B1D">
      <w:pPr>
        <w:snapToGrid w:val="0"/>
        <w:spacing w:line="360" w:lineRule="auto"/>
        <w:jc w:val="left"/>
        <w:rPr>
          <w:rFonts w:hint="eastAsia" w:ascii="宋体" w:hAnsi="宋体" w:eastAsia="宋体" w:cs="宋体"/>
          <w:color w:val="auto"/>
          <w:sz w:val="24"/>
          <w:szCs w:val="24"/>
          <w:highlight w:val="none"/>
        </w:rPr>
      </w:pPr>
    </w:p>
    <w:p w14:paraId="20323483">
      <w:pPr>
        <w:snapToGrid w:val="0"/>
        <w:spacing w:line="360" w:lineRule="auto"/>
        <w:jc w:val="left"/>
        <w:rPr>
          <w:rFonts w:hint="eastAsia" w:ascii="宋体" w:hAnsi="宋体" w:eastAsia="宋体" w:cs="宋体"/>
          <w:color w:val="auto"/>
          <w:sz w:val="24"/>
          <w:szCs w:val="24"/>
          <w:highlight w:val="none"/>
        </w:rPr>
      </w:pPr>
    </w:p>
    <w:p w14:paraId="7B719A72">
      <w:pPr>
        <w:snapToGrid w:val="0"/>
        <w:spacing w:line="360" w:lineRule="auto"/>
        <w:jc w:val="left"/>
        <w:rPr>
          <w:rFonts w:hint="eastAsia" w:ascii="宋体" w:hAnsi="宋体" w:eastAsia="宋体" w:cs="宋体"/>
          <w:color w:val="auto"/>
          <w:sz w:val="24"/>
          <w:szCs w:val="24"/>
          <w:highlight w:val="none"/>
        </w:rPr>
      </w:pPr>
    </w:p>
    <w:p w14:paraId="39525D20">
      <w:pPr>
        <w:snapToGrid w:val="0"/>
        <w:spacing w:line="360" w:lineRule="auto"/>
        <w:jc w:val="left"/>
        <w:rPr>
          <w:rFonts w:hint="eastAsia" w:ascii="宋体" w:hAnsi="宋体" w:eastAsia="宋体" w:cs="宋体"/>
          <w:color w:val="auto"/>
          <w:sz w:val="24"/>
          <w:szCs w:val="24"/>
          <w:highlight w:val="none"/>
        </w:rPr>
      </w:pPr>
    </w:p>
    <w:p w14:paraId="65DCCD73">
      <w:pPr>
        <w:snapToGrid w:val="0"/>
        <w:spacing w:line="360" w:lineRule="auto"/>
        <w:ind w:firstLine="5040" w:firstLineChars="2100"/>
        <w:rPr>
          <w:rFonts w:hint="eastAsia" w:ascii="宋体" w:hAnsi="宋体" w:eastAsia="宋体" w:cs="宋体"/>
          <w:b/>
          <w:color w:val="auto"/>
          <w:kern w:val="0"/>
          <w:sz w:val="24"/>
          <w:szCs w:val="24"/>
          <w:highlight w:val="none"/>
        </w:rPr>
      </w:pPr>
      <w:r>
        <w:rPr>
          <w:rFonts w:hint="eastAsia" w:ascii="宋体" w:hAnsi="宋体" w:eastAsia="宋体" w:cs="宋体"/>
          <w:b w:val="0"/>
          <w:bCs/>
          <w:color w:val="auto"/>
          <w:kern w:val="0"/>
          <w:sz w:val="24"/>
          <w:szCs w:val="24"/>
          <w:highlight w:val="none"/>
          <w:lang w:val="zh-CN"/>
        </w:rPr>
        <w:t>供应商名称(电子签章)：</w:t>
      </w:r>
      <w:r>
        <w:rPr>
          <w:rFonts w:hint="eastAsia" w:ascii="宋体" w:hAnsi="宋体" w:eastAsia="宋体" w:cs="宋体"/>
          <w:b w:val="0"/>
          <w:bCs/>
          <w:color w:val="auto"/>
          <w:kern w:val="0"/>
          <w:sz w:val="24"/>
          <w:szCs w:val="24"/>
          <w:highlight w:val="none"/>
          <w:u w:val="single"/>
          <w:lang w:val="zh-CN"/>
        </w:rPr>
        <w:t xml:space="preserve">   </w:t>
      </w:r>
      <w:r>
        <w:rPr>
          <w:rFonts w:hint="eastAsia" w:ascii="宋体" w:hAnsi="宋体" w:eastAsia="宋体" w:cs="宋体"/>
          <w:b/>
          <w:color w:val="auto"/>
          <w:kern w:val="0"/>
          <w:sz w:val="24"/>
          <w:szCs w:val="24"/>
          <w:highlight w:val="none"/>
          <w:u w:val="single"/>
          <w:lang w:val="zh-CN"/>
        </w:rPr>
        <w:t xml:space="preserve">      </w:t>
      </w:r>
    </w:p>
    <w:p w14:paraId="06E702C6">
      <w:pPr>
        <w:snapToGrid w:val="0"/>
        <w:spacing w:line="360" w:lineRule="auto"/>
        <w:ind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4F742BCE">
      <w:pPr>
        <w:snapToGrid w:val="0"/>
        <w:spacing w:before="50" w:after="165" w:afterLines="50"/>
        <w:jc w:val="left"/>
        <w:rPr>
          <w:rFonts w:hint="eastAsia" w:ascii="宋体" w:hAnsi="宋体" w:eastAsia="宋体" w:cs="宋体"/>
          <w:color w:val="auto"/>
          <w:szCs w:val="21"/>
          <w:highlight w:val="none"/>
        </w:rPr>
      </w:pPr>
    </w:p>
    <w:p w14:paraId="6BD6DD4B">
      <w:pPr>
        <w:snapToGrid w:val="0"/>
        <w:spacing w:before="165" w:beforeLines="50" w:after="50"/>
        <w:jc w:val="left"/>
        <w:rPr>
          <w:rFonts w:hint="eastAsia" w:ascii="宋体" w:hAnsi="宋体" w:eastAsia="宋体" w:cs="宋体"/>
          <w:b/>
          <w:color w:val="auto"/>
          <w:sz w:val="24"/>
          <w:szCs w:val="20"/>
          <w:highlight w:val="none"/>
        </w:rPr>
      </w:pPr>
    </w:p>
    <w:p w14:paraId="532D37EC">
      <w:pPr>
        <w:snapToGrid w:val="0"/>
        <w:spacing w:before="165" w:beforeLines="50" w:after="50"/>
        <w:jc w:val="left"/>
        <w:rPr>
          <w:rFonts w:hint="eastAsia" w:ascii="宋体" w:hAnsi="宋体" w:eastAsia="宋体" w:cs="宋体"/>
          <w:b/>
          <w:color w:val="auto"/>
          <w:sz w:val="24"/>
          <w:highlight w:val="none"/>
        </w:rPr>
      </w:pPr>
    </w:p>
    <w:p w14:paraId="6A4D4AA1">
      <w:pPr>
        <w:snapToGrid w:val="0"/>
        <w:spacing w:before="165" w:beforeLines="50" w:after="5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xml:space="preserve"> </w:t>
      </w:r>
    </w:p>
    <w:p w14:paraId="52E4A7E6">
      <w:pPr>
        <w:snapToGrid w:val="0"/>
        <w:spacing w:before="165" w:beforeLines="50" w:after="50"/>
        <w:jc w:val="left"/>
        <w:rPr>
          <w:rFonts w:hint="eastAsia" w:ascii="宋体" w:hAnsi="宋体" w:eastAsia="宋体" w:cs="宋体"/>
          <w:b/>
          <w:color w:val="auto"/>
          <w:sz w:val="24"/>
          <w:szCs w:val="20"/>
          <w:highlight w:val="none"/>
        </w:rPr>
      </w:pPr>
    </w:p>
    <w:p w14:paraId="550A91BE">
      <w:pPr>
        <w:snapToGrid w:val="0"/>
        <w:spacing w:before="50" w:after="165" w:afterLines="50"/>
        <w:jc w:val="left"/>
        <w:rPr>
          <w:rFonts w:hint="eastAsia" w:ascii="宋体" w:hAnsi="宋体" w:eastAsia="宋体" w:cs="宋体"/>
          <w:color w:val="auto"/>
          <w:highlight w:val="none"/>
        </w:rPr>
      </w:pPr>
    </w:p>
    <w:p w14:paraId="1801F1EA">
      <w:pPr>
        <w:snapToGrid w:val="0"/>
        <w:spacing w:before="50" w:after="165" w:afterLines="50"/>
        <w:jc w:val="center"/>
        <w:rPr>
          <w:rFonts w:hint="eastAsia" w:ascii="宋体" w:hAnsi="宋体" w:eastAsia="宋体" w:cs="宋体"/>
          <w:b/>
          <w:color w:val="auto"/>
          <w:sz w:val="32"/>
          <w:szCs w:val="32"/>
          <w:highlight w:val="none"/>
        </w:rPr>
      </w:pPr>
    </w:p>
    <w:p w14:paraId="26509D98">
      <w:pPr>
        <w:snapToGrid w:val="0"/>
        <w:spacing w:before="50" w:after="165" w:afterLines="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、响应资格声明函</w:t>
      </w:r>
    </w:p>
    <w:p w14:paraId="20744D98">
      <w:pPr>
        <w:tabs>
          <w:tab w:val="left" w:pos="7200"/>
        </w:tabs>
        <w:spacing w:line="360" w:lineRule="auto"/>
        <w:rPr>
          <w:rFonts w:hint="eastAsia" w:ascii="宋体" w:hAnsi="宋体" w:eastAsia="宋体" w:cs="宋体"/>
          <w:color w:val="auto"/>
          <w:szCs w:val="21"/>
          <w:highlight w:val="none"/>
        </w:rPr>
      </w:pPr>
    </w:p>
    <w:p w14:paraId="2546C211">
      <w:pPr>
        <w:tabs>
          <w:tab w:val="left" w:pos="720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（采购代理机构名称）</w:t>
      </w:r>
    </w:p>
    <w:p w14:paraId="2B6E9096">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我方愿意参加贵方组织的</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（项目编号：       ）项目的响应，为便于贵方公正、择优地确定供应商，我方就本次响应有关事项郑重声明如下：</w:t>
      </w:r>
    </w:p>
    <w:p w14:paraId="3B7C2C5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1.我方承诺已经具备《中华人民共和国政府采购法》第二十二条中规定的参加政府采购活动的供应商应当具备的条件：</w:t>
      </w:r>
    </w:p>
    <w:p w14:paraId="0426BC1C">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14:paraId="79B9A779">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（2）具有良好的商业信誉和健全的财务会计制度；</w:t>
      </w:r>
    </w:p>
    <w:p w14:paraId="18DE88E3">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w:t>
      </w:r>
    </w:p>
    <w:p w14:paraId="717519EF">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（4）有依法缴纳税收和社会保障资金的良好记录；</w:t>
      </w:r>
    </w:p>
    <w:p w14:paraId="3807549C">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（5）参加政府采购活动前三年内，在经营活动中没有重大违法记录；</w:t>
      </w:r>
    </w:p>
    <w:p w14:paraId="36BF834D">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（6）法律、行政法规规定的其他条件。</w:t>
      </w:r>
    </w:p>
    <w:p w14:paraId="4AE999FD">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063029E">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3.经查询，在“信用中国”和“中国政府采购网”网站我方未被列入失信被执行人、重大税收违法案件当事人名单、政府采购严重违法失信行为记录名单。</w:t>
      </w:r>
    </w:p>
    <w:p w14:paraId="6D0B2352">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4.以上事项如有虚假或隐瞒，我方愿意承担一切后果，并不再寻求任何旨在减轻或免除法律责任的辩解。 </w:t>
      </w:r>
    </w:p>
    <w:p w14:paraId="143E9A9D">
      <w:pPr>
        <w:tabs>
          <w:tab w:val="left" w:pos="7200"/>
        </w:tabs>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548196BB">
      <w:pP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1.供应商应当通过 “信用中国”（www.creditchina.gov.cn）和“中国政府采购网”网站（www.ccgp.gov.cn）查询供应商相关主体的信用记录。查询时间为本项目响应截止时间前10日至响应截止时间中任意一天。对列入失信被执行人、重大税收违法案件当事人名单、政府采购严重违法失信行为记录名单的供应商，将被拒绝参与本项目政府采购活动。</w:t>
      </w:r>
    </w:p>
    <w:p w14:paraId="6F173E25">
      <w:pP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C6543FB">
      <w:pPr>
        <w:snapToGrid w:val="0"/>
        <w:spacing w:before="50" w:after="165"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 xml:space="preserve">  3.如为联合体响应，盖章处须加盖联合体各方公章并由联合体各方法定代表人分别签署，否则响应无效。</w:t>
      </w:r>
    </w:p>
    <w:p w14:paraId="6DC3044E">
      <w:pPr>
        <w:snapToGrid w:val="0"/>
        <w:spacing w:before="50" w:after="331" w:afterLines="10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0B1FBFF">
      <w:pPr>
        <w:snapToGrid w:val="0"/>
        <w:spacing w:before="50" w:after="331" w:afterLines="100" w:line="360" w:lineRule="auto"/>
        <w:ind w:left="7428" w:leftChars="2223" w:hanging="2760" w:hangingChars="115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zh-CN"/>
        </w:rPr>
        <w:t>供应商名称(电子签章)：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月    日</w:t>
      </w:r>
    </w:p>
    <w:p w14:paraId="3244C9E2">
      <w:pPr>
        <w:pStyle w:val="16"/>
        <w:spacing w:line="600" w:lineRule="exact"/>
        <w:jc w:val="center"/>
        <w:rPr>
          <w:rFonts w:hint="eastAsia" w:ascii="宋体" w:hAnsi="宋体" w:eastAsia="宋体" w:cs="宋体"/>
          <w:color w:val="auto"/>
          <w:kern w:val="0"/>
          <w:szCs w:val="21"/>
          <w:highlight w:val="none"/>
        </w:rPr>
      </w:pPr>
    </w:p>
    <w:p w14:paraId="1776F70E">
      <w:pPr>
        <w:spacing w:line="600" w:lineRule="exact"/>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八</w:t>
      </w:r>
      <w:r>
        <w:rPr>
          <w:rFonts w:hint="eastAsia" w:ascii="宋体" w:hAnsi="宋体" w:eastAsia="宋体" w:cs="宋体"/>
          <w:b/>
          <w:color w:val="auto"/>
          <w:sz w:val="30"/>
          <w:szCs w:val="30"/>
          <w:highlight w:val="none"/>
        </w:rPr>
        <w:t>、</w:t>
      </w:r>
      <w:r>
        <w:rPr>
          <w:rFonts w:hint="eastAsia" w:ascii="宋体" w:hAnsi="宋体" w:eastAsia="宋体" w:cs="宋体"/>
          <w:b/>
          <w:bCs/>
          <w:color w:val="auto"/>
          <w:sz w:val="30"/>
          <w:szCs w:val="30"/>
          <w:highlight w:val="none"/>
        </w:rPr>
        <w:t>特定资格证明</w:t>
      </w:r>
      <w:r>
        <w:rPr>
          <w:rFonts w:hint="eastAsia" w:ascii="宋体" w:hAnsi="宋体" w:eastAsia="宋体" w:cs="宋体"/>
          <w:b/>
          <w:bCs/>
          <w:color w:val="auto"/>
          <w:sz w:val="30"/>
          <w:szCs w:val="30"/>
          <w:highlight w:val="none"/>
          <w:lang w:val="en-US" w:eastAsia="zh-CN"/>
        </w:rPr>
        <w:t>材料</w:t>
      </w:r>
    </w:p>
    <w:p w14:paraId="76C22450">
      <w:pPr>
        <w:pStyle w:val="3"/>
        <w:rPr>
          <w:rFonts w:hint="eastAsia" w:ascii="宋体" w:hAnsi="宋体" w:eastAsia="宋体" w:cs="宋体"/>
          <w:color w:val="auto"/>
          <w:highlight w:val="none"/>
        </w:rPr>
      </w:pPr>
    </w:p>
    <w:p w14:paraId="7DB30600">
      <w:pPr>
        <w:rPr>
          <w:rFonts w:hint="eastAsia" w:ascii="宋体" w:hAnsi="宋体" w:eastAsia="宋体" w:cs="宋体"/>
          <w:color w:val="auto"/>
          <w:highlight w:val="none"/>
        </w:rPr>
      </w:pPr>
    </w:p>
    <w:p w14:paraId="1D11880C">
      <w:pPr>
        <w:snapToGrid w:val="0"/>
        <w:spacing w:line="360" w:lineRule="auto"/>
        <w:ind w:firstLine="576"/>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供应商名称(电子签章)：</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 xml:space="preserve">        </w:t>
      </w:r>
    </w:p>
    <w:p w14:paraId="71062DEB">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kern w:val="0"/>
          <w:sz w:val="24"/>
          <w:szCs w:val="24"/>
          <w:highlight w:val="none"/>
          <w:lang w:val="zh-CN"/>
        </w:rPr>
        <w:t xml:space="preserve">                   日期：  年  月</w:t>
      </w:r>
    </w:p>
    <w:p w14:paraId="51D4E208">
      <w:pPr>
        <w:widowControl/>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5BA21395">
      <w:pPr>
        <w:spacing w:line="600" w:lineRule="exact"/>
        <w:jc w:val="left"/>
        <w:rPr>
          <w:rFonts w:hint="eastAsia" w:ascii="宋体" w:hAnsi="宋体" w:eastAsia="宋体" w:cs="宋体"/>
          <w:b/>
          <w:bCs/>
          <w:color w:val="auto"/>
          <w:sz w:val="30"/>
          <w:szCs w:val="30"/>
          <w:highlight w:val="none"/>
          <w:u w:val="none"/>
        </w:rPr>
      </w:pPr>
      <w:r>
        <w:rPr>
          <w:rFonts w:hint="eastAsia" w:ascii="宋体" w:hAnsi="宋体" w:eastAsia="宋体" w:cs="宋体"/>
          <w:b/>
          <w:bCs/>
          <w:color w:val="auto"/>
          <w:sz w:val="30"/>
          <w:szCs w:val="30"/>
          <w:highlight w:val="none"/>
          <w:lang w:val="en-US" w:eastAsia="zh-CN"/>
        </w:rPr>
        <w:t>九</w:t>
      </w:r>
      <w:r>
        <w:rPr>
          <w:rFonts w:hint="eastAsia" w:ascii="宋体" w:hAnsi="宋体" w:eastAsia="宋体" w:cs="宋体"/>
          <w:b/>
          <w:bCs/>
          <w:color w:val="auto"/>
          <w:sz w:val="30"/>
          <w:szCs w:val="30"/>
          <w:highlight w:val="none"/>
        </w:rPr>
        <w:t>、中小企业声明函（供应商应为</w:t>
      </w:r>
      <w:r>
        <w:rPr>
          <w:rFonts w:hint="eastAsia" w:ascii="宋体" w:hAnsi="宋体" w:eastAsia="宋体" w:cs="宋体"/>
          <w:b/>
          <w:bCs/>
          <w:color w:val="auto"/>
          <w:sz w:val="30"/>
          <w:szCs w:val="30"/>
          <w:highlight w:val="none"/>
          <w:lang w:eastAsia="zh-CN"/>
        </w:rPr>
        <w:t>中</w:t>
      </w:r>
      <w:r>
        <w:rPr>
          <w:rFonts w:hint="eastAsia" w:ascii="宋体" w:hAnsi="宋体" w:eastAsia="宋体" w:cs="宋体"/>
          <w:b/>
          <w:bCs/>
          <w:color w:val="auto"/>
          <w:sz w:val="30"/>
          <w:szCs w:val="30"/>
          <w:highlight w:val="none"/>
        </w:rPr>
        <w:t>小微企业、监狱企业、残疾人福利性单位</w:t>
      </w:r>
      <w:r>
        <w:rPr>
          <w:rFonts w:hint="eastAsia" w:ascii="宋体" w:hAnsi="宋体" w:eastAsia="宋体" w:cs="宋体"/>
          <w:b/>
          <w:bCs/>
          <w:color w:val="auto"/>
          <w:sz w:val="30"/>
          <w:szCs w:val="30"/>
          <w:highlight w:val="none"/>
          <w:u w:val="none"/>
        </w:rPr>
        <w:t>）证明文件</w:t>
      </w:r>
    </w:p>
    <w:p w14:paraId="4804B44B">
      <w:pPr>
        <w:spacing w:line="600" w:lineRule="exact"/>
        <w:jc w:val="center"/>
        <w:rPr>
          <w:rFonts w:hint="eastAsia" w:ascii="宋体" w:hAnsi="宋体" w:eastAsia="宋体" w:cs="宋体"/>
          <w:color w:val="auto"/>
          <w:szCs w:val="20"/>
          <w:highlight w:val="none"/>
        </w:rPr>
      </w:pPr>
    </w:p>
    <w:p w14:paraId="0E3FE73D">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中小企业声明函</w:t>
      </w:r>
    </w:p>
    <w:p w14:paraId="4C4A3C35">
      <w:pPr>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说明：</w:t>
      </w:r>
    </w:p>
    <w:p w14:paraId="66CC1425">
      <w:pPr>
        <w:ind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1、本声明函主要供参加政府采购活动的中小企业填写，非中小企业无需填写。</w:t>
      </w:r>
    </w:p>
    <w:p w14:paraId="6F63A5D0">
      <w:pPr>
        <w:ind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2、小型、微型企业提供中型企业提供的服务的，视同为中型企业。</w:t>
      </w:r>
    </w:p>
    <w:p w14:paraId="5A7985A6">
      <w:pPr>
        <w:ind w:firstLine="404" w:firstLineChars="200"/>
        <w:rPr>
          <w:rFonts w:hint="eastAsia" w:ascii="宋体" w:hAnsi="宋体" w:eastAsia="宋体" w:cs="宋体"/>
          <w:color w:val="auto"/>
          <w:spacing w:val="-4"/>
          <w:szCs w:val="21"/>
          <w:highlight w:val="none"/>
        </w:rPr>
      </w:pPr>
    </w:p>
    <w:p w14:paraId="5317FFA9">
      <w:pPr>
        <w:spacing w:after="120" w:line="500" w:lineRule="exact"/>
        <w:ind w:right="142"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本公司郑重声明，根据《政府采购促进中小企业发展管理办法》（财库﹝2020﹞46号）的规定，本公司参加</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szCs w:val="21"/>
          <w:highlight w:val="none"/>
        </w:rPr>
        <w:t>采购活动，服务全部由符合政策要求的中小企业承接。相关企业（含联合体中的中小企业、签订分包意向协议的中小企业）的具体情况如下：</w:t>
      </w:r>
    </w:p>
    <w:p w14:paraId="3EED12BA">
      <w:pPr>
        <w:tabs>
          <w:tab w:val="left" w:pos="1384"/>
          <w:tab w:val="left" w:pos="4562"/>
          <w:tab w:val="left" w:pos="6803"/>
        </w:tabs>
        <w:spacing w:before="13" w:line="500" w:lineRule="exact"/>
        <w:ind w:right="142" w:firstLine="600" w:firstLineChars="286"/>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14:paraId="647CBDFA">
      <w:pPr>
        <w:tabs>
          <w:tab w:val="left" w:pos="1065"/>
          <w:tab w:val="left" w:pos="4262"/>
          <w:tab w:val="left" w:pos="6477"/>
        </w:tabs>
        <w:spacing w:before="20" w:line="500" w:lineRule="exact"/>
        <w:ind w:right="84" w:firstLine="600" w:firstLineChars="28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14:paraId="1EE34769">
      <w:pPr>
        <w:spacing w:before="34" w:after="120" w:line="500" w:lineRule="exact"/>
        <w:ind w:left="765" w:right="142" w:hanging="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2F6D728">
      <w:pPr>
        <w:spacing w:before="34" w:after="120" w:line="500" w:lineRule="exact"/>
        <w:ind w:right="142"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12770D67">
      <w:pPr>
        <w:spacing w:before="34" w:after="120" w:line="500" w:lineRule="exact"/>
        <w:ind w:right="142"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6A73287E">
      <w:pPr>
        <w:spacing w:line="360" w:lineRule="auto"/>
        <w:ind w:firstLine="420" w:firstLineChars="200"/>
        <w:rPr>
          <w:rFonts w:hint="eastAsia" w:ascii="宋体" w:hAnsi="宋体" w:eastAsia="宋体" w:cs="宋体"/>
          <w:color w:val="auto"/>
          <w:szCs w:val="21"/>
          <w:highlight w:val="none"/>
        </w:rPr>
      </w:pPr>
    </w:p>
    <w:p w14:paraId="3D4712F5">
      <w:pPr>
        <w:spacing w:line="360" w:lineRule="auto"/>
        <w:ind w:firstLine="420" w:firstLineChars="200"/>
        <w:rPr>
          <w:rFonts w:hint="eastAsia" w:ascii="宋体" w:hAnsi="宋体" w:eastAsia="宋体" w:cs="宋体"/>
          <w:color w:val="auto"/>
          <w:szCs w:val="21"/>
          <w:highlight w:val="none"/>
        </w:rPr>
      </w:pPr>
    </w:p>
    <w:p w14:paraId="4791ED1E">
      <w:pPr>
        <w:snapToGrid w:val="0"/>
        <w:spacing w:line="360" w:lineRule="auto"/>
        <w:ind w:firstLine="4508" w:firstLineChars="2147"/>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供应商名称(电子签章)</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 xml:space="preserve">            </w:t>
      </w:r>
    </w:p>
    <w:p w14:paraId="48DB1460">
      <w:pPr>
        <w:snapToGrid w:val="0"/>
        <w:spacing w:line="360" w:lineRule="auto"/>
        <w:ind w:firstLine="4515" w:firstLineChars="2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年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601FAC2D">
      <w:pPr>
        <w:spacing w:line="360" w:lineRule="auto"/>
        <w:ind w:firstLine="420" w:firstLineChars="200"/>
        <w:rPr>
          <w:rFonts w:hint="eastAsia" w:ascii="宋体" w:hAnsi="宋体" w:eastAsia="宋体" w:cs="宋体"/>
          <w:color w:val="auto"/>
          <w:szCs w:val="21"/>
          <w:highlight w:val="none"/>
        </w:rPr>
      </w:pPr>
    </w:p>
    <w:p w14:paraId="4BCB2A56">
      <w:pPr>
        <w:snapToGrid w:val="0"/>
        <w:spacing w:before="50" w:after="165" w:afterLines="5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4CEF2F9">
      <w:pPr>
        <w:numPr>
          <w:ilvl w:val="0"/>
          <w:numId w:val="9"/>
        </w:numPr>
        <w:snapToGrid w:val="0"/>
        <w:spacing w:before="50" w:after="165" w:afterLines="5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从业人员、营业收入、资产总额填报上一年度数据，无上一年度数据的新成立企业可不填报。</w:t>
      </w:r>
    </w:p>
    <w:p w14:paraId="773B9FCB">
      <w:pPr>
        <w:snapToGrid w:val="0"/>
        <w:spacing w:before="50" w:after="165" w:afterLines="50" w:line="360" w:lineRule="auto"/>
        <w:ind w:firstLine="315" w:firstLine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2、请根据自己的真实情况出具《中小企业声明函》。依法享受中小企业优惠政策的，采购人或者采购代理机构在公告入围结果时，同时公告其《中小企业声明函》，接受社会监督。</w:t>
      </w:r>
    </w:p>
    <w:p w14:paraId="42F69DC6">
      <w:pPr>
        <w:widowControl/>
        <w:spacing w:line="360" w:lineRule="auto"/>
        <w:jc w:val="left"/>
        <w:rPr>
          <w:rFonts w:hint="eastAsia" w:ascii="宋体" w:hAnsi="宋体" w:eastAsia="宋体" w:cs="宋体"/>
          <w:color w:val="auto"/>
          <w:sz w:val="20"/>
          <w:szCs w:val="24"/>
          <w:highlight w:val="none"/>
        </w:rPr>
        <w:sectPr>
          <w:pgSz w:w="11906" w:h="16838"/>
          <w:pgMar w:top="1134" w:right="1134" w:bottom="1134" w:left="1134" w:header="720" w:footer="720" w:gutter="0"/>
          <w:cols w:space="720" w:num="1"/>
          <w:docGrid w:type="lines" w:linePitch="331" w:charSpace="0"/>
        </w:sectPr>
      </w:pPr>
    </w:p>
    <w:p w14:paraId="12224BA4">
      <w:pPr>
        <w:spacing w:line="360" w:lineRule="auto"/>
        <w:jc w:val="center"/>
        <w:rPr>
          <w:rFonts w:hint="eastAsia" w:ascii="宋体" w:hAnsi="宋体" w:eastAsia="宋体" w:cs="宋体"/>
          <w:b/>
          <w:color w:val="auto"/>
          <w:sz w:val="30"/>
          <w:szCs w:val="30"/>
          <w:highlight w:val="none"/>
        </w:rPr>
      </w:pPr>
    </w:p>
    <w:p w14:paraId="067FC7D7">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残疾人福利性单位声明函（如有）</w:t>
      </w:r>
    </w:p>
    <w:p w14:paraId="21E9C9D0">
      <w:pPr>
        <w:spacing w:line="360" w:lineRule="auto"/>
        <w:jc w:val="center"/>
        <w:rPr>
          <w:rFonts w:hint="eastAsia" w:ascii="宋体" w:hAnsi="宋体" w:eastAsia="宋体" w:cs="宋体"/>
          <w:b/>
          <w:color w:val="auto"/>
          <w:sz w:val="30"/>
          <w:szCs w:val="30"/>
          <w:highlight w:val="none"/>
        </w:rPr>
      </w:pPr>
    </w:p>
    <w:p w14:paraId="003F225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Cs w:val="21"/>
          <w:highlight w:val="none"/>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项</w:t>
      </w:r>
      <w:r>
        <w:rPr>
          <w:rFonts w:hint="eastAsia" w:ascii="宋体" w:hAnsi="宋体" w:eastAsia="宋体" w:cs="宋体"/>
          <w:color w:val="auto"/>
          <w:highlight w:val="none"/>
          <w:u w:val="single"/>
        </w:rPr>
        <w:t xml:space="preserve">目名称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5715843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本公司对上述声明的真实性负责。如有虚假，将依法承担相应责任。</w:t>
      </w:r>
    </w:p>
    <w:p w14:paraId="2FF9155B">
      <w:pPr>
        <w:spacing w:line="360" w:lineRule="auto"/>
        <w:jc w:val="left"/>
        <w:rPr>
          <w:rFonts w:hint="eastAsia" w:ascii="宋体" w:hAnsi="宋体" w:eastAsia="宋体" w:cs="宋体"/>
          <w:b/>
          <w:color w:val="auto"/>
          <w:szCs w:val="21"/>
          <w:highlight w:val="none"/>
        </w:rPr>
      </w:pPr>
    </w:p>
    <w:p w14:paraId="1E4B9B82">
      <w:pPr>
        <w:spacing w:line="360" w:lineRule="auto"/>
        <w:jc w:val="left"/>
        <w:rPr>
          <w:rFonts w:hint="eastAsia" w:ascii="宋体" w:hAnsi="宋体" w:eastAsia="宋体" w:cs="宋体"/>
          <w:b/>
          <w:color w:val="auto"/>
          <w:szCs w:val="21"/>
          <w:highlight w:val="none"/>
        </w:rPr>
      </w:pPr>
    </w:p>
    <w:p w14:paraId="17215A7F">
      <w:pPr>
        <w:snapToGrid w:val="0"/>
        <w:spacing w:line="360" w:lineRule="auto"/>
        <w:ind w:left="5385" w:leftChars="1736" w:hanging="1739" w:hangingChars="825"/>
        <w:rPr>
          <w:rFonts w:hint="eastAsia" w:ascii="宋体" w:hAnsi="宋体" w:eastAsia="宋体" w:cs="宋体"/>
          <w:b w:val="0"/>
          <w:bCs/>
          <w:color w:val="auto"/>
          <w:kern w:val="0"/>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b w:val="0"/>
          <w:bCs/>
          <w:color w:val="auto"/>
          <w:kern w:val="0"/>
          <w:szCs w:val="21"/>
          <w:highlight w:val="none"/>
          <w:lang w:val="zh-CN"/>
        </w:rPr>
        <w:t>供应商名称(电子签章)：</w:t>
      </w:r>
      <w:r>
        <w:rPr>
          <w:rFonts w:hint="eastAsia" w:ascii="宋体" w:hAnsi="宋体" w:eastAsia="宋体" w:cs="宋体"/>
          <w:b w:val="0"/>
          <w:bCs/>
          <w:color w:val="auto"/>
          <w:kern w:val="0"/>
          <w:szCs w:val="21"/>
          <w:highlight w:val="none"/>
          <w:u w:val="single"/>
          <w:lang w:val="zh-CN"/>
        </w:rPr>
        <w:t xml:space="preserve">                </w:t>
      </w:r>
    </w:p>
    <w:p w14:paraId="104D42C8">
      <w:pPr>
        <w:snapToGrid w:val="0"/>
        <w:spacing w:line="360" w:lineRule="auto"/>
        <w:ind w:firstLine="5355" w:firstLineChars="2550"/>
        <w:rPr>
          <w:rFonts w:hint="eastAsia" w:ascii="宋体" w:hAnsi="宋体" w:eastAsia="宋体" w:cs="宋体"/>
          <w:b w:val="0"/>
          <w:bCs/>
          <w:color w:val="auto"/>
          <w:kern w:val="0"/>
          <w:szCs w:val="21"/>
          <w:highlight w:val="none"/>
          <w:lang w:val="zh-CN"/>
        </w:rPr>
      </w:pPr>
      <w:r>
        <w:rPr>
          <w:rFonts w:hint="eastAsia" w:ascii="宋体" w:hAnsi="宋体" w:eastAsia="宋体" w:cs="宋体"/>
          <w:b w:val="0"/>
          <w:bCs/>
          <w:color w:val="auto"/>
          <w:kern w:val="0"/>
          <w:szCs w:val="21"/>
          <w:highlight w:val="none"/>
          <w:lang w:val="zh-CN"/>
        </w:rPr>
        <w:t>日期</w:t>
      </w:r>
      <w:r>
        <w:rPr>
          <w:rFonts w:hint="eastAsia" w:ascii="宋体" w:hAnsi="宋体" w:eastAsia="宋体" w:cs="宋体"/>
          <w:b w:val="0"/>
          <w:bCs/>
          <w:color w:val="auto"/>
          <w:kern w:val="0"/>
          <w:szCs w:val="21"/>
          <w:highlight w:val="none"/>
        </w:rPr>
        <w:t xml:space="preserve">：  年  </w:t>
      </w:r>
      <w:r>
        <w:rPr>
          <w:rFonts w:hint="eastAsia" w:ascii="宋体" w:hAnsi="宋体" w:eastAsia="宋体" w:cs="宋体"/>
          <w:b w:val="0"/>
          <w:bCs/>
          <w:color w:val="auto"/>
          <w:kern w:val="0"/>
          <w:szCs w:val="21"/>
          <w:highlight w:val="none"/>
          <w:lang w:val="zh-CN"/>
        </w:rPr>
        <w:t>月</w:t>
      </w:r>
      <w:r>
        <w:rPr>
          <w:rFonts w:hint="eastAsia" w:ascii="宋体" w:hAnsi="宋体" w:eastAsia="宋体" w:cs="宋体"/>
          <w:b w:val="0"/>
          <w:bCs/>
          <w:color w:val="auto"/>
          <w:kern w:val="0"/>
          <w:szCs w:val="21"/>
          <w:highlight w:val="none"/>
        </w:rPr>
        <w:t xml:space="preserve">   </w:t>
      </w:r>
      <w:r>
        <w:rPr>
          <w:rFonts w:hint="eastAsia" w:ascii="宋体" w:hAnsi="宋体" w:eastAsia="宋体" w:cs="宋体"/>
          <w:b w:val="0"/>
          <w:bCs/>
          <w:color w:val="auto"/>
          <w:kern w:val="0"/>
          <w:szCs w:val="21"/>
          <w:highlight w:val="none"/>
          <w:lang w:val="zh-CN"/>
        </w:rPr>
        <w:t>日</w:t>
      </w:r>
    </w:p>
    <w:p w14:paraId="4E3CB5B2">
      <w:pPr>
        <w:spacing w:line="360" w:lineRule="auto"/>
        <w:ind w:left="5180" w:leftChars="1979" w:hanging="1024" w:hangingChars="488"/>
        <w:rPr>
          <w:rFonts w:hint="eastAsia" w:ascii="宋体" w:hAnsi="宋体" w:eastAsia="宋体" w:cs="宋体"/>
          <w:color w:val="auto"/>
          <w:szCs w:val="21"/>
          <w:highlight w:val="none"/>
        </w:rPr>
      </w:pPr>
    </w:p>
    <w:p w14:paraId="73AEAAE5">
      <w:pPr>
        <w:spacing w:line="360" w:lineRule="auto"/>
        <w:ind w:righ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请根据自己的真实情况出具《残疾人福利性单位声明函》。依法享受中小企业优惠政策的，采购人或者采购代理机构在公告入围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14:paraId="2708BB39">
      <w:pPr>
        <w:widowControl/>
        <w:spacing w:line="360" w:lineRule="auto"/>
        <w:jc w:val="left"/>
        <w:rPr>
          <w:rFonts w:hint="eastAsia" w:ascii="宋体" w:hAnsi="宋体" w:eastAsia="宋体" w:cs="宋体"/>
          <w:color w:val="auto"/>
          <w:sz w:val="20"/>
          <w:szCs w:val="24"/>
          <w:highlight w:val="none"/>
        </w:rPr>
        <w:sectPr>
          <w:pgSz w:w="11906" w:h="16838"/>
          <w:pgMar w:top="1134" w:right="1134" w:bottom="1134" w:left="1134" w:header="720" w:footer="720" w:gutter="0"/>
          <w:cols w:space="720" w:num="1"/>
          <w:docGrid w:type="lines" w:linePitch="331" w:charSpace="0"/>
        </w:sectPr>
      </w:pPr>
    </w:p>
    <w:p w14:paraId="1F465580">
      <w:pPr>
        <w:jc w:val="center"/>
        <w:rPr>
          <w:rFonts w:hint="eastAsia" w:ascii="宋体" w:hAnsi="宋体" w:eastAsia="宋体" w:cs="宋体"/>
          <w:b/>
          <w:bCs/>
          <w:color w:val="auto"/>
          <w:sz w:val="30"/>
          <w:szCs w:val="30"/>
          <w:highlight w:val="none"/>
        </w:rPr>
      </w:pPr>
    </w:p>
    <w:p w14:paraId="0981E8BC">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十、</w:t>
      </w:r>
      <w:r>
        <w:rPr>
          <w:rFonts w:hint="eastAsia" w:ascii="宋体" w:hAnsi="宋体" w:eastAsia="宋体" w:cs="宋体"/>
          <w:b/>
          <w:bCs/>
          <w:color w:val="auto"/>
          <w:sz w:val="30"/>
          <w:szCs w:val="30"/>
          <w:highlight w:val="none"/>
        </w:rPr>
        <w:t>供应商认为需要提供的其他证明材料（如有）</w:t>
      </w:r>
    </w:p>
    <w:p w14:paraId="21468AF9">
      <w:pPr>
        <w:pStyle w:val="8"/>
        <w:rPr>
          <w:rFonts w:hint="eastAsia" w:ascii="宋体" w:hAnsi="宋体" w:eastAsia="宋体" w:cs="宋体"/>
          <w:color w:val="auto"/>
          <w:highlight w:val="none"/>
        </w:rPr>
      </w:pPr>
    </w:p>
    <w:p w14:paraId="048543CE">
      <w:pPr>
        <w:rPr>
          <w:rFonts w:hint="eastAsia" w:ascii="宋体" w:hAnsi="宋体" w:eastAsia="宋体" w:cs="宋体"/>
          <w:color w:val="auto"/>
          <w:highlight w:val="none"/>
        </w:rPr>
      </w:pPr>
    </w:p>
    <w:p w14:paraId="7554189F">
      <w:pPr>
        <w:pStyle w:val="3"/>
        <w:rPr>
          <w:rFonts w:hint="eastAsia" w:ascii="宋体" w:hAnsi="宋体" w:eastAsia="宋体" w:cs="宋体"/>
          <w:color w:val="auto"/>
          <w:highlight w:val="none"/>
        </w:rPr>
      </w:pPr>
    </w:p>
    <w:p w14:paraId="336115DB">
      <w:pPr>
        <w:rPr>
          <w:rFonts w:hint="eastAsia" w:ascii="宋体" w:hAnsi="宋体" w:eastAsia="宋体" w:cs="宋体"/>
          <w:color w:val="auto"/>
          <w:highlight w:val="none"/>
        </w:rPr>
      </w:pPr>
    </w:p>
    <w:p w14:paraId="134624CA">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供应商名称(电子签章)：</w:t>
      </w:r>
    </w:p>
    <w:p w14:paraId="62065A7F">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9D24D5F">
      <w:pPr>
        <w:pStyle w:val="8"/>
        <w:rPr>
          <w:rFonts w:hint="eastAsia" w:ascii="宋体" w:hAnsi="宋体" w:eastAsia="宋体" w:cs="宋体"/>
          <w:color w:val="auto"/>
          <w:highlight w:val="none"/>
        </w:rPr>
        <w:sectPr>
          <w:pgSz w:w="11906" w:h="16838"/>
          <w:pgMar w:top="1134" w:right="1134" w:bottom="1134" w:left="1134" w:header="720" w:footer="720" w:gutter="0"/>
          <w:pgNumType w:fmt="decimal"/>
          <w:cols w:space="720" w:num="1"/>
          <w:docGrid w:type="lines" w:linePitch="331" w:charSpace="0"/>
        </w:sectPr>
      </w:pPr>
    </w:p>
    <w:p w14:paraId="1115521E">
      <w:pPr>
        <w:pStyle w:val="16"/>
        <w:jc w:val="center"/>
        <w:rPr>
          <w:rFonts w:hint="eastAsia" w:hAnsi="宋体" w:cs="宋体"/>
          <w:color w:val="auto"/>
          <w:szCs w:val="21"/>
          <w:highlight w:val="none"/>
        </w:rPr>
      </w:pPr>
    </w:p>
    <w:p w14:paraId="43BFA1BA">
      <w:pPr>
        <w:pStyle w:val="16"/>
        <w:jc w:val="center"/>
        <w:outlineLvl w:val="1"/>
        <w:rPr>
          <w:rFonts w:hint="eastAsia" w:hAnsi="宋体" w:cs="宋体"/>
          <w:b/>
          <w:bCs/>
          <w:color w:val="auto"/>
          <w:sz w:val="28"/>
          <w:szCs w:val="28"/>
          <w:highlight w:val="none"/>
        </w:rPr>
      </w:pPr>
      <w:bookmarkStart w:id="98" w:name="_Toc17397"/>
      <w:bookmarkStart w:id="99" w:name="_Toc19686838"/>
      <w:bookmarkStart w:id="100" w:name="_Toc80093013"/>
    </w:p>
    <w:p w14:paraId="30E9FD40">
      <w:pPr>
        <w:pStyle w:val="6"/>
        <w:rPr>
          <w:rFonts w:hint="eastAsia"/>
          <w:color w:val="auto"/>
          <w:highlight w:val="none"/>
        </w:rPr>
      </w:pPr>
    </w:p>
    <w:p w14:paraId="4FCF6C7F">
      <w:pPr>
        <w:pStyle w:val="16"/>
        <w:jc w:val="center"/>
        <w:outlineLvl w:val="1"/>
        <w:rPr>
          <w:rFonts w:hint="eastAsia" w:hAnsi="宋体" w:cs="宋体"/>
          <w:b/>
          <w:bCs/>
          <w:color w:val="auto"/>
          <w:sz w:val="28"/>
          <w:szCs w:val="28"/>
          <w:highlight w:val="none"/>
        </w:rPr>
      </w:pPr>
      <w:bookmarkStart w:id="101" w:name="_Toc6793"/>
      <w:r>
        <w:rPr>
          <w:rFonts w:hint="eastAsia" w:hAnsi="宋体" w:cs="宋体"/>
          <w:b/>
          <w:bCs/>
          <w:color w:val="auto"/>
          <w:sz w:val="28"/>
          <w:szCs w:val="28"/>
          <w:highlight w:val="none"/>
        </w:rPr>
        <w:t>第三节 商务文件格式</w:t>
      </w:r>
      <w:bookmarkEnd w:id="98"/>
      <w:bookmarkEnd w:id="99"/>
      <w:bookmarkEnd w:id="100"/>
      <w:bookmarkEnd w:id="101"/>
    </w:p>
    <w:p w14:paraId="0594E391">
      <w:pPr>
        <w:snapToGrid w:val="0"/>
        <w:spacing w:before="165" w:beforeLines="50" w:after="50"/>
        <w:rPr>
          <w:rFonts w:hint="eastAsia" w:ascii="宋体" w:hAnsi="宋体" w:cs="宋体"/>
          <w:color w:val="auto"/>
          <w:sz w:val="30"/>
          <w:szCs w:val="20"/>
          <w:highlight w:val="none"/>
        </w:rPr>
      </w:pPr>
    </w:p>
    <w:p w14:paraId="05F2786F">
      <w:pPr>
        <w:snapToGrid w:val="0"/>
        <w:spacing w:before="165" w:beforeLines="50" w:after="50"/>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电子响应文件</w:t>
      </w:r>
    </w:p>
    <w:p w14:paraId="6D6098DE">
      <w:pPr>
        <w:snapToGrid w:val="0"/>
        <w:spacing w:before="165" w:beforeLines="50" w:after="50"/>
        <w:rPr>
          <w:rFonts w:hint="eastAsia" w:ascii="宋体" w:hAnsi="宋体" w:cs="宋体"/>
          <w:color w:val="auto"/>
          <w:sz w:val="24"/>
          <w:szCs w:val="20"/>
          <w:highlight w:val="none"/>
        </w:rPr>
      </w:pPr>
    </w:p>
    <w:p w14:paraId="333ED7CB">
      <w:pPr>
        <w:snapToGrid w:val="0"/>
        <w:spacing w:before="165" w:beforeLines="50" w:after="50"/>
        <w:jc w:val="center"/>
        <w:rPr>
          <w:rFonts w:hint="eastAsia"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2BBA219E">
      <w:pPr>
        <w:snapToGrid w:val="0"/>
        <w:spacing w:before="165" w:beforeLines="50" w:after="50"/>
        <w:rPr>
          <w:rFonts w:hint="eastAsia" w:ascii="宋体" w:hAnsi="宋体" w:cs="宋体"/>
          <w:bCs/>
          <w:color w:val="auto"/>
          <w:sz w:val="24"/>
          <w:szCs w:val="20"/>
          <w:highlight w:val="none"/>
        </w:rPr>
      </w:pPr>
    </w:p>
    <w:p w14:paraId="658E2926">
      <w:pPr>
        <w:pStyle w:val="6"/>
        <w:rPr>
          <w:rFonts w:hint="eastAsia"/>
          <w:color w:val="auto"/>
          <w:highlight w:val="none"/>
        </w:rPr>
      </w:pPr>
    </w:p>
    <w:p w14:paraId="37D73A4B">
      <w:pPr>
        <w:snapToGrid w:val="0"/>
        <w:spacing w:before="165" w:beforeLines="50" w:after="50"/>
        <w:ind w:firstLine="540" w:firstLineChars="225"/>
        <w:rPr>
          <w:rFonts w:hint="eastAsia" w:ascii="宋体" w:hAnsi="宋体" w:cs="宋体"/>
          <w:bCs/>
          <w:color w:val="auto"/>
          <w:sz w:val="24"/>
          <w:highlight w:val="none"/>
        </w:rPr>
      </w:pPr>
    </w:p>
    <w:p w14:paraId="1B06A73D">
      <w:pPr>
        <w:snapToGrid w:val="0"/>
        <w:spacing w:before="165" w:beforeLines="50" w:after="50"/>
        <w:ind w:firstLine="540" w:firstLineChars="225"/>
        <w:rPr>
          <w:rFonts w:hint="eastAsia" w:ascii="宋体" w:hAnsi="宋体" w:cs="宋体" w:eastAsiaTheme="minorEastAsia"/>
          <w:bCs/>
          <w:color w:val="auto"/>
          <w:sz w:val="24"/>
          <w:highlight w:val="none"/>
          <w:lang w:eastAsia="zh-CN"/>
        </w:rPr>
      </w:pPr>
      <w:r>
        <w:rPr>
          <w:rFonts w:hint="eastAsia" w:ascii="宋体" w:hAnsi="宋体" w:cs="宋体"/>
          <w:bCs/>
          <w:color w:val="auto"/>
          <w:sz w:val="24"/>
          <w:highlight w:val="none"/>
        </w:rPr>
        <w:t>项目名称：</w:t>
      </w:r>
      <w:r>
        <w:rPr>
          <w:rFonts w:hint="eastAsia" w:ascii="宋体" w:hAnsi="宋体" w:cs="宋体"/>
          <w:color w:val="auto"/>
          <w:szCs w:val="21"/>
          <w:highlight w:val="none"/>
          <w:lang w:eastAsia="zh-CN"/>
        </w:rPr>
        <w:t>广西—东盟经济技术开发区2025-2027年度预算单位车辆维修和保养服务框架协议采购</w:t>
      </w:r>
    </w:p>
    <w:p w14:paraId="7CC17F08">
      <w:pPr>
        <w:snapToGrid w:val="0"/>
        <w:spacing w:before="165" w:beforeLines="50" w:after="50"/>
        <w:ind w:firstLine="540" w:firstLineChars="225"/>
        <w:rPr>
          <w:rFonts w:hint="eastAsia" w:ascii="宋体" w:hAnsi="宋体" w:cs="宋体"/>
          <w:bCs/>
          <w:color w:val="auto"/>
          <w:sz w:val="24"/>
          <w:highlight w:val="none"/>
        </w:rPr>
      </w:pPr>
    </w:p>
    <w:p w14:paraId="12212575">
      <w:pPr>
        <w:snapToGrid w:val="0"/>
        <w:spacing w:before="165" w:beforeLines="50" w:after="50"/>
        <w:ind w:firstLine="540" w:firstLineChars="225"/>
        <w:rPr>
          <w:rFonts w:hint="eastAsia" w:ascii="宋体" w:hAnsi="宋体" w:cs="宋体" w:eastAsiaTheme="minorEastAsia"/>
          <w:bCs/>
          <w:color w:val="auto"/>
          <w:sz w:val="24"/>
          <w:highlight w:val="none"/>
          <w:lang w:eastAsia="zh-CN"/>
        </w:rPr>
      </w:pPr>
      <w:r>
        <w:rPr>
          <w:rFonts w:hint="eastAsia" w:ascii="宋体" w:hAnsi="宋体" w:cs="宋体"/>
          <w:bCs/>
          <w:color w:val="auto"/>
          <w:sz w:val="24"/>
          <w:highlight w:val="none"/>
        </w:rPr>
        <w:t>项目编号：</w:t>
      </w:r>
      <w:r>
        <w:rPr>
          <w:rFonts w:hint="eastAsia" w:ascii="宋体" w:hAnsi="宋体" w:cs="宋体"/>
          <w:bCs/>
          <w:color w:val="auto"/>
          <w:sz w:val="24"/>
          <w:highlight w:val="none"/>
          <w:lang w:eastAsia="zh-CN"/>
        </w:rPr>
        <w:t>NNZC2025-K3-510013-GXJL</w:t>
      </w:r>
    </w:p>
    <w:p w14:paraId="1B2CD6F8">
      <w:pPr>
        <w:snapToGrid w:val="0"/>
        <w:spacing w:before="165" w:beforeLines="50" w:after="50"/>
        <w:ind w:firstLine="540" w:firstLineChars="225"/>
        <w:rPr>
          <w:rFonts w:hint="eastAsia" w:ascii="宋体" w:hAnsi="宋体" w:cs="宋体"/>
          <w:bCs/>
          <w:color w:val="auto"/>
          <w:sz w:val="24"/>
          <w:szCs w:val="20"/>
          <w:highlight w:val="none"/>
        </w:rPr>
      </w:pPr>
      <w:r>
        <w:rPr>
          <w:rFonts w:hint="eastAsia" w:ascii="宋体" w:hAnsi="宋体" w:cs="宋体"/>
          <w:bCs/>
          <w:color w:val="auto"/>
          <w:sz w:val="24"/>
          <w:highlight w:val="none"/>
        </w:rPr>
        <w:t xml:space="preserve"> </w:t>
      </w:r>
    </w:p>
    <w:p w14:paraId="139C891D">
      <w:pPr>
        <w:snapToGrid w:val="0"/>
        <w:spacing w:before="165" w:beforeLines="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所投分标：</w:t>
      </w:r>
    </w:p>
    <w:p w14:paraId="77C40BE0">
      <w:pPr>
        <w:snapToGrid w:val="0"/>
        <w:spacing w:before="165" w:beforeLines="50" w:after="50"/>
        <w:ind w:firstLine="540" w:firstLineChars="225"/>
        <w:rPr>
          <w:rFonts w:hint="eastAsia" w:ascii="宋体" w:hAnsi="宋体" w:cs="宋体"/>
          <w:bCs/>
          <w:color w:val="auto"/>
          <w:sz w:val="24"/>
          <w:szCs w:val="20"/>
          <w:highlight w:val="none"/>
        </w:rPr>
      </w:pPr>
    </w:p>
    <w:p w14:paraId="2A2DC39A">
      <w:pPr>
        <w:pStyle w:val="11"/>
        <w:snapToGrid w:val="0"/>
        <w:spacing w:before="50" w:after="50"/>
        <w:ind w:firstLine="540" w:firstLineChars="225"/>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供应商名称：</w:t>
      </w:r>
    </w:p>
    <w:p w14:paraId="53155E1E">
      <w:pPr>
        <w:pStyle w:val="11"/>
        <w:snapToGrid w:val="0"/>
        <w:spacing w:before="50" w:after="50"/>
        <w:ind w:firstLine="540" w:firstLineChars="225"/>
        <w:rPr>
          <w:rFonts w:hint="eastAsia" w:ascii="宋体" w:hAnsi="宋体" w:cs="宋体"/>
          <w:bCs/>
          <w:color w:val="auto"/>
          <w:sz w:val="24"/>
          <w:szCs w:val="24"/>
          <w:highlight w:val="none"/>
        </w:rPr>
      </w:pPr>
    </w:p>
    <w:p w14:paraId="448A538C">
      <w:pPr>
        <w:pStyle w:val="11"/>
        <w:snapToGrid w:val="0"/>
        <w:spacing w:before="50" w:after="50"/>
        <w:ind w:firstLine="540" w:firstLineChars="225"/>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供应商地址：</w:t>
      </w:r>
    </w:p>
    <w:p w14:paraId="1C4EB240">
      <w:pPr>
        <w:pStyle w:val="11"/>
        <w:snapToGrid w:val="0"/>
        <w:spacing w:before="50" w:after="50"/>
        <w:ind w:firstLine="960" w:firstLineChars="400"/>
        <w:rPr>
          <w:rFonts w:hint="eastAsia" w:ascii="宋体" w:hAnsi="宋体" w:cs="宋体"/>
          <w:bCs/>
          <w:color w:val="auto"/>
          <w:sz w:val="24"/>
          <w:szCs w:val="24"/>
          <w:highlight w:val="none"/>
        </w:rPr>
      </w:pPr>
    </w:p>
    <w:p w14:paraId="35845070">
      <w:pPr>
        <w:snapToGrid w:val="0"/>
        <w:spacing w:before="165" w:beforeLines="50" w:after="50"/>
        <w:ind w:firstLine="645"/>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47798589">
      <w:pPr>
        <w:snapToGrid w:val="0"/>
        <w:spacing w:before="165" w:beforeLines="50" w:after="50"/>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w:t>
      </w:r>
    </w:p>
    <w:p w14:paraId="448C3533">
      <w:pPr>
        <w:spacing w:line="360" w:lineRule="auto"/>
        <w:ind w:right="420"/>
        <w:rPr>
          <w:rFonts w:hint="eastAsia" w:ascii="宋体" w:hAnsi="宋体" w:cs="宋体"/>
          <w:color w:val="auto"/>
          <w:sz w:val="24"/>
          <w:szCs w:val="20"/>
          <w:highlight w:val="none"/>
        </w:rPr>
      </w:pPr>
    </w:p>
    <w:p w14:paraId="3BA76ADF">
      <w:pPr>
        <w:spacing w:line="360" w:lineRule="auto"/>
        <w:ind w:right="420"/>
        <w:rPr>
          <w:rFonts w:hint="eastAsia" w:ascii="宋体" w:hAnsi="宋体" w:cs="宋体"/>
          <w:color w:val="auto"/>
          <w:sz w:val="24"/>
          <w:szCs w:val="20"/>
          <w:highlight w:val="none"/>
        </w:rPr>
      </w:pPr>
    </w:p>
    <w:p w14:paraId="31E2C4F0">
      <w:pPr>
        <w:spacing w:line="360" w:lineRule="auto"/>
        <w:ind w:right="420"/>
        <w:rPr>
          <w:rFonts w:hint="eastAsia" w:ascii="宋体" w:hAnsi="宋体" w:cs="宋体"/>
          <w:color w:val="auto"/>
          <w:sz w:val="24"/>
          <w:szCs w:val="20"/>
          <w:highlight w:val="none"/>
        </w:rPr>
      </w:pPr>
    </w:p>
    <w:p w14:paraId="6254B4DB">
      <w:pPr>
        <w:spacing w:line="360" w:lineRule="auto"/>
        <w:ind w:right="420"/>
        <w:rPr>
          <w:rFonts w:hint="eastAsia" w:ascii="宋体" w:hAnsi="宋体" w:cs="宋体"/>
          <w:color w:val="auto"/>
          <w:sz w:val="24"/>
          <w:szCs w:val="20"/>
          <w:highlight w:val="none"/>
        </w:rPr>
      </w:pPr>
    </w:p>
    <w:p w14:paraId="7BE33A63">
      <w:pPr>
        <w:spacing w:line="360" w:lineRule="auto"/>
        <w:ind w:right="420"/>
        <w:rPr>
          <w:rFonts w:hint="eastAsia" w:ascii="宋体" w:hAnsi="宋体" w:cs="宋体"/>
          <w:color w:val="auto"/>
          <w:sz w:val="24"/>
          <w:szCs w:val="20"/>
          <w:highlight w:val="none"/>
        </w:rPr>
      </w:pPr>
    </w:p>
    <w:p w14:paraId="64E3801C">
      <w:pPr>
        <w:spacing w:line="360" w:lineRule="auto"/>
        <w:ind w:right="420"/>
        <w:rPr>
          <w:rFonts w:hint="eastAsia" w:ascii="宋体" w:hAnsi="宋体" w:cs="宋体"/>
          <w:color w:val="auto"/>
          <w:sz w:val="24"/>
          <w:szCs w:val="20"/>
          <w:highlight w:val="none"/>
        </w:rPr>
      </w:pPr>
    </w:p>
    <w:p w14:paraId="1B025822">
      <w:pPr>
        <w:spacing w:line="360" w:lineRule="auto"/>
        <w:ind w:right="420"/>
        <w:rPr>
          <w:rFonts w:hint="eastAsia" w:ascii="宋体" w:hAnsi="宋体" w:cs="宋体"/>
          <w:color w:val="auto"/>
          <w:sz w:val="24"/>
          <w:szCs w:val="20"/>
          <w:highlight w:val="none"/>
        </w:rPr>
      </w:pPr>
    </w:p>
    <w:p w14:paraId="44098217">
      <w:pPr>
        <w:spacing w:line="360" w:lineRule="auto"/>
        <w:ind w:right="420"/>
        <w:rPr>
          <w:rFonts w:hint="eastAsia" w:ascii="宋体" w:hAnsi="宋体" w:cs="宋体"/>
          <w:color w:val="auto"/>
          <w:sz w:val="24"/>
          <w:szCs w:val="20"/>
          <w:highlight w:val="none"/>
        </w:rPr>
      </w:pPr>
    </w:p>
    <w:p w14:paraId="041CA6BC">
      <w:pPr>
        <w:spacing w:line="360" w:lineRule="auto"/>
        <w:ind w:right="420"/>
        <w:rPr>
          <w:rFonts w:hint="eastAsia" w:ascii="宋体" w:hAnsi="宋体" w:cs="宋体"/>
          <w:color w:val="auto"/>
          <w:sz w:val="24"/>
          <w:szCs w:val="20"/>
          <w:highlight w:val="none"/>
        </w:rPr>
      </w:pPr>
    </w:p>
    <w:p w14:paraId="11A14DCA">
      <w:pPr>
        <w:spacing w:line="360" w:lineRule="auto"/>
        <w:ind w:right="420"/>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0DAE5984">
      <w:pPr>
        <w:pStyle w:val="3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一、无串</w:t>
      </w:r>
      <w:r>
        <w:rPr>
          <w:rFonts w:hint="eastAsia" w:ascii="宋体" w:hAnsi="宋体" w:eastAsia="宋体" w:cs="宋体"/>
          <w:color w:val="auto"/>
          <w:sz w:val="21"/>
          <w:szCs w:val="21"/>
          <w:highlight w:val="none"/>
          <w:lang w:val="en-US" w:eastAsia="zh-CN"/>
        </w:rPr>
        <w:t>通响应</w:t>
      </w:r>
      <w:r>
        <w:rPr>
          <w:rFonts w:hint="eastAsia" w:ascii="宋体" w:hAnsi="宋体" w:eastAsia="宋体" w:cs="宋体"/>
          <w:color w:val="auto"/>
          <w:sz w:val="21"/>
          <w:szCs w:val="21"/>
          <w:highlight w:val="none"/>
        </w:rPr>
        <w:t>行为承诺函…………………………………………………………………………（页码）</w:t>
      </w:r>
    </w:p>
    <w:p w14:paraId="46871D30">
      <w:pPr>
        <w:pStyle w:val="3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二、法定代表人身份证明及法定代表人有效身份证正反面复印件………………………………（页码）</w:t>
      </w:r>
    </w:p>
    <w:p w14:paraId="5A2D5364">
      <w:pPr>
        <w:pStyle w:val="3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三、法定代表人授权委托书（如有委托时）………………………………………………………（页码）</w:t>
      </w:r>
    </w:p>
    <w:p w14:paraId="6B7EECD6">
      <w:pPr>
        <w:pStyle w:val="3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r>
        <w:rPr>
          <w:rFonts w:hint="eastAsia" w:ascii="宋体" w:hAnsi="宋体" w:eastAsia="宋体" w:cs="宋体"/>
          <w:color w:val="auto"/>
          <w:sz w:val="21"/>
          <w:szCs w:val="21"/>
          <w:highlight w:val="none"/>
          <w:lang w:val="zh-CN"/>
        </w:rPr>
        <w:t>商务条款偏离表………………………………</w:t>
      </w:r>
      <w:r>
        <w:rPr>
          <w:rFonts w:hint="eastAsia" w:ascii="宋体" w:hAnsi="宋体" w:eastAsia="宋体" w:cs="宋体"/>
          <w:color w:val="auto"/>
          <w:sz w:val="21"/>
          <w:szCs w:val="21"/>
          <w:highlight w:val="none"/>
        </w:rPr>
        <w:t>…………………………………………………（页码）</w:t>
      </w:r>
    </w:p>
    <w:p w14:paraId="7CFCD136">
      <w:pPr>
        <w:pStyle w:val="33"/>
        <w:spacing w:line="360" w:lineRule="auto"/>
        <w:rPr>
          <w:rFonts w:hint="eastAsia" w:ascii="宋体" w:hAnsi="宋体" w:eastAsia="宋体" w:cs="宋体"/>
          <w:color w:val="auto"/>
          <w:sz w:val="21"/>
          <w:szCs w:val="21"/>
          <w:highlight w:val="none"/>
        </w:rPr>
      </w:pPr>
      <w:bookmarkStart w:id="102" w:name="OLE_LINK7"/>
      <w:bookmarkStart w:id="103" w:name="OLE_LINK6"/>
      <w:bookmarkStart w:id="104" w:name="OLE_LINK5"/>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val="en-US" w:eastAsia="zh-CN"/>
        </w:rPr>
        <w:t>经营场地</w:t>
      </w:r>
      <w:r>
        <w:rPr>
          <w:rFonts w:hint="eastAsia" w:ascii="宋体" w:hAnsi="宋体" w:eastAsia="宋体" w:cs="宋体"/>
          <w:color w:val="auto"/>
          <w:sz w:val="21"/>
          <w:szCs w:val="21"/>
          <w:highlight w:val="none"/>
        </w:rPr>
        <w:t>…………………………………………………………………………………………（页码）</w:t>
      </w:r>
    </w:p>
    <w:p w14:paraId="6703C7CB">
      <w:pPr>
        <w:pStyle w:val="3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技术工人配备</w:t>
      </w:r>
      <w:r>
        <w:rPr>
          <w:rFonts w:hint="eastAsia" w:ascii="宋体" w:hAnsi="宋体" w:eastAsia="宋体" w:cs="宋体"/>
          <w:color w:val="auto"/>
          <w:sz w:val="21"/>
          <w:szCs w:val="21"/>
          <w:highlight w:val="none"/>
        </w:rPr>
        <w:t>……………………………………………………………………………………（页码）</w:t>
      </w:r>
    </w:p>
    <w:p w14:paraId="72E95738">
      <w:pPr>
        <w:pStyle w:val="3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主要维修检测设备一览表</w:t>
      </w:r>
      <w:r>
        <w:rPr>
          <w:rFonts w:hint="eastAsia" w:ascii="宋体" w:hAnsi="宋体" w:eastAsia="宋体" w:cs="宋体"/>
          <w:color w:val="auto"/>
          <w:sz w:val="21"/>
          <w:szCs w:val="21"/>
          <w:highlight w:val="none"/>
        </w:rPr>
        <w:t>………………………………………………………………………（页码）</w:t>
      </w:r>
    </w:p>
    <w:p w14:paraId="14DF3379">
      <w:pPr>
        <w:pStyle w:val="3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供应商维修资格</w:t>
      </w:r>
      <w:r>
        <w:rPr>
          <w:rFonts w:hint="eastAsia" w:ascii="宋体" w:hAnsi="宋体" w:eastAsia="宋体" w:cs="宋体"/>
          <w:color w:val="auto"/>
          <w:sz w:val="21"/>
          <w:szCs w:val="21"/>
          <w:highlight w:val="none"/>
        </w:rPr>
        <w:t>…………………………………………………………………………………（页码）</w:t>
      </w:r>
    </w:p>
    <w:bookmarkEnd w:id="102"/>
    <w:bookmarkEnd w:id="103"/>
    <w:p w14:paraId="165ED1D8">
      <w:pPr>
        <w:pStyle w:val="3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九、供应商类似项目业绩证明材料</w:t>
      </w:r>
      <w:r>
        <w:rPr>
          <w:rFonts w:hint="eastAsia" w:ascii="宋体" w:hAnsi="宋体" w:eastAsia="宋体" w:cs="宋体"/>
          <w:color w:val="auto"/>
          <w:sz w:val="21"/>
          <w:szCs w:val="21"/>
          <w:highlight w:val="none"/>
        </w:rPr>
        <w:t>…………………………………………………………………（页码）</w:t>
      </w:r>
    </w:p>
    <w:p w14:paraId="6B6C81CF">
      <w:pPr>
        <w:pStyle w:val="33"/>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供应商基本情况表</w:t>
      </w:r>
      <w:r>
        <w:rPr>
          <w:rFonts w:hint="eastAsia" w:ascii="宋体" w:hAnsi="宋体" w:eastAsia="宋体" w:cs="宋体"/>
          <w:color w:val="auto"/>
          <w:sz w:val="21"/>
          <w:szCs w:val="21"/>
          <w:highlight w:val="none"/>
        </w:rPr>
        <w:t>…………………………………………………………………………………（页码）</w:t>
      </w:r>
    </w:p>
    <w:p w14:paraId="0592A782">
      <w:pPr>
        <w:pStyle w:val="33"/>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十一、</w:t>
      </w:r>
      <w:r>
        <w:rPr>
          <w:rFonts w:hint="eastAsia" w:ascii="宋体" w:hAnsi="宋体" w:eastAsia="宋体" w:cs="宋体"/>
          <w:color w:val="auto"/>
          <w:sz w:val="21"/>
          <w:szCs w:val="21"/>
          <w:highlight w:val="none"/>
        </w:rPr>
        <w:t>其他商务文件或说明</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…（页码）</w:t>
      </w:r>
    </w:p>
    <w:bookmarkEnd w:id="104"/>
    <w:p w14:paraId="08467B8A">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注：以上目录是基本格式要求，各供应商可根据自身情况进一步向下增加内容或细化。</w:t>
      </w:r>
    </w:p>
    <w:p w14:paraId="45958F21">
      <w:pPr>
        <w:snapToGrid w:val="0"/>
        <w:spacing w:line="360" w:lineRule="auto"/>
        <w:ind w:firstLine="420" w:firstLineChars="200"/>
        <w:jc w:val="left"/>
        <w:rPr>
          <w:rFonts w:hint="eastAsia" w:ascii="宋体" w:hAnsi="宋体" w:eastAsia="宋体" w:cs="宋体"/>
          <w:color w:val="auto"/>
          <w:sz w:val="21"/>
          <w:szCs w:val="21"/>
          <w:highlight w:val="none"/>
        </w:rPr>
        <w:sectPr>
          <w:pgSz w:w="11906" w:h="16838"/>
          <w:pgMar w:top="1134" w:right="1134" w:bottom="1134" w:left="1134" w:header="720" w:footer="720" w:gutter="0"/>
          <w:pgNumType w:fmt="decimal"/>
          <w:cols w:space="720" w:num="1"/>
          <w:docGrid w:type="lines" w:linePitch="331" w:charSpace="0"/>
        </w:sectPr>
      </w:pPr>
    </w:p>
    <w:p w14:paraId="265A73AA">
      <w:pPr>
        <w:snapToGrid w:val="0"/>
        <w:spacing w:before="165" w:beforeLines="50" w:after="50"/>
        <w:ind w:left="420"/>
        <w:jc w:val="center"/>
        <w:rPr>
          <w:rFonts w:hint="eastAsia" w:ascii="宋体" w:hAnsi="宋体" w:cs="宋体"/>
          <w:b/>
          <w:bCs/>
          <w:color w:val="auto"/>
          <w:sz w:val="30"/>
          <w:szCs w:val="30"/>
          <w:highlight w:val="none"/>
        </w:rPr>
      </w:pPr>
    </w:p>
    <w:p w14:paraId="64097F5C">
      <w:pPr>
        <w:snapToGrid w:val="0"/>
        <w:spacing w:before="165" w:beforeLines="50" w:after="50"/>
        <w:ind w:left="42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一、无串</w:t>
      </w:r>
      <w:r>
        <w:rPr>
          <w:rFonts w:hint="eastAsia" w:ascii="宋体" w:hAnsi="宋体" w:cs="宋体"/>
          <w:b/>
          <w:bCs/>
          <w:color w:val="auto"/>
          <w:sz w:val="30"/>
          <w:szCs w:val="30"/>
          <w:highlight w:val="none"/>
          <w:lang w:val="en-US" w:eastAsia="zh-CN"/>
        </w:rPr>
        <w:t>通响应</w:t>
      </w:r>
      <w:r>
        <w:rPr>
          <w:rFonts w:hint="eastAsia" w:ascii="宋体" w:hAnsi="宋体" w:cs="宋体"/>
          <w:b/>
          <w:bCs/>
          <w:color w:val="auto"/>
          <w:sz w:val="30"/>
          <w:szCs w:val="30"/>
          <w:highlight w:val="none"/>
        </w:rPr>
        <w:t>行为承诺函</w:t>
      </w:r>
    </w:p>
    <w:p w14:paraId="0FAAC11B">
      <w:pPr>
        <w:snapToGrid w:val="0"/>
        <w:spacing w:before="165" w:beforeLines="50" w:after="50"/>
        <w:ind w:left="42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供应商参加本项目无围标串</w:t>
      </w:r>
      <w:r>
        <w:rPr>
          <w:rFonts w:hint="eastAsia" w:ascii="宋体" w:hAnsi="宋体" w:cs="宋体"/>
          <w:b/>
          <w:color w:val="auto"/>
          <w:sz w:val="32"/>
          <w:szCs w:val="32"/>
          <w:highlight w:val="none"/>
          <w:lang w:val="en-US" w:eastAsia="zh-CN"/>
        </w:rPr>
        <w:t>通响应</w:t>
      </w:r>
      <w:r>
        <w:rPr>
          <w:rFonts w:hint="eastAsia" w:ascii="宋体" w:hAnsi="宋体" w:cs="宋体"/>
          <w:b/>
          <w:color w:val="auto"/>
          <w:sz w:val="32"/>
          <w:szCs w:val="32"/>
          <w:highlight w:val="none"/>
        </w:rPr>
        <w:t>行为的承诺函</w:t>
      </w:r>
    </w:p>
    <w:p w14:paraId="5AAE9B9E">
      <w:pPr>
        <w:snapToGrid w:val="0"/>
        <w:spacing w:before="165" w:beforeLines="50" w:after="50"/>
        <w:rPr>
          <w:rFonts w:hint="eastAsia" w:ascii="宋体" w:hAnsi="宋体" w:cs="宋体"/>
          <w:b/>
          <w:color w:val="auto"/>
          <w:szCs w:val="21"/>
          <w:highlight w:val="none"/>
        </w:rPr>
      </w:pPr>
    </w:p>
    <w:p w14:paraId="2ECB55C1">
      <w:pPr>
        <w:snapToGrid w:val="0"/>
        <w:spacing w:before="165" w:beforeLines="50" w:after="50"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一、我方承诺无下列相互串通响应的情形：</w:t>
      </w:r>
    </w:p>
    <w:p w14:paraId="266F29E2">
      <w:pPr>
        <w:snapToGrid w:val="0"/>
        <w:spacing w:before="165"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14:paraId="6BF962F1">
      <w:pPr>
        <w:snapToGrid w:val="0"/>
        <w:spacing w:before="165"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2.不同供应商委托同一单位或者个人办理响应事宜；</w:t>
      </w:r>
    </w:p>
    <w:p w14:paraId="17DEA130">
      <w:pPr>
        <w:snapToGrid w:val="0"/>
        <w:spacing w:before="165"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BD3C099">
      <w:pPr>
        <w:snapToGrid w:val="0"/>
        <w:spacing w:before="165"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4.不同供应商的响应文件异常一致或者响应报价呈规律性差异；</w:t>
      </w:r>
    </w:p>
    <w:p w14:paraId="7B57C504">
      <w:pPr>
        <w:snapToGrid w:val="0"/>
        <w:spacing w:before="165"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046A8727">
      <w:pPr>
        <w:snapToGrid w:val="0"/>
        <w:spacing w:before="165"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6.不同供应商的响应保证金从同一单位或者个人账户转出。</w:t>
      </w:r>
    </w:p>
    <w:p w14:paraId="026050C4">
      <w:pPr>
        <w:snapToGrid w:val="0"/>
        <w:spacing w:before="165" w:beforeLines="50" w:after="50" w:line="360" w:lineRule="auto"/>
        <w:jc w:val="left"/>
        <w:rPr>
          <w:rFonts w:hint="eastAsia"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5E9671D1">
      <w:pPr>
        <w:snapToGrid w:val="0"/>
        <w:spacing w:before="165"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1.供应商直接或者间接从采购人或者采购代理机构处获得其他供应商的相关信息并修改其响应文件或者响应文件；</w:t>
      </w:r>
    </w:p>
    <w:p w14:paraId="70DCBA61">
      <w:pPr>
        <w:snapToGrid w:val="0"/>
        <w:spacing w:before="165"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2.供应商按照采购人或者采购代理机构的授意撤换、修改响应文件或者响应文件；</w:t>
      </w:r>
    </w:p>
    <w:p w14:paraId="35D9F2BC">
      <w:pPr>
        <w:snapToGrid w:val="0"/>
        <w:spacing w:before="165"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2926F95D">
      <w:pPr>
        <w:snapToGrid w:val="0"/>
        <w:spacing w:before="165"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11CE198B">
      <w:pPr>
        <w:snapToGrid w:val="0"/>
        <w:spacing w:before="165"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5.供应商之间事先约定一致抬高或者压低响应报价，或者在征集项目中事先约定轮流以高价位或者低价位入围，或者事先约定由某一特定供应商入围，然后再参加响应；</w:t>
      </w:r>
    </w:p>
    <w:p w14:paraId="0DFE62A5">
      <w:pPr>
        <w:snapToGrid w:val="0"/>
        <w:spacing w:before="165"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6.供应商之间商定部分供应商放弃参加政府采购活动或者放弃入围；</w:t>
      </w:r>
    </w:p>
    <w:p w14:paraId="2E2F4C73">
      <w:pPr>
        <w:snapToGrid w:val="0"/>
        <w:spacing w:before="165" w:beforeLines="50" w:after="50" w:line="360" w:lineRule="auto"/>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7.供应商与采购人或者采购代理机构之间、供应商相互之间，为谋求特定供应商入围或者排斥其他供应商的其他串通行为。</w:t>
      </w:r>
    </w:p>
    <w:p w14:paraId="25C6501C">
      <w:pPr>
        <w:snapToGrid w:val="0"/>
        <w:spacing w:before="165" w:beforeLines="50" w:after="50"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以上情形一经核查属实，我方愿意承担一切后果，并不再寻求任何旨在减轻或者免除法律责任的辩解。</w:t>
      </w:r>
    </w:p>
    <w:p w14:paraId="35A559EE">
      <w:pPr>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314F0BEE">
      <w:pPr>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78B35EE5">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14DBEC7">
      <w:pPr>
        <w:pStyle w:val="16"/>
        <w:snapToGrid w:val="0"/>
        <w:spacing w:before="295" w:after="295" w:line="360" w:lineRule="auto"/>
        <w:jc w:val="center"/>
        <w:rPr>
          <w:rFonts w:hint="eastAsia" w:hAnsi="宋体" w:cs="宋体"/>
          <w:b/>
          <w:color w:val="auto"/>
          <w:sz w:val="24"/>
          <w:highlight w:val="none"/>
        </w:rPr>
      </w:pPr>
      <w:r>
        <w:rPr>
          <w:rFonts w:hint="eastAsia" w:hAnsi="宋体" w:cs="宋体"/>
          <w:b/>
          <w:color w:val="auto"/>
          <w:sz w:val="24"/>
          <w:highlight w:val="none"/>
        </w:rPr>
        <w:br w:type="page"/>
      </w:r>
    </w:p>
    <w:p w14:paraId="1BCBC82F">
      <w:pPr>
        <w:pStyle w:val="16"/>
        <w:snapToGrid w:val="0"/>
        <w:spacing w:before="295" w:after="295" w:line="360" w:lineRule="auto"/>
        <w:jc w:val="center"/>
        <w:rPr>
          <w:rFonts w:hint="eastAsia" w:hAnsi="宋体" w:cs="宋体"/>
          <w:b/>
          <w:bCs/>
          <w:color w:val="auto"/>
          <w:sz w:val="30"/>
          <w:szCs w:val="30"/>
          <w:highlight w:val="none"/>
        </w:rPr>
      </w:pPr>
    </w:p>
    <w:p w14:paraId="3E6CDC3C">
      <w:pPr>
        <w:pStyle w:val="16"/>
        <w:snapToGrid w:val="0"/>
        <w:spacing w:before="295" w:after="295" w:line="360" w:lineRule="auto"/>
        <w:jc w:val="center"/>
        <w:rPr>
          <w:rFonts w:hint="eastAsia" w:hAnsi="宋体" w:cs="宋体"/>
          <w:b/>
          <w:color w:val="auto"/>
          <w:sz w:val="24"/>
          <w:highlight w:val="none"/>
        </w:rPr>
      </w:pPr>
      <w:r>
        <w:rPr>
          <w:rFonts w:hint="eastAsia" w:hAnsi="宋体" w:cs="宋体"/>
          <w:b/>
          <w:bCs/>
          <w:color w:val="auto"/>
          <w:sz w:val="30"/>
          <w:szCs w:val="30"/>
          <w:highlight w:val="none"/>
        </w:rPr>
        <w:t>二、法定代表人身份证明</w:t>
      </w:r>
    </w:p>
    <w:p w14:paraId="187C000C">
      <w:pPr>
        <w:spacing w:before="331" w:beforeLines="100" w:after="165" w:afterLines="50"/>
        <w:ind w:left="540"/>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7031FBA2">
      <w:pPr>
        <w:spacing w:line="500" w:lineRule="exact"/>
        <w:ind w:left="540"/>
        <w:rPr>
          <w:rFonts w:hint="eastAsia" w:ascii="宋体" w:hAnsi="宋体" w:cs="宋体"/>
          <w:color w:val="auto"/>
          <w:sz w:val="24"/>
          <w:highlight w:val="none"/>
        </w:rPr>
      </w:pPr>
      <w:r>
        <w:rPr>
          <w:rFonts w:hint="eastAsia" w:ascii="宋体" w:hAnsi="宋体" w:cs="宋体"/>
          <w:color w:val="auto"/>
          <w:sz w:val="24"/>
          <w:highlight w:val="none"/>
          <w:lang w:val="en-US" w:eastAsia="zh-CN"/>
        </w:rPr>
        <w:t>供 应 商</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C3ECF64">
      <w:pPr>
        <w:spacing w:line="500" w:lineRule="exact"/>
        <w:ind w:left="54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5681F7E6">
      <w:pPr>
        <w:spacing w:line="500" w:lineRule="exact"/>
        <w:ind w:left="540"/>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371036D4">
      <w:pPr>
        <w:spacing w:line="500" w:lineRule="exact"/>
        <w:ind w:left="540"/>
        <w:rPr>
          <w:rFonts w:hint="eastAsia"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2C6B876C">
      <w:pPr>
        <w:spacing w:line="500" w:lineRule="exact"/>
        <w:ind w:left="540"/>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33BF5AF7">
      <w:pPr>
        <w:spacing w:line="500" w:lineRule="exact"/>
        <w:ind w:left="54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的法定代表人。</w:t>
      </w:r>
    </w:p>
    <w:p w14:paraId="64FBCE83">
      <w:pPr>
        <w:spacing w:line="500" w:lineRule="exact"/>
        <w:ind w:left="540"/>
        <w:rPr>
          <w:rFonts w:hint="eastAsia" w:ascii="宋体" w:hAnsi="宋体" w:cs="宋体"/>
          <w:color w:val="auto"/>
          <w:sz w:val="24"/>
          <w:highlight w:val="none"/>
        </w:rPr>
      </w:pPr>
      <w:r>
        <w:rPr>
          <w:rFonts w:hint="eastAsia" w:ascii="宋体" w:hAnsi="宋体" w:cs="宋体"/>
          <w:color w:val="auto"/>
          <w:sz w:val="24"/>
          <w:highlight w:val="none"/>
        </w:rPr>
        <w:t>特此证明。</w:t>
      </w:r>
    </w:p>
    <w:p w14:paraId="508491E5">
      <w:pPr>
        <w:spacing w:line="500" w:lineRule="exact"/>
        <w:ind w:left="540"/>
        <w:rPr>
          <w:rFonts w:hint="eastAsia" w:ascii="宋体" w:hAnsi="宋体" w:cs="宋体"/>
          <w:color w:val="auto"/>
          <w:sz w:val="24"/>
          <w:highlight w:val="none"/>
        </w:rPr>
      </w:pPr>
    </w:p>
    <w:p w14:paraId="14C627F2">
      <w:pPr>
        <w:spacing w:line="500" w:lineRule="exact"/>
        <w:ind w:left="540"/>
        <w:rPr>
          <w:rFonts w:hint="eastAsia" w:ascii="宋体" w:hAnsi="宋体" w:cs="宋体"/>
          <w:color w:val="auto"/>
          <w:sz w:val="24"/>
          <w:highlight w:val="none"/>
        </w:rPr>
      </w:pPr>
    </w:p>
    <w:p w14:paraId="1EEDCF2E">
      <w:pPr>
        <w:spacing w:line="500" w:lineRule="exact"/>
        <w:ind w:left="540"/>
        <w:rPr>
          <w:rFonts w:hint="eastAsia"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12939167">
      <w:pPr>
        <w:spacing w:line="500" w:lineRule="exact"/>
        <w:ind w:left="540"/>
        <w:rPr>
          <w:rFonts w:hint="eastAsia" w:ascii="宋体" w:hAnsi="宋体" w:cs="宋体"/>
          <w:color w:val="auto"/>
          <w:sz w:val="24"/>
          <w:highlight w:val="none"/>
        </w:rPr>
      </w:pPr>
    </w:p>
    <w:p w14:paraId="319ADC17">
      <w:pPr>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07682A97">
      <w:pPr>
        <w:snapToGrid w:val="0"/>
        <w:spacing w:line="360" w:lineRule="auto"/>
        <w:ind w:firstLine="4935" w:firstLineChars="2350"/>
        <w:rPr>
          <w:rFonts w:hint="eastAsia" w:ascii="宋体" w:hAnsi="宋体" w:cs="宋体"/>
          <w:color w:val="auto"/>
          <w:szCs w:val="21"/>
          <w:highlight w:val="none"/>
        </w:rPr>
      </w:pPr>
    </w:p>
    <w:p w14:paraId="13AACEE6">
      <w:pPr>
        <w:snapToGrid w:val="0"/>
        <w:spacing w:line="360" w:lineRule="auto"/>
        <w:ind w:firstLine="5640" w:firstLineChars="23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65030F2E">
      <w:pPr>
        <w:snapToGrid w:val="0"/>
        <w:spacing w:line="360" w:lineRule="auto"/>
        <w:ind w:firstLine="5640" w:firstLineChars="23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4FE6477">
      <w:pPr>
        <w:snapToGrid w:val="0"/>
        <w:spacing w:before="165" w:beforeLines="50" w:after="50"/>
        <w:jc w:val="center"/>
        <w:rPr>
          <w:rFonts w:hint="eastAsia" w:ascii="宋体" w:hAnsi="宋体" w:cs="宋体"/>
          <w:b/>
          <w:color w:val="auto"/>
          <w:sz w:val="24"/>
          <w:highlight w:val="none"/>
        </w:rPr>
      </w:pPr>
    </w:p>
    <w:p w14:paraId="340CD774">
      <w:pPr>
        <w:snapToGrid w:val="0"/>
        <w:spacing w:before="165" w:beforeLines="50" w:after="50"/>
        <w:ind w:firstLine="600" w:firstLineChars="250"/>
        <w:jc w:val="left"/>
        <w:rPr>
          <w:rFonts w:hint="eastAsia" w:ascii="宋体" w:hAnsi="宋体" w:cs="宋体"/>
          <w:color w:val="auto"/>
          <w:sz w:val="24"/>
          <w:highlight w:val="none"/>
        </w:rPr>
      </w:pPr>
    </w:p>
    <w:p w14:paraId="1E0F1680">
      <w:pPr>
        <w:snapToGrid w:val="0"/>
        <w:spacing w:before="165" w:beforeLines="50" w:after="50"/>
        <w:ind w:firstLine="602" w:firstLineChars="250"/>
        <w:jc w:val="left"/>
        <w:rPr>
          <w:rFonts w:hint="eastAsia" w:ascii="宋体" w:hAnsi="宋体" w:cs="宋体"/>
          <w:b/>
          <w:color w:val="auto"/>
          <w:sz w:val="24"/>
          <w:szCs w:val="20"/>
          <w:highlight w:val="none"/>
        </w:rPr>
      </w:pPr>
    </w:p>
    <w:tbl>
      <w:tblPr>
        <w:tblStyle w:val="24"/>
        <w:tblpPr w:leftFromText="180" w:rightFromText="180" w:vertAnchor="text" w:horzAnchor="margin" w:tblpY="1169"/>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1"/>
      </w:tblGrid>
      <w:tr w14:paraId="0768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9541" w:type="dxa"/>
            <w:vAlign w:val="top"/>
          </w:tcPr>
          <w:p w14:paraId="3F3A4172">
            <w:pPr>
              <w:spacing w:line="360" w:lineRule="auto"/>
              <w:rPr>
                <w:rFonts w:hint="eastAsia" w:ascii="宋体" w:hAnsi="宋体" w:cs="宋体"/>
                <w:b/>
                <w:color w:val="auto"/>
                <w:sz w:val="24"/>
                <w:highlight w:val="none"/>
              </w:rPr>
            </w:pPr>
          </w:p>
          <w:p w14:paraId="0785A77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3A04EE1B">
      <w:pPr>
        <w:pStyle w:val="16"/>
        <w:snapToGrid w:val="0"/>
        <w:spacing w:before="295" w:after="295" w:line="360" w:lineRule="auto"/>
        <w:jc w:val="left"/>
        <w:rPr>
          <w:rFonts w:hint="eastAsia" w:hAnsi="宋体" w:cs="宋体"/>
          <w:b/>
          <w:color w:val="auto"/>
          <w:sz w:val="24"/>
          <w:highlight w:val="none"/>
        </w:rPr>
      </w:pPr>
      <w:r>
        <w:rPr>
          <w:rFonts w:hint="eastAsia" w:hAnsi="宋体" w:cs="宋体"/>
          <w:b/>
          <w:color w:val="auto"/>
          <w:sz w:val="24"/>
          <w:highlight w:val="none"/>
        </w:rPr>
        <w:t>附件：</w:t>
      </w:r>
    </w:p>
    <w:p w14:paraId="549E49E2">
      <w:pPr>
        <w:pStyle w:val="16"/>
        <w:snapToGrid w:val="0"/>
        <w:spacing w:before="295" w:after="295" w:line="360" w:lineRule="auto"/>
        <w:jc w:val="left"/>
        <w:rPr>
          <w:rFonts w:hint="eastAsia" w:hAnsi="宋体" w:cs="宋体"/>
          <w:b/>
          <w:color w:val="auto"/>
          <w:sz w:val="24"/>
          <w:highlight w:val="none"/>
        </w:rPr>
      </w:pPr>
    </w:p>
    <w:p w14:paraId="377EC8F9">
      <w:pPr>
        <w:rPr>
          <w:rFonts w:hint="eastAsia" w:hAnsi="宋体" w:cs="宋体"/>
          <w:b/>
          <w:bCs/>
          <w:color w:val="auto"/>
          <w:sz w:val="30"/>
          <w:szCs w:val="30"/>
          <w:highlight w:val="none"/>
        </w:rPr>
      </w:pPr>
      <w:r>
        <w:rPr>
          <w:rFonts w:hint="eastAsia" w:hAnsi="宋体" w:cs="宋体"/>
          <w:b/>
          <w:bCs/>
          <w:color w:val="auto"/>
          <w:sz w:val="30"/>
          <w:szCs w:val="30"/>
          <w:highlight w:val="none"/>
        </w:rPr>
        <w:br w:type="page"/>
      </w:r>
    </w:p>
    <w:p w14:paraId="732753A7">
      <w:pPr>
        <w:pStyle w:val="16"/>
        <w:snapToGrid w:val="0"/>
        <w:spacing w:before="295" w:after="295" w:line="360" w:lineRule="auto"/>
        <w:jc w:val="left"/>
        <w:rPr>
          <w:rFonts w:hint="eastAsia" w:hAnsi="宋体" w:cs="宋体"/>
          <w:b/>
          <w:color w:val="auto"/>
          <w:sz w:val="24"/>
          <w:highlight w:val="none"/>
        </w:rPr>
      </w:pPr>
      <w:r>
        <w:rPr>
          <w:rFonts w:hint="eastAsia" w:hAnsi="宋体" w:cs="宋体"/>
          <w:b/>
          <w:bCs/>
          <w:color w:val="auto"/>
          <w:sz w:val="30"/>
          <w:szCs w:val="30"/>
          <w:highlight w:val="none"/>
        </w:rPr>
        <w:t>三、法定代表人授权委托书（如有委托时）</w:t>
      </w:r>
    </w:p>
    <w:p w14:paraId="3FE2C438">
      <w:pPr>
        <w:snapToGrid w:val="0"/>
        <w:spacing w:before="165" w:beforeLines="50" w:after="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0F0312BF">
      <w:pPr>
        <w:snapToGrid w:val="0"/>
        <w:spacing w:before="165" w:beforeLines="50" w:after="50"/>
        <w:jc w:val="center"/>
        <w:rPr>
          <w:rFonts w:hint="eastAsia" w:ascii="宋体" w:hAnsi="宋体" w:cs="宋体"/>
          <w:b/>
          <w:color w:val="auto"/>
          <w:sz w:val="24"/>
          <w:highlight w:val="none"/>
        </w:rPr>
      </w:pPr>
    </w:p>
    <w:p w14:paraId="71E92CB8">
      <w:pPr>
        <w:pStyle w:val="16"/>
        <w:keepNext w:val="0"/>
        <w:keepLines w:val="0"/>
        <w:pageBreakBefore w:val="0"/>
        <w:widowControl w:val="0"/>
        <w:kinsoku/>
        <w:wordWrap/>
        <w:overflowPunct/>
        <w:topLinePunct w:val="0"/>
        <w:bidi w:val="0"/>
        <w:spacing w:line="440" w:lineRule="exact"/>
        <w:ind w:firstLine="420" w:firstLineChars="200"/>
        <w:textAlignment w:val="auto"/>
        <w:rPr>
          <w:rFonts w:hint="eastAsia"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14:paraId="599302D8">
      <w:pPr>
        <w:pStyle w:val="16"/>
        <w:keepNext w:val="0"/>
        <w:keepLines w:val="0"/>
        <w:pageBreakBefore w:val="0"/>
        <w:widowControl w:val="0"/>
        <w:kinsoku/>
        <w:wordWrap/>
        <w:overflowPunct/>
        <w:topLinePunct w:val="0"/>
        <w:bidi w:val="0"/>
        <w:spacing w:line="440" w:lineRule="exact"/>
        <w:ind w:firstLine="420" w:firstLineChars="200"/>
        <w:textAlignment w:val="auto"/>
        <w:rPr>
          <w:rFonts w:hint="eastAsia"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（供应商名称）的法定代表人，现授权我单位在职正式员工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）的响应文件、签订合同和处理一切有关事宜，其法律后果由我方承担。</w:t>
      </w:r>
    </w:p>
    <w:p w14:paraId="1E4C4105">
      <w:pPr>
        <w:pStyle w:val="16"/>
        <w:keepNext w:val="0"/>
        <w:keepLines w:val="0"/>
        <w:pageBreakBefore w:val="0"/>
        <w:widowControl w:val="0"/>
        <w:kinsoku/>
        <w:wordWrap/>
        <w:overflowPunct/>
        <w:topLinePunct w:val="0"/>
        <w:bidi w:val="0"/>
        <w:spacing w:line="440" w:lineRule="exact"/>
        <w:ind w:firstLine="420" w:firstLineChars="200"/>
        <w:textAlignment w:val="auto"/>
        <w:rPr>
          <w:rFonts w:hint="eastAsia"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spacing w:val="10"/>
          <w:sz w:val="24"/>
          <w:highlight w:val="none"/>
          <w:u w:val="single"/>
          <w:lang w:val="en-US" w:eastAsia="zh-CN"/>
        </w:rPr>
        <w:t xml:space="preserve">        </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104BFEFC">
      <w:pPr>
        <w:pStyle w:val="16"/>
        <w:keepNext w:val="0"/>
        <w:keepLines w:val="0"/>
        <w:pageBreakBefore w:val="0"/>
        <w:widowControl w:val="0"/>
        <w:kinsoku/>
        <w:wordWrap/>
        <w:overflowPunct/>
        <w:topLinePunct w:val="0"/>
        <w:bidi w:val="0"/>
        <w:spacing w:line="440" w:lineRule="exact"/>
        <w:ind w:firstLine="420"/>
        <w:textAlignment w:val="auto"/>
        <w:rPr>
          <w:rFonts w:hint="eastAsia" w:hAnsi="宋体" w:cs="宋体"/>
          <w:color w:val="auto"/>
          <w:highlight w:val="none"/>
        </w:rPr>
      </w:pPr>
      <w:r>
        <w:rPr>
          <w:rFonts w:hint="eastAsia" w:hAnsi="宋体" w:cs="宋体"/>
          <w:color w:val="auto"/>
          <w:highlight w:val="none"/>
        </w:rPr>
        <w:t>代理人无转委托权。</w:t>
      </w:r>
    </w:p>
    <w:p w14:paraId="75DB80F8">
      <w:pPr>
        <w:pStyle w:val="16"/>
        <w:keepNext w:val="0"/>
        <w:keepLines w:val="0"/>
        <w:pageBreakBefore w:val="0"/>
        <w:widowControl w:val="0"/>
        <w:kinsoku/>
        <w:wordWrap/>
        <w:overflowPunct/>
        <w:topLinePunct w:val="0"/>
        <w:bidi w:val="0"/>
        <w:spacing w:line="440" w:lineRule="exact"/>
        <w:ind w:firstLine="420"/>
        <w:textAlignment w:val="auto"/>
        <w:rPr>
          <w:rFonts w:hint="eastAsia" w:hAnsi="宋体" w:cs="宋体"/>
          <w:color w:val="auto"/>
          <w:highlight w:val="none"/>
        </w:rPr>
      </w:pPr>
    </w:p>
    <w:p w14:paraId="5A0CCEC3">
      <w:pPr>
        <w:pStyle w:val="16"/>
        <w:keepNext w:val="0"/>
        <w:keepLines w:val="0"/>
        <w:pageBreakBefore w:val="0"/>
        <w:widowControl w:val="0"/>
        <w:kinsoku/>
        <w:wordWrap/>
        <w:overflowPunct/>
        <w:topLinePunct w:val="0"/>
        <w:bidi w:val="0"/>
        <w:spacing w:line="440" w:lineRule="exact"/>
        <w:ind w:firstLine="420"/>
        <w:textAlignment w:val="auto"/>
        <w:rPr>
          <w:rFonts w:hint="eastAsia" w:hAnsi="宋体" w:cs="宋体"/>
          <w:color w:val="auto"/>
          <w:highlight w:val="none"/>
          <w:u w:val="single"/>
        </w:rPr>
      </w:pPr>
      <w:r>
        <w:rPr>
          <w:rFonts w:hint="eastAsia" w:hAnsi="宋体" w:cs="宋体"/>
          <w:color w:val="auto"/>
          <w:highlight w:val="none"/>
        </w:rPr>
        <w:t>供应商（或联合体响应</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14:paraId="6D01A9D6">
      <w:pPr>
        <w:pStyle w:val="16"/>
        <w:keepNext w:val="0"/>
        <w:keepLines w:val="0"/>
        <w:pageBreakBefore w:val="0"/>
        <w:widowControl w:val="0"/>
        <w:kinsoku/>
        <w:wordWrap/>
        <w:overflowPunct/>
        <w:topLinePunct w:val="0"/>
        <w:bidi w:val="0"/>
        <w:spacing w:line="440" w:lineRule="exact"/>
        <w:ind w:firstLine="420"/>
        <w:textAlignment w:val="auto"/>
        <w:rPr>
          <w:rFonts w:hint="eastAsia"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1DB59983">
      <w:pPr>
        <w:pStyle w:val="16"/>
        <w:keepNext w:val="0"/>
        <w:keepLines w:val="0"/>
        <w:pageBreakBefore w:val="0"/>
        <w:widowControl w:val="0"/>
        <w:kinsoku/>
        <w:wordWrap/>
        <w:overflowPunct/>
        <w:topLinePunct w:val="0"/>
        <w:bidi w:val="0"/>
        <w:spacing w:line="440" w:lineRule="exact"/>
        <w:ind w:firstLine="420"/>
        <w:textAlignment w:val="auto"/>
        <w:rPr>
          <w:rFonts w:hint="eastAsia"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7A1EB951">
      <w:pPr>
        <w:pStyle w:val="16"/>
        <w:keepNext w:val="0"/>
        <w:keepLines w:val="0"/>
        <w:pageBreakBefore w:val="0"/>
        <w:widowControl w:val="0"/>
        <w:kinsoku/>
        <w:wordWrap/>
        <w:overflowPunct/>
        <w:topLinePunct w:val="0"/>
        <w:bidi w:val="0"/>
        <w:spacing w:line="440" w:lineRule="exact"/>
        <w:ind w:firstLine="420" w:firstLineChars="200"/>
        <w:textAlignment w:val="auto"/>
        <w:rPr>
          <w:rFonts w:hint="eastAsia"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49952748">
      <w:pPr>
        <w:pStyle w:val="16"/>
        <w:keepNext w:val="0"/>
        <w:keepLines w:val="0"/>
        <w:pageBreakBefore w:val="0"/>
        <w:widowControl w:val="0"/>
        <w:kinsoku/>
        <w:wordWrap/>
        <w:overflowPunct/>
        <w:topLinePunct w:val="0"/>
        <w:bidi w:val="0"/>
        <w:spacing w:line="440" w:lineRule="exact"/>
        <w:ind w:firstLine="420"/>
        <w:textAlignment w:val="auto"/>
        <w:rPr>
          <w:rFonts w:hint="eastAsia"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7B6B1ED4">
      <w:pPr>
        <w:pStyle w:val="16"/>
        <w:keepNext w:val="0"/>
        <w:keepLines w:val="0"/>
        <w:pageBreakBefore w:val="0"/>
        <w:widowControl w:val="0"/>
        <w:kinsoku/>
        <w:wordWrap/>
        <w:overflowPunct/>
        <w:topLinePunct w:val="0"/>
        <w:bidi w:val="0"/>
        <w:spacing w:line="440" w:lineRule="exact"/>
        <w:ind w:firstLine="420"/>
        <w:textAlignment w:val="auto"/>
        <w:rPr>
          <w:rFonts w:hint="eastAsia" w:hAnsi="宋体" w:cs="宋体"/>
          <w:color w:val="auto"/>
          <w:highlight w:val="none"/>
          <w:u w:val="single"/>
        </w:rPr>
      </w:pPr>
    </w:p>
    <w:p w14:paraId="3A25E28B">
      <w:pPr>
        <w:pStyle w:val="16"/>
        <w:keepNext w:val="0"/>
        <w:keepLines w:val="0"/>
        <w:pageBreakBefore w:val="0"/>
        <w:widowControl w:val="0"/>
        <w:kinsoku/>
        <w:wordWrap/>
        <w:overflowPunct/>
        <w:topLinePunct w:val="0"/>
        <w:bidi w:val="0"/>
        <w:spacing w:line="440" w:lineRule="exact"/>
        <w:ind w:firstLine="420"/>
        <w:textAlignment w:val="auto"/>
        <w:rPr>
          <w:rFonts w:hint="eastAsia"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14:paraId="3D8DC756">
      <w:pPr>
        <w:pStyle w:val="16"/>
        <w:keepNext w:val="0"/>
        <w:keepLines w:val="0"/>
        <w:pageBreakBefore w:val="0"/>
        <w:widowControl w:val="0"/>
        <w:kinsoku/>
        <w:wordWrap/>
        <w:overflowPunct/>
        <w:topLinePunct w:val="0"/>
        <w:bidi w:val="0"/>
        <w:spacing w:line="440" w:lineRule="exact"/>
        <w:ind w:firstLine="420"/>
        <w:textAlignment w:val="auto"/>
        <w:rPr>
          <w:rFonts w:hint="eastAsia"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6AAEB6F1">
      <w:pPr>
        <w:pStyle w:val="16"/>
        <w:keepNext w:val="0"/>
        <w:keepLines w:val="0"/>
        <w:pageBreakBefore w:val="0"/>
        <w:widowControl w:val="0"/>
        <w:kinsoku/>
        <w:wordWrap/>
        <w:overflowPunct/>
        <w:topLinePunct w:val="0"/>
        <w:bidi w:val="0"/>
        <w:spacing w:line="440" w:lineRule="exact"/>
        <w:ind w:firstLine="420"/>
        <w:textAlignment w:val="auto"/>
        <w:rPr>
          <w:rFonts w:hint="eastAsia" w:hAnsi="宋体" w:cs="宋体"/>
          <w:color w:val="auto"/>
          <w:highlight w:val="none"/>
          <w:u w:val="single"/>
        </w:rPr>
      </w:pPr>
    </w:p>
    <w:p w14:paraId="4DB34B52">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18A60DE3">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6ACBDC1F">
      <w:pPr>
        <w:pStyle w:val="16"/>
        <w:keepNext w:val="0"/>
        <w:keepLines w:val="0"/>
        <w:pageBreakBefore w:val="0"/>
        <w:widowControl w:val="0"/>
        <w:kinsoku/>
        <w:wordWrap/>
        <w:overflowPunct/>
        <w:topLinePunct w:val="0"/>
        <w:bidi w:val="0"/>
        <w:spacing w:line="440" w:lineRule="exact"/>
        <w:ind w:firstLine="420" w:firstLineChars="200"/>
        <w:textAlignment w:val="auto"/>
        <w:rPr>
          <w:rFonts w:hint="eastAsia" w:hAnsi="宋体" w:cs="宋体"/>
          <w:color w:val="auto"/>
          <w:highlight w:val="none"/>
        </w:rPr>
      </w:pPr>
      <w:r>
        <w:rPr>
          <w:rFonts w:hint="eastAsia" w:hAnsi="宋体" w:cs="宋体"/>
          <w:color w:val="auto"/>
          <w:highlight w:val="none"/>
        </w:rPr>
        <w:t>......</w:t>
      </w:r>
    </w:p>
    <w:p w14:paraId="24822C9B">
      <w:pPr>
        <w:keepNext w:val="0"/>
        <w:keepLines w:val="0"/>
        <w:pageBreakBefore w:val="0"/>
        <w:widowControl w:val="0"/>
        <w:kinsoku/>
        <w:wordWrap/>
        <w:overflowPunct/>
        <w:topLinePunct w:val="0"/>
        <w:bidi w:val="0"/>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注：</w:t>
      </w:r>
    </w:p>
    <w:p w14:paraId="2B8F1E2D">
      <w:pPr>
        <w:keepNext w:val="0"/>
        <w:keepLines w:val="0"/>
        <w:pageBreakBefore w:val="0"/>
        <w:widowControl w:val="0"/>
        <w:kinsoku/>
        <w:wordWrap/>
        <w:overflowPunct/>
        <w:topLinePunct w:val="0"/>
        <w:bidi w:val="0"/>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否则作无效响应处理</w:t>
      </w:r>
      <w:r>
        <w:rPr>
          <w:rFonts w:hint="eastAsia" w:ascii="宋体" w:hAnsi="宋体" w:cs="宋体"/>
          <w:color w:val="auto"/>
          <w:szCs w:val="21"/>
          <w:highlight w:val="none"/>
        </w:rPr>
        <w:t>；</w:t>
      </w:r>
    </w:p>
    <w:p w14:paraId="4A3EB276">
      <w:pPr>
        <w:keepNext w:val="0"/>
        <w:keepLines w:val="0"/>
        <w:pageBreakBefore w:val="0"/>
        <w:widowControl w:val="0"/>
        <w:kinsoku/>
        <w:wordWrap/>
        <w:overflowPunct/>
        <w:topLinePunct w:val="0"/>
        <w:bidi w:val="0"/>
        <w:spacing w:line="44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2.以联合体形式响应的，本授权委托书应由联合体牵头人的法定代表人按上述规定签署。</w:t>
      </w:r>
    </w:p>
    <w:p w14:paraId="755295AC">
      <w:pPr>
        <w:keepNext w:val="0"/>
        <w:keepLines w:val="0"/>
        <w:pageBreakBefore w:val="0"/>
        <w:widowControl w:val="0"/>
        <w:kinsoku/>
        <w:wordWrap/>
        <w:overflowPunct/>
        <w:topLinePunct w:val="0"/>
        <w:bidi w:val="0"/>
        <w:snapToGrid w:val="0"/>
        <w:spacing w:before="50" w:after="165" w:afterLines="50" w:line="44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 供应商为其他组织或者自然人时，本征集文件规定的法定代表人指负责人或者自然人。本征集文件所称负责人是指参加响应的其他组织营业执照上的负责人，本征集文件所称自然人指参与响应的自然人本人。</w:t>
      </w:r>
    </w:p>
    <w:p w14:paraId="34A351B3">
      <w:pPr>
        <w:keepNext w:val="0"/>
        <w:keepLines w:val="0"/>
        <w:pageBreakBefore w:val="0"/>
        <w:widowControl w:val="0"/>
        <w:kinsoku/>
        <w:wordWrap/>
        <w:overflowPunct/>
        <w:topLinePunct w:val="0"/>
        <w:bidi w:val="0"/>
        <w:snapToGrid w:val="0"/>
        <w:spacing w:before="50" w:after="165" w:afterLines="50" w:line="44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 若为联合体响应须各方签字或盖章。</w:t>
      </w:r>
    </w:p>
    <w:p w14:paraId="755A31F0">
      <w:pPr>
        <w:spacing w:line="360" w:lineRule="auto"/>
        <w:rPr>
          <w:rFonts w:hint="eastAsia" w:ascii="宋体" w:hAnsi="宋体" w:cs="宋体"/>
          <w:b/>
          <w:color w:val="auto"/>
          <w:sz w:val="24"/>
          <w:highlight w:val="none"/>
        </w:rPr>
      </w:pPr>
    </w:p>
    <w:p w14:paraId="5661D49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附件：</w:t>
      </w:r>
    </w:p>
    <w:tbl>
      <w:tblPr>
        <w:tblStyle w:val="24"/>
        <w:tblpPr w:leftFromText="180" w:rightFromText="180" w:vertAnchor="text" w:horzAnchor="margin" w:tblpY="263"/>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1"/>
      </w:tblGrid>
      <w:tr w14:paraId="29E7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9421" w:type="dxa"/>
            <w:vAlign w:val="top"/>
          </w:tcPr>
          <w:p w14:paraId="54610F92">
            <w:pPr>
              <w:spacing w:line="360" w:lineRule="auto"/>
              <w:rPr>
                <w:rFonts w:hint="eastAsia" w:ascii="宋体" w:hAnsi="宋体" w:cs="宋体"/>
                <w:b/>
                <w:color w:val="auto"/>
                <w:sz w:val="24"/>
                <w:highlight w:val="none"/>
              </w:rPr>
            </w:pPr>
          </w:p>
          <w:p w14:paraId="0E0DEFE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全权代表身份证复印件粘帖处（正、反面）</w:t>
            </w:r>
          </w:p>
        </w:tc>
      </w:tr>
    </w:tbl>
    <w:p w14:paraId="78A04B99">
      <w:pPr>
        <w:snapToGrid w:val="0"/>
        <w:spacing w:before="50" w:after="165" w:afterLines="50" w:line="360" w:lineRule="auto"/>
        <w:jc w:val="left"/>
        <w:rPr>
          <w:rFonts w:hint="eastAsia" w:ascii="宋体" w:hAnsi="宋体" w:cs="宋体"/>
          <w:color w:val="auto"/>
          <w:szCs w:val="21"/>
          <w:highlight w:val="none"/>
        </w:rPr>
      </w:pPr>
    </w:p>
    <w:p w14:paraId="33B567E4">
      <w:pPr>
        <w:snapToGrid w:val="0"/>
        <w:spacing w:before="165" w:beforeLines="50" w:after="50"/>
        <w:ind w:firstLine="566" w:firstLineChars="236"/>
        <w:jc w:val="center"/>
        <w:rPr>
          <w:rFonts w:hint="eastAsia"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5A95B4AF">
      <w:pPr>
        <w:jc w:val="center"/>
        <w:rPr>
          <w:rFonts w:hint="eastAsia" w:ascii="宋体" w:hAnsi="宋体" w:cs="宋体"/>
          <w:b/>
          <w:bCs/>
          <w:color w:val="auto"/>
          <w:sz w:val="30"/>
          <w:szCs w:val="30"/>
          <w:highlight w:val="none"/>
        </w:rPr>
      </w:pPr>
    </w:p>
    <w:p w14:paraId="35D1AADC">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4AE52C22">
      <w:pPr>
        <w:jc w:val="center"/>
        <w:rPr>
          <w:rFonts w:ascii="宋体" w:hAnsi="宋体"/>
          <w:b/>
          <w:color w:val="auto"/>
          <w:szCs w:val="21"/>
          <w:highlight w:val="none"/>
        </w:rPr>
      </w:pPr>
      <w:r>
        <w:rPr>
          <w:rFonts w:hint="eastAsia" w:ascii="宋体" w:hAnsi="宋体"/>
          <w:color w:val="auto"/>
          <w:szCs w:val="21"/>
          <w:highlight w:val="none"/>
        </w:rPr>
        <w:t>(注：按项目需求表具体项目修改)</w:t>
      </w:r>
    </w:p>
    <w:p w14:paraId="71594BAB">
      <w:pPr>
        <w:snapToGrid w:val="0"/>
        <w:spacing w:before="50"/>
        <w:jc w:val="left"/>
        <w:rPr>
          <w:rFonts w:ascii="宋体" w:hAnsi="宋体"/>
          <w:color w:val="auto"/>
          <w:szCs w:val="21"/>
          <w:highlight w:val="none"/>
        </w:rPr>
      </w:pPr>
    </w:p>
    <w:p w14:paraId="06C2EA6D">
      <w:pPr>
        <w:spacing w:line="360" w:lineRule="auto"/>
        <w:ind w:left="-424" w:leftChars="-202" w:firstLine="846"/>
        <w:rPr>
          <w:rFonts w:ascii="宋体" w:hAnsi="宋体"/>
          <w:color w:val="auto"/>
          <w:szCs w:val="21"/>
          <w:highlight w:val="none"/>
        </w:rPr>
      </w:pPr>
      <w:r>
        <w:rPr>
          <w:rFonts w:hint="eastAsia" w:ascii="宋体" w:hAnsi="宋体"/>
          <w:color w:val="auto"/>
          <w:szCs w:val="21"/>
          <w:highlight w:val="none"/>
        </w:rPr>
        <w:t>请逐条对应本项目征集文件第二章“服务需求一览表”中“商务条款”的要求，详细填写相应的具体内容。“偏离说明”一栏应当选择“正偏离”、“负偏离”或“无偏离”进行填写。</w:t>
      </w:r>
    </w:p>
    <w:tbl>
      <w:tblPr>
        <w:tblStyle w:val="2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B08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08EDF8AC">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76649968">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征集文件的商务需求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5D91BBDB">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28564780">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76D8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F5E1C95">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1068B721">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2E59619E">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21E91F99">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053006B8">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08A58CE3">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71C5B448">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0FFC0635">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0A627EDD">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4F5C6556">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3338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3631EDB1">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7D318BDF">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5DF54A0E">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537BCD53">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2C7A7164">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697046CE">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5ED5EC7B">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227E7559">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3549BCAF">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2FE8493C">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325C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2728161E">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4CE71B91">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77E12B06">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558F386B">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4011211B">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7E69E701">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45933070">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3E2A962D">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59C198DF">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0A7999E6">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593E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1ECD7B64">
            <w:pPr>
              <w:spacing w:line="340" w:lineRule="exact"/>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5637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330F1345">
            <w:pPr>
              <w:spacing w:line="340" w:lineRule="exact"/>
              <w:rPr>
                <w:rFonts w:hint="eastAsia" w:ascii="宋体" w:hAnsi="宋体" w:cs="宋体"/>
                <w:color w:val="auto"/>
                <w:szCs w:val="21"/>
                <w:highlight w:val="none"/>
                <w:u w:val="single"/>
              </w:rPr>
            </w:pPr>
          </w:p>
        </w:tc>
      </w:tr>
    </w:tbl>
    <w:p w14:paraId="1809778F">
      <w:pPr>
        <w:snapToGrid w:val="0"/>
        <w:spacing w:before="240" w:beforeLines="100" w:line="360" w:lineRule="auto"/>
        <w:ind w:firstLine="4954" w:firstLineChars="2350"/>
        <w:rPr>
          <w:rFonts w:hint="eastAsia" w:ascii="宋体" w:hAnsi="宋体" w:cs="仿宋_GB2312"/>
          <w:b/>
          <w:color w:val="auto"/>
          <w:kern w:val="0"/>
          <w:szCs w:val="21"/>
          <w:highlight w:val="none"/>
          <w:u w:val="single"/>
          <w:lang w:val="zh-CN"/>
        </w:rPr>
      </w:pPr>
    </w:p>
    <w:p w14:paraId="4D9ED208">
      <w:pPr>
        <w:snapToGrid w:val="0"/>
        <w:spacing w:before="240" w:beforeLines="100" w:line="360" w:lineRule="auto"/>
        <w:ind w:firstLine="4935" w:firstLineChars="2350"/>
        <w:rPr>
          <w:rFonts w:ascii="宋体" w:hAnsi="宋体" w:cs="仿宋_GB2312"/>
          <w:b w:val="0"/>
          <w:bCs/>
          <w:color w:val="auto"/>
          <w:kern w:val="0"/>
          <w:szCs w:val="21"/>
          <w:highlight w:val="none"/>
          <w:u w:val="none"/>
          <w:lang w:val="zh-CN"/>
        </w:rPr>
      </w:pPr>
      <w:r>
        <w:rPr>
          <w:rFonts w:hint="eastAsia" w:ascii="宋体" w:hAnsi="宋体" w:cs="仿宋_GB2312"/>
          <w:b w:val="0"/>
          <w:bCs/>
          <w:color w:val="auto"/>
          <w:kern w:val="0"/>
          <w:szCs w:val="21"/>
          <w:highlight w:val="none"/>
          <w:u w:val="none"/>
          <w:lang w:val="zh-CN"/>
        </w:rPr>
        <w:t xml:space="preserve">供应商名称(电子签章)：       </w:t>
      </w:r>
    </w:p>
    <w:p w14:paraId="7D205D15">
      <w:pPr>
        <w:snapToGrid w:val="0"/>
        <w:spacing w:before="240" w:beforeLines="100" w:line="360" w:lineRule="auto"/>
        <w:ind w:firstLine="5145" w:firstLineChars="245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67371D7F">
      <w:pPr>
        <w:spacing w:line="360" w:lineRule="auto"/>
        <w:ind w:left="-708" w:leftChars="-337"/>
        <w:rPr>
          <w:rFonts w:ascii="宋体" w:hAnsi="宋体"/>
          <w:color w:val="auto"/>
          <w:szCs w:val="21"/>
          <w:highlight w:val="none"/>
        </w:rPr>
      </w:pPr>
    </w:p>
    <w:p w14:paraId="0B2CFEE7">
      <w:pPr>
        <w:spacing w:line="360" w:lineRule="auto"/>
        <w:ind w:left="-708" w:leftChars="-337"/>
        <w:rPr>
          <w:rFonts w:ascii="宋体" w:hAnsi="宋体"/>
          <w:color w:val="auto"/>
          <w:szCs w:val="21"/>
          <w:highlight w:val="none"/>
        </w:rPr>
      </w:pPr>
      <w:r>
        <w:rPr>
          <w:rFonts w:hint="eastAsia" w:ascii="宋体" w:hAnsi="宋体"/>
          <w:color w:val="auto"/>
          <w:szCs w:val="21"/>
          <w:highlight w:val="none"/>
        </w:rPr>
        <w:t>注：</w:t>
      </w:r>
    </w:p>
    <w:p w14:paraId="6CDA17B4">
      <w:pPr>
        <w:spacing w:line="360" w:lineRule="auto"/>
        <w:ind w:left="-708" w:leftChars="-337"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表格内容均需按要求填写并盖章，否则按响应无效处理。</w:t>
      </w:r>
    </w:p>
    <w:p w14:paraId="576BF3F9">
      <w:pPr>
        <w:spacing w:line="360" w:lineRule="auto"/>
        <w:ind w:left="-603" w:leftChars="-287" w:firstLine="315" w:firstLineChars="150"/>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当响应文件的商务内容低于征集文件要求时，供应商应当如实写明“负偏离”，否则视为虚假应标。</w:t>
      </w:r>
    </w:p>
    <w:p w14:paraId="5F14E11F">
      <w:pPr>
        <w:spacing w:line="360" w:lineRule="auto"/>
        <w:ind w:left="-708" w:leftChars="-337"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3.采购需求中带“▲”及“★”的条款，也要分别在本表“响应</w:t>
      </w:r>
      <w:r>
        <w:rPr>
          <w:rFonts w:hint="eastAsia" w:ascii="宋体" w:hAnsi="宋体"/>
          <w:color w:val="auto"/>
          <w:szCs w:val="21"/>
          <w:highlight w:val="none"/>
        </w:rPr>
        <w:t>文件的商务需求</w:t>
      </w:r>
      <w:r>
        <w:rPr>
          <w:rFonts w:hint="eastAsia" w:ascii="宋体" w:hAnsi="宋体" w:cs="宋体"/>
          <w:color w:val="auto"/>
          <w:szCs w:val="21"/>
          <w:highlight w:val="none"/>
        </w:rPr>
        <w:t>”、“响应</w:t>
      </w:r>
      <w:r>
        <w:rPr>
          <w:rFonts w:hint="eastAsia" w:ascii="宋体" w:hAnsi="宋体"/>
          <w:color w:val="auto"/>
          <w:szCs w:val="21"/>
          <w:highlight w:val="none"/>
        </w:rPr>
        <w:t>文件承诺的商务条款</w:t>
      </w:r>
      <w:r>
        <w:rPr>
          <w:rFonts w:hint="eastAsia" w:ascii="宋体" w:hAnsi="宋体" w:cs="宋体"/>
          <w:color w:val="auto"/>
          <w:szCs w:val="21"/>
          <w:highlight w:val="none"/>
        </w:rPr>
        <w:t>”中标记。</w:t>
      </w:r>
    </w:p>
    <w:p w14:paraId="63A39F91">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1DEBF9F1">
      <w:pPr>
        <w:pStyle w:val="6"/>
        <w:rPr>
          <w:color w:val="auto"/>
          <w:highlight w:val="none"/>
        </w:rPr>
      </w:pPr>
    </w:p>
    <w:p w14:paraId="6EBEBCB1">
      <w:pPr>
        <w:snapToGrid w:val="0"/>
        <w:spacing w:before="165" w:beforeLines="50" w:after="50"/>
        <w:ind w:left="142"/>
        <w:jc w:val="center"/>
        <w:rPr>
          <w:rFonts w:hint="eastAsia" w:ascii="宋体" w:hAnsi="宋体" w:cs="宋体"/>
          <w:b/>
          <w:color w:val="auto"/>
          <w:sz w:val="32"/>
          <w:szCs w:val="32"/>
          <w:highlight w:val="none"/>
        </w:rPr>
      </w:pPr>
    </w:p>
    <w:p w14:paraId="7EA3D0EC">
      <w:pPr>
        <w:snapToGrid w:val="0"/>
        <w:spacing w:before="165" w:beforeLines="50" w:after="50"/>
        <w:ind w:left="142"/>
        <w:jc w:val="center"/>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五、</w:t>
      </w:r>
      <w:r>
        <w:rPr>
          <w:rFonts w:hint="eastAsia" w:ascii="宋体" w:hAnsi="宋体" w:cs="宋体"/>
          <w:b/>
          <w:color w:val="auto"/>
          <w:sz w:val="32"/>
          <w:szCs w:val="32"/>
          <w:highlight w:val="none"/>
          <w:lang w:val="en-US" w:eastAsia="zh-CN"/>
        </w:rPr>
        <w:t>经营场所（格式自拟）</w:t>
      </w:r>
    </w:p>
    <w:p w14:paraId="79EB45B6">
      <w:pPr>
        <w:pStyle w:val="9"/>
        <w:ind w:left="557" w:firstLine="0"/>
        <w:rPr>
          <w:color w:val="auto"/>
          <w:highlight w:val="none"/>
        </w:rPr>
      </w:pPr>
    </w:p>
    <w:p w14:paraId="0EA1380C">
      <w:pPr>
        <w:pStyle w:val="9"/>
        <w:ind w:left="557" w:firstLine="0"/>
        <w:rPr>
          <w:color w:val="auto"/>
          <w:highlight w:val="none"/>
        </w:rPr>
      </w:pPr>
      <w:r>
        <w:rPr>
          <w:b w:val="0"/>
          <w:bCs w:val="0"/>
          <w:color w:val="auto"/>
          <w:highlight w:val="none"/>
        </w:rPr>
        <w:t>（由供应商自行提供有效的经营场所示意图、土地使用证明或有效的租赁合同）</w:t>
      </w:r>
    </w:p>
    <w:p w14:paraId="0DFF7165">
      <w:pPr>
        <w:jc w:val="center"/>
        <w:rPr>
          <w:rFonts w:hint="eastAsia" w:ascii="宋体" w:hAnsi="宋体"/>
          <w:b/>
          <w:bCs/>
          <w:color w:val="auto"/>
          <w:sz w:val="32"/>
          <w:szCs w:val="32"/>
          <w:highlight w:val="none"/>
        </w:rPr>
      </w:pPr>
    </w:p>
    <w:p w14:paraId="788303E6">
      <w:pPr>
        <w:rPr>
          <w:rFonts w:hint="eastAsia"/>
          <w:color w:val="auto"/>
          <w:highlight w:val="none"/>
        </w:rPr>
      </w:pPr>
    </w:p>
    <w:p w14:paraId="659F8186">
      <w:pPr>
        <w:pStyle w:val="3"/>
        <w:rPr>
          <w:rFonts w:hint="eastAsia"/>
          <w:color w:val="auto"/>
          <w:highlight w:val="none"/>
        </w:rPr>
      </w:pPr>
    </w:p>
    <w:p w14:paraId="17E67E2B">
      <w:pPr>
        <w:rPr>
          <w:rFonts w:hint="eastAsia"/>
          <w:color w:val="auto"/>
          <w:highlight w:val="none"/>
        </w:rPr>
      </w:pPr>
    </w:p>
    <w:p w14:paraId="54174874">
      <w:pPr>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70823B8A">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2CDA75C">
      <w:pPr>
        <w:snapToGrid w:val="0"/>
        <w:spacing w:before="165" w:beforeLines="50" w:after="50"/>
        <w:rPr>
          <w:rFonts w:hint="eastAsia" w:ascii="宋体" w:hAnsi="宋体" w:cs="宋体"/>
          <w:b/>
          <w:bCs/>
          <w:color w:val="auto"/>
          <w:sz w:val="30"/>
          <w:szCs w:val="30"/>
          <w:highlight w:val="none"/>
        </w:rPr>
      </w:pPr>
    </w:p>
    <w:p w14:paraId="105C2FBE">
      <w:pPr>
        <w:pStyle w:val="3"/>
        <w:rPr>
          <w:rFonts w:hint="eastAsia" w:ascii="宋体" w:hAnsi="宋体" w:cs="宋体"/>
          <w:b/>
          <w:bCs/>
          <w:color w:val="auto"/>
          <w:sz w:val="30"/>
          <w:szCs w:val="30"/>
          <w:highlight w:val="none"/>
        </w:rPr>
      </w:pPr>
    </w:p>
    <w:p w14:paraId="1415CE57">
      <w:pPr>
        <w:rPr>
          <w:rFonts w:hint="eastAsia"/>
          <w:color w:val="auto"/>
          <w:highlight w:val="none"/>
        </w:rPr>
        <w:sectPr>
          <w:footerReference r:id="rId14" w:type="first"/>
          <w:headerReference r:id="rId11" w:type="default"/>
          <w:footerReference r:id="rId12" w:type="default"/>
          <w:footerReference r:id="rId13" w:type="even"/>
          <w:pgSz w:w="11906" w:h="16838"/>
          <w:pgMar w:top="1134" w:right="1134" w:bottom="1134" w:left="1134" w:header="720" w:footer="720" w:gutter="0"/>
          <w:pgNumType w:fmt="decimal"/>
          <w:cols w:space="720" w:num="1"/>
          <w:docGrid w:type="lines" w:linePitch="331" w:charSpace="0"/>
        </w:sect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必须按本评分标准的要求清晰标识出经营场所中的厂房面积和停车厂面积，如因供应商未进行标识或标识不清导致其少得分或不得分的后果由供应商自行承担，土地使用证明（自有）或有效的租赁合同（属租用的需提供房产证或土地使用证明复印件；租赁合同有效期为两年及以上）为准，按此标准打分，其中停车场和厂房地址应与营业执照地址保持一致。</w:t>
      </w:r>
    </w:p>
    <w:p w14:paraId="157B25FC">
      <w:pPr>
        <w:snapToGrid w:val="0"/>
        <w:spacing w:before="165" w:beforeLines="50" w:after="50"/>
        <w:ind w:firstLine="602" w:firstLineChars="200"/>
        <w:jc w:val="center"/>
        <w:rPr>
          <w:rFonts w:hint="eastAsia" w:ascii="宋体" w:hAnsi="宋体" w:cs="宋体"/>
          <w:b/>
          <w:bCs/>
          <w:color w:val="auto"/>
          <w:sz w:val="30"/>
          <w:szCs w:val="30"/>
          <w:highlight w:val="none"/>
        </w:rPr>
      </w:pPr>
    </w:p>
    <w:p w14:paraId="04F80A6C">
      <w:pPr>
        <w:snapToGrid w:val="0"/>
        <w:spacing w:before="165" w:beforeLines="50" w:after="50"/>
        <w:ind w:firstLine="602" w:firstLineChars="20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六、技术工人配备</w:t>
      </w:r>
    </w:p>
    <w:p w14:paraId="72AA23CE">
      <w:pPr>
        <w:pStyle w:val="6"/>
        <w:spacing w:after="54"/>
        <w:ind w:right="238"/>
        <w:rPr>
          <w:color w:val="auto"/>
          <w:highlight w:val="none"/>
        </w:rPr>
      </w:pPr>
    </w:p>
    <w:p w14:paraId="7B45D151">
      <w:pPr>
        <w:pStyle w:val="6"/>
        <w:spacing w:after="54"/>
        <w:ind w:left="0" w:leftChars="0" w:right="238" w:firstLine="0" w:firstLineChars="0"/>
        <w:jc w:val="center"/>
        <w:rPr>
          <w:color w:val="auto"/>
          <w:highlight w:val="none"/>
        </w:rPr>
      </w:pPr>
      <w:r>
        <w:rPr>
          <w:rFonts w:hint="eastAsia"/>
          <w:color w:val="auto"/>
          <w:highlight w:val="none"/>
          <w:lang w:val="en-US" w:eastAsia="zh-CN"/>
        </w:rPr>
        <w:t>技术工人配备</w:t>
      </w:r>
      <w:r>
        <w:rPr>
          <w:color w:val="auto"/>
          <w:highlight w:val="none"/>
        </w:rPr>
        <w:t>一览表</w:t>
      </w:r>
    </w:p>
    <w:tbl>
      <w:tblPr>
        <w:tblStyle w:val="24"/>
        <w:tblW w:w="9326" w:type="dxa"/>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1036"/>
        <w:gridCol w:w="854"/>
        <w:gridCol w:w="2400"/>
        <w:gridCol w:w="1650"/>
        <w:gridCol w:w="1575"/>
        <w:gridCol w:w="1038"/>
      </w:tblGrid>
      <w:tr w14:paraId="38860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773" w:type="dxa"/>
            <w:vAlign w:val="center"/>
          </w:tcPr>
          <w:p w14:paraId="73FB4D4E">
            <w:pPr>
              <w:pStyle w:val="34"/>
              <w:ind w:left="239"/>
              <w:jc w:val="center"/>
              <w:rPr>
                <w:rFonts w:hint="eastAsia"/>
                <w:color w:val="auto"/>
                <w:sz w:val="24"/>
                <w:highlight w:val="none"/>
                <w:lang w:val="en-US" w:eastAsia="zh-CN"/>
              </w:rPr>
            </w:pPr>
          </w:p>
          <w:p w14:paraId="758E3768">
            <w:pPr>
              <w:pStyle w:val="34"/>
              <w:ind w:left="239"/>
              <w:jc w:val="both"/>
              <w:rPr>
                <w:rFonts w:hint="default" w:eastAsia="宋体"/>
                <w:color w:val="auto"/>
                <w:sz w:val="24"/>
                <w:highlight w:val="none"/>
                <w:lang w:val="en-US" w:eastAsia="zh-CN"/>
              </w:rPr>
            </w:pPr>
            <w:r>
              <w:rPr>
                <w:rFonts w:hint="eastAsia"/>
                <w:color w:val="auto"/>
                <w:sz w:val="24"/>
                <w:highlight w:val="none"/>
                <w:lang w:val="en-US" w:eastAsia="zh-CN"/>
              </w:rPr>
              <w:t>序号</w:t>
            </w:r>
          </w:p>
        </w:tc>
        <w:tc>
          <w:tcPr>
            <w:tcW w:w="1036" w:type="dxa"/>
            <w:vAlign w:val="center"/>
          </w:tcPr>
          <w:p w14:paraId="009B8B21">
            <w:pPr>
              <w:pStyle w:val="34"/>
              <w:ind w:left="185"/>
              <w:jc w:val="center"/>
              <w:rPr>
                <w:rFonts w:hint="eastAsia"/>
                <w:color w:val="auto"/>
                <w:sz w:val="24"/>
                <w:highlight w:val="none"/>
                <w:lang w:val="en-US" w:eastAsia="zh-CN"/>
              </w:rPr>
            </w:pPr>
          </w:p>
          <w:p w14:paraId="59A30F4D">
            <w:pPr>
              <w:pStyle w:val="34"/>
              <w:ind w:left="185"/>
              <w:jc w:val="center"/>
              <w:rPr>
                <w:rFonts w:hint="eastAsia" w:eastAsia="宋体"/>
                <w:color w:val="auto"/>
                <w:sz w:val="24"/>
                <w:highlight w:val="none"/>
                <w:lang w:val="en-US" w:eastAsia="zh-CN"/>
              </w:rPr>
            </w:pPr>
            <w:r>
              <w:rPr>
                <w:rFonts w:hint="eastAsia"/>
                <w:color w:val="auto"/>
                <w:sz w:val="24"/>
                <w:highlight w:val="none"/>
                <w:lang w:val="en-US" w:eastAsia="zh-CN"/>
              </w:rPr>
              <w:t>姓名</w:t>
            </w:r>
          </w:p>
        </w:tc>
        <w:tc>
          <w:tcPr>
            <w:tcW w:w="854" w:type="dxa"/>
            <w:vAlign w:val="center"/>
          </w:tcPr>
          <w:p w14:paraId="4B16FEED">
            <w:pPr>
              <w:pStyle w:val="34"/>
              <w:ind w:left="185"/>
              <w:jc w:val="center"/>
              <w:rPr>
                <w:color w:val="auto"/>
                <w:sz w:val="24"/>
                <w:highlight w:val="none"/>
              </w:rPr>
            </w:pPr>
          </w:p>
          <w:p w14:paraId="6FE34D8E">
            <w:pPr>
              <w:pStyle w:val="34"/>
              <w:ind w:left="185"/>
              <w:jc w:val="center"/>
              <w:rPr>
                <w:color w:val="auto"/>
                <w:sz w:val="24"/>
                <w:highlight w:val="none"/>
              </w:rPr>
            </w:pPr>
            <w:r>
              <w:rPr>
                <w:color w:val="auto"/>
                <w:sz w:val="24"/>
                <w:highlight w:val="none"/>
              </w:rPr>
              <w:t>职务</w:t>
            </w:r>
          </w:p>
        </w:tc>
        <w:tc>
          <w:tcPr>
            <w:tcW w:w="2400" w:type="dxa"/>
            <w:vAlign w:val="center"/>
          </w:tcPr>
          <w:p w14:paraId="5498100E">
            <w:pPr>
              <w:pStyle w:val="34"/>
              <w:spacing w:before="51"/>
              <w:ind w:left="105" w:right="95"/>
              <w:jc w:val="center"/>
              <w:rPr>
                <w:color w:val="auto"/>
                <w:sz w:val="24"/>
                <w:highlight w:val="none"/>
              </w:rPr>
            </w:pPr>
            <w:r>
              <w:rPr>
                <w:color w:val="auto"/>
                <w:sz w:val="24"/>
                <w:highlight w:val="none"/>
              </w:rPr>
              <w:t>专业技术资格</w:t>
            </w:r>
          </w:p>
        </w:tc>
        <w:tc>
          <w:tcPr>
            <w:tcW w:w="1650" w:type="dxa"/>
            <w:vAlign w:val="center"/>
          </w:tcPr>
          <w:p w14:paraId="594B081E">
            <w:pPr>
              <w:pStyle w:val="34"/>
              <w:jc w:val="center"/>
              <w:rPr>
                <w:color w:val="auto"/>
                <w:sz w:val="24"/>
                <w:highlight w:val="none"/>
              </w:rPr>
            </w:pPr>
            <w:r>
              <w:rPr>
                <w:color w:val="auto"/>
                <w:sz w:val="24"/>
                <w:highlight w:val="none"/>
              </w:rPr>
              <w:t>证书编号</w:t>
            </w:r>
          </w:p>
        </w:tc>
        <w:tc>
          <w:tcPr>
            <w:tcW w:w="1575" w:type="dxa"/>
            <w:vAlign w:val="center"/>
          </w:tcPr>
          <w:p w14:paraId="1B615940">
            <w:pPr>
              <w:pStyle w:val="34"/>
              <w:spacing w:line="336" w:lineRule="auto"/>
              <w:ind w:left="228" w:right="96" w:hanging="120"/>
              <w:jc w:val="center"/>
              <w:rPr>
                <w:color w:val="auto"/>
                <w:sz w:val="24"/>
                <w:highlight w:val="none"/>
              </w:rPr>
            </w:pPr>
            <w:r>
              <w:rPr>
                <w:color w:val="auto"/>
                <w:sz w:val="24"/>
                <w:highlight w:val="none"/>
              </w:rPr>
              <w:t>参加本单位工作时间</w:t>
            </w:r>
          </w:p>
        </w:tc>
        <w:tc>
          <w:tcPr>
            <w:tcW w:w="1038" w:type="dxa"/>
            <w:vAlign w:val="center"/>
          </w:tcPr>
          <w:p w14:paraId="1914E00A">
            <w:pPr>
              <w:pStyle w:val="34"/>
              <w:ind w:left="200"/>
              <w:jc w:val="center"/>
              <w:rPr>
                <w:rFonts w:hint="default" w:eastAsia="宋体"/>
                <w:color w:val="auto"/>
                <w:sz w:val="24"/>
                <w:highlight w:val="none"/>
                <w:lang w:val="en-US" w:eastAsia="zh-CN"/>
              </w:rPr>
            </w:pPr>
            <w:r>
              <w:rPr>
                <w:rFonts w:hint="eastAsia"/>
                <w:color w:val="auto"/>
                <w:sz w:val="24"/>
                <w:highlight w:val="none"/>
                <w:lang w:val="en-US" w:eastAsia="zh-CN"/>
              </w:rPr>
              <w:t>备注</w:t>
            </w:r>
          </w:p>
        </w:tc>
      </w:tr>
      <w:tr w14:paraId="02034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73" w:type="dxa"/>
            <w:vAlign w:val="top"/>
          </w:tcPr>
          <w:p w14:paraId="3D146C10">
            <w:pPr>
              <w:pStyle w:val="34"/>
              <w:rPr>
                <w:rFonts w:ascii="Times New Roman"/>
                <w:color w:val="auto"/>
                <w:sz w:val="24"/>
                <w:highlight w:val="none"/>
              </w:rPr>
            </w:pPr>
          </w:p>
        </w:tc>
        <w:tc>
          <w:tcPr>
            <w:tcW w:w="1036" w:type="dxa"/>
            <w:vAlign w:val="top"/>
          </w:tcPr>
          <w:p w14:paraId="600E322F">
            <w:pPr>
              <w:pStyle w:val="34"/>
              <w:rPr>
                <w:rFonts w:ascii="Times New Roman"/>
                <w:color w:val="auto"/>
                <w:sz w:val="24"/>
                <w:highlight w:val="none"/>
              </w:rPr>
            </w:pPr>
          </w:p>
        </w:tc>
        <w:tc>
          <w:tcPr>
            <w:tcW w:w="854" w:type="dxa"/>
            <w:vAlign w:val="top"/>
          </w:tcPr>
          <w:p w14:paraId="4A270945">
            <w:pPr>
              <w:pStyle w:val="34"/>
              <w:rPr>
                <w:rFonts w:ascii="Times New Roman"/>
                <w:color w:val="auto"/>
                <w:sz w:val="24"/>
                <w:highlight w:val="none"/>
              </w:rPr>
            </w:pPr>
          </w:p>
        </w:tc>
        <w:tc>
          <w:tcPr>
            <w:tcW w:w="2400" w:type="dxa"/>
            <w:vAlign w:val="top"/>
          </w:tcPr>
          <w:p w14:paraId="452C2B2C">
            <w:pPr>
              <w:pStyle w:val="34"/>
              <w:rPr>
                <w:rFonts w:ascii="Times New Roman"/>
                <w:color w:val="auto"/>
                <w:sz w:val="24"/>
                <w:highlight w:val="none"/>
              </w:rPr>
            </w:pPr>
          </w:p>
        </w:tc>
        <w:tc>
          <w:tcPr>
            <w:tcW w:w="1650" w:type="dxa"/>
            <w:vAlign w:val="top"/>
          </w:tcPr>
          <w:p w14:paraId="1BF36913">
            <w:pPr>
              <w:pStyle w:val="34"/>
              <w:rPr>
                <w:rFonts w:ascii="Times New Roman"/>
                <w:color w:val="auto"/>
                <w:sz w:val="24"/>
                <w:highlight w:val="none"/>
              </w:rPr>
            </w:pPr>
          </w:p>
        </w:tc>
        <w:tc>
          <w:tcPr>
            <w:tcW w:w="1575" w:type="dxa"/>
            <w:vAlign w:val="top"/>
          </w:tcPr>
          <w:p w14:paraId="45E5A225">
            <w:pPr>
              <w:pStyle w:val="34"/>
              <w:rPr>
                <w:rFonts w:ascii="Times New Roman"/>
                <w:color w:val="auto"/>
                <w:sz w:val="24"/>
                <w:highlight w:val="none"/>
              </w:rPr>
            </w:pPr>
          </w:p>
        </w:tc>
        <w:tc>
          <w:tcPr>
            <w:tcW w:w="1038" w:type="dxa"/>
            <w:vAlign w:val="top"/>
          </w:tcPr>
          <w:p w14:paraId="74BF7B3E">
            <w:pPr>
              <w:pStyle w:val="34"/>
              <w:rPr>
                <w:rFonts w:ascii="Times New Roman"/>
                <w:color w:val="auto"/>
                <w:sz w:val="24"/>
                <w:highlight w:val="none"/>
              </w:rPr>
            </w:pPr>
          </w:p>
        </w:tc>
      </w:tr>
      <w:tr w14:paraId="21001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73" w:type="dxa"/>
            <w:vAlign w:val="top"/>
          </w:tcPr>
          <w:p w14:paraId="2C5ED822">
            <w:pPr>
              <w:pStyle w:val="34"/>
              <w:rPr>
                <w:rFonts w:ascii="Times New Roman"/>
                <w:color w:val="auto"/>
                <w:sz w:val="24"/>
                <w:highlight w:val="none"/>
              </w:rPr>
            </w:pPr>
          </w:p>
        </w:tc>
        <w:tc>
          <w:tcPr>
            <w:tcW w:w="1036" w:type="dxa"/>
            <w:vAlign w:val="top"/>
          </w:tcPr>
          <w:p w14:paraId="3AF89E7D">
            <w:pPr>
              <w:pStyle w:val="34"/>
              <w:rPr>
                <w:rFonts w:ascii="Times New Roman"/>
                <w:color w:val="auto"/>
                <w:sz w:val="24"/>
                <w:highlight w:val="none"/>
              </w:rPr>
            </w:pPr>
          </w:p>
        </w:tc>
        <w:tc>
          <w:tcPr>
            <w:tcW w:w="854" w:type="dxa"/>
            <w:vAlign w:val="top"/>
          </w:tcPr>
          <w:p w14:paraId="5737EDDA">
            <w:pPr>
              <w:pStyle w:val="34"/>
              <w:rPr>
                <w:rFonts w:ascii="Times New Roman"/>
                <w:color w:val="auto"/>
                <w:sz w:val="24"/>
                <w:highlight w:val="none"/>
              </w:rPr>
            </w:pPr>
          </w:p>
        </w:tc>
        <w:tc>
          <w:tcPr>
            <w:tcW w:w="2400" w:type="dxa"/>
            <w:vAlign w:val="top"/>
          </w:tcPr>
          <w:p w14:paraId="628D9001">
            <w:pPr>
              <w:pStyle w:val="34"/>
              <w:rPr>
                <w:rFonts w:ascii="Times New Roman"/>
                <w:color w:val="auto"/>
                <w:sz w:val="24"/>
                <w:highlight w:val="none"/>
              </w:rPr>
            </w:pPr>
          </w:p>
        </w:tc>
        <w:tc>
          <w:tcPr>
            <w:tcW w:w="1650" w:type="dxa"/>
            <w:vAlign w:val="top"/>
          </w:tcPr>
          <w:p w14:paraId="01C05ACC">
            <w:pPr>
              <w:pStyle w:val="34"/>
              <w:rPr>
                <w:rFonts w:ascii="Times New Roman"/>
                <w:color w:val="auto"/>
                <w:sz w:val="24"/>
                <w:highlight w:val="none"/>
              </w:rPr>
            </w:pPr>
          </w:p>
        </w:tc>
        <w:tc>
          <w:tcPr>
            <w:tcW w:w="1575" w:type="dxa"/>
            <w:vAlign w:val="top"/>
          </w:tcPr>
          <w:p w14:paraId="3C3916D7">
            <w:pPr>
              <w:pStyle w:val="34"/>
              <w:rPr>
                <w:rFonts w:ascii="Times New Roman"/>
                <w:color w:val="auto"/>
                <w:sz w:val="24"/>
                <w:highlight w:val="none"/>
              </w:rPr>
            </w:pPr>
          </w:p>
        </w:tc>
        <w:tc>
          <w:tcPr>
            <w:tcW w:w="1038" w:type="dxa"/>
            <w:vAlign w:val="top"/>
          </w:tcPr>
          <w:p w14:paraId="10C79473">
            <w:pPr>
              <w:pStyle w:val="34"/>
              <w:rPr>
                <w:rFonts w:ascii="Times New Roman"/>
                <w:color w:val="auto"/>
                <w:sz w:val="24"/>
                <w:highlight w:val="none"/>
              </w:rPr>
            </w:pPr>
          </w:p>
        </w:tc>
      </w:tr>
      <w:tr w14:paraId="7DC4A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73" w:type="dxa"/>
            <w:vAlign w:val="top"/>
          </w:tcPr>
          <w:p w14:paraId="30FA2BC5">
            <w:pPr>
              <w:pStyle w:val="34"/>
              <w:rPr>
                <w:rFonts w:ascii="Times New Roman"/>
                <w:color w:val="auto"/>
                <w:sz w:val="24"/>
                <w:highlight w:val="none"/>
              </w:rPr>
            </w:pPr>
          </w:p>
        </w:tc>
        <w:tc>
          <w:tcPr>
            <w:tcW w:w="1036" w:type="dxa"/>
            <w:vAlign w:val="top"/>
          </w:tcPr>
          <w:p w14:paraId="75B8CB71">
            <w:pPr>
              <w:pStyle w:val="34"/>
              <w:rPr>
                <w:rFonts w:ascii="Times New Roman"/>
                <w:color w:val="auto"/>
                <w:sz w:val="24"/>
                <w:highlight w:val="none"/>
              </w:rPr>
            </w:pPr>
          </w:p>
        </w:tc>
        <w:tc>
          <w:tcPr>
            <w:tcW w:w="854" w:type="dxa"/>
            <w:vAlign w:val="top"/>
          </w:tcPr>
          <w:p w14:paraId="532215F8">
            <w:pPr>
              <w:pStyle w:val="34"/>
              <w:rPr>
                <w:rFonts w:ascii="Times New Roman"/>
                <w:color w:val="auto"/>
                <w:sz w:val="24"/>
                <w:highlight w:val="none"/>
              </w:rPr>
            </w:pPr>
          </w:p>
        </w:tc>
        <w:tc>
          <w:tcPr>
            <w:tcW w:w="2400" w:type="dxa"/>
            <w:vAlign w:val="top"/>
          </w:tcPr>
          <w:p w14:paraId="535A55AB">
            <w:pPr>
              <w:pStyle w:val="34"/>
              <w:rPr>
                <w:rFonts w:ascii="Times New Roman"/>
                <w:color w:val="auto"/>
                <w:sz w:val="24"/>
                <w:highlight w:val="none"/>
              </w:rPr>
            </w:pPr>
          </w:p>
        </w:tc>
        <w:tc>
          <w:tcPr>
            <w:tcW w:w="1650" w:type="dxa"/>
            <w:vAlign w:val="top"/>
          </w:tcPr>
          <w:p w14:paraId="42B7F535">
            <w:pPr>
              <w:pStyle w:val="34"/>
              <w:rPr>
                <w:rFonts w:ascii="Times New Roman"/>
                <w:color w:val="auto"/>
                <w:sz w:val="24"/>
                <w:highlight w:val="none"/>
              </w:rPr>
            </w:pPr>
          </w:p>
        </w:tc>
        <w:tc>
          <w:tcPr>
            <w:tcW w:w="1575" w:type="dxa"/>
            <w:vAlign w:val="top"/>
          </w:tcPr>
          <w:p w14:paraId="1D357E8B">
            <w:pPr>
              <w:pStyle w:val="34"/>
              <w:rPr>
                <w:rFonts w:ascii="Times New Roman"/>
                <w:color w:val="auto"/>
                <w:sz w:val="24"/>
                <w:highlight w:val="none"/>
              </w:rPr>
            </w:pPr>
          </w:p>
        </w:tc>
        <w:tc>
          <w:tcPr>
            <w:tcW w:w="1038" w:type="dxa"/>
            <w:vAlign w:val="top"/>
          </w:tcPr>
          <w:p w14:paraId="20F6C28E">
            <w:pPr>
              <w:pStyle w:val="34"/>
              <w:rPr>
                <w:rFonts w:ascii="Times New Roman"/>
                <w:color w:val="auto"/>
                <w:sz w:val="24"/>
                <w:highlight w:val="none"/>
              </w:rPr>
            </w:pPr>
          </w:p>
        </w:tc>
      </w:tr>
      <w:tr w14:paraId="7E39C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73" w:type="dxa"/>
            <w:vAlign w:val="top"/>
          </w:tcPr>
          <w:p w14:paraId="5119C01F">
            <w:pPr>
              <w:pStyle w:val="34"/>
              <w:rPr>
                <w:rFonts w:ascii="Times New Roman"/>
                <w:color w:val="auto"/>
                <w:sz w:val="24"/>
                <w:highlight w:val="none"/>
              </w:rPr>
            </w:pPr>
          </w:p>
        </w:tc>
        <w:tc>
          <w:tcPr>
            <w:tcW w:w="1036" w:type="dxa"/>
            <w:vAlign w:val="top"/>
          </w:tcPr>
          <w:p w14:paraId="2AA011BF">
            <w:pPr>
              <w:pStyle w:val="34"/>
              <w:rPr>
                <w:rFonts w:ascii="Times New Roman"/>
                <w:color w:val="auto"/>
                <w:sz w:val="24"/>
                <w:highlight w:val="none"/>
              </w:rPr>
            </w:pPr>
          </w:p>
        </w:tc>
        <w:tc>
          <w:tcPr>
            <w:tcW w:w="854" w:type="dxa"/>
            <w:vAlign w:val="top"/>
          </w:tcPr>
          <w:p w14:paraId="095CBBAB">
            <w:pPr>
              <w:pStyle w:val="34"/>
              <w:rPr>
                <w:rFonts w:ascii="Times New Roman"/>
                <w:color w:val="auto"/>
                <w:sz w:val="24"/>
                <w:highlight w:val="none"/>
              </w:rPr>
            </w:pPr>
          </w:p>
        </w:tc>
        <w:tc>
          <w:tcPr>
            <w:tcW w:w="2400" w:type="dxa"/>
            <w:vAlign w:val="top"/>
          </w:tcPr>
          <w:p w14:paraId="6F1574FF">
            <w:pPr>
              <w:pStyle w:val="34"/>
              <w:rPr>
                <w:rFonts w:ascii="Times New Roman"/>
                <w:color w:val="auto"/>
                <w:sz w:val="24"/>
                <w:highlight w:val="none"/>
              </w:rPr>
            </w:pPr>
          </w:p>
        </w:tc>
        <w:tc>
          <w:tcPr>
            <w:tcW w:w="1650" w:type="dxa"/>
            <w:vAlign w:val="top"/>
          </w:tcPr>
          <w:p w14:paraId="0335CD8B">
            <w:pPr>
              <w:pStyle w:val="34"/>
              <w:rPr>
                <w:rFonts w:ascii="Times New Roman"/>
                <w:color w:val="auto"/>
                <w:sz w:val="24"/>
                <w:highlight w:val="none"/>
              </w:rPr>
            </w:pPr>
          </w:p>
        </w:tc>
        <w:tc>
          <w:tcPr>
            <w:tcW w:w="1575" w:type="dxa"/>
            <w:vAlign w:val="top"/>
          </w:tcPr>
          <w:p w14:paraId="5D5D20C2">
            <w:pPr>
              <w:pStyle w:val="34"/>
              <w:rPr>
                <w:rFonts w:ascii="Times New Roman"/>
                <w:color w:val="auto"/>
                <w:sz w:val="24"/>
                <w:highlight w:val="none"/>
              </w:rPr>
            </w:pPr>
          </w:p>
        </w:tc>
        <w:tc>
          <w:tcPr>
            <w:tcW w:w="1038" w:type="dxa"/>
            <w:vAlign w:val="top"/>
          </w:tcPr>
          <w:p w14:paraId="17763460">
            <w:pPr>
              <w:pStyle w:val="34"/>
              <w:rPr>
                <w:rFonts w:ascii="Times New Roman"/>
                <w:color w:val="auto"/>
                <w:sz w:val="24"/>
                <w:highlight w:val="none"/>
              </w:rPr>
            </w:pPr>
          </w:p>
        </w:tc>
      </w:tr>
      <w:tr w14:paraId="4FB33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73" w:type="dxa"/>
            <w:vAlign w:val="top"/>
          </w:tcPr>
          <w:p w14:paraId="4EFC3835">
            <w:pPr>
              <w:pStyle w:val="34"/>
              <w:rPr>
                <w:rFonts w:ascii="Times New Roman"/>
                <w:color w:val="auto"/>
                <w:sz w:val="24"/>
                <w:highlight w:val="none"/>
              </w:rPr>
            </w:pPr>
          </w:p>
        </w:tc>
        <w:tc>
          <w:tcPr>
            <w:tcW w:w="1036" w:type="dxa"/>
            <w:vAlign w:val="top"/>
          </w:tcPr>
          <w:p w14:paraId="7ECE8C4A">
            <w:pPr>
              <w:pStyle w:val="34"/>
              <w:rPr>
                <w:rFonts w:ascii="Times New Roman"/>
                <w:color w:val="auto"/>
                <w:sz w:val="24"/>
                <w:highlight w:val="none"/>
              </w:rPr>
            </w:pPr>
          </w:p>
        </w:tc>
        <w:tc>
          <w:tcPr>
            <w:tcW w:w="854" w:type="dxa"/>
            <w:vAlign w:val="top"/>
          </w:tcPr>
          <w:p w14:paraId="48B4EF4C">
            <w:pPr>
              <w:pStyle w:val="34"/>
              <w:rPr>
                <w:rFonts w:ascii="Times New Roman"/>
                <w:color w:val="auto"/>
                <w:sz w:val="24"/>
                <w:highlight w:val="none"/>
              </w:rPr>
            </w:pPr>
          </w:p>
        </w:tc>
        <w:tc>
          <w:tcPr>
            <w:tcW w:w="2400" w:type="dxa"/>
            <w:vAlign w:val="top"/>
          </w:tcPr>
          <w:p w14:paraId="58DFD1C2">
            <w:pPr>
              <w:pStyle w:val="34"/>
              <w:rPr>
                <w:rFonts w:ascii="Times New Roman"/>
                <w:color w:val="auto"/>
                <w:sz w:val="24"/>
                <w:highlight w:val="none"/>
              </w:rPr>
            </w:pPr>
          </w:p>
        </w:tc>
        <w:tc>
          <w:tcPr>
            <w:tcW w:w="1650" w:type="dxa"/>
            <w:vAlign w:val="top"/>
          </w:tcPr>
          <w:p w14:paraId="4542D88A">
            <w:pPr>
              <w:pStyle w:val="34"/>
              <w:rPr>
                <w:rFonts w:ascii="Times New Roman"/>
                <w:color w:val="auto"/>
                <w:sz w:val="24"/>
                <w:highlight w:val="none"/>
              </w:rPr>
            </w:pPr>
          </w:p>
        </w:tc>
        <w:tc>
          <w:tcPr>
            <w:tcW w:w="1575" w:type="dxa"/>
            <w:vAlign w:val="top"/>
          </w:tcPr>
          <w:p w14:paraId="295F3071">
            <w:pPr>
              <w:pStyle w:val="34"/>
              <w:rPr>
                <w:rFonts w:ascii="Times New Roman"/>
                <w:color w:val="auto"/>
                <w:sz w:val="24"/>
                <w:highlight w:val="none"/>
              </w:rPr>
            </w:pPr>
          </w:p>
        </w:tc>
        <w:tc>
          <w:tcPr>
            <w:tcW w:w="1038" w:type="dxa"/>
            <w:vAlign w:val="top"/>
          </w:tcPr>
          <w:p w14:paraId="696838C4">
            <w:pPr>
              <w:pStyle w:val="34"/>
              <w:rPr>
                <w:rFonts w:ascii="Times New Roman"/>
                <w:color w:val="auto"/>
                <w:sz w:val="24"/>
                <w:highlight w:val="none"/>
              </w:rPr>
            </w:pPr>
          </w:p>
        </w:tc>
      </w:tr>
      <w:tr w14:paraId="4C16E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73" w:type="dxa"/>
            <w:vAlign w:val="top"/>
          </w:tcPr>
          <w:p w14:paraId="3BB3AE78">
            <w:pPr>
              <w:pStyle w:val="34"/>
              <w:rPr>
                <w:rFonts w:ascii="Times New Roman"/>
                <w:color w:val="auto"/>
                <w:sz w:val="24"/>
                <w:highlight w:val="none"/>
              </w:rPr>
            </w:pPr>
          </w:p>
        </w:tc>
        <w:tc>
          <w:tcPr>
            <w:tcW w:w="1036" w:type="dxa"/>
            <w:vAlign w:val="top"/>
          </w:tcPr>
          <w:p w14:paraId="06ECD90F">
            <w:pPr>
              <w:pStyle w:val="34"/>
              <w:rPr>
                <w:rFonts w:ascii="Times New Roman"/>
                <w:color w:val="auto"/>
                <w:sz w:val="24"/>
                <w:highlight w:val="none"/>
              </w:rPr>
            </w:pPr>
          </w:p>
        </w:tc>
        <w:tc>
          <w:tcPr>
            <w:tcW w:w="854" w:type="dxa"/>
            <w:vAlign w:val="top"/>
          </w:tcPr>
          <w:p w14:paraId="48C4319A">
            <w:pPr>
              <w:pStyle w:val="34"/>
              <w:rPr>
                <w:rFonts w:ascii="Times New Roman"/>
                <w:color w:val="auto"/>
                <w:sz w:val="24"/>
                <w:highlight w:val="none"/>
              </w:rPr>
            </w:pPr>
          </w:p>
        </w:tc>
        <w:tc>
          <w:tcPr>
            <w:tcW w:w="2400" w:type="dxa"/>
            <w:vAlign w:val="top"/>
          </w:tcPr>
          <w:p w14:paraId="374FD446">
            <w:pPr>
              <w:pStyle w:val="34"/>
              <w:rPr>
                <w:rFonts w:ascii="Times New Roman"/>
                <w:color w:val="auto"/>
                <w:sz w:val="24"/>
                <w:highlight w:val="none"/>
              </w:rPr>
            </w:pPr>
          </w:p>
        </w:tc>
        <w:tc>
          <w:tcPr>
            <w:tcW w:w="1650" w:type="dxa"/>
            <w:vAlign w:val="top"/>
          </w:tcPr>
          <w:p w14:paraId="660CC354">
            <w:pPr>
              <w:pStyle w:val="34"/>
              <w:rPr>
                <w:rFonts w:ascii="Times New Roman"/>
                <w:color w:val="auto"/>
                <w:sz w:val="24"/>
                <w:highlight w:val="none"/>
              </w:rPr>
            </w:pPr>
          </w:p>
        </w:tc>
        <w:tc>
          <w:tcPr>
            <w:tcW w:w="1575" w:type="dxa"/>
            <w:vAlign w:val="top"/>
          </w:tcPr>
          <w:p w14:paraId="0AC78FFB">
            <w:pPr>
              <w:pStyle w:val="34"/>
              <w:rPr>
                <w:rFonts w:ascii="Times New Roman"/>
                <w:color w:val="auto"/>
                <w:sz w:val="24"/>
                <w:highlight w:val="none"/>
              </w:rPr>
            </w:pPr>
          </w:p>
        </w:tc>
        <w:tc>
          <w:tcPr>
            <w:tcW w:w="1038" w:type="dxa"/>
            <w:vAlign w:val="top"/>
          </w:tcPr>
          <w:p w14:paraId="27404B29">
            <w:pPr>
              <w:pStyle w:val="34"/>
              <w:rPr>
                <w:rFonts w:ascii="Times New Roman"/>
                <w:color w:val="auto"/>
                <w:sz w:val="24"/>
                <w:highlight w:val="none"/>
              </w:rPr>
            </w:pPr>
          </w:p>
        </w:tc>
      </w:tr>
      <w:tr w14:paraId="5E000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73" w:type="dxa"/>
            <w:vAlign w:val="top"/>
          </w:tcPr>
          <w:p w14:paraId="76038676">
            <w:pPr>
              <w:pStyle w:val="34"/>
              <w:rPr>
                <w:rFonts w:ascii="Times New Roman"/>
                <w:color w:val="auto"/>
                <w:sz w:val="24"/>
                <w:highlight w:val="none"/>
              </w:rPr>
            </w:pPr>
          </w:p>
        </w:tc>
        <w:tc>
          <w:tcPr>
            <w:tcW w:w="1036" w:type="dxa"/>
            <w:vAlign w:val="top"/>
          </w:tcPr>
          <w:p w14:paraId="607C1EB0">
            <w:pPr>
              <w:pStyle w:val="34"/>
              <w:rPr>
                <w:rFonts w:ascii="Times New Roman"/>
                <w:color w:val="auto"/>
                <w:sz w:val="24"/>
                <w:highlight w:val="none"/>
              </w:rPr>
            </w:pPr>
          </w:p>
        </w:tc>
        <w:tc>
          <w:tcPr>
            <w:tcW w:w="854" w:type="dxa"/>
            <w:vAlign w:val="top"/>
          </w:tcPr>
          <w:p w14:paraId="72D3D251">
            <w:pPr>
              <w:pStyle w:val="34"/>
              <w:rPr>
                <w:rFonts w:ascii="Times New Roman"/>
                <w:color w:val="auto"/>
                <w:sz w:val="24"/>
                <w:highlight w:val="none"/>
              </w:rPr>
            </w:pPr>
          </w:p>
        </w:tc>
        <w:tc>
          <w:tcPr>
            <w:tcW w:w="2400" w:type="dxa"/>
            <w:vAlign w:val="top"/>
          </w:tcPr>
          <w:p w14:paraId="1564E93A">
            <w:pPr>
              <w:pStyle w:val="34"/>
              <w:rPr>
                <w:rFonts w:ascii="Times New Roman"/>
                <w:color w:val="auto"/>
                <w:sz w:val="24"/>
                <w:highlight w:val="none"/>
              </w:rPr>
            </w:pPr>
          </w:p>
        </w:tc>
        <w:tc>
          <w:tcPr>
            <w:tcW w:w="1650" w:type="dxa"/>
            <w:vAlign w:val="top"/>
          </w:tcPr>
          <w:p w14:paraId="4A6A6968">
            <w:pPr>
              <w:pStyle w:val="34"/>
              <w:rPr>
                <w:rFonts w:ascii="Times New Roman"/>
                <w:color w:val="auto"/>
                <w:sz w:val="24"/>
                <w:highlight w:val="none"/>
              </w:rPr>
            </w:pPr>
          </w:p>
        </w:tc>
        <w:tc>
          <w:tcPr>
            <w:tcW w:w="1575" w:type="dxa"/>
            <w:vAlign w:val="top"/>
          </w:tcPr>
          <w:p w14:paraId="22C18E56">
            <w:pPr>
              <w:pStyle w:val="34"/>
              <w:rPr>
                <w:rFonts w:ascii="Times New Roman"/>
                <w:color w:val="auto"/>
                <w:sz w:val="24"/>
                <w:highlight w:val="none"/>
              </w:rPr>
            </w:pPr>
          </w:p>
        </w:tc>
        <w:tc>
          <w:tcPr>
            <w:tcW w:w="1038" w:type="dxa"/>
            <w:vAlign w:val="top"/>
          </w:tcPr>
          <w:p w14:paraId="632A8BEE">
            <w:pPr>
              <w:pStyle w:val="34"/>
              <w:rPr>
                <w:rFonts w:ascii="Times New Roman"/>
                <w:color w:val="auto"/>
                <w:sz w:val="24"/>
                <w:highlight w:val="none"/>
              </w:rPr>
            </w:pPr>
          </w:p>
        </w:tc>
      </w:tr>
    </w:tbl>
    <w:p w14:paraId="4369F5CF">
      <w:pPr>
        <w:pStyle w:val="13"/>
        <w:spacing w:before="8"/>
        <w:rPr>
          <w:b/>
          <w:color w:val="auto"/>
          <w:sz w:val="37"/>
          <w:highlight w:val="none"/>
        </w:rPr>
      </w:pPr>
    </w:p>
    <w:p w14:paraId="3759E449">
      <w:pPr>
        <w:pStyle w:val="10"/>
        <w:ind w:left="557"/>
        <w:rPr>
          <w:color w:val="auto"/>
          <w:sz w:val="21"/>
          <w:szCs w:val="21"/>
          <w:highlight w:val="none"/>
        </w:rPr>
      </w:pPr>
      <w:r>
        <w:rPr>
          <w:color w:val="auto"/>
          <w:sz w:val="21"/>
          <w:szCs w:val="21"/>
          <w:highlight w:val="none"/>
        </w:rPr>
        <w:t>注：</w:t>
      </w:r>
    </w:p>
    <w:p w14:paraId="63896BED">
      <w:pPr>
        <w:pStyle w:val="10"/>
        <w:numPr>
          <w:ilvl w:val="0"/>
          <w:numId w:val="10"/>
        </w:numPr>
        <w:tabs>
          <w:tab w:val="left" w:pos="799"/>
        </w:tabs>
        <w:spacing w:before="160" w:after="0" w:line="240" w:lineRule="auto"/>
        <w:ind w:left="798" w:right="0" w:hanging="242"/>
        <w:jc w:val="left"/>
        <w:rPr>
          <w:color w:val="auto"/>
          <w:sz w:val="21"/>
          <w:szCs w:val="21"/>
          <w:highlight w:val="none"/>
        </w:rPr>
      </w:pPr>
      <w:r>
        <w:rPr>
          <w:color w:val="auto"/>
          <w:spacing w:val="-5"/>
          <w:sz w:val="21"/>
          <w:szCs w:val="21"/>
          <w:highlight w:val="none"/>
        </w:rPr>
        <w:t>在填写时，如本表格不适合</w:t>
      </w:r>
      <w:r>
        <w:rPr>
          <w:rFonts w:hint="eastAsia"/>
          <w:color w:val="auto"/>
          <w:spacing w:val="-5"/>
          <w:sz w:val="21"/>
          <w:szCs w:val="21"/>
          <w:highlight w:val="none"/>
          <w:lang w:val="en-US" w:eastAsia="zh-CN"/>
        </w:rPr>
        <w:t>供应商</w:t>
      </w:r>
      <w:r>
        <w:rPr>
          <w:color w:val="auto"/>
          <w:spacing w:val="-5"/>
          <w:sz w:val="21"/>
          <w:szCs w:val="21"/>
          <w:highlight w:val="none"/>
        </w:rPr>
        <w:t>的实际情况，可根据本表格式自行制表填写。</w:t>
      </w:r>
    </w:p>
    <w:p w14:paraId="62368F06">
      <w:pPr>
        <w:pStyle w:val="10"/>
        <w:numPr>
          <w:ilvl w:val="0"/>
          <w:numId w:val="10"/>
        </w:numPr>
        <w:tabs>
          <w:tab w:val="left" w:pos="799"/>
        </w:tabs>
        <w:spacing w:before="158" w:after="0" w:line="240" w:lineRule="auto"/>
        <w:ind w:left="798" w:right="0" w:hanging="242"/>
        <w:jc w:val="left"/>
        <w:rPr>
          <w:color w:val="auto"/>
          <w:sz w:val="21"/>
          <w:szCs w:val="21"/>
          <w:highlight w:val="none"/>
        </w:rPr>
      </w:pPr>
      <w:r>
        <w:rPr>
          <w:color w:val="auto"/>
          <w:sz w:val="21"/>
          <w:szCs w:val="21"/>
          <w:highlight w:val="none"/>
        </w:rPr>
        <w:t>供应商应当附本表所列证书的复印件并加盖供应商电子签章。</w:t>
      </w:r>
    </w:p>
    <w:p w14:paraId="3105A53E">
      <w:pPr>
        <w:pStyle w:val="10"/>
        <w:numPr>
          <w:ilvl w:val="0"/>
          <w:numId w:val="10"/>
        </w:numPr>
        <w:tabs>
          <w:tab w:val="left" w:pos="799"/>
        </w:tabs>
        <w:spacing w:before="158" w:after="0" w:line="240" w:lineRule="auto"/>
        <w:ind w:left="798" w:right="0" w:hanging="242"/>
        <w:jc w:val="left"/>
        <w:rPr>
          <w:color w:val="auto"/>
          <w:sz w:val="21"/>
          <w:szCs w:val="21"/>
          <w:highlight w:val="none"/>
        </w:rPr>
      </w:pPr>
      <w:r>
        <w:rPr>
          <w:rFonts w:hint="eastAsia"/>
          <w:color w:val="auto"/>
          <w:sz w:val="21"/>
          <w:szCs w:val="21"/>
          <w:highlight w:val="none"/>
        </w:rPr>
        <w:t>技术人员必须是在聘员工，提供由供应商替在聘员工缴纳的社保缴纳证明（在响应文件中提供响应文件递交截止时间前半年内任意一个月的社保缴纳证明），否则不得分；</w:t>
      </w:r>
    </w:p>
    <w:p w14:paraId="4A901E6C">
      <w:pPr>
        <w:rPr>
          <w:color w:val="auto"/>
          <w:sz w:val="21"/>
          <w:szCs w:val="21"/>
          <w:highlight w:val="none"/>
        </w:rPr>
      </w:pPr>
    </w:p>
    <w:p w14:paraId="33FABB49">
      <w:pPr>
        <w:rPr>
          <w:rFonts w:hint="default" w:eastAsia="宋体"/>
          <w:color w:val="auto"/>
          <w:highlight w:val="none"/>
          <w:lang w:val="en-US" w:eastAsia="zh-CN"/>
        </w:rPr>
      </w:pPr>
      <w:r>
        <w:rPr>
          <w:rFonts w:hint="eastAsia"/>
          <w:color w:val="auto"/>
          <w:highlight w:val="none"/>
          <w:lang w:val="en-US" w:eastAsia="zh-CN"/>
        </w:rPr>
        <w:t xml:space="preserve">    </w:t>
      </w:r>
    </w:p>
    <w:p w14:paraId="79B73C95">
      <w:pPr>
        <w:pStyle w:val="13"/>
        <w:rPr>
          <w:color w:val="auto"/>
          <w:sz w:val="24"/>
          <w:highlight w:val="none"/>
        </w:rPr>
      </w:pPr>
    </w:p>
    <w:p w14:paraId="03E208FB">
      <w:pPr>
        <w:snapToGrid w:val="0"/>
        <w:spacing w:before="165" w:beforeLines="50" w:after="50"/>
        <w:ind w:firstLine="602" w:firstLineChars="200"/>
        <w:jc w:val="center"/>
        <w:rPr>
          <w:rFonts w:hint="eastAsia" w:ascii="宋体" w:hAnsi="宋体" w:cs="宋体"/>
          <w:b/>
          <w:bCs/>
          <w:color w:val="auto"/>
          <w:sz w:val="30"/>
          <w:szCs w:val="30"/>
          <w:highlight w:val="none"/>
        </w:rPr>
      </w:pPr>
    </w:p>
    <w:p w14:paraId="6EE6765A">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3B864128">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292A8E">
      <w:pPr>
        <w:jc w:val="center"/>
        <w:rPr>
          <w:rFonts w:hint="eastAsia" w:ascii="宋体" w:hAnsi="宋体"/>
          <w:b/>
          <w:bCs/>
          <w:color w:val="auto"/>
          <w:sz w:val="32"/>
          <w:szCs w:val="32"/>
          <w:highlight w:val="none"/>
        </w:rPr>
      </w:pPr>
    </w:p>
    <w:p w14:paraId="313683E1">
      <w:pPr>
        <w:jc w:val="center"/>
        <w:rPr>
          <w:rFonts w:hint="eastAsia" w:ascii="宋体" w:hAnsi="宋体"/>
          <w:b/>
          <w:bCs/>
          <w:color w:val="auto"/>
          <w:sz w:val="32"/>
          <w:szCs w:val="32"/>
          <w:highlight w:val="none"/>
        </w:rPr>
      </w:pPr>
    </w:p>
    <w:p w14:paraId="32286823">
      <w:pPr>
        <w:jc w:val="center"/>
        <w:rPr>
          <w:rFonts w:hint="default" w:ascii="宋体" w:hAnsi="宋体" w:eastAsia="宋体"/>
          <w:b/>
          <w:bCs/>
          <w:color w:val="auto"/>
          <w:sz w:val="32"/>
          <w:szCs w:val="32"/>
          <w:highlight w:val="none"/>
          <w:lang w:val="en-US" w:eastAsia="zh-CN"/>
        </w:rPr>
      </w:pPr>
      <w:r>
        <w:rPr>
          <w:rFonts w:hint="eastAsia" w:ascii="宋体" w:hAnsi="宋体"/>
          <w:b/>
          <w:bCs/>
          <w:color w:val="auto"/>
          <w:sz w:val="32"/>
          <w:szCs w:val="32"/>
          <w:highlight w:val="none"/>
          <w:lang w:val="en-US" w:eastAsia="zh-CN"/>
        </w:rPr>
        <w:t>七、维修检测设备配置</w:t>
      </w:r>
    </w:p>
    <w:p w14:paraId="45415169">
      <w:pPr>
        <w:jc w:val="center"/>
        <w:rPr>
          <w:rFonts w:hint="eastAsia" w:ascii="宋体" w:hAnsi="宋体"/>
          <w:b/>
          <w:bCs/>
          <w:color w:val="auto"/>
          <w:sz w:val="32"/>
          <w:szCs w:val="32"/>
          <w:highlight w:val="none"/>
          <w:lang w:val="en-US" w:eastAsia="zh-CN"/>
        </w:rPr>
      </w:pPr>
    </w:p>
    <w:p w14:paraId="68782B2C">
      <w:pPr>
        <w:jc w:val="center"/>
        <w:rPr>
          <w:rFonts w:ascii="宋体" w:hAnsi="宋体"/>
          <w:b/>
          <w:bCs/>
          <w:color w:val="auto"/>
          <w:sz w:val="32"/>
          <w:szCs w:val="32"/>
          <w:highlight w:val="none"/>
        </w:rPr>
      </w:pPr>
      <w:r>
        <w:rPr>
          <w:rFonts w:hint="eastAsia" w:ascii="宋体" w:hAnsi="宋体"/>
          <w:b/>
          <w:bCs/>
          <w:color w:val="auto"/>
          <w:sz w:val="32"/>
          <w:szCs w:val="32"/>
          <w:highlight w:val="none"/>
          <w:lang w:val="en-US" w:eastAsia="zh-CN"/>
        </w:rPr>
        <w:t>主要维修检测</w:t>
      </w:r>
      <w:r>
        <w:rPr>
          <w:rFonts w:hint="eastAsia" w:ascii="宋体" w:hAnsi="宋体"/>
          <w:b/>
          <w:bCs/>
          <w:color w:val="auto"/>
          <w:sz w:val="32"/>
          <w:szCs w:val="32"/>
          <w:highlight w:val="none"/>
        </w:rPr>
        <w:t>设备一览表</w:t>
      </w:r>
    </w:p>
    <w:tbl>
      <w:tblPr>
        <w:tblStyle w:val="2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952"/>
        <w:gridCol w:w="1425"/>
        <w:gridCol w:w="1217"/>
        <w:gridCol w:w="858"/>
        <w:gridCol w:w="1958"/>
        <w:gridCol w:w="1408"/>
      </w:tblGrid>
      <w:tr w14:paraId="636B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36" w:type="dxa"/>
            <w:vAlign w:val="center"/>
          </w:tcPr>
          <w:p w14:paraId="4672D5D5">
            <w:pPr>
              <w:pStyle w:val="16"/>
              <w:jc w:val="center"/>
              <w:rPr>
                <w:color w:val="auto"/>
                <w:highlight w:val="none"/>
              </w:rPr>
            </w:pPr>
            <w:r>
              <w:rPr>
                <w:rFonts w:hint="eastAsia"/>
                <w:color w:val="auto"/>
                <w:highlight w:val="none"/>
              </w:rPr>
              <w:t>序号</w:t>
            </w:r>
          </w:p>
        </w:tc>
        <w:tc>
          <w:tcPr>
            <w:tcW w:w="1952" w:type="dxa"/>
            <w:vAlign w:val="center"/>
          </w:tcPr>
          <w:p w14:paraId="1A11ED07">
            <w:pPr>
              <w:pStyle w:val="16"/>
              <w:jc w:val="center"/>
              <w:rPr>
                <w:color w:val="auto"/>
                <w:highlight w:val="none"/>
              </w:rPr>
            </w:pPr>
            <w:r>
              <w:rPr>
                <w:rFonts w:hint="eastAsia"/>
                <w:color w:val="auto"/>
                <w:highlight w:val="none"/>
              </w:rPr>
              <w:t>设备名称</w:t>
            </w:r>
          </w:p>
        </w:tc>
        <w:tc>
          <w:tcPr>
            <w:tcW w:w="1425" w:type="dxa"/>
            <w:vAlign w:val="center"/>
          </w:tcPr>
          <w:p w14:paraId="3ADA8218">
            <w:pPr>
              <w:pStyle w:val="16"/>
              <w:jc w:val="center"/>
              <w:rPr>
                <w:color w:val="auto"/>
                <w:highlight w:val="none"/>
              </w:rPr>
            </w:pPr>
            <w:r>
              <w:rPr>
                <w:rFonts w:hint="eastAsia"/>
                <w:color w:val="auto"/>
                <w:highlight w:val="none"/>
              </w:rPr>
              <w:t>型号</w:t>
            </w:r>
          </w:p>
        </w:tc>
        <w:tc>
          <w:tcPr>
            <w:tcW w:w="1217" w:type="dxa"/>
            <w:vAlign w:val="center"/>
          </w:tcPr>
          <w:p w14:paraId="67C5D7AE">
            <w:pPr>
              <w:pStyle w:val="16"/>
              <w:jc w:val="center"/>
              <w:rPr>
                <w:color w:val="auto"/>
                <w:highlight w:val="none"/>
              </w:rPr>
            </w:pPr>
            <w:r>
              <w:rPr>
                <w:rFonts w:hint="eastAsia"/>
                <w:color w:val="auto"/>
                <w:highlight w:val="none"/>
              </w:rPr>
              <w:t>产地</w:t>
            </w:r>
          </w:p>
        </w:tc>
        <w:tc>
          <w:tcPr>
            <w:tcW w:w="858" w:type="dxa"/>
            <w:vAlign w:val="center"/>
          </w:tcPr>
          <w:p w14:paraId="3BD51127">
            <w:pPr>
              <w:pStyle w:val="16"/>
              <w:jc w:val="center"/>
              <w:rPr>
                <w:color w:val="auto"/>
                <w:highlight w:val="none"/>
              </w:rPr>
            </w:pPr>
            <w:r>
              <w:rPr>
                <w:rFonts w:hint="eastAsia"/>
                <w:color w:val="auto"/>
                <w:highlight w:val="none"/>
              </w:rPr>
              <w:t>数量</w:t>
            </w:r>
          </w:p>
        </w:tc>
        <w:tc>
          <w:tcPr>
            <w:tcW w:w="1958" w:type="dxa"/>
            <w:vAlign w:val="center"/>
          </w:tcPr>
          <w:p w14:paraId="47CC7A6F">
            <w:pPr>
              <w:pStyle w:val="16"/>
              <w:jc w:val="center"/>
              <w:rPr>
                <w:color w:val="auto"/>
                <w:highlight w:val="none"/>
              </w:rPr>
            </w:pPr>
            <w:r>
              <w:rPr>
                <w:rFonts w:hint="eastAsia"/>
                <w:color w:val="auto"/>
                <w:highlight w:val="none"/>
              </w:rPr>
              <w:t>性能状况</w:t>
            </w:r>
          </w:p>
        </w:tc>
        <w:tc>
          <w:tcPr>
            <w:tcW w:w="1408" w:type="dxa"/>
            <w:vAlign w:val="center"/>
          </w:tcPr>
          <w:p w14:paraId="7B2E9AC4">
            <w:pPr>
              <w:pStyle w:val="16"/>
              <w:jc w:val="center"/>
              <w:rPr>
                <w:rFonts w:hint="default" w:eastAsia="宋体"/>
                <w:color w:val="auto"/>
                <w:highlight w:val="none"/>
                <w:lang w:val="en-US" w:eastAsia="zh-CN"/>
              </w:rPr>
            </w:pPr>
            <w:r>
              <w:rPr>
                <w:rFonts w:hint="eastAsia"/>
                <w:color w:val="auto"/>
                <w:highlight w:val="none"/>
                <w:lang w:val="en-US" w:eastAsia="zh-CN"/>
              </w:rPr>
              <w:t>购买时间</w:t>
            </w:r>
          </w:p>
        </w:tc>
      </w:tr>
      <w:tr w14:paraId="2E5D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36" w:type="dxa"/>
            <w:vAlign w:val="center"/>
          </w:tcPr>
          <w:p w14:paraId="7CE4F572">
            <w:pPr>
              <w:pStyle w:val="16"/>
              <w:jc w:val="center"/>
              <w:rPr>
                <w:color w:val="auto"/>
                <w:highlight w:val="none"/>
              </w:rPr>
            </w:pPr>
            <w:r>
              <w:rPr>
                <w:rFonts w:hint="eastAsia"/>
                <w:color w:val="auto"/>
                <w:highlight w:val="none"/>
              </w:rPr>
              <w:t>1</w:t>
            </w:r>
          </w:p>
        </w:tc>
        <w:tc>
          <w:tcPr>
            <w:tcW w:w="1952" w:type="dxa"/>
            <w:vAlign w:val="center"/>
          </w:tcPr>
          <w:p w14:paraId="263BD05A">
            <w:pPr>
              <w:pStyle w:val="16"/>
              <w:jc w:val="center"/>
              <w:rPr>
                <w:color w:val="auto"/>
                <w:highlight w:val="none"/>
              </w:rPr>
            </w:pPr>
          </w:p>
        </w:tc>
        <w:tc>
          <w:tcPr>
            <w:tcW w:w="1425" w:type="dxa"/>
            <w:vAlign w:val="center"/>
          </w:tcPr>
          <w:p w14:paraId="1277FC3E">
            <w:pPr>
              <w:pStyle w:val="16"/>
              <w:jc w:val="center"/>
              <w:rPr>
                <w:color w:val="auto"/>
                <w:highlight w:val="none"/>
              </w:rPr>
            </w:pPr>
          </w:p>
        </w:tc>
        <w:tc>
          <w:tcPr>
            <w:tcW w:w="1217" w:type="dxa"/>
            <w:vAlign w:val="center"/>
          </w:tcPr>
          <w:p w14:paraId="62C10865">
            <w:pPr>
              <w:pStyle w:val="16"/>
              <w:jc w:val="center"/>
              <w:rPr>
                <w:color w:val="auto"/>
                <w:highlight w:val="none"/>
              </w:rPr>
            </w:pPr>
          </w:p>
        </w:tc>
        <w:tc>
          <w:tcPr>
            <w:tcW w:w="858" w:type="dxa"/>
            <w:vAlign w:val="center"/>
          </w:tcPr>
          <w:p w14:paraId="020B36C3">
            <w:pPr>
              <w:pStyle w:val="16"/>
              <w:jc w:val="center"/>
              <w:rPr>
                <w:color w:val="auto"/>
                <w:highlight w:val="none"/>
              </w:rPr>
            </w:pPr>
          </w:p>
        </w:tc>
        <w:tc>
          <w:tcPr>
            <w:tcW w:w="1958" w:type="dxa"/>
            <w:vAlign w:val="center"/>
          </w:tcPr>
          <w:p w14:paraId="6AAE27C9">
            <w:pPr>
              <w:pStyle w:val="16"/>
              <w:jc w:val="center"/>
              <w:rPr>
                <w:color w:val="auto"/>
                <w:highlight w:val="none"/>
              </w:rPr>
            </w:pPr>
          </w:p>
        </w:tc>
        <w:tc>
          <w:tcPr>
            <w:tcW w:w="1408" w:type="dxa"/>
            <w:vAlign w:val="center"/>
          </w:tcPr>
          <w:p w14:paraId="779B3509">
            <w:pPr>
              <w:pStyle w:val="16"/>
              <w:jc w:val="center"/>
              <w:rPr>
                <w:color w:val="auto"/>
                <w:highlight w:val="none"/>
              </w:rPr>
            </w:pPr>
          </w:p>
        </w:tc>
      </w:tr>
      <w:tr w14:paraId="6FEC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6" w:type="dxa"/>
            <w:vAlign w:val="center"/>
          </w:tcPr>
          <w:p w14:paraId="5EBE13EF">
            <w:pPr>
              <w:pStyle w:val="16"/>
              <w:jc w:val="center"/>
              <w:rPr>
                <w:color w:val="auto"/>
                <w:highlight w:val="none"/>
              </w:rPr>
            </w:pPr>
            <w:r>
              <w:rPr>
                <w:rFonts w:hint="eastAsia"/>
                <w:color w:val="auto"/>
                <w:highlight w:val="none"/>
              </w:rPr>
              <w:t>2</w:t>
            </w:r>
          </w:p>
        </w:tc>
        <w:tc>
          <w:tcPr>
            <w:tcW w:w="1952" w:type="dxa"/>
            <w:vAlign w:val="center"/>
          </w:tcPr>
          <w:p w14:paraId="0A0020A9">
            <w:pPr>
              <w:pStyle w:val="16"/>
              <w:jc w:val="center"/>
              <w:rPr>
                <w:color w:val="auto"/>
                <w:highlight w:val="none"/>
              </w:rPr>
            </w:pPr>
          </w:p>
        </w:tc>
        <w:tc>
          <w:tcPr>
            <w:tcW w:w="1425" w:type="dxa"/>
            <w:vAlign w:val="center"/>
          </w:tcPr>
          <w:p w14:paraId="34E91B80">
            <w:pPr>
              <w:pStyle w:val="16"/>
              <w:jc w:val="center"/>
              <w:rPr>
                <w:color w:val="auto"/>
                <w:highlight w:val="none"/>
              </w:rPr>
            </w:pPr>
          </w:p>
        </w:tc>
        <w:tc>
          <w:tcPr>
            <w:tcW w:w="1217" w:type="dxa"/>
            <w:vAlign w:val="center"/>
          </w:tcPr>
          <w:p w14:paraId="36B2E5F4">
            <w:pPr>
              <w:pStyle w:val="16"/>
              <w:jc w:val="center"/>
              <w:rPr>
                <w:color w:val="auto"/>
                <w:highlight w:val="none"/>
              </w:rPr>
            </w:pPr>
          </w:p>
        </w:tc>
        <w:tc>
          <w:tcPr>
            <w:tcW w:w="858" w:type="dxa"/>
            <w:vAlign w:val="center"/>
          </w:tcPr>
          <w:p w14:paraId="0A9E7053">
            <w:pPr>
              <w:pStyle w:val="16"/>
              <w:jc w:val="center"/>
              <w:rPr>
                <w:color w:val="auto"/>
                <w:highlight w:val="none"/>
              </w:rPr>
            </w:pPr>
          </w:p>
        </w:tc>
        <w:tc>
          <w:tcPr>
            <w:tcW w:w="1958" w:type="dxa"/>
            <w:vAlign w:val="center"/>
          </w:tcPr>
          <w:p w14:paraId="32BFD2FC">
            <w:pPr>
              <w:pStyle w:val="16"/>
              <w:jc w:val="center"/>
              <w:rPr>
                <w:color w:val="auto"/>
                <w:highlight w:val="none"/>
              </w:rPr>
            </w:pPr>
          </w:p>
        </w:tc>
        <w:tc>
          <w:tcPr>
            <w:tcW w:w="1408" w:type="dxa"/>
            <w:vAlign w:val="center"/>
          </w:tcPr>
          <w:p w14:paraId="23867DDB">
            <w:pPr>
              <w:pStyle w:val="16"/>
              <w:jc w:val="center"/>
              <w:rPr>
                <w:color w:val="auto"/>
                <w:highlight w:val="none"/>
              </w:rPr>
            </w:pPr>
          </w:p>
        </w:tc>
      </w:tr>
      <w:tr w14:paraId="40A4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6" w:type="dxa"/>
            <w:vAlign w:val="center"/>
          </w:tcPr>
          <w:p w14:paraId="32E82B03">
            <w:pPr>
              <w:pStyle w:val="16"/>
              <w:jc w:val="center"/>
              <w:rPr>
                <w:color w:val="auto"/>
                <w:highlight w:val="none"/>
              </w:rPr>
            </w:pPr>
            <w:r>
              <w:rPr>
                <w:rFonts w:hint="eastAsia"/>
                <w:color w:val="auto"/>
                <w:highlight w:val="none"/>
              </w:rPr>
              <w:t>3</w:t>
            </w:r>
          </w:p>
        </w:tc>
        <w:tc>
          <w:tcPr>
            <w:tcW w:w="1952" w:type="dxa"/>
            <w:vAlign w:val="center"/>
          </w:tcPr>
          <w:p w14:paraId="4227B80B">
            <w:pPr>
              <w:pStyle w:val="16"/>
              <w:jc w:val="center"/>
              <w:rPr>
                <w:color w:val="auto"/>
                <w:highlight w:val="none"/>
              </w:rPr>
            </w:pPr>
          </w:p>
        </w:tc>
        <w:tc>
          <w:tcPr>
            <w:tcW w:w="1425" w:type="dxa"/>
            <w:vAlign w:val="center"/>
          </w:tcPr>
          <w:p w14:paraId="6530A6B0">
            <w:pPr>
              <w:pStyle w:val="16"/>
              <w:jc w:val="center"/>
              <w:rPr>
                <w:color w:val="auto"/>
                <w:highlight w:val="none"/>
              </w:rPr>
            </w:pPr>
          </w:p>
        </w:tc>
        <w:tc>
          <w:tcPr>
            <w:tcW w:w="1217" w:type="dxa"/>
            <w:vAlign w:val="center"/>
          </w:tcPr>
          <w:p w14:paraId="3D878569">
            <w:pPr>
              <w:pStyle w:val="16"/>
              <w:jc w:val="center"/>
              <w:rPr>
                <w:color w:val="auto"/>
                <w:highlight w:val="none"/>
              </w:rPr>
            </w:pPr>
          </w:p>
        </w:tc>
        <w:tc>
          <w:tcPr>
            <w:tcW w:w="858" w:type="dxa"/>
            <w:vAlign w:val="center"/>
          </w:tcPr>
          <w:p w14:paraId="7F681D39">
            <w:pPr>
              <w:pStyle w:val="16"/>
              <w:jc w:val="center"/>
              <w:rPr>
                <w:color w:val="auto"/>
                <w:highlight w:val="none"/>
              </w:rPr>
            </w:pPr>
          </w:p>
        </w:tc>
        <w:tc>
          <w:tcPr>
            <w:tcW w:w="1958" w:type="dxa"/>
            <w:vAlign w:val="center"/>
          </w:tcPr>
          <w:p w14:paraId="036B7047">
            <w:pPr>
              <w:pStyle w:val="16"/>
              <w:jc w:val="center"/>
              <w:rPr>
                <w:color w:val="auto"/>
                <w:highlight w:val="none"/>
              </w:rPr>
            </w:pPr>
          </w:p>
        </w:tc>
        <w:tc>
          <w:tcPr>
            <w:tcW w:w="1408" w:type="dxa"/>
            <w:vAlign w:val="center"/>
          </w:tcPr>
          <w:p w14:paraId="706EC124">
            <w:pPr>
              <w:pStyle w:val="16"/>
              <w:jc w:val="center"/>
              <w:rPr>
                <w:color w:val="auto"/>
                <w:highlight w:val="none"/>
              </w:rPr>
            </w:pPr>
          </w:p>
        </w:tc>
      </w:tr>
      <w:tr w14:paraId="5FFE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6" w:type="dxa"/>
            <w:vAlign w:val="center"/>
          </w:tcPr>
          <w:p w14:paraId="1F59C092">
            <w:pPr>
              <w:pStyle w:val="16"/>
              <w:jc w:val="center"/>
              <w:rPr>
                <w:color w:val="auto"/>
                <w:highlight w:val="none"/>
              </w:rPr>
            </w:pPr>
            <w:r>
              <w:rPr>
                <w:rFonts w:hint="eastAsia"/>
                <w:color w:val="auto"/>
                <w:highlight w:val="none"/>
              </w:rPr>
              <w:t>4</w:t>
            </w:r>
          </w:p>
        </w:tc>
        <w:tc>
          <w:tcPr>
            <w:tcW w:w="1952" w:type="dxa"/>
            <w:vAlign w:val="center"/>
          </w:tcPr>
          <w:p w14:paraId="2B288494">
            <w:pPr>
              <w:pStyle w:val="16"/>
              <w:jc w:val="center"/>
              <w:rPr>
                <w:color w:val="auto"/>
                <w:highlight w:val="none"/>
              </w:rPr>
            </w:pPr>
          </w:p>
        </w:tc>
        <w:tc>
          <w:tcPr>
            <w:tcW w:w="1425" w:type="dxa"/>
            <w:vAlign w:val="center"/>
          </w:tcPr>
          <w:p w14:paraId="3FBEA928">
            <w:pPr>
              <w:pStyle w:val="16"/>
              <w:jc w:val="center"/>
              <w:rPr>
                <w:color w:val="auto"/>
                <w:highlight w:val="none"/>
              </w:rPr>
            </w:pPr>
          </w:p>
        </w:tc>
        <w:tc>
          <w:tcPr>
            <w:tcW w:w="1217" w:type="dxa"/>
            <w:vAlign w:val="center"/>
          </w:tcPr>
          <w:p w14:paraId="128002FE">
            <w:pPr>
              <w:pStyle w:val="16"/>
              <w:jc w:val="center"/>
              <w:rPr>
                <w:color w:val="auto"/>
                <w:highlight w:val="none"/>
              </w:rPr>
            </w:pPr>
          </w:p>
        </w:tc>
        <w:tc>
          <w:tcPr>
            <w:tcW w:w="858" w:type="dxa"/>
            <w:vAlign w:val="center"/>
          </w:tcPr>
          <w:p w14:paraId="596E8513">
            <w:pPr>
              <w:pStyle w:val="16"/>
              <w:jc w:val="center"/>
              <w:rPr>
                <w:color w:val="auto"/>
                <w:highlight w:val="none"/>
              </w:rPr>
            </w:pPr>
          </w:p>
        </w:tc>
        <w:tc>
          <w:tcPr>
            <w:tcW w:w="1958" w:type="dxa"/>
            <w:vAlign w:val="center"/>
          </w:tcPr>
          <w:p w14:paraId="5A33F156">
            <w:pPr>
              <w:pStyle w:val="16"/>
              <w:jc w:val="center"/>
              <w:rPr>
                <w:color w:val="auto"/>
                <w:highlight w:val="none"/>
              </w:rPr>
            </w:pPr>
          </w:p>
        </w:tc>
        <w:tc>
          <w:tcPr>
            <w:tcW w:w="1408" w:type="dxa"/>
            <w:vAlign w:val="center"/>
          </w:tcPr>
          <w:p w14:paraId="41476AFA">
            <w:pPr>
              <w:pStyle w:val="16"/>
              <w:jc w:val="center"/>
              <w:rPr>
                <w:color w:val="auto"/>
                <w:highlight w:val="none"/>
              </w:rPr>
            </w:pPr>
          </w:p>
        </w:tc>
      </w:tr>
      <w:tr w14:paraId="7905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6" w:type="dxa"/>
            <w:vAlign w:val="center"/>
          </w:tcPr>
          <w:p w14:paraId="2FCFF83E">
            <w:pPr>
              <w:pStyle w:val="16"/>
              <w:jc w:val="center"/>
              <w:rPr>
                <w:color w:val="auto"/>
                <w:highlight w:val="none"/>
              </w:rPr>
            </w:pPr>
            <w:r>
              <w:rPr>
                <w:rFonts w:hint="eastAsia"/>
                <w:color w:val="auto"/>
                <w:highlight w:val="none"/>
              </w:rPr>
              <w:t>5</w:t>
            </w:r>
          </w:p>
        </w:tc>
        <w:tc>
          <w:tcPr>
            <w:tcW w:w="1952" w:type="dxa"/>
            <w:vAlign w:val="center"/>
          </w:tcPr>
          <w:p w14:paraId="6CEC64A5">
            <w:pPr>
              <w:pStyle w:val="16"/>
              <w:jc w:val="center"/>
              <w:rPr>
                <w:color w:val="auto"/>
                <w:highlight w:val="none"/>
              </w:rPr>
            </w:pPr>
          </w:p>
        </w:tc>
        <w:tc>
          <w:tcPr>
            <w:tcW w:w="1425" w:type="dxa"/>
            <w:vAlign w:val="center"/>
          </w:tcPr>
          <w:p w14:paraId="70A77EE5">
            <w:pPr>
              <w:pStyle w:val="16"/>
              <w:jc w:val="center"/>
              <w:rPr>
                <w:color w:val="auto"/>
                <w:highlight w:val="none"/>
              </w:rPr>
            </w:pPr>
          </w:p>
        </w:tc>
        <w:tc>
          <w:tcPr>
            <w:tcW w:w="1217" w:type="dxa"/>
            <w:vAlign w:val="center"/>
          </w:tcPr>
          <w:p w14:paraId="4132418E">
            <w:pPr>
              <w:pStyle w:val="16"/>
              <w:jc w:val="center"/>
              <w:rPr>
                <w:color w:val="auto"/>
                <w:highlight w:val="none"/>
              </w:rPr>
            </w:pPr>
          </w:p>
        </w:tc>
        <w:tc>
          <w:tcPr>
            <w:tcW w:w="858" w:type="dxa"/>
            <w:vAlign w:val="center"/>
          </w:tcPr>
          <w:p w14:paraId="0BE71C63">
            <w:pPr>
              <w:pStyle w:val="16"/>
              <w:jc w:val="center"/>
              <w:rPr>
                <w:color w:val="auto"/>
                <w:highlight w:val="none"/>
              </w:rPr>
            </w:pPr>
          </w:p>
        </w:tc>
        <w:tc>
          <w:tcPr>
            <w:tcW w:w="1958" w:type="dxa"/>
            <w:vAlign w:val="center"/>
          </w:tcPr>
          <w:p w14:paraId="31177219">
            <w:pPr>
              <w:pStyle w:val="16"/>
              <w:jc w:val="center"/>
              <w:rPr>
                <w:color w:val="auto"/>
                <w:highlight w:val="none"/>
              </w:rPr>
            </w:pPr>
          </w:p>
        </w:tc>
        <w:tc>
          <w:tcPr>
            <w:tcW w:w="1408" w:type="dxa"/>
            <w:vAlign w:val="center"/>
          </w:tcPr>
          <w:p w14:paraId="0C8877DB">
            <w:pPr>
              <w:pStyle w:val="16"/>
              <w:jc w:val="center"/>
              <w:rPr>
                <w:color w:val="auto"/>
                <w:highlight w:val="none"/>
              </w:rPr>
            </w:pPr>
          </w:p>
        </w:tc>
      </w:tr>
      <w:tr w14:paraId="744D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36" w:type="dxa"/>
            <w:vAlign w:val="center"/>
          </w:tcPr>
          <w:p w14:paraId="0698C70A">
            <w:pPr>
              <w:pStyle w:val="16"/>
              <w:jc w:val="center"/>
              <w:rPr>
                <w:rFonts w:hint="eastAsia" w:eastAsia="宋体"/>
                <w:color w:val="auto"/>
                <w:highlight w:val="none"/>
                <w:lang w:eastAsia="zh-CN"/>
              </w:rPr>
            </w:pPr>
            <w:r>
              <w:rPr>
                <w:rFonts w:hint="eastAsia"/>
                <w:color w:val="auto"/>
                <w:highlight w:val="none"/>
                <w:lang w:val="en-US" w:eastAsia="zh-CN"/>
              </w:rPr>
              <w:t>6</w:t>
            </w:r>
          </w:p>
        </w:tc>
        <w:tc>
          <w:tcPr>
            <w:tcW w:w="1952" w:type="dxa"/>
            <w:vAlign w:val="center"/>
          </w:tcPr>
          <w:p w14:paraId="29CEC7EB">
            <w:pPr>
              <w:pStyle w:val="16"/>
              <w:jc w:val="center"/>
              <w:rPr>
                <w:color w:val="auto"/>
                <w:sz w:val="32"/>
                <w:highlight w:val="none"/>
              </w:rPr>
            </w:pPr>
          </w:p>
        </w:tc>
        <w:tc>
          <w:tcPr>
            <w:tcW w:w="1425" w:type="dxa"/>
            <w:vAlign w:val="center"/>
          </w:tcPr>
          <w:p w14:paraId="45D0F442">
            <w:pPr>
              <w:pStyle w:val="16"/>
              <w:jc w:val="center"/>
              <w:rPr>
                <w:color w:val="auto"/>
                <w:highlight w:val="none"/>
              </w:rPr>
            </w:pPr>
          </w:p>
        </w:tc>
        <w:tc>
          <w:tcPr>
            <w:tcW w:w="1217" w:type="dxa"/>
            <w:vAlign w:val="center"/>
          </w:tcPr>
          <w:p w14:paraId="71E80361">
            <w:pPr>
              <w:pStyle w:val="16"/>
              <w:jc w:val="center"/>
              <w:rPr>
                <w:color w:val="auto"/>
                <w:highlight w:val="none"/>
              </w:rPr>
            </w:pPr>
          </w:p>
        </w:tc>
        <w:tc>
          <w:tcPr>
            <w:tcW w:w="858" w:type="dxa"/>
            <w:vAlign w:val="center"/>
          </w:tcPr>
          <w:p w14:paraId="6E3AE233">
            <w:pPr>
              <w:pStyle w:val="16"/>
              <w:jc w:val="center"/>
              <w:rPr>
                <w:color w:val="auto"/>
                <w:highlight w:val="none"/>
              </w:rPr>
            </w:pPr>
          </w:p>
        </w:tc>
        <w:tc>
          <w:tcPr>
            <w:tcW w:w="1958" w:type="dxa"/>
            <w:vAlign w:val="center"/>
          </w:tcPr>
          <w:p w14:paraId="55EEFEA3">
            <w:pPr>
              <w:pStyle w:val="16"/>
              <w:jc w:val="center"/>
              <w:rPr>
                <w:color w:val="auto"/>
                <w:highlight w:val="none"/>
              </w:rPr>
            </w:pPr>
          </w:p>
        </w:tc>
        <w:tc>
          <w:tcPr>
            <w:tcW w:w="1408" w:type="dxa"/>
            <w:vAlign w:val="center"/>
          </w:tcPr>
          <w:p w14:paraId="120B36F5">
            <w:pPr>
              <w:pStyle w:val="16"/>
              <w:jc w:val="center"/>
              <w:rPr>
                <w:color w:val="auto"/>
                <w:highlight w:val="none"/>
              </w:rPr>
            </w:pPr>
          </w:p>
        </w:tc>
      </w:tr>
      <w:tr w14:paraId="12A2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36" w:type="dxa"/>
            <w:vAlign w:val="center"/>
          </w:tcPr>
          <w:p w14:paraId="64D38B4D">
            <w:pPr>
              <w:pStyle w:val="16"/>
              <w:jc w:val="center"/>
              <w:rPr>
                <w:rFonts w:hint="eastAsia" w:eastAsia="宋体"/>
                <w:color w:val="auto"/>
                <w:highlight w:val="none"/>
                <w:lang w:val="en-US" w:eastAsia="zh-CN"/>
              </w:rPr>
            </w:pPr>
            <w:r>
              <w:rPr>
                <w:rFonts w:hint="eastAsia"/>
                <w:color w:val="auto"/>
                <w:highlight w:val="none"/>
                <w:lang w:val="en-US" w:eastAsia="zh-CN"/>
              </w:rPr>
              <w:t>7</w:t>
            </w:r>
          </w:p>
        </w:tc>
        <w:tc>
          <w:tcPr>
            <w:tcW w:w="1952" w:type="dxa"/>
            <w:vAlign w:val="center"/>
          </w:tcPr>
          <w:p w14:paraId="319C6BB5">
            <w:pPr>
              <w:pStyle w:val="16"/>
              <w:jc w:val="center"/>
              <w:rPr>
                <w:color w:val="auto"/>
                <w:highlight w:val="none"/>
              </w:rPr>
            </w:pPr>
          </w:p>
        </w:tc>
        <w:tc>
          <w:tcPr>
            <w:tcW w:w="1425" w:type="dxa"/>
            <w:vAlign w:val="center"/>
          </w:tcPr>
          <w:p w14:paraId="7C872F3A">
            <w:pPr>
              <w:pStyle w:val="16"/>
              <w:jc w:val="center"/>
              <w:rPr>
                <w:color w:val="auto"/>
                <w:highlight w:val="none"/>
              </w:rPr>
            </w:pPr>
          </w:p>
        </w:tc>
        <w:tc>
          <w:tcPr>
            <w:tcW w:w="1217" w:type="dxa"/>
            <w:vAlign w:val="center"/>
          </w:tcPr>
          <w:p w14:paraId="225D4E9A">
            <w:pPr>
              <w:pStyle w:val="16"/>
              <w:jc w:val="center"/>
              <w:rPr>
                <w:color w:val="auto"/>
                <w:highlight w:val="none"/>
              </w:rPr>
            </w:pPr>
          </w:p>
        </w:tc>
        <w:tc>
          <w:tcPr>
            <w:tcW w:w="858" w:type="dxa"/>
            <w:vAlign w:val="center"/>
          </w:tcPr>
          <w:p w14:paraId="75F6DA44">
            <w:pPr>
              <w:pStyle w:val="16"/>
              <w:jc w:val="center"/>
              <w:rPr>
                <w:color w:val="auto"/>
                <w:highlight w:val="none"/>
              </w:rPr>
            </w:pPr>
          </w:p>
        </w:tc>
        <w:tc>
          <w:tcPr>
            <w:tcW w:w="1958" w:type="dxa"/>
            <w:vAlign w:val="center"/>
          </w:tcPr>
          <w:p w14:paraId="2A36890F">
            <w:pPr>
              <w:pStyle w:val="16"/>
              <w:jc w:val="center"/>
              <w:rPr>
                <w:color w:val="auto"/>
                <w:highlight w:val="none"/>
              </w:rPr>
            </w:pPr>
          </w:p>
        </w:tc>
        <w:tc>
          <w:tcPr>
            <w:tcW w:w="1408" w:type="dxa"/>
            <w:vAlign w:val="center"/>
          </w:tcPr>
          <w:p w14:paraId="7DAC2E8F">
            <w:pPr>
              <w:pStyle w:val="16"/>
              <w:jc w:val="center"/>
              <w:rPr>
                <w:color w:val="auto"/>
                <w:highlight w:val="none"/>
              </w:rPr>
            </w:pPr>
          </w:p>
        </w:tc>
      </w:tr>
      <w:tr w14:paraId="5948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36" w:type="dxa"/>
            <w:vAlign w:val="center"/>
          </w:tcPr>
          <w:p w14:paraId="6B227558">
            <w:pPr>
              <w:pStyle w:val="16"/>
              <w:jc w:val="center"/>
              <w:rPr>
                <w:rFonts w:hint="eastAsia" w:eastAsia="宋体"/>
                <w:color w:val="auto"/>
                <w:highlight w:val="none"/>
                <w:lang w:val="en-US" w:eastAsia="zh-CN"/>
              </w:rPr>
            </w:pPr>
            <w:r>
              <w:rPr>
                <w:rFonts w:hint="eastAsia"/>
                <w:color w:val="auto"/>
                <w:highlight w:val="none"/>
                <w:lang w:val="en-US" w:eastAsia="zh-CN"/>
              </w:rPr>
              <w:t>8</w:t>
            </w:r>
          </w:p>
        </w:tc>
        <w:tc>
          <w:tcPr>
            <w:tcW w:w="1952" w:type="dxa"/>
            <w:vAlign w:val="center"/>
          </w:tcPr>
          <w:p w14:paraId="5DE4EFE6">
            <w:pPr>
              <w:pStyle w:val="16"/>
              <w:jc w:val="center"/>
              <w:rPr>
                <w:color w:val="auto"/>
                <w:highlight w:val="none"/>
              </w:rPr>
            </w:pPr>
          </w:p>
        </w:tc>
        <w:tc>
          <w:tcPr>
            <w:tcW w:w="1425" w:type="dxa"/>
            <w:vAlign w:val="center"/>
          </w:tcPr>
          <w:p w14:paraId="61F90580">
            <w:pPr>
              <w:pStyle w:val="16"/>
              <w:jc w:val="center"/>
              <w:rPr>
                <w:color w:val="auto"/>
                <w:highlight w:val="none"/>
              </w:rPr>
            </w:pPr>
          </w:p>
        </w:tc>
        <w:tc>
          <w:tcPr>
            <w:tcW w:w="1217" w:type="dxa"/>
            <w:vAlign w:val="center"/>
          </w:tcPr>
          <w:p w14:paraId="28DE5687">
            <w:pPr>
              <w:pStyle w:val="16"/>
              <w:jc w:val="center"/>
              <w:rPr>
                <w:color w:val="auto"/>
                <w:highlight w:val="none"/>
              </w:rPr>
            </w:pPr>
          </w:p>
        </w:tc>
        <w:tc>
          <w:tcPr>
            <w:tcW w:w="858" w:type="dxa"/>
            <w:vAlign w:val="center"/>
          </w:tcPr>
          <w:p w14:paraId="0B67F50A">
            <w:pPr>
              <w:pStyle w:val="16"/>
              <w:jc w:val="center"/>
              <w:rPr>
                <w:color w:val="auto"/>
                <w:highlight w:val="none"/>
              </w:rPr>
            </w:pPr>
          </w:p>
        </w:tc>
        <w:tc>
          <w:tcPr>
            <w:tcW w:w="1958" w:type="dxa"/>
            <w:vAlign w:val="center"/>
          </w:tcPr>
          <w:p w14:paraId="55B6475F">
            <w:pPr>
              <w:pStyle w:val="16"/>
              <w:jc w:val="center"/>
              <w:rPr>
                <w:color w:val="auto"/>
                <w:highlight w:val="none"/>
              </w:rPr>
            </w:pPr>
          </w:p>
        </w:tc>
        <w:tc>
          <w:tcPr>
            <w:tcW w:w="1408" w:type="dxa"/>
            <w:vAlign w:val="center"/>
          </w:tcPr>
          <w:p w14:paraId="5B31BA3D">
            <w:pPr>
              <w:pStyle w:val="16"/>
              <w:jc w:val="center"/>
              <w:rPr>
                <w:color w:val="auto"/>
                <w:highlight w:val="none"/>
              </w:rPr>
            </w:pPr>
          </w:p>
        </w:tc>
      </w:tr>
      <w:tr w14:paraId="58EA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6" w:type="dxa"/>
            <w:vAlign w:val="center"/>
          </w:tcPr>
          <w:p w14:paraId="1F7137A3">
            <w:pPr>
              <w:pStyle w:val="34"/>
              <w:ind w:right="182" w:rightChars="0"/>
              <w:jc w:val="center"/>
              <w:rPr>
                <w:rFonts w:hint="eastAsia" w:eastAsia="宋体"/>
                <w:color w:val="auto"/>
                <w:highlight w:val="none"/>
                <w:lang w:val="en-US" w:eastAsia="zh-CN"/>
              </w:rPr>
            </w:pPr>
            <w:r>
              <w:rPr>
                <w:rFonts w:hint="eastAsia" w:eastAsia="宋体"/>
                <w:color w:val="auto"/>
                <w:highlight w:val="none"/>
                <w:lang w:val="en-US" w:eastAsia="zh-CN"/>
              </w:rPr>
              <w:t>……</w:t>
            </w:r>
          </w:p>
        </w:tc>
        <w:tc>
          <w:tcPr>
            <w:tcW w:w="1952" w:type="dxa"/>
            <w:vAlign w:val="center"/>
          </w:tcPr>
          <w:p w14:paraId="2289DF42">
            <w:pPr>
              <w:pStyle w:val="16"/>
              <w:jc w:val="center"/>
              <w:rPr>
                <w:color w:val="auto"/>
                <w:highlight w:val="none"/>
              </w:rPr>
            </w:pPr>
          </w:p>
        </w:tc>
        <w:tc>
          <w:tcPr>
            <w:tcW w:w="1425" w:type="dxa"/>
            <w:vAlign w:val="center"/>
          </w:tcPr>
          <w:p w14:paraId="11397471">
            <w:pPr>
              <w:pStyle w:val="16"/>
              <w:jc w:val="center"/>
              <w:rPr>
                <w:color w:val="auto"/>
                <w:highlight w:val="none"/>
              </w:rPr>
            </w:pPr>
          </w:p>
        </w:tc>
        <w:tc>
          <w:tcPr>
            <w:tcW w:w="1217" w:type="dxa"/>
            <w:vAlign w:val="center"/>
          </w:tcPr>
          <w:p w14:paraId="515F6B4B">
            <w:pPr>
              <w:pStyle w:val="16"/>
              <w:jc w:val="center"/>
              <w:rPr>
                <w:color w:val="auto"/>
                <w:highlight w:val="none"/>
              </w:rPr>
            </w:pPr>
          </w:p>
        </w:tc>
        <w:tc>
          <w:tcPr>
            <w:tcW w:w="858" w:type="dxa"/>
            <w:vAlign w:val="center"/>
          </w:tcPr>
          <w:p w14:paraId="77BB06A0">
            <w:pPr>
              <w:pStyle w:val="16"/>
              <w:jc w:val="center"/>
              <w:rPr>
                <w:color w:val="auto"/>
                <w:highlight w:val="none"/>
              </w:rPr>
            </w:pPr>
          </w:p>
        </w:tc>
        <w:tc>
          <w:tcPr>
            <w:tcW w:w="1958" w:type="dxa"/>
            <w:vAlign w:val="center"/>
          </w:tcPr>
          <w:p w14:paraId="0E05CAB3">
            <w:pPr>
              <w:pStyle w:val="16"/>
              <w:jc w:val="center"/>
              <w:rPr>
                <w:color w:val="auto"/>
                <w:highlight w:val="none"/>
              </w:rPr>
            </w:pPr>
          </w:p>
        </w:tc>
        <w:tc>
          <w:tcPr>
            <w:tcW w:w="1408" w:type="dxa"/>
            <w:vAlign w:val="center"/>
          </w:tcPr>
          <w:p w14:paraId="2313FAE9">
            <w:pPr>
              <w:pStyle w:val="16"/>
              <w:jc w:val="center"/>
              <w:rPr>
                <w:color w:val="auto"/>
                <w:highlight w:val="none"/>
              </w:rPr>
            </w:pPr>
          </w:p>
        </w:tc>
      </w:tr>
      <w:tr w14:paraId="67CB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6" w:type="dxa"/>
            <w:vAlign w:val="center"/>
          </w:tcPr>
          <w:p w14:paraId="5BC4EC03">
            <w:pPr>
              <w:pStyle w:val="34"/>
              <w:ind w:left="6" w:leftChars="0"/>
              <w:jc w:val="center"/>
              <w:rPr>
                <w:color w:val="auto"/>
                <w:highlight w:val="none"/>
              </w:rPr>
            </w:pPr>
            <w:r>
              <w:rPr>
                <w:color w:val="auto"/>
                <w:w w:val="99"/>
                <w:sz w:val="21"/>
                <w:szCs w:val="21"/>
                <w:highlight w:val="none"/>
              </w:rPr>
              <w:t>N</w:t>
            </w:r>
          </w:p>
        </w:tc>
        <w:tc>
          <w:tcPr>
            <w:tcW w:w="1952" w:type="dxa"/>
            <w:vAlign w:val="center"/>
          </w:tcPr>
          <w:p w14:paraId="14994626">
            <w:pPr>
              <w:pStyle w:val="16"/>
              <w:jc w:val="center"/>
              <w:rPr>
                <w:color w:val="auto"/>
                <w:highlight w:val="none"/>
              </w:rPr>
            </w:pPr>
          </w:p>
        </w:tc>
        <w:tc>
          <w:tcPr>
            <w:tcW w:w="1425" w:type="dxa"/>
            <w:vAlign w:val="center"/>
          </w:tcPr>
          <w:p w14:paraId="1D96B4F7">
            <w:pPr>
              <w:pStyle w:val="16"/>
              <w:jc w:val="center"/>
              <w:rPr>
                <w:color w:val="auto"/>
                <w:highlight w:val="none"/>
              </w:rPr>
            </w:pPr>
          </w:p>
        </w:tc>
        <w:tc>
          <w:tcPr>
            <w:tcW w:w="1217" w:type="dxa"/>
            <w:vAlign w:val="center"/>
          </w:tcPr>
          <w:p w14:paraId="46685586">
            <w:pPr>
              <w:pStyle w:val="16"/>
              <w:jc w:val="center"/>
              <w:rPr>
                <w:color w:val="auto"/>
                <w:highlight w:val="none"/>
              </w:rPr>
            </w:pPr>
          </w:p>
        </w:tc>
        <w:tc>
          <w:tcPr>
            <w:tcW w:w="858" w:type="dxa"/>
            <w:vAlign w:val="center"/>
          </w:tcPr>
          <w:p w14:paraId="4AEF26E5">
            <w:pPr>
              <w:pStyle w:val="16"/>
              <w:jc w:val="center"/>
              <w:rPr>
                <w:color w:val="auto"/>
                <w:highlight w:val="none"/>
              </w:rPr>
            </w:pPr>
          </w:p>
        </w:tc>
        <w:tc>
          <w:tcPr>
            <w:tcW w:w="1958" w:type="dxa"/>
            <w:vAlign w:val="center"/>
          </w:tcPr>
          <w:p w14:paraId="2A985B44">
            <w:pPr>
              <w:pStyle w:val="16"/>
              <w:jc w:val="center"/>
              <w:rPr>
                <w:color w:val="auto"/>
                <w:highlight w:val="none"/>
              </w:rPr>
            </w:pPr>
          </w:p>
        </w:tc>
        <w:tc>
          <w:tcPr>
            <w:tcW w:w="1408" w:type="dxa"/>
            <w:vAlign w:val="center"/>
          </w:tcPr>
          <w:p w14:paraId="6AE6BA22">
            <w:pPr>
              <w:pStyle w:val="16"/>
              <w:jc w:val="center"/>
              <w:rPr>
                <w:color w:val="auto"/>
                <w:highlight w:val="none"/>
              </w:rPr>
            </w:pPr>
          </w:p>
        </w:tc>
      </w:tr>
    </w:tbl>
    <w:p w14:paraId="56497E5D">
      <w:pPr>
        <w:pStyle w:val="10"/>
        <w:numPr>
          <w:ilvl w:val="0"/>
          <w:numId w:val="0"/>
        </w:numPr>
        <w:tabs>
          <w:tab w:val="left" w:pos="799"/>
        </w:tabs>
        <w:spacing w:before="161" w:after="0" w:line="240" w:lineRule="auto"/>
        <w:ind w:left="556" w:leftChars="0" w:right="0" w:rightChars="0"/>
        <w:jc w:val="left"/>
        <w:rPr>
          <w:rFonts w:hint="eastAsia"/>
          <w:color w:val="auto"/>
          <w:spacing w:val="-5"/>
          <w:sz w:val="21"/>
          <w:szCs w:val="21"/>
          <w:highlight w:val="none"/>
          <w:lang w:val="en-US" w:eastAsia="zh-CN"/>
        </w:rPr>
      </w:pPr>
      <w:r>
        <w:rPr>
          <w:rFonts w:hint="eastAsia"/>
          <w:color w:val="auto"/>
          <w:spacing w:val="-5"/>
          <w:sz w:val="21"/>
          <w:szCs w:val="21"/>
          <w:highlight w:val="none"/>
          <w:lang w:val="en-US" w:eastAsia="zh-CN"/>
        </w:rPr>
        <w:t>注：</w:t>
      </w:r>
    </w:p>
    <w:p w14:paraId="0B9956DE">
      <w:pPr>
        <w:pStyle w:val="10"/>
        <w:numPr>
          <w:ilvl w:val="0"/>
          <w:numId w:val="0"/>
        </w:numPr>
        <w:tabs>
          <w:tab w:val="left" w:pos="799"/>
        </w:tabs>
        <w:spacing w:before="161" w:after="0" w:line="240" w:lineRule="auto"/>
        <w:ind w:left="556" w:leftChars="0" w:right="0" w:rightChars="0"/>
        <w:jc w:val="left"/>
        <w:rPr>
          <w:color w:val="auto"/>
          <w:sz w:val="21"/>
          <w:szCs w:val="21"/>
          <w:highlight w:val="none"/>
        </w:rPr>
      </w:pPr>
      <w:r>
        <w:rPr>
          <w:rFonts w:hint="eastAsia"/>
          <w:color w:val="auto"/>
          <w:spacing w:val="-5"/>
          <w:sz w:val="21"/>
          <w:szCs w:val="21"/>
          <w:highlight w:val="none"/>
          <w:lang w:val="en-US" w:eastAsia="zh-CN"/>
        </w:rPr>
        <w:t>1.</w:t>
      </w:r>
      <w:r>
        <w:rPr>
          <w:color w:val="auto"/>
          <w:spacing w:val="-5"/>
          <w:sz w:val="21"/>
          <w:szCs w:val="21"/>
          <w:highlight w:val="none"/>
        </w:rPr>
        <w:t>在填写时，如本表格不适合投标单位的实际情况，可根据本表格式自行制表填写。</w:t>
      </w:r>
    </w:p>
    <w:p w14:paraId="5A397F33">
      <w:pPr>
        <w:pStyle w:val="10"/>
        <w:numPr>
          <w:ilvl w:val="0"/>
          <w:numId w:val="0"/>
        </w:numPr>
        <w:tabs>
          <w:tab w:val="left" w:pos="918"/>
        </w:tabs>
        <w:spacing w:before="2" w:after="0" w:line="242" w:lineRule="auto"/>
        <w:ind w:left="557" w:leftChars="0" w:right="941" w:rightChars="0"/>
        <w:jc w:val="left"/>
        <w:rPr>
          <w:color w:val="auto"/>
          <w:sz w:val="21"/>
          <w:szCs w:val="21"/>
          <w:highlight w:val="none"/>
        </w:rPr>
      </w:pPr>
      <w:r>
        <w:rPr>
          <w:rFonts w:hint="eastAsia"/>
          <w:color w:val="auto"/>
          <w:spacing w:val="-5"/>
          <w:sz w:val="21"/>
          <w:szCs w:val="21"/>
          <w:highlight w:val="none"/>
          <w:lang w:val="en-US" w:eastAsia="zh-CN"/>
        </w:rPr>
        <w:t>2.</w:t>
      </w:r>
      <w:r>
        <w:rPr>
          <w:color w:val="auto"/>
          <w:spacing w:val="-5"/>
          <w:sz w:val="21"/>
          <w:szCs w:val="21"/>
          <w:highlight w:val="none"/>
        </w:rPr>
        <w:t>本项对应评分办法中的“维修设备配置”项，请供应商结合自身实际情况如实编</w:t>
      </w:r>
      <w:r>
        <w:rPr>
          <w:color w:val="auto"/>
          <w:sz w:val="21"/>
          <w:szCs w:val="21"/>
          <w:highlight w:val="none"/>
        </w:rPr>
        <w:t>写。</w:t>
      </w:r>
    </w:p>
    <w:p w14:paraId="6A839B93">
      <w:pPr>
        <w:pStyle w:val="10"/>
        <w:numPr>
          <w:ilvl w:val="0"/>
          <w:numId w:val="0"/>
        </w:numPr>
        <w:tabs>
          <w:tab w:val="left" w:pos="918"/>
        </w:tabs>
        <w:spacing w:before="2" w:after="0" w:line="242" w:lineRule="auto"/>
        <w:ind w:left="557" w:leftChars="0" w:right="941" w:rightChars="0"/>
        <w:jc w:val="left"/>
        <w:rPr>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根据供应商提供的“汽车维修设备一览表”信息及提供一览表中对应的现场实物图片为依据进行评定）。</w:t>
      </w:r>
    </w:p>
    <w:p w14:paraId="79652DA5">
      <w:pPr>
        <w:snapToGrid w:val="0"/>
        <w:spacing w:line="360" w:lineRule="auto"/>
        <w:ind w:firstLine="5040" w:firstLineChars="2100"/>
        <w:rPr>
          <w:rFonts w:hint="eastAsia" w:ascii="宋体" w:hAnsi="宋体" w:cs="宋体"/>
          <w:color w:val="auto"/>
          <w:kern w:val="0"/>
          <w:sz w:val="24"/>
          <w:highlight w:val="none"/>
          <w:lang w:val="zh-CN"/>
        </w:rPr>
      </w:pPr>
    </w:p>
    <w:p w14:paraId="04BD0300">
      <w:pPr>
        <w:snapToGrid w:val="0"/>
        <w:spacing w:line="360" w:lineRule="auto"/>
        <w:ind w:firstLine="5040" w:firstLineChars="2100"/>
        <w:rPr>
          <w:rFonts w:hint="eastAsia" w:ascii="宋体" w:hAnsi="宋体" w:cs="宋体"/>
          <w:color w:val="auto"/>
          <w:kern w:val="0"/>
          <w:sz w:val="24"/>
          <w:highlight w:val="none"/>
          <w:lang w:val="zh-CN"/>
        </w:rPr>
      </w:pPr>
    </w:p>
    <w:p w14:paraId="146C9EF5">
      <w:pPr>
        <w:snapToGrid w:val="0"/>
        <w:spacing w:line="360" w:lineRule="auto"/>
        <w:ind w:firstLine="5040" w:firstLineChars="2100"/>
        <w:rPr>
          <w:rFonts w:hint="eastAsia" w:ascii="宋体" w:hAnsi="宋体" w:cs="宋体"/>
          <w:color w:val="auto"/>
          <w:kern w:val="0"/>
          <w:sz w:val="24"/>
          <w:highlight w:val="none"/>
          <w:lang w:val="zh-CN"/>
        </w:rPr>
      </w:pPr>
    </w:p>
    <w:p w14:paraId="462AEFCC">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1C92FBC4">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BA8DC9">
      <w:pPr>
        <w:pStyle w:val="3"/>
        <w:jc w:val="center"/>
        <w:rPr>
          <w:rFonts w:hint="default" w:ascii="宋体" w:hAnsi="宋体" w:cs="宋体"/>
          <w:b/>
          <w:bCs/>
          <w:color w:val="auto"/>
          <w:sz w:val="30"/>
          <w:szCs w:val="30"/>
          <w:highlight w:val="none"/>
          <w:lang w:val="en-US" w:eastAsia="zh-CN"/>
        </w:rPr>
      </w:pPr>
      <w:bookmarkStart w:id="105" w:name="_Toc29671"/>
      <w:r>
        <w:rPr>
          <w:rFonts w:hint="eastAsia" w:ascii="宋体" w:hAnsi="宋体" w:cs="宋体"/>
          <w:b/>
          <w:bCs/>
          <w:color w:val="auto"/>
          <w:sz w:val="30"/>
          <w:szCs w:val="30"/>
          <w:highlight w:val="none"/>
          <w:lang w:val="en-US" w:eastAsia="zh-CN"/>
        </w:rPr>
        <w:t>八、特约维修点一览表</w:t>
      </w:r>
      <w:bookmarkEnd w:id="105"/>
    </w:p>
    <w:tbl>
      <w:tblPr>
        <w:tblStyle w:val="24"/>
        <w:tblW w:w="8510" w:type="dxa"/>
        <w:tblInd w:w="7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5867"/>
        <w:gridCol w:w="1800"/>
      </w:tblGrid>
      <w:tr w14:paraId="4C32D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843" w:type="dxa"/>
            <w:vAlign w:val="top"/>
          </w:tcPr>
          <w:p w14:paraId="595AF56C">
            <w:pPr>
              <w:pStyle w:val="34"/>
              <w:rPr>
                <w:b/>
                <w:color w:val="auto"/>
                <w:sz w:val="20"/>
                <w:highlight w:val="none"/>
              </w:rPr>
            </w:pPr>
          </w:p>
          <w:p w14:paraId="1DBC9461">
            <w:pPr>
              <w:pStyle w:val="34"/>
              <w:spacing w:before="164"/>
              <w:ind w:left="190" w:right="182"/>
              <w:jc w:val="center"/>
              <w:rPr>
                <w:color w:val="auto"/>
                <w:sz w:val="21"/>
                <w:highlight w:val="none"/>
              </w:rPr>
            </w:pPr>
            <w:r>
              <w:rPr>
                <w:color w:val="auto"/>
                <w:sz w:val="21"/>
                <w:highlight w:val="none"/>
              </w:rPr>
              <w:t>序号</w:t>
            </w:r>
          </w:p>
        </w:tc>
        <w:tc>
          <w:tcPr>
            <w:tcW w:w="5867" w:type="dxa"/>
            <w:vAlign w:val="top"/>
          </w:tcPr>
          <w:p w14:paraId="48AA9A98">
            <w:pPr>
              <w:pStyle w:val="34"/>
              <w:spacing w:before="7"/>
              <w:rPr>
                <w:b/>
                <w:color w:val="auto"/>
                <w:sz w:val="15"/>
                <w:highlight w:val="none"/>
              </w:rPr>
            </w:pPr>
          </w:p>
          <w:p w14:paraId="7F33396D">
            <w:pPr>
              <w:pStyle w:val="34"/>
              <w:ind w:left="107"/>
              <w:jc w:val="center"/>
              <w:rPr>
                <w:color w:val="auto"/>
                <w:sz w:val="21"/>
                <w:highlight w:val="none"/>
              </w:rPr>
            </w:pPr>
            <w:r>
              <w:rPr>
                <w:color w:val="auto"/>
                <w:sz w:val="21"/>
                <w:highlight w:val="none"/>
              </w:rPr>
              <w:t>某品牌汽车特约维修站点</w:t>
            </w:r>
          </w:p>
          <w:p w14:paraId="021C464B">
            <w:pPr>
              <w:pStyle w:val="34"/>
              <w:spacing w:before="172"/>
              <w:ind w:left="107"/>
              <w:jc w:val="center"/>
              <w:rPr>
                <w:color w:val="auto"/>
                <w:sz w:val="21"/>
                <w:highlight w:val="none"/>
              </w:rPr>
            </w:pPr>
            <w:r>
              <w:rPr>
                <w:color w:val="auto"/>
                <w:sz w:val="21"/>
                <w:highlight w:val="none"/>
              </w:rPr>
              <w:t>（以有效的特约维修协议书为准）</w:t>
            </w:r>
          </w:p>
        </w:tc>
        <w:tc>
          <w:tcPr>
            <w:tcW w:w="1800" w:type="dxa"/>
            <w:vAlign w:val="top"/>
          </w:tcPr>
          <w:p w14:paraId="73568BC7">
            <w:pPr>
              <w:pStyle w:val="34"/>
              <w:rPr>
                <w:b/>
                <w:color w:val="auto"/>
                <w:sz w:val="20"/>
                <w:highlight w:val="none"/>
              </w:rPr>
            </w:pPr>
          </w:p>
          <w:p w14:paraId="4396C557">
            <w:pPr>
              <w:pStyle w:val="34"/>
              <w:spacing w:before="164"/>
              <w:ind w:left="107"/>
              <w:jc w:val="center"/>
              <w:rPr>
                <w:color w:val="auto"/>
                <w:sz w:val="21"/>
                <w:highlight w:val="none"/>
              </w:rPr>
            </w:pPr>
            <w:r>
              <w:rPr>
                <w:color w:val="auto"/>
                <w:sz w:val="21"/>
                <w:highlight w:val="none"/>
              </w:rPr>
              <w:t>备注</w:t>
            </w:r>
          </w:p>
        </w:tc>
      </w:tr>
      <w:tr w14:paraId="67049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vAlign w:val="top"/>
          </w:tcPr>
          <w:p w14:paraId="4A646C02">
            <w:pPr>
              <w:pStyle w:val="34"/>
              <w:spacing w:before="5"/>
              <w:rPr>
                <w:b/>
                <w:color w:val="auto"/>
                <w:sz w:val="16"/>
                <w:highlight w:val="none"/>
              </w:rPr>
            </w:pPr>
          </w:p>
          <w:p w14:paraId="2F04C98B">
            <w:pPr>
              <w:pStyle w:val="34"/>
              <w:ind w:left="6"/>
              <w:jc w:val="center"/>
              <w:rPr>
                <w:color w:val="auto"/>
                <w:sz w:val="20"/>
                <w:highlight w:val="none"/>
              </w:rPr>
            </w:pPr>
            <w:r>
              <w:rPr>
                <w:color w:val="auto"/>
                <w:w w:val="99"/>
                <w:sz w:val="20"/>
                <w:highlight w:val="none"/>
              </w:rPr>
              <w:t>1</w:t>
            </w:r>
          </w:p>
        </w:tc>
        <w:tc>
          <w:tcPr>
            <w:tcW w:w="5867" w:type="dxa"/>
            <w:vAlign w:val="top"/>
          </w:tcPr>
          <w:p w14:paraId="00119A65">
            <w:pPr>
              <w:pStyle w:val="34"/>
              <w:rPr>
                <w:rFonts w:ascii="Times New Roman"/>
                <w:color w:val="auto"/>
                <w:sz w:val="22"/>
                <w:highlight w:val="none"/>
              </w:rPr>
            </w:pPr>
          </w:p>
        </w:tc>
        <w:tc>
          <w:tcPr>
            <w:tcW w:w="1800" w:type="dxa"/>
            <w:vAlign w:val="top"/>
          </w:tcPr>
          <w:p w14:paraId="63D6C3B1">
            <w:pPr>
              <w:pStyle w:val="34"/>
              <w:rPr>
                <w:rFonts w:ascii="Times New Roman"/>
                <w:color w:val="auto"/>
                <w:sz w:val="22"/>
                <w:highlight w:val="none"/>
              </w:rPr>
            </w:pPr>
          </w:p>
        </w:tc>
      </w:tr>
      <w:tr w14:paraId="1A0B2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vAlign w:val="top"/>
          </w:tcPr>
          <w:p w14:paraId="679B2EA8">
            <w:pPr>
              <w:pStyle w:val="34"/>
              <w:spacing w:before="4"/>
              <w:rPr>
                <w:b/>
                <w:color w:val="auto"/>
                <w:sz w:val="16"/>
                <w:highlight w:val="none"/>
              </w:rPr>
            </w:pPr>
          </w:p>
          <w:p w14:paraId="607F558E">
            <w:pPr>
              <w:pStyle w:val="34"/>
              <w:ind w:left="6"/>
              <w:jc w:val="center"/>
              <w:rPr>
                <w:color w:val="auto"/>
                <w:sz w:val="20"/>
                <w:highlight w:val="none"/>
              </w:rPr>
            </w:pPr>
            <w:r>
              <w:rPr>
                <w:color w:val="auto"/>
                <w:w w:val="99"/>
                <w:sz w:val="20"/>
                <w:highlight w:val="none"/>
              </w:rPr>
              <w:t>2</w:t>
            </w:r>
          </w:p>
        </w:tc>
        <w:tc>
          <w:tcPr>
            <w:tcW w:w="5867" w:type="dxa"/>
            <w:vAlign w:val="top"/>
          </w:tcPr>
          <w:p w14:paraId="4174D81F">
            <w:pPr>
              <w:pStyle w:val="34"/>
              <w:rPr>
                <w:rFonts w:ascii="Times New Roman"/>
                <w:color w:val="auto"/>
                <w:sz w:val="22"/>
                <w:highlight w:val="none"/>
              </w:rPr>
            </w:pPr>
          </w:p>
        </w:tc>
        <w:tc>
          <w:tcPr>
            <w:tcW w:w="1800" w:type="dxa"/>
            <w:vAlign w:val="top"/>
          </w:tcPr>
          <w:p w14:paraId="62C8A4C5">
            <w:pPr>
              <w:pStyle w:val="34"/>
              <w:rPr>
                <w:rFonts w:ascii="Times New Roman"/>
                <w:color w:val="auto"/>
                <w:sz w:val="22"/>
                <w:highlight w:val="none"/>
              </w:rPr>
            </w:pPr>
          </w:p>
        </w:tc>
      </w:tr>
      <w:tr w14:paraId="56A9A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vAlign w:val="top"/>
          </w:tcPr>
          <w:p w14:paraId="04AE9B4E">
            <w:pPr>
              <w:pStyle w:val="34"/>
              <w:spacing w:before="5"/>
              <w:rPr>
                <w:b/>
                <w:color w:val="auto"/>
                <w:sz w:val="16"/>
                <w:highlight w:val="none"/>
              </w:rPr>
            </w:pPr>
          </w:p>
          <w:p w14:paraId="2A7A66B3">
            <w:pPr>
              <w:pStyle w:val="34"/>
              <w:spacing w:before="1"/>
              <w:ind w:left="6"/>
              <w:jc w:val="center"/>
              <w:rPr>
                <w:color w:val="auto"/>
                <w:sz w:val="20"/>
                <w:highlight w:val="none"/>
              </w:rPr>
            </w:pPr>
            <w:r>
              <w:rPr>
                <w:color w:val="auto"/>
                <w:w w:val="99"/>
                <w:sz w:val="20"/>
                <w:highlight w:val="none"/>
              </w:rPr>
              <w:t>3</w:t>
            </w:r>
          </w:p>
        </w:tc>
        <w:tc>
          <w:tcPr>
            <w:tcW w:w="5867" w:type="dxa"/>
            <w:vAlign w:val="top"/>
          </w:tcPr>
          <w:p w14:paraId="18F506CD">
            <w:pPr>
              <w:pStyle w:val="34"/>
              <w:rPr>
                <w:rFonts w:ascii="Times New Roman"/>
                <w:color w:val="auto"/>
                <w:sz w:val="22"/>
                <w:highlight w:val="none"/>
              </w:rPr>
            </w:pPr>
          </w:p>
        </w:tc>
        <w:tc>
          <w:tcPr>
            <w:tcW w:w="1800" w:type="dxa"/>
            <w:vAlign w:val="top"/>
          </w:tcPr>
          <w:p w14:paraId="6B897FC8">
            <w:pPr>
              <w:pStyle w:val="34"/>
              <w:rPr>
                <w:rFonts w:ascii="Times New Roman"/>
                <w:color w:val="auto"/>
                <w:sz w:val="22"/>
                <w:highlight w:val="none"/>
              </w:rPr>
            </w:pPr>
          </w:p>
        </w:tc>
      </w:tr>
      <w:tr w14:paraId="5192E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vAlign w:val="top"/>
          </w:tcPr>
          <w:p w14:paraId="250AADA4">
            <w:pPr>
              <w:pStyle w:val="34"/>
              <w:spacing w:before="4"/>
              <w:rPr>
                <w:b/>
                <w:color w:val="auto"/>
                <w:sz w:val="16"/>
                <w:highlight w:val="none"/>
              </w:rPr>
            </w:pPr>
          </w:p>
          <w:p w14:paraId="6CE125CC">
            <w:pPr>
              <w:pStyle w:val="34"/>
              <w:spacing w:before="1"/>
              <w:ind w:left="6"/>
              <w:jc w:val="center"/>
              <w:rPr>
                <w:color w:val="auto"/>
                <w:sz w:val="20"/>
                <w:highlight w:val="none"/>
              </w:rPr>
            </w:pPr>
            <w:r>
              <w:rPr>
                <w:color w:val="auto"/>
                <w:w w:val="99"/>
                <w:sz w:val="20"/>
                <w:highlight w:val="none"/>
              </w:rPr>
              <w:t>4</w:t>
            </w:r>
          </w:p>
        </w:tc>
        <w:tc>
          <w:tcPr>
            <w:tcW w:w="5867" w:type="dxa"/>
            <w:vAlign w:val="top"/>
          </w:tcPr>
          <w:p w14:paraId="2C5A0425">
            <w:pPr>
              <w:pStyle w:val="34"/>
              <w:rPr>
                <w:rFonts w:ascii="Times New Roman"/>
                <w:color w:val="auto"/>
                <w:sz w:val="22"/>
                <w:highlight w:val="none"/>
              </w:rPr>
            </w:pPr>
          </w:p>
        </w:tc>
        <w:tc>
          <w:tcPr>
            <w:tcW w:w="1800" w:type="dxa"/>
            <w:vAlign w:val="top"/>
          </w:tcPr>
          <w:p w14:paraId="26FAB80B">
            <w:pPr>
              <w:pStyle w:val="34"/>
              <w:rPr>
                <w:rFonts w:ascii="Times New Roman"/>
                <w:color w:val="auto"/>
                <w:sz w:val="22"/>
                <w:highlight w:val="none"/>
              </w:rPr>
            </w:pPr>
          </w:p>
        </w:tc>
      </w:tr>
      <w:tr w14:paraId="6DBD2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vAlign w:val="top"/>
          </w:tcPr>
          <w:p w14:paraId="179502D0">
            <w:pPr>
              <w:pStyle w:val="34"/>
              <w:spacing w:before="6"/>
              <w:rPr>
                <w:b/>
                <w:color w:val="auto"/>
                <w:sz w:val="16"/>
                <w:highlight w:val="none"/>
              </w:rPr>
            </w:pPr>
          </w:p>
          <w:p w14:paraId="78ACDA55">
            <w:pPr>
              <w:pStyle w:val="34"/>
              <w:ind w:left="189" w:right="182"/>
              <w:jc w:val="center"/>
              <w:rPr>
                <w:color w:val="auto"/>
                <w:sz w:val="20"/>
                <w:highlight w:val="none"/>
              </w:rPr>
            </w:pPr>
            <w:r>
              <w:rPr>
                <w:color w:val="auto"/>
                <w:sz w:val="20"/>
                <w:highlight w:val="none"/>
              </w:rPr>
              <w:t>……</w:t>
            </w:r>
          </w:p>
        </w:tc>
        <w:tc>
          <w:tcPr>
            <w:tcW w:w="5867" w:type="dxa"/>
            <w:vAlign w:val="top"/>
          </w:tcPr>
          <w:p w14:paraId="6A20CF4C">
            <w:pPr>
              <w:pStyle w:val="34"/>
              <w:rPr>
                <w:rFonts w:ascii="Times New Roman"/>
                <w:color w:val="auto"/>
                <w:sz w:val="22"/>
                <w:highlight w:val="none"/>
              </w:rPr>
            </w:pPr>
          </w:p>
        </w:tc>
        <w:tc>
          <w:tcPr>
            <w:tcW w:w="1800" w:type="dxa"/>
            <w:vAlign w:val="top"/>
          </w:tcPr>
          <w:p w14:paraId="10BF4A47">
            <w:pPr>
              <w:pStyle w:val="34"/>
              <w:rPr>
                <w:rFonts w:ascii="Times New Roman"/>
                <w:color w:val="auto"/>
                <w:sz w:val="22"/>
                <w:highlight w:val="none"/>
              </w:rPr>
            </w:pPr>
          </w:p>
        </w:tc>
      </w:tr>
      <w:tr w14:paraId="12606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43" w:type="dxa"/>
            <w:vAlign w:val="top"/>
          </w:tcPr>
          <w:p w14:paraId="2CC7CD03">
            <w:pPr>
              <w:pStyle w:val="34"/>
              <w:spacing w:before="5"/>
              <w:rPr>
                <w:b/>
                <w:color w:val="auto"/>
                <w:sz w:val="16"/>
                <w:highlight w:val="none"/>
              </w:rPr>
            </w:pPr>
          </w:p>
          <w:p w14:paraId="3AD4626F">
            <w:pPr>
              <w:pStyle w:val="34"/>
              <w:ind w:left="6"/>
              <w:jc w:val="center"/>
              <w:rPr>
                <w:color w:val="auto"/>
                <w:sz w:val="20"/>
                <w:highlight w:val="none"/>
              </w:rPr>
            </w:pPr>
            <w:r>
              <w:rPr>
                <w:color w:val="auto"/>
                <w:w w:val="99"/>
                <w:sz w:val="20"/>
                <w:highlight w:val="none"/>
              </w:rPr>
              <w:t>N</w:t>
            </w:r>
          </w:p>
        </w:tc>
        <w:tc>
          <w:tcPr>
            <w:tcW w:w="5867" w:type="dxa"/>
            <w:vAlign w:val="top"/>
          </w:tcPr>
          <w:p w14:paraId="3C721AE0">
            <w:pPr>
              <w:pStyle w:val="34"/>
              <w:rPr>
                <w:rFonts w:ascii="Times New Roman"/>
                <w:color w:val="auto"/>
                <w:sz w:val="22"/>
                <w:highlight w:val="none"/>
              </w:rPr>
            </w:pPr>
          </w:p>
        </w:tc>
        <w:tc>
          <w:tcPr>
            <w:tcW w:w="1800" w:type="dxa"/>
            <w:vAlign w:val="top"/>
          </w:tcPr>
          <w:p w14:paraId="6EC2CCB0">
            <w:pPr>
              <w:pStyle w:val="34"/>
              <w:rPr>
                <w:rFonts w:ascii="Times New Roman"/>
                <w:color w:val="auto"/>
                <w:sz w:val="22"/>
                <w:highlight w:val="none"/>
              </w:rPr>
            </w:pPr>
          </w:p>
        </w:tc>
      </w:tr>
    </w:tbl>
    <w:p w14:paraId="5E4C9C80">
      <w:pPr>
        <w:pStyle w:val="13"/>
        <w:spacing w:before="10"/>
        <w:rPr>
          <w:b/>
          <w:color w:val="auto"/>
          <w:sz w:val="20"/>
          <w:highlight w:val="none"/>
        </w:rPr>
      </w:pPr>
    </w:p>
    <w:p w14:paraId="1AA241D1">
      <w:pPr>
        <w:pStyle w:val="10"/>
        <w:ind w:left="557"/>
        <w:rPr>
          <w:color w:val="auto"/>
          <w:highlight w:val="none"/>
        </w:rPr>
      </w:pPr>
      <w:r>
        <w:rPr>
          <w:color w:val="auto"/>
          <w:highlight w:val="none"/>
        </w:rPr>
        <w:t>注：</w:t>
      </w:r>
      <w:r>
        <w:rPr>
          <w:color w:val="auto"/>
          <w:spacing w:val="-5"/>
          <w:highlight w:val="none"/>
        </w:rPr>
        <w:t>在填写时，如本表格不适合投标单位的实际情况，可根据本表格式自行制表填写。</w:t>
      </w:r>
    </w:p>
    <w:p w14:paraId="377C3BB4">
      <w:pPr>
        <w:rPr>
          <w:rFonts w:hint="eastAsia"/>
          <w:color w:val="auto"/>
          <w:highlight w:val="none"/>
          <w:lang w:val="en-US" w:eastAsia="zh-CN"/>
        </w:rPr>
      </w:pPr>
      <w:r>
        <w:rPr>
          <w:color w:val="auto"/>
          <w:spacing w:val="-5"/>
          <w:highlight w:val="none"/>
        </w:rPr>
        <w:t>本项对应评分办法中的</w:t>
      </w:r>
      <w:r>
        <w:rPr>
          <w:rFonts w:hint="eastAsia"/>
          <w:color w:val="auto"/>
          <w:spacing w:val="-5"/>
          <w:highlight w:val="none"/>
          <w:lang w:eastAsia="zh-CN"/>
        </w:rPr>
        <w:t>“</w:t>
      </w:r>
      <w:r>
        <w:rPr>
          <w:rFonts w:hint="eastAsia" w:ascii="宋体" w:hAnsi="宋体" w:eastAsia="宋体" w:cs="宋体"/>
          <w:color w:val="auto"/>
          <w:sz w:val="21"/>
          <w:szCs w:val="21"/>
          <w:highlight w:val="none"/>
          <w:lang w:val="en-US" w:eastAsia="zh-CN"/>
        </w:rPr>
        <w:t>特约维修点</w:t>
      </w:r>
      <w:r>
        <w:rPr>
          <w:rFonts w:hint="eastAsia" w:hAnsi="宋体" w:eastAsia="宋体" w:cs="宋体"/>
          <w:color w:val="auto"/>
          <w:sz w:val="21"/>
          <w:szCs w:val="21"/>
          <w:highlight w:val="none"/>
          <w:lang w:val="en-US" w:eastAsia="zh-CN"/>
        </w:rPr>
        <w:t>”。</w:t>
      </w:r>
    </w:p>
    <w:p w14:paraId="2029824C">
      <w:pPr>
        <w:rPr>
          <w:rFonts w:hint="eastAsia"/>
          <w:color w:val="auto"/>
          <w:highlight w:val="none"/>
        </w:rPr>
      </w:pPr>
    </w:p>
    <w:p w14:paraId="6E6AF591">
      <w:pPr>
        <w:snapToGrid w:val="0"/>
        <w:spacing w:before="165" w:beforeLines="50" w:after="50"/>
        <w:ind w:firstLine="602" w:firstLineChars="200"/>
        <w:jc w:val="center"/>
        <w:rPr>
          <w:rFonts w:hint="eastAsia" w:ascii="宋体" w:hAnsi="宋体" w:cs="宋体"/>
          <w:b/>
          <w:bCs/>
          <w:color w:val="auto"/>
          <w:sz w:val="30"/>
          <w:szCs w:val="30"/>
          <w:highlight w:val="none"/>
        </w:rPr>
      </w:pPr>
    </w:p>
    <w:p w14:paraId="4B272475">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058FDF54">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342AC80">
      <w:pPr>
        <w:snapToGrid w:val="0"/>
        <w:spacing w:before="165" w:beforeLines="50" w:after="50"/>
        <w:ind w:firstLine="602" w:firstLineChars="200"/>
        <w:jc w:val="center"/>
        <w:rPr>
          <w:rFonts w:hint="eastAsia" w:ascii="宋体" w:hAnsi="宋体" w:cs="宋体"/>
          <w:b/>
          <w:bCs/>
          <w:color w:val="auto"/>
          <w:sz w:val="30"/>
          <w:szCs w:val="30"/>
          <w:highlight w:val="none"/>
        </w:rPr>
      </w:pPr>
    </w:p>
    <w:p w14:paraId="7D9BD72D">
      <w:pPr>
        <w:snapToGrid w:val="0"/>
        <w:spacing w:before="165" w:beforeLines="50" w:after="50"/>
        <w:ind w:firstLine="602" w:firstLineChars="200"/>
        <w:jc w:val="center"/>
        <w:rPr>
          <w:rFonts w:hint="eastAsia" w:ascii="宋体" w:hAnsi="宋体" w:cs="宋体"/>
          <w:b/>
          <w:bCs/>
          <w:color w:val="auto"/>
          <w:sz w:val="30"/>
          <w:szCs w:val="30"/>
          <w:highlight w:val="none"/>
        </w:rPr>
      </w:pPr>
    </w:p>
    <w:p w14:paraId="4D1632E5">
      <w:pPr>
        <w:snapToGrid w:val="0"/>
        <w:spacing w:before="165" w:beforeLines="50" w:after="50"/>
        <w:ind w:firstLine="602" w:firstLineChars="200"/>
        <w:jc w:val="center"/>
        <w:rPr>
          <w:rFonts w:hint="eastAsia" w:ascii="宋体" w:hAnsi="宋体" w:cs="宋体"/>
          <w:b/>
          <w:bCs/>
          <w:color w:val="auto"/>
          <w:sz w:val="30"/>
          <w:szCs w:val="30"/>
          <w:highlight w:val="none"/>
        </w:rPr>
      </w:pPr>
    </w:p>
    <w:p w14:paraId="399B89E5">
      <w:pPr>
        <w:pStyle w:val="13"/>
        <w:rPr>
          <w:rFonts w:hint="eastAsia" w:ascii="宋体" w:hAnsi="宋体" w:cs="宋体"/>
          <w:b/>
          <w:bCs/>
          <w:color w:val="auto"/>
          <w:sz w:val="30"/>
          <w:szCs w:val="30"/>
          <w:highlight w:val="none"/>
        </w:rPr>
      </w:pPr>
    </w:p>
    <w:p w14:paraId="1D07968B">
      <w:pPr>
        <w:rPr>
          <w:rFonts w:hint="eastAsia"/>
          <w:color w:val="auto"/>
          <w:highlight w:val="none"/>
        </w:rPr>
      </w:pPr>
    </w:p>
    <w:p w14:paraId="03CDEF2C">
      <w:pPr>
        <w:pStyle w:val="3"/>
        <w:rPr>
          <w:rFonts w:hint="eastAsia" w:ascii="宋体" w:hAnsi="宋体" w:cs="宋体"/>
          <w:b w:val="0"/>
          <w:bCs w:val="0"/>
          <w:color w:val="auto"/>
          <w:sz w:val="30"/>
          <w:szCs w:val="30"/>
          <w:highlight w:val="none"/>
        </w:rPr>
      </w:pPr>
    </w:p>
    <w:p w14:paraId="641CDCB1">
      <w:pPr>
        <w:rPr>
          <w:rFonts w:hint="eastAsia"/>
          <w:color w:val="auto"/>
          <w:highlight w:val="none"/>
        </w:rPr>
      </w:pPr>
    </w:p>
    <w:p w14:paraId="62DD4F68">
      <w:pPr>
        <w:snapToGrid w:val="0"/>
        <w:spacing w:before="165" w:beforeLines="50" w:after="50"/>
        <w:ind w:firstLine="602" w:firstLineChars="200"/>
        <w:jc w:val="center"/>
        <w:rPr>
          <w:rFonts w:hint="eastAsia" w:ascii="宋体" w:hAnsi="宋体" w:cs="宋体"/>
          <w:b/>
          <w:bCs/>
          <w:color w:val="auto"/>
          <w:sz w:val="30"/>
          <w:szCs w:val="30"/>
          <w:highlight w:val="none"/>
        </w:rPr>
      </w:pPr>
    </w:p>
    <w:p w14:paraId="453883FA">
      <w:pPr>
        <w:snapToGrid w:val="0"/>
        <w:spacing w:before="165" w:beforeLines="50" w:after="50"/>
        <w:ind w:firstLine="602" w:firstLineChars="20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九、</w:t>
      </w:r>
      <w:r>
        <w:rPr>
          <w:rFonts w:hint="eastAsia" w:ascii="宋体" w:hAnsi="宋体" w:cs="宋体"/>
          <w:b/>
          <w:bCs/>
          <w:color w:val="auto"/>
          <w:sz w:val="30"/>
          <w:szCs w:val="30"/>
          <w:highlight w:val="none"/>
        </w:rPr>
        <w:t>供应商类似项目业绩证明文件</w:t>
      </w:r>
    </w:p>
    <w:p w14:paraId="4E86AD59">
      <w:pPr>
        <w:pStyle w:val="20"/>
        <w:snapToGrid w:val="0"/>
        <w:ind w:left="480" w:hanging="480"/>
        <w:rPr>
          <w:rFonts w:hint="eastAsia" w:ascii="宋体" w:hAnsi="宋体" w:cs="宋体"/>
          <w:color w:val="auto"/>
          <w:sz w:val="24"/>
          <w:highlight w:val="none"/>
        </w:rPr>
      </w:pPr>
    </w:p>
    <w:p w14:paraId="5C8F1945">
      <w:pPr>
        <w:pStyle w:val="20"/>
        <w:snapToGrid w:val="0"/>
        <w:ind w:left="480" w:hanging="480"/>
        <w:rPr>
          <w:rFonts w:hint="eastAsia" w:ascii="宋体" w:hAnsi="宋体" w:cs="宋体"/>
          <w:color w:val="auto"/>
          <w:sz w:val="24"/>
          <w:highlight w:val="none"/>
        </w:rPr>
      </w:pPr>
    </w:p>
    <w:p w14:paraId="7F26E996">
      <w:pPr>
        <w:pStyle w:val="20"/>
        <w:snapToGrid w:val="0"/>
        <w:ind w:left="480" w:hanging="480"/>
        <w:rPr>
          <w:rFonts w:hint="eastAsia" w:ascii="宋体" w:hAnsi="宋体" w:cs="宋体"/>
          <w:color w:val="auto"/>
          <w:sz w:val="24"/>
          <w:highlight w:val="none"/>
        </w:rPr>
      </w:pPr>
    </w:p>
    <w:p w14:paraId="462C4A66">
      <w:pPr>
        <w:autoSpaceDE w:val="0"/>
        <w:autoSpaceDN w:val="0"/>
        <w:spacing w:line="360" w:lineRule="auto"/>
        <w:ind w:firstLine="120"/>
        <w:jc w:val="center"/>
        <w:rPr>
          <w:rFonts w:hint="eastAsia" w:ascii="宋体" w:hAnsi="宋体" w:cs="宋体"/>
          <w:color w:val="auto"/>
          <w:sz w:val="24"/>
          <w:highlight w:val="none"/>
        </w:rPr>
      </w:pPr>
      <w:r>
        <w:rPr>
          <w:rFonts w:hint="eastAsia" w:ascii="宋体" w:hAnsi="宋体" w:cs="宋体"/>
          <w:b/>
          <w:color w:val="auto"/>
          <w:sz w:val="24"/>
          <w:highlight w:val="none"/>
          <w:lang w:val="en-US" w:eastAsia="zh-CN"/>
        </w:rPr>
        <w:t>类似</w:t>
      </w:r>
      <w:r>
        <w:rPr>
          <w:rFonts w:hint="eastAsia" w:ascii="宋体" w:hAnsi="宋体" w:cs="宋体"/>
          <w:b/>
          <w:color w:val="auto"/>
          <w:sz w:val="24"/>
          <w:highlight w:val="none"/>
        </w:rPr>
        <w:t>项目业绩一览表</w:t>
      </w:r>
    </w:p>
    <w:tbl>
      <w:tblPr>
        <w:tblStyle w:val="24"/>
        <w:tblW w:w="104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8"/>
        <w:gridCol w:w="1305"/>
        <w:gridCol w:w="2151"/>
        <w:gridCol w:w="1229"/>
        <w:gridCol w:w="1117"/>
        <w:gridCol w:w="2133"/>
        <w:gridCol w:w="1625"/>
      </w:tblGrid>
      <w:tr w14:paraId="50E8C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atLeast"/>
          <w:jc w:val="center"/>
        </w:trPr>
        <w:tc>
          <w:tcPr>
            <w:tcW w:w="878" w:type="dxa"/>
            <w:vMerge w:val="restart"/>
            <w:tcBorders>
              <w:top w:val="single" w:color="auto" w:sz="4" w:space="0"/>
              <w:left w:val="single" w:color="auto" w:sz="4" w:space="0"/>
              <w:bottom w:val="single" w:color="auto" w:sz="4" w:space="0"/>
              <w:right w:val="single" w:color="auto" w:sz="4" w:space="0"/>
            </w:tcBorders>
            <w:vAlign w:val="center"/>
          </w:tcPr>
          <w:p w14:paraId="656F7F21">
            <w:pPr>
              <w:snapToGrid w:val="0"/>
              <w:spacing w:line="2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14:paraId="63952FA6">
            <w:pPr>
              <w:snapToGrid w:val="0"/>
              <w:spacing w:line="2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客户</w:t>
            </w:r>
            <w:r>
              <w:rPr>
                <w:rFonts w:hint="eastAsia" w:ascii="宋体" w:hAnsi="宋体" w:cs="宋体"/>
                <w:color w:val="auto"/>
                <w:sz w:val="24"/>
                <w:highlight w:val="none"/>
              </w:rPr>
              <w:t>名</w:t>
            </w:r>
            <w:r>
              <w:rPr>
                <w:rFonts w:hint="eastAsia" w:ascii="宋体" w:hAnsi="宋体" w:cs="宋体"/>
                <w:color w:val="auto"/>
                <w:sz w:val="24"/>
                <w:highlight w:val="none"/>
                <w:lang w:val="en-US" w:eastAsia="zh-CN"/>
              </w:rPr>
              <w:t>称</w:t>
            </w:r>
          </w:p>
        </w:tc>
        <w:tc>
          <w:tcPr>
            <w:tcW w:w="2151" w:type="dxa"/>
            <w:vMerge w:val="restart"/>
            <w:tcBorders>
              <w:top w:val="single" w:color="auto" w:sz="4" w:space="0"/>
              <w:left w:val="single" w:color="auto" w:sz="4" w:space="0"/>
              <w:bottom w:val="single" w:color="auto" w:sz="4" w:space="0"/>
              <w:right w:val="single" w:color="auto" w:sz="4" w:space="0"/>
            </w:tcBorders>
            <w:vAlign w:val="center"/>
          </w:tcPr>
          <w:p w14:paraId="0DA3FC3A">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229" w:type="dxa"/>
            <w:vMerge w:val="restart"/>
            <w:tcBorders>
              <w:top w:val="single" w:color="auto" w:sz="4" w:space="0"/>
              <w:left w:val="single" w:color="auto" w:sz="4" w:space="0"/>
              <w:bottom w:val="single" w:color="auto" w:sz="4" w:space="0"/>
              <w:right w:val="single" w:color="auto" w:sz="4" w:space="0"/>
            </w:tcBorders>
            <w:vAlign w:val="center"/>
          </w:tcPr>
          <w:p w14:paraId="424481C2">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合同</w:t>
            </w:r>
          </w:p>
          <w:p w14:paraId="50000860">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金额</w:t>
            </w:r>
          </w:p>
          <w:p w14:paraId="2615C1FB">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（万元）</w:t>
            </w:r>
          </w:p>
        </w:tc>
        <w:tc>
          <w:tcPr>
            <w:tcW w:w="3250" w:type="dxa"/>
            <w:gridSpan w:val="2"/>
            <w:tcBorders>
              <w:top w:val="single" w:color="auto" w:sz="4" w:space="0"/>
              <w:left w:val="single" w:color="auto" w:sz="4" w:space="0"/>
              <w:bottom w:val="single" w:color="auto" w:sz="4" w:space="0"/>
              <w:right w:val="single" w:color="auto" w:sz="4" w:space="0"/>
            </w:tcBorders>
            <w:vAlign w:val="center"/>
          </w:tcPr>
          <w:p w14:paraId="75E521C0">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附件在响应文件中页码</w:t>
            </w:r>
          </w:p>
        </w:tc>
        <w:tc>
          <w:tcPr>
            <w:tcW w:w="1625" w:type="dxa"/>
            <w:vMerge w:val="restart"/>
            <w:tcBorders>
              <w:top w:val="single" w:color="auto" w:sz="4" w:space="0"/>
              <w:left w:val="single" w:color="auto" w:sz="4" w:space="0"/>
              <w:bottom w:val="single" w:color="auto" w:sz="4" w:space="0"/>
              <w:right w:val="single" w:color="auto" w:sz="4" w:space="0"/>
            </w:tcBorders>
            <w:vAlign w:val="center"/>
          </w:tcPr>
          <w:p w14:paraId="515790B9">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客户</w:t>
            </w:r>
            <w:r>
              <w:rPr>
                <w:rFonts w:hint="eastAsia" w:ascii="宋体" w:hAnsi="宋体" w:cs="宋体"/>
                <w:color w:val="auto"/>
                <w:sz w:val="24"/>
                <w:highlight w:val="none"/>
              </w:rPr>
              <w:t>联系人及联系电话</w:t>
            </w:r>
          </w:p>
        </w:tc>
      </w:tr>
      <w:tr w14:paraId="33426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14:paraId="43777CAE">
            <w:pPr>
              <w:jc w:val="left"/>
              <w:rPr>
                <w:rFonts w:hint="eastAsia" w:ascii="宋体" w:hAnsi="宋体" w:cs="宋体"/>
                <w:color w:val="auto"/>
                <w:sz w:val="24"/>
                <w:highlight w:val="none"/>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2945FC20">
            <w:pPr>
              <w:jc w:val="left"/>
              <w:rPr>
                <w:rFonts w:hint="eastAsia" w:ascii="宋体" w:hAnsi="宋体" w:cs="宋体"/>
                <w:color w:val="auto"/>
                <w:sz w:val="24"/>
                <w:highlight w:val="none"/>
              </w:rPr>
            </w:pPr>
          </w:p>
        </w:tc>
        <w:tc>
          <w:tcPr>
            <w:tcW w:w="2151" w:type="dxa"/>
            <w:vMerge w:val="continue"/>
            <w:tcBorders>
              <w:top w:val="single" w:color="auto" w:sz="4" w:space="0"/>
              <w:left w:val="single" w:color="auto" w:sz="4" w:space="0"/>
              <w:bottom w:val="single" w:color="auto" w:sz="4" w:space="0"/>
              <w:right w:val="single" w:color="auto" w:sz="4" w:space="0"/>
            </w:tcBorders>
            <w:vAlign w:val="center"/>
          </w:tcPr>
          <w:p w14:paraId="77B4C1E1">
            <w:pPr>
              <w:jc w:val="left"/>
              <w:rPr>
                <w:rFonts w:hint="eastAsia" w:ascii="宋体" w:hAnsi="宋体" w:cs="宋体"/>
                <w:color w:val="auto"/>
                <w:sz w:val="24"/>
                <w:highlight w:val="none"/>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14:paraId="05EED417">
            <w:pPr>
              <w:jc w:val="left"/>
              <w:rPr>
                <w:rFonts w:hint="eastAsia" w:ascii="宋体" w:hAnsi="宋体" w:cs="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3CE30A9C">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合同</w:t>
            </w:r>
          </w:p>
        </w:tc>
        <w:tc>
          <w:tcPr>
            <w:tcW w:w="2133" w:type="dxa"/>
            <w:tcBorders>
              <w:top w:val="single" w:color="auto" w:sz="4" w:space="0"/>
              <w:left w:val="single" w:color="auto" w:sz="4" w:space="0"/>
              <w:bottom w:val="single" w:color="auto" w:sz="4" w:space="0"/>
              <w:right w:val="single" w:color="auto" w:sz="4" w:space="0"/>
            </w:tcBorders>
            <w:vAlign w:val="center"/>
          </w:tcPr>
          <w:p w14:paraId="029301FE">
            <w:pPr>
              <w:snapToGrid w:val="0"/>
              <w:spacing w:line="240" w:lineRule="exact"/>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中标通知书</w:t>
            </w: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2F8AD28E">
            <w:pPr>
              <w:jc w:val="left"/>
              <w:rPr>
                <w:rFonts w:hint="eastAsia" w:ascii="宋体" w:hAnsi="宋体" w:cs="宋体"/>
                <w:color w:val="auto"/>
                <w:sz w:val="24"/>
                <w:highlight w:val="none"/>
              </w:rPr>
            </w:pPr>
          </w:p>
        </w:tc>
      </w:tr>
      <w:tr w14:paraId="52363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78" w:type="dxa"/>
            <w:tcBorders>
              <w:top w:val="single" w:color="auto" w:sz="4" w:space="0"/>
              <w:left w:val="single" w:color="auto" w:sz="4" w:space="0"/>
              <w:bottom w:val="single" w:color="auto" w:sz="4" w:space="0"/>
              <w:right w:val="single" w:color="auto" w:sz="4" w:space="0"/>
            </w:tcBorders>
            <w:vAlign w:val="top"/>
          </w:tcPr>
          <w:p w14:paraId="765EF4AE">
            <w:pPr>
              <w:snapToGrid w:val="0"/>
              <w:spacing w:line="240" w:lineRule="exact"/>
              <w:jc w:val="left"/>
              <w:rPr>
                <w:rFonts w:hint="eastAsia"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top"/>
          </w:tcPr>
          <w:p w14:paraId="7C04EA61">
            <w:pPr>
              <w:snapToGrid w:val="0"/>
              <w:spacing w:line="240" w:lineRule="exact"/>
              <w:jc w:val="left"/>
              <w:rPr>
                <w:rFonts w:hint="eastAsia" w:ascii="宋体" w:hAnsi="宋体" w:cs="宋体"/>
                <w:color w:val="auto"/>
                <w:sz w:val="24"/>
                <w:highlight w:val="none"/>
              </w:rPr>
            </w:pPr>
          </w:p>
        </w:tc>
        <w:tc>
          <w:tcPr>
            <w:tcW w:w="2151" w:type="dxa"/>
            <w:tcBorders>
              <w:top w:val="single" w:color="auto" w:sz="4" w:space="0"/>
              <w:left w:val="single" w:color="auto" w:sz="4" w:space="0"/>
              <w:bottom w:val="single" w:color="auto" w:sz="4" w:space="0"/>
              <w:right w:val="single" w:color="auto" w:sz="4" w:space="0"/>
            </w:tcBorders>
            <w:vAlign w:val="top"/>
          </w:tcPr>
          <w:p w14:paraId="562D0F11">
            <w:pPr>
              <w:snapToGrid w:val="0"/>
              <w:spacing w:line="240" w:lineRule="exact"/>
              <w:jc w:val="left"/>
              <w:rPr>
                <w:rFonts w:hint="eastAsia" w:ascii="宋体" w:hAnsi="宋体" w:cs="宋体"/>
                <w:color w:val="auto"/>
                <w:sz w:val="24"/>
                <w:highlight w:val="none"/>
              </w:rPr>
            </w:pPr>
          </w:p>
        </w:tc>
        <w:tc>
          <w:tcPr>
            <w:tcW w:w="1229" w:type="dxa"/>
            <w:tcBorders>
              <w:top w:val="single" w:color="auto" w:sz="4" w:space="0"/>
              <w:left w:val="single" w:color="auto" w:sz="4" w:space="0"/>
              <w:bottom w:val="single" w:color="auto" w:sz="4" w:space="0"/>
              <w:right w:val="single" w:color="auto" w:sz="4" w:space="0"/>
            </w:tcBorders>
            <w:vAlign w:val="top"/>
          </w:tcPr>
          <w:p w14:paraId="7170EA88">
            <w:pPr>
              <w:snapToGrid w:val="0"/>
              <w:spacing w:line="240" w:lineRule="exact"/>
              <w:jc w:val="left"/>
              <w:rPr>
                <w:rFonts w:hint="eastAsia" w:ascii="宋体" w:hAnsi="宋体" w:cs="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vAlign w:val="top"/>
          </w:tcPr>
          <w:p w14:paraId="451691A4">
            <w:pPr>
              <w:snapToGrid w:val="0"/>
              <w:spacing w:line="240" w:lineRule="exact"/>
              <w:jc w:val="left"/>
              <w:rPr>
                <w:rFonts w:hint="eastAsia" w:ascii="宋体" w:hAnsi="宋体" w:cs="宋体"/>
                <w:color w:val="auto"/>
                <w:sz w:val="24"/>
                <w:highlight w:val="none"/>
              </w:rPr>
            </w:pPr>
          </w:p>
        </w:tc>
        <w:tc>
          <w:tcPr>
            <w:tcW w:w="2133" w:type="dxa"/>
            <w:tcBorders>
              <w:top w:val="single" w:color="auto" w:sz="4" w:space="0"/>
              <w:left w:val="single" w:color="auto" w:sz="4" w:space="0"/>
              <w:bottom w:val="single" w:color="auto" w:sz="4" w:space="0"/>
              <w:right w:val="single" w:color="auto" w:sz="4" w:space="0"/>
            </w:tcBorders>
            <w:vAlign w:val="top"/>
          </w:tcPr>
          <w:p w14:paraId="74D4A245">
            <w:pPr>
              <w:snapToGrid w:val="0"/>
              <w:spacing w:line="240" w:lineRule="exact"/>
              <w:jc w:val="left"/>
              <w:rPr>
                <w:rFonts w:hint="eastAsia"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top"/>
          </w:tcPr>
          <w:p w14:paraId="1593AA27">
            <w:pPr>
              <w:snapToGrid w:val="0"/>
              <w:spacing w:line="240" w:lineRule="exact"/>
              <w:jc w:val="left"/>
              <w:rPr>
                <w:rFonts w:hint="eastAsia" w:ascii="宋体" w:hAnsi="宋体" w:cs="宋体"/>
                <w:color w:val="auto"/>
                <w:sz w:val="24"/>
                <w:highlight w:val="none"/>
              </w:rPr>
            </w:pPr>
          </w:p>
        </w:tc>
      </w:tr>
      <w:tr w14:paraId="124EA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78" w:type="dxa"/>
            <w:tcBorders>
              <w:top w:val="single" w:color="auto" w:sz="4" w:space="0"/>
              <w:left w:val="single" w:color="auto" w:sz="4" w:space="0"/>
              <w:bottom w:val="single" w:color="auto" w:sz="4" w:space="0"/>
              <w:right w:val="single" w:color="auto" w:sz="4" w:space="0"/>
            </w:tcBorders>
            <w:vAlign w:val="top"/>
          </w:tcPr>
          <w:p w14:paraId="0635CDC1">
            <w:pPr>
              <w:snapToGrid w:val="0"/>
              <w:spacing w:before="50" w:after="165" w:afterLines="50" w:line="400" w:lineRule="exact"/>
              <w:jc w:val="left"/>
              <w:rPr>
                <w:rFonts w:hint="eastAsia"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top"/>
          </w:tcPr>
          <w:p w14:paraId="774BB014">
            <w:pPr>
              <w:snapToGrid w:val="0"/>
              <w:spacing w:before="50" w:after="165" w:afterLines="50" w:line="400" w:lineRule="exact"/>
              <w:jc w:val="left"/>
              <w:rPr>
                <w:rFonts w:hint="eastAsia" w:ascii="宋体" w:hAnsi="宋体" w:cs="宋体"/>
                <w:color w:val="auto"/>
                <w:sz w:val="24"/>
                <w:highlight w:val="none"/>
              </w:rPr>
            </w:pPr>
          </w:p>
        </w:tc>
        <w:tc>
          <w:tcPr>
            <w:tcW w:w="2151" w:type="dxa"/>
            <w:tcBorders>
              <w:top w:val="single" w:color="auto" w:sz="4" w:space="0"/>
              <w:left w:val="single" w:color="auto" w:sz="4" w:space="0"/>
              <w:bottom w:val="single" w:color="auto" w:sz="4" w:space="0"/>
              <w:right w:val="single" w:color="auto" w:sz="4" w:space="0"/>
            </w:tcBorders>
            <w:vAlign w:val="top"/>
          </w:tcPr>
          <w:p w14:paraId="1FA3149A">
            <w:pPr>
              <w:snapToGrid w:val="0"/>
              <w:spacing w:before="50" w:after="165" w:afterLines="50" w:line="400" w:lineRule="exact"/>
              <w:jc w:val="left"/>
              <w:rPr>
                <w:rFonts w:hint="eastAsia" w:ascii="宋体" w:hAnsi="宋体" w:cs="宋体"/>
                <w:color w:val="auto"/>
                <w:sz w:val="24"/>
                <w:highlight w:val="none"/>
              </w:rPr>
            </w:pPr>
          </w:p>
        </w:tc>
        <w:tc>
          <w:tcPr>
            <w:tcW w:w="1229" w:type="dxa"/>
            <w:tcBorders>
              <w:top w:val="single" w:color="auto" w:sz="4" w:space="0"/>
              <w:left w:val="single" w:color="auto" w:sz="4" w:space="0"/>
              <w:bottom w:val="single" w:color="auto" w:sz="4" w:space="0"/>
              <w:right w:val="single" w:color="auto" w:sz="4" w:space="0"/>
            </w:tcBorders>
            <w:vAlign w:val="top"/>
          </w:tcPr>
          <w:p w14:paraId="006AA4E1">
            <w:pPr>
              <w:snapToGrid w:val="0"/>
              <w:spacing w:before="50" w:after="165" w:afterLines="50" w:line="400" w:lineRule="exact"/>
              <w:jc w:val="left"/>
              <w:rPr>
                <w:rFonts w:hint="eastAsia" w:ascii="宋体" w:hAnsi="宋体" w:cs="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vAlign w:val="top"/>
          </w:tcPr>
          <w:p w14:paraId="5BFFBBB2">
            <w:pPr>
              <w:snapToGrid w:val="0"/>
              <w:spacing w:before="50" w:after="165" w:afterLines="50" w:line="400" w:lineRule="exact"/>
              <w:jc w:val="left"/>
              <w:rPr>
                <w:rFonts w:hint="eastAsia" w:ascii="宋体" w:hAnsi="宋体" w:cs="宋体"/>
                <w:color w:val="auto"/>
                <w:sz w:val="24"/>
                <w:highlight w:val="none"/>
              </w:rPr>
            </w:pPr>
          </w:p>
        </w:tc>
        <w:tc>
          <w:tcPr>
            <w:tcW w:w="2133" w:type="dxa"/>
            <w:tcBorders>
              <w:top w:val="single" w:color="auto" w:sz="4" w:space="0"/>
              <w:left w:val="single" w:color="auto" w:sz="4" w:space="0"/>
              <w:bottom w:val="single" w:color="auto" w:sz="4" w:space="0"/>
              <w:right w:val="single" w:color="auto" w:sz="4" w:space="0"/>
            </w:tcBorders>
            <w:vAlign w:val="top"/>
          </w:tcPr>
          <w:p w14:paraId="2B887DDB">
            <w:pPr>
              <w:snapToGrid w:val="0"/>
              <w:spacing w:before="50" w:after="165" w:afterLines="50" w:line="400" w:lineRule="exact"/>
              <w:jc w:val="left"/>
              <w:rPr>
                <w:rFonts w:hint="eastAsia"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top"/>
          </w:tcPr>
          <w:p w14:paraId="3A428DCC">
            <w:pPr>
              <w:snapToGrid w:val="0"/>
              <w:spacing w:before="50" w:after="165" w:afterLines="50" w:line="400" w:lineRule="exact"/>
              <w:jc w:val="left"/>
              <w:rPr>
                <w:rFonts w:hint="eastAsia" w:ascii="宋体" w:hAnsi="宋体" w:cs="宋体"/>
                <w:color w:val="auto"/>
                <w:sz w:val="24"/>
                <w:highlight w:val="none"/>
              </w:rPr>
            </w:pPr>
          </w:p>
        </w:tc>
      </w:tr>
      <w:tr w14:paraId="3524C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78" w:type="dxa"/>
            <w:tcBorders>
              <w:top w:val="single" w:color="auto" w:sz="4" w:space="0"/>
              <w:left w:val="single" w:color="auto" w:sz="4" w:space="0"/>
              <w:bottom w:val="single" w:color="auto" w:sz="4" w:space="0"/>
              <w:right w:val="single" w:color="auto" w:sz="4" w:space="0"/>
            </w:tcBorders>
            <w:vAlign w:val="top"/>
          </w:tcPr>
          <w:p w14:paraId="03674831">
            <w:pPr>
              <w:snapToGrid w:val="0"/>
              <w:spacing w:before="50" w:after="165" w:afterLines="50" w:line="400" w:lineRule="exact"/>
              <w:jc w:val="left"/>
              <w:rPr>
                <w:rFonts w:hint="eastAsia"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top"/>
          </w:tcPr>
          <w:p w14:paraId="59519EC5">
            <w:pPr>
              <w:snapToGrid w:val="0"/>
              <w:spacing w:before="50" w:after="165" w:afterLines="50" w:line="400" w:lineRule="exact"/>
              <w:jc w:val="left"/>
              <w:rPr>
                <w:rFonts w:hint="eastAsia" w:ascii="宋体" w:hAnsi="宋体" w:cs="宋体"/>
                <w:color w:val="auto"/>
                <w:sz w:val="24"/>
                <w:highlight w:val="none"/>
              </w:rPr>
            </w:pPr>
          </w:p>
        </w:tc>
        <w:tc>
          <w:tcPr>
            <w:tcW w:w="2151" w:type="dxa"/>
            <w:tcBorders>
              <w:top w:val="single" w:color="auto" w:sz="4" w:space="0"/>
              <w:left w:val="single" w:color="auto" w:sz="4" w:space="0"/>
              <w:bottom w:val="single" w:color="auto" w:sz="4" w:space="0"/>
              <w:right w:val="single" w:color="auto" w:sz="4" w:space="0"/>
            </w:tcBorders>
            <w:vAlign w:val="top"/>
          </w:tcPr>
          <w:p w14:paraId="424A3F06">
            <w:pPr>
              <w:snapToGrid w:val="0"/>
              <w:spacing w:before="50" w:after="165" w:afterLines="50" w:line="400" w:lineRule="exact"/>
              <w:jc w:val="left"/>
              <w:rPr>
                <w:rFonts w:hint="eastAsia" w:ascii="宋体" w:hAnsi="宋体" w:cs="宋体"/>
                <w:color w:val="auto"/>
                <w:sz w:val="24"/>
                <w:highlight w:val="none"/>
              </w:rPr>
            </w:pPr>
          </w:p>
        </w:tc>
        <w:tc>
          <w:tcPr>
            <w:tcW w:w="1229" w:type="dxa"/>
            <w:tcBorders>
              <w:top w:val="single" w:color="auto" w:sz="4" w:space="0"/>
              <w:left w:val="single" w:color="auto" w:sz="4" w:space="0"/>
              <w:bottom w:val="single" w:color="auto" w:sz="4" w:space="0"/>
              <w:right w:val="single" w:color="auto" w:sz="4" w:space="0"/>
            </w:tcBorders>
            <w:vAlign w:val="top"/>
          </w:tcPr>
          <w:p w14:paraId="6C299246">
            <w:pPr>
              <w:snapToGrid w:val="0"/>
              <w:spacing w:before="50" w:after="165" w:afterLines="50" w:line="400" w:lineRule="exact"/>
              <w:jc w:val="left"/>
              <w:rPr>
                <w:rFonts w:hint="eastAsia" w:ascii="宋体" w:hAnsi="宋体" w:cs="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vAlign w:val="top"/>
          </w:tcPr>
          <w:p w14:paraId="5993407D">
            <w:pPr>
              <w:snapToGrid w:val="0"/>
              <w:spacing w:before="50" w:after="165" w:afterLines="50" w:line="400" w:lineRule="exact"/>
              <w:jc w:val="left"/>
              <w:rPr>
                <w:rFonts w:hint="eastAsia" w:ascii="宋体" w:hAnsi="宋体" w:cs="宋体"/>
                <w:color w:val="auto"/>
                <w:sz w:val="24"/>
                <w:highlight w:val="none"/>
              </w:rPr>
            </w:pPr>
          </w:p>
        </w:tc>
        <w:tc>
          <w:tcPr>
            <w:tcW w:w="2133" w:type="dxa"/>
            <w:tcBorders>
              <w:top w:val="single" w:color="auto" w:sz="4" w:space="0"/>
              <w:left w:val="single" w:color="auto" w:sz="4" w:space="0"/>
              <w:bottom w:val="single" w:color="auto" w:sz="4" w:space="0"/>
              <w:right w:val="single" w:color="auto" w:sz="4" w:space="0"/>
            </w:tcBorders>
            <w:vAlign w:val="top"/>
          </w:tcPr>
          <w:p w14:paraId="1A8177EC">
            <w:pPr>
              <w:snapToGrid w:val="0"/>
              <w:spacing w:before="50" w:after="165" w:afterLines="50" w:line="400" w:lineRule="exact"/>
              <w:jc w:val="left"/>
              <w:rPr>
                <w:rFonts w:hint="eastAsia"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top"/>
          </w:tcPr>
          <w:p w14:paraId="59A54107">
            <w:pPr>
              <w:snapToGrid w:val="0"/>
              <w:spacing w:before="50" w:after="165" w:afterLines="50" w:line="400" w:lineRule="exact"/>
              <w:jc w:val="left"/>
              <w:rPr>
                <w:rFonts w:hint="eastAsia" w:ascii="宋体" w:hAnsi="宋体" w:cs="宋体"/>
                <w:color w:val="auto"/>
                <w:sz w:val="24"/>
                <w:highlight w:val="none"/>
              </w:rPr>
            </w:pPr>
          </w:p>
        </w:tc>
      </w:tr>
      <w:tr w14:paraId="3B154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78" w:type="dxa"/>
            <w:tcBorders>
              <w:top w:val="single" w:color="auto" w:sz="4" w:space="0"/>
              <w:left w:val="single" w:color="auto" w:sz="4" w:space="0"/>
              <w:bottom w:val="single" w:color="auto" w:sz="4" w:space="0"/>
              <w:right w:val="single" w:color="auto" w:sz="4" w:space="0"/>
            </w:tcBorders>
            <w:vAlign w:val="top"/>
          </w:tcPr>
          <w:p w14:paraId="587342C5">
            <w:pPr>
              <w:snapToGrid w:val="0"/>
              <w:spacing w:before="50" w:after="165" w:afterLines="50" w:line="400" w:lineRule="exact"/>
              <w:jc w:val="left"/>
              <w:rPr>
                <w:rFonts w:hint="eastAsia"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top"/>
          </w:tcPr>
          <w:p w14:paraId="3E5EF747">
            <w:pPr>
              <w:snapToGrid w:val="0"/>
              <w:spacing w:before="50" w:after="165" w:afterLines="50" w:line="400" w:lineRule="exact"/>
              <w:jc w:val="left"/>
              <w:rPr>
                <w:rFonts w:hint="eastAsia" w:ascii="宋体" w:hAnsi="宋体" w:cs="宋体"/>
                <w:color w:val="auto"/>
                <w:sz w:val="24"/>
                <w:highlight w:val="none"/>
              </w:rPr>
            </w:pPr>
          </w:p>
        </w:tc>
        <w:tc>
          <w:tcPr>
            <w:tcW w:w="2151" w:type="dxa"/>
            <w:tcBorders>
              <w:top w:val="single" w:color="auto" w:sz="4" w:space="0"/>
              <w:left w:val="single" w:color="auto" w:sz="4" w:space="0"/>
              <w:bottom w:val="single" w:color="auto" w:sz="4" w:space="0"/>
              <w:right w:val="single" w:color="auto" w:sz="4" w:space="0"/>
            </w:tcBorders>
            <w:vAlign w:val="top"/>
          </w:tcPr>
          <w:p w14:paraId="24ABF817">
            <w:pPr>
              <w:snapToGrid w:val="0"/>
              <w:spacing w:before="50" w:after="165" w:afterLines="50" w:line="400" w:lineRule="exact"/>
              <w:jc w:val="left"/>
              <w:rPr>
                <w:rFonts w:hint="eastAsia" w:ascii="宋体" w:hAnsi="宋体" w:cs="宋体"/>
                <w:color w:val="auto"/>
                <w:sz w:val="24"/>
                <w:highlight w:val="none"/>
              </w:rPr>
            </w:pPr>
          </w:p>
        </w:tc>
        <w:tc>
          <w:tcPr>
            <w:tcW w:w="1229" w:type="dxa"/>
            <w:tcBorders>
              <w:top w:val="single" w:color="auto" w:sz="4" w:space="0"/>
              <w:left w:val="single" w:color="auto" w:sz="4" w:space="0"/>
              <w:bottom w:val="single" w:color="auto" w:sz="4" w:space="0"/>
              <w:right w:val="single" w:color="auto" w:sz="4" w:space="0"/>
            </w:tcBorders>
            <w:vAlign w:val="top"/>
          </w:tcPr>
          <w:p w14:paraId="7B4CF909">
            <w:pPr>
              <w:snapToGrid w:val="0"/>
              <w:spacing w:before="50" w:after="165" w:afterLines="50" w:line="400" w:lineRule="exact"/>
              <w:jc w:val="left"/>
              <w:rPr>
                <w:rFonts w:hint="eastAsia" w:ascii="宋体" w:hAnsi="宋体" w:cs="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vAlign w:val="top"/>
          </w:tcPr>
          <w:p w14:paraId="2760F930">
            <w:pPr>
              <w:snapToGrid w:val="0"/>
              <w:spacing w:before="50" w:after="165" w:afterLines="50" w:line="400" w:lineRule="exact"/>
              <w:jc w:val="left"/>
              <w:rPr>
                <w:rFonts w:hint="eastAsia" w:ascii="宋体" w:hAnsi="宋体" w:cs="宋体"/>
                <w:color w:val="auto"/>
                <w:sz w:val="24"/>
                <w:highlight w:val="none"/>
              </w:rPr>
            </w:pPr>
          </w:p>
        </w:tc>
        <w:tc>
          <w:tcPr>
            <w:tcW w:w="2133" w:type="dxa"/>
            <w:tcBorders>
              <w:top w:val="single" w:color="auto" w:sz="4" w:space="0"/>
              <w:left w:val="single" w:color="auto" w:sz="4" w:space="0"/>
              <w:bottom w:val="single" w:color="auto" w:sz="4" w:space="0"/>
              <w:right w:val="single" w:color="auto" w:sz="4" w:space="0"/>
            </w:tcBorders>
            <w:vAlign w:val="top"/>
          </w:tcPr>
          <w:p w14:paraId="524E2BB0">
            <w:pPr>
              <w:snapToGrid w:val="0"/>
              <w:spacing w:before="50" w:after="165" w:afterLines="50" w:line="400" w:lineRule="exact"/>
              <w:jc w:val="left"/>
              <w:rPr>
                <w:rFonts w:hint="eastAsia"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top"/>
          </w:tcPr>
          <w:p w14:paraId="302BA92D">
            <w:pPr>
              <w:snapToGrid w:val="0"/>
              <w:spacing w:before="50" w:after="165" w:afterLines="50" w:line="400" w:lineRule="exact"/>
              <w:jc w:val="left"/>
              <w:rPr>
                <w:rFonts w:hint="eastAsia" w:ascii="宋体" w:hAnsi="宋体" w:cs="宋体"/>
                <w:color w:val="auto"/>
                <w:sz w:val="24"/>
                <w:highlight w:val="none"/>
              </w:rPr>
            </w:pPr>
          </w:p>
        </w:tc>
      </w:tr>
      <w:tr w14:paraId="7D5C2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878" w:type="dxa"/>
            <w:tcBorders>
              <w:top w:val="single" w:color="auto" w:sz="4" w:space="0"/>
              <w:left w:val="single" w:color="auto" w:sz="4" w:space="0"/>
              <w:bottom w:val="single" w:color="auto" w:sz="4" w:space="0"/>
              <w:right w:val="single" w:color="auto" w:sz="4" w:space="0"/>
            </w:tcBorders>
            <w:vAlign w:val="top"/>
          </w:tcPr>
          <w:p w14:paraId="71C4BCB1">
            <w:pPr>
              <w:snapToGrid w:val="0"/>
              <w:spacing w:before="50" w:after="165" w:afterLines="50" w:line="400" w:lineRule="exact"/>
              <w:jc w:val="left"/>
              <w:rPr>
                <w:rFonts w:hint="eastAsia" w:ascii="宋体" w:hAnsi="宋体" w:cs="宋体"/>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top"/>
          </w:tcPr>
          <w:p w14:paraId="34C379ED">
            <w:pPr>
              <w:snapToGrid w:val="0"/>
              <w:spacing w:before="50" w:after="165" w:afterLines="50" w:line="400" w:lineRule="exact"/>
              <w:jc w:val="left"/>
              <w:rPr>
                <w:rFonts w:hint="eastAsia" w:ascii="宋体" w:hAnsi="宋体" w:cs="宋体"/>
                <w:color w:val="auto"/>
                <w:sz w:val="24"/>
                <w:highlight w:val="none"/>
              </w:rPr>
            </w:pPr>
          </w:p>
        </w:tc>
        <w:tc>
          <w:tcPr>
            <w:tcW w:w="2151" w:type="dxa"/>
            <w:tcBorders>
              <w:top w:val="single" w:color="auto" w:sz="4" w:space="0"/>
              <w:left w:val="single" w:color="auto" w:sz="4" w:space="0"/>
              <w:bottom w:val="single" w:color="auto" w:sz="4" w:space="0"/>
              <w:right w:val="single" w:color="auto" w:sz="4" w:space="0"/>
            </w:tcBorders>
            <w:vAlign w:val="top"/>
          </w:tcPr>
          <w:p w14:paraId="6D37039D">
            <w:pPr>
              <w:snapToGrid w:val="0"/>
              <w:spacing w:before="50" w:after="165" w:afterLines="50" w:line="400" w:lineRule="exact"/>
              <w:jc w:val="left"/>
              <w:rPr>
                <w:rFonts w:hint="eastAsia" w:ascii="宋体" w:hAnsi="宋体" w:cs="宋体"/>
                <w:color w:val="auto"/>
                <w:sz w:val="24"/>
                <w:highlight w:val="none"/>
              </w:rPr>
            </w:pPr>
          </w:p>
        </w:tc>
        <w:tc>
          <w:tcPr>
            <w:tcW w:w="1229" w:type="dxa"/>
            <w:tcBorders>
              <w:top w:val="single" w:color="auto" w:sz="4" w:space="0"/>
              <w:left w:val="single" w:color="auto" w:sz="4" w:space="0"/>
              <w:bottom w:val="single" w:color="auto" w:sz="4" w:space="0"/>
              <w:right w:val="single" w:color="auto" w:sz="4" w:space="0"/>
            </w:tcBorders>
            <w:vAlign w:val="top"/>
          </w:tcPr>
          <w:p w14:paraId="48D310E6">
            <w:pPr>
              <w:snapToGrid w:val="0"/>
              <w:spacing w:before="50" w:after="165" w:afterLines="50" w:line="400" w:lineRule="exact"/>
              <w:jc w:val="left"/>
              <w:rPr>
                <w:rFonts w:hint="eastAsia" w:ascii="宋体" w:hAnsi="宋体" w:cs="宋体"/>
                <w:color w:val="auto"/>
                <w:sz w:val="24"/>
                <w:highlight w:val="none"/>
              </w:rPr>
            </w:pPr>
          </w:p>
        </w:tc>
        <w:tc>
          <w:tcPr>
            <w:tcW w:w="1117" w:type="dxa"/>
            <w:tcBorders>
              <w:top w:val="single" w:color="auto" w:sz="4" w:space="0"/>
              <w:left w:val="single" w:color="auto" w:sz="4" w:space="0"/>
              <w:bottom w:val="single" w:color="auto" w:sz="4" w:space="0"/>
              <w:right w:val="single" w:color="auto" w:sz="4" w:space="0"/>
            </w:tcBorders>
            <w:vAlign w:val="top"/>
          </w:tcPr>
          <w:p w14:paraId="01D6D20E">
            <w:pPr>
              <w:snapToGrid w:val="0"/>
              <w:spacing w:before="50" w:after="165" w:afterLines="50" w:line="400" w:lineRule="exact"/>
              <w:jc w:val="left"/>
              <w:rPr>
                <w:rFonts w:hint="eastAsia" w:ascii="宋体" w:hAnsi="宋体" w:cs="宋体"/>
                <w:color w:val="auto"/>
                <w:sz w:val="24"/>
                <w:highlight w:val="none"/>
              </w:rPr>
            </w:pPr>
          </w:p>
        </w:tc>
        <w:tc>
          <w:tcPr>
            <w:tcW w:w="2133" w:type="dxa"/>
            <w:tcBorders>
              <w:top w:val="single" w:color="auto" w:sz="4" w:space="0"/>
              <w:left w:val="single" w:color="auto" w:sz="4" w:space="0"/>
              <w:bottom w:val="single" w:color="auto" w:sz="4" w:space="0"/>
              <w:right w:val="single" w:color="auto" w:sz="4" w:space="0"/>
            </w:tcBorders>
            <w:vAlign w:val="top"/>
          </w:tcPr>
          <w:p w14:paraId="188E78C3">
            <w:pPr>
              <w:snapToGrid w:val="0"/>
              <w:spacing w:before="50" w:after="165" w:afterLines="50" w:line="400" w:lineRule="exact"/>
              <w:jc w:val="left"/>
              <w:rPr>
                <w:rFonts w:hint="eastAsia" w:ascii="宋体" w:hAnsi="宋体" w:cs="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top"/>
          </w:tcPr>
          <w:p w14:paraId="28368C54">
            <w:pPr>
              <w:snapToGrid w:val="0"/>
              <w:spacing w:before="50" w:after="165" w:afterLines="50" w:line="400" w:lineRule="exact"/>
              <w:jc w:val="left"/>
              <w:rPr>
                <w:rFonts w:hint="eastAsia" w:ascii="宋体" w:hAnsi="宋体" w:cs="宋体"/>
                <w:color w:val="auto"/>
                <w:sz w:val="24"/>
                <w:highlight w:val="none"/>
              </w:rPr>
            </w:pPr>
          </w:p>
        </w:tc>
      </w:tr>
    </w:tbl>
    <w:p w14:paraId="5E7828BB">
      <w:pPr>
        <w:pStyle w:val="16"/>
        <w:spacing w:line="360" w:lineRule="auto"/>
        <w:ind w:left="72"/>
        <w:rPr>
          <w:rFonts w:hint="eastAsia" w:hAnsi="宋体" w:cs="宋体"/>
          <w:color w:val="auto"/>
          <w:highlight w:val="none"/>
        </w:rPr>
      </w:pPr>
      <w:r>
        <w:rPr>
          <w:rFonts w:hint="eastAsia" w:hAnsi="宋体" w:cs="宋体"/>
          <w:color w:val="auto"/>
          <w:highlight w:val="none"/>
        </w:rPr>
        <w:t>注：供应商可按上述的格式自行编制，须随表提交相应的合同</w:t>
      </w:r>
      <w:r>
        <w:rPr>
          <w:rFonts w:hint="eastAsia" w:hAnsi="宋体" w:cs="宋体"/>
          <w:color w:val="auto"/>
          <w:highlight w:val="none"/>
          <w:lang w:val="en-US" w:eastAsia="zh-CN"/>
        </w:rPr>
        <w:t>或中标通知书</w:t>
      </w:r>
      <w:r>
        <w:rPr>
          <w:rFonts w:hint="eastAsia" w:hAnsi="宋体" w:cs="宋体"/>
          <w:color w:val="auto"/>
          <w:highlight w:val="none"/>
        </w:rPr>
        <w:t>复印件并注明所在供应商商务技术文件页码。</w:t>
      </w:r>
    </w:p>
    <w:p w14:paraId="15240011">
      <w:pPr>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59BA22A6">
      <w:pPr>
        <w:snapToGrid w:val="0"/>
        <w:spacing w:line="360" w:lineRule="auto"/>
        <w:ind w:firstLine="4935" w:firstLineChars="2350"/>
        <w:rPr>
          <w:rFonts w:hint="eastAsia" w:ascii="宋体" w:hAnsi="宋体" w:cs="宋体"/>
          <w:color w:val="auto"/>
          <w:szCs w:val="21"/>
          <w:highlight w:val="none"/>
        </w:rPr>
      </w:pPr>
    </w:p>
    <w:p w14:paraId="123A23A3">
      <w:pPr>
        <w:snapToGrid w:val="0"/>
        <w:spacing w:line="360" w:lineRule="auto"/>
        <w:ind w:left="5040" w:leftChars="2400" w:firstLine="5040" w:firstLineChars="240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546AB621">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A7E3266">
      <w:pPr>
        <w:pStyle w:val="8"/>
        <w:rPr>
          <w:rFonts w:hint="eastAsia" w:ascii="宋体" w:hAnsi="宋体" w:cs="宋体"/>
          <w:color w:val="auto"/>
          <w:highlight w:val="none"/>
          <w:lang w:val="zh-CN"/>
        </w:rPr>
      </w:pPr>
    </w:p>
    <w:p w14:paraId="2FAA106D">
      <w:pPr>
        <w:snapToGrid w:val="0"/>
        <w:spacing w:before="165" w:beforeLines="50" w:after="50"/>
        <w:ind w:firstLine="602" w:firstLineChars="200"/>
        <w:jc w:val="center"/>
        <w:rPr>
          <w:rFonts w:hint="eastAsia" w:ascii="宋体" w:hAnsi="宋体" w:cs="宋体"/>
          <w:b/>
          <w:bCs/>
          <w:color w:val="auto"/>
          <w:sz w:val="30"/>
          <w:szCs w:val="30"/>
          <w:highlight w:val="none"/>
        </w:rPr>
      </w:pPr>
    </w:p>
    <w:p w14:paraId="62297BA9">
      <w:pPr>
        <w:pStyle w:val="16"/>
        <w:jc w:val="center"/>
        <w:rPr>
          <w:rFonts w:hint="eastAsia" w:hAnsi="宋体" w:cs="宋体"/>
          <w:b/>
          <w:bCs/>
          <w:color w:val="auto"/>
          <w:sz w:val="28"/>
          <w:szCs w:val="28"/>
          <w:highlight w:val="none"/>
        </w:rPr>
      </w:pPr>
      <w:bookmarkStart w:id="106" w:name="_Toc80093014"/>
      <w:bookmarkStart w:id="107" w:name="_Toc19686839"/>
    </w:p>
    <w:p w14:paraId="5C403ED9">
      <w:pPr>
        <w:pStyle w:val="8"/>
        <w:ind w:firstLine="4515"/>
        <w:rPr>
          <w:rFonts w:hint="eastAsia" w:ascii="宋体" w:hAnsi="宋体" w:cs="宋体"/>
          <w:color w:val="auto"/>
          <w:kern w:val="0"/>
          <w:highlight w:val="none"/>
          <w:lang w:val="zh-CN"/>
        </w:rPr>
      </w:pPr>
    </w:p>
    <w:p w14:paraId="57B512B7">
      <w:pPr>
        <w:snapToGrid w:val="0"/>
        <w:spacing w:before="165" w:beforeLines="50" w:after="50"/>
        <w:ind w:firstLine="602" w:firstLineChars="200"/>
        <w:jc w:val="center"/>
        <w:rPr>
          <w:rFonts w:hint="eastAsia" w:ascii="宋体" w:hAnsi="宋体" w:cs="宋体"/>
          <w:b/>
          <w:bCs/>
          <w:color w:val="auto"/>
          <w:sz w:val="30"/>
          <w:szCs w:val="30"/>
          <w:highlight w:val="none"/>
          <w:lang w:val="en-US" w:eastAsia="zh-CN"/>
        </w:rPr>
      </w:pPr>
    </w:p>
    <w:p w14:paraId="2E5F4EF0">
      <w:pPr>
        <w:snapToGrid w:val="0"/>
        <w:spacing w:before="165" w:beforeLines="50" w:after="50"/>
        <w:ind w:firstLine="602" w:firstLineChars="200"/>
        <w:jc w:val="center"/>
        <w:rPr>
          <w:rFonts w:hint="eastAsia" w:ascii="宋体" w:hAnsi="宋体" w:cs="宋体"/>
          <w:b/>
          <w:bCs/>
          <w:color w:val="auto"/>
          <w:sz w:val="30"/>
          <w:szCs w:val="30"/>
          <w:highlight w:val="none"/>
          <w:lang w:val="en-US" w:eastAsia="zh-CN"/>
        </w:rPr>
      </w:pPr>
    </w:p>
    <w:p w14:paraId="1AC3C9C3">
      <w:pPr>
        <w:snapToGrid w:val="0"/>
        <w:spacing w:before="165" w:beforeLines="50" w:after="50"/>
        <w:ind w:firstLine="602" w:firstLineChars="200"/>
        <w:jc w:val="center"/>
        <w:rPr>
          <w:rFonts w:hint="eastAsia" w:ascii="宋体" w:hAnsi="宋体" w:cs="宋体"/>
          <w:b/>
          <w:bCs/>
          <w:color w:val="auto"/>
          <w:sz w:val="30"/>
          <w:szCs w:val="30"/>
          <w:highlight w:val="none"/>
          <w:lang w:val="en-US" w:eastAsia="zh-CN"/>
        </w:rPr>
      </w:pPr>
    </w:p>
    <w:p w14:paraId="39801626">
      <w:pPr>
        <w:snapToGrid w:val="0"/>
        <w:spacing w:before="165" w:beforeLines="50" w:after="50"/>
        <w:ind w:firstLine="602" w:firstLineChars="200"/>
        <w:jc w:val="center"/>
        <w:rPr>
          <w:rFonts w:hint="eastAsia" w:ascii="宋体" w:hAnsi="宋体" w:cs="宋体"/>
          <w:b/>
          <w:bCs/>
          <w:color w:val="auto"/>
          <w:sz w:val="30"/>
          <w:szCs w:val="30"/>
          <w:highlight w:val="none"/>
          <w:lang w:val="en-US" w:eastAsia="zh-CN"/>
        </w:rPr>
      </w:pPr>
    </w:p>
    <w:p w14:paraId="14602C05">
      <w:pPr>
        <w:snapToGrid w:val="0"/>
        <w:spacing w:before="165" w:beforeLines="50" w:after="50"/>
        <w:ind w:firstLine="602" w:firstLineChars="200"/>
        <w:jc w:val="center"/>
        <w:rPr>
          <w:rFonts w:hint="eastAsia" w:ascii="宋体" w:hAnsi="宋体" w:cs="宋体"/>
          <w:b/>
          <w:bCs/>
          <w:color w:val="auto"/>
          <w:sz w:val="30"/>
          <w:szCs w:val="30"/>
          <w:highlight w:val="none"/>
          <w:lang w:val="en-US" w:eastAsia="zh-CN"/>
        </w:rPr>
      </w:pPr>
    </w:p>
    <w:p w14:paraId="2DADDFA9">
      <w:pPr>
        <w:snapToGrid w:val="0"/>
        <w:spacing w:before="165" w:beforeLines="50" w:after="50"/>
        <w:ind w:firstLine="602" w:firstLineChars="200"/>
        <w:jc w:val="center"/>
        <w:rPr>
          <w:rFonts w:hint="eastAsia" w:ascii="宋体" w:hAnsi="宋体" w:cs="宋体"/>
          <w:b/>
          <w:bCs/>
          <w:color w:val="auto"/>
          <w:sz w:val="30"/>
          <w:szCs w:val="30"/>
          <w:highlight w:val="none"/>
          <w:lang w:val="en-US" w:eastAsia="zh-CN"/>
        </w:rPr>
      </w:pPr>
    </w:p>
    <w:p w14:paraId="39849E67">
      <w:pPr>
        <w:pStyle w:val="36"/>
        <w:spacing w:before="233" w:after="0" w:line="449" w:lineRule="exact"/>
        <w:jc w:val="center"/>
        <w:rPr>
          <w:rFonts w:ascii="宋体"/>
          <w:b/>
          <w:color w:val="auto"/>
          <w:sz w:val="32"/>
          <w:szCs w:val="32"/>
          <w:highlight w:val="none"/>
          <w:lang w:eastAsia="zh-CN"/>
        </w:rPr>
      </w:pPr>
      <w:r>
        <w:rPr>
          <w:rFonts w:hint="eastAsia" w:ascii="宋体" w:hAnsi="宋体" w:cs="宋体"/>
          <w:b/>
          <w:bCs/>
          <w:color w:val="auto"/>
          <w:sz w:val="30"/>
          <w:szCs w:val="30"/>
          <w:highlight w:val="none"/>
          <w:lang w:val="en-US" w:eastAsia="zh-CN"/>
        </w:rPr>
        <w:t>十</w:t>
      </w:r>
      <w:r>
        <w:rPr>
          <w:rFonts w:hint="eastAsia" w:ascii="宋体" w:hAnsi="宋体" w:cs="宋体"/>
          <w:b/>
          <w:bCs/>
          <w:color w:val="auto"/>
          <w:sz w:val="30"/>
          <w:szCs w:val="30"/>
          <w:highlight w:val="none"/>
        </w:rPr>
        <w:t>、</w:t>
      </w:r>
      <w:r>
        <w:rPr>
          <w:rFonts w:ascii="宋体" w:hAnsi="宋体" w:cs="宋体"/>
          <w:b/>
          <w:color w:val="auto"/>
          <w:sz w:val="32"/>
          <w:szCs w:val="32"/>
          <w:highlight w:val="none"/>
          <w:lang w:eastAsia="zh-CN"/>
        </w:rPr>
        <w:t>供应商基本情况表</w:t>
      </w:r>
    </w:p>
    <w:p w14:paraId="061CAE4F">
      <w:pPr>
        <w:pStyle w:val="9"/>
        <w:ind w:left="557" w:firstLine="0"/>
        <w:jc w:val="center"/>
        <w:rPr>
          <w:color w:val="auto"/>
          <w:highlight w:val="none"/>
        </w:rPr>
      </w:pPr>
    </w:p>
    <w:tbl>
      <w:tblPr>
        <w:tblStyle w:val="2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2315"/>
        <w:gridCol w:w="1705"/>
        <w:gridCol w:w="13"/>
        <w:gridCol w:w="2368"/>
        <w:gridCol w:w="1108"/>
      </w:tblGrid>
      <w:tr w14:paraId="13BE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6" w:type="dxa"/>
            <w:gridSpan w:val="5"/>
          </w:tcPr>
          <w:p w14:paraId="3667319D">
            <w:pPr>
              <w:spacing w:line="600" w:lineRule="exact"/>
              <w:jc w:val="left"/>
              <w:rPr>
                <w:rFonts w:ascii="宋体" w:hAnsi="宋体"/>
                <w:bCs/>
                <w:color w:val="auto"/>
                <w:szCs w:val="21"/>
                <w:highlight w:val="none"/>
              </w:rPr>
            </w:pPr>
            <w:r>
              <w:rPr>
                <w:rFonts w:hint="eastAsia" w:ascii="宋体" w:hAnsi="宋体"/>
                <w:bCs/>
                <w:color w:val="auto"/>
                <w:szCs w:val="21"/>
                <w:highlight w:val="none"/>
              </w:rPr>
              <w:t>供应商名称：</w:t>
            </w:r>
          </w:p>
        </w:tc>
        <w:tc>
          <w:tcPr>
            <w:tcW w:w="1108" w:type="dxa"/>
          </w:tcPr>
          <w:p w14:paraId="744FB4E8">
            <w:pPr>
              <w:spacing w:line="600" w:lineRule="exact"/>
              <w:jc w:val="center"/>
              <w:rPr>
                <w:rFonts w:ascii="宋体" w:hAnsi="宋体"/>
                <w:b/>
                <w:bCs/>
                <w:color w:val="auto"/>
                <w:szCs w:val="21"/>
                <w:highlight w:val="none"/>
              </w:rPr>
            </w:pPr>
            <w:r>
              <w:rPr>
                <w:rFonts w:hint="eastAsia" w:ascii="宋体" w:hAnsi="宋体"/>
                <w:b/>
                <w:bCs/>
                <w:color w:val="auto"/>
                <w:szCs w:val="21"/>
                <w:highlight w:val="none"/>
              </w:rPr>
              <w:t>备注</w:t>
            </w:r>
          </w:p>
        </w:tc>
      </w:tr>
      <w:tr w14:paraId="42D6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tcPr>
          <w:p w14:paraId="2174E709">
            <w:pPr>
              <w:spacing w:line="600" w:lineRule="exact"/>
              <w:jc w:val="center"/>
              <w:rPr>
                <w:rFonts w:ascii="宋体" w:hAnsi="宋体"/>
                <w:bCs/>
                <w:color w:val="auto"/>
                <w:szCs w:val="21"/>
                <w:highlight w:val="none"/>
              </w:rPr>
            </w:pPr>
            <w:r>
              <w:rPr>
                <w:rFonts w:hint="eastAsia" w:ascii="宋体" w:hAnsi="宋体"/>
                <w:bCs/>
                <w:color w:val="auto"/>
                <w:szCs w:val="21"/>
                <w:highlight w:val="none"/>
              </w:rPr>
              <w:t>法定代表人</w:t>
            </w:r>
          </w:p>
        </w:tc>
        <w:tc>
          <w:tcPr>
            <w:tcW w:w="2315" w:type="dxa"/>
          </w:tcPr>
          <w:p w14:paraId="1527F5E1">
            <w:pPr>
              <w:spacing w:line="600" w:lineRule="exact"/>
              <w:jc w:val="left"/>
              <w:rPr>
                <w:rFonts w:ascii="宋体" w:hAnsi="宋体"/>
                <w:bCs/>
                <w:color w:val="auto"/>
                <w:szCs w:val="21"/>
                <w:highlight w:val="none"/>
              </w:rPr>
            </w:pPr>
          </w:p>
        </w:tc>
        <w:tc>
          <w:tcPr>
            <w:tcW w:w="1718" w:type="dxa"/>
            <w:gridSpan w:val="2"/>
          </w:tcPr>
          <w:p w14:paraId="25D95CE7">
            <w:pPr>
              <w:spacing w:line="600" w:lineRule="exact"/>
              <w:jc w:val="center"/>
              <w:rPr>
                <w:rFonts w:ascii="宋体" w:hAnsi="宋体"/>
                <w:bCs/>
                <w:color w:val="auto"/>
                <w:szCs w:val="21"/>
                <w:highlight w:val="none"/>
              </w:rPr>
            </w:pPr>
            <w:r>
              <w:rPr>
                <w:rFonts w:hint="eastAsia" w:ascii="宋体" w:hAnsi="宋体"/>
                <w:bCs/>
                <w:color w:val="auto"/>
                <w:szCs w:val="21"/>
                <w:highlight w:val="none"/>
              </w:rPr>
              <w:t>注册地区</w:t>
            </w:r>
          </w:p>
        </w:tc>
        <w:tc>
          <w:tcPr>
            <w:tcW w:w="2368" w:type="dxa"/>
          </w:tcPr>
          <w:p w14:paraId="770B89DD">
            <w:pPr>
              <w:spacing w:line="600" w:lineRule="exact"/>
              <w:jc w:val="left"/>
              <w:rPr>
                <w:rFonts w:ascii="宋体" w:hAnsi="宋体"/>
                <w:bCs/>
                <w:color w:val="auto"/>
                <w:szCs w:val="21"/>
                <w:highlight w:val="none"/>
              </w:rPr>
            </w:pPr>
          </w:p>
        </w:tc>
        <w:tc>
          <w:tcPr>
            <w:tcW w:w="1108" w:type="dxa"/>
          </w:tcPr>
          <w:p w14:paraId="71DA232E">
            <w:pPr>
              <w:spacing w:line="600" w:lineRule="exact"/>
              <w:jc w:val="center"/>
              <w:rPr>
                <w:rFonts w:ascii="宋体" w:hAnsi="宋体"/>
                <w:b/>
                <w:bCs/>
                <w:color w:val="auto"/>
                <w:szCs w:val="21"/>
                <w:highlight w:val="none"/>
              </w:rPr>
            </w:pPr>
          </w:p>
        </w:tc>
      </w:tr>
      <w:tr w14:paraId="0BF4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tcPr>
          <w:p w14:paraId="63127774">
            <w:pPr>
              <w:spacing w:line="600" w:lineRule="exact"/>
              <w:jc w:val="center"/>
              <w:rPr>
                <w:rFonts w:ascii="宋体" w:hAnsi="宋体"/>
                <w:bCs/>
                <w:color w:val="auto"/>
                <w:szCs w:val="21"/>
                <w:highlight w:val="none"/>
              </w:rPr>
            </w:pPr>
            <w:r>
              <w:rPr>
                <w:rFonts w:hint="eastAsia" w:ascii="宋体" w:hAnsi="宋体"/>
                <w:bCs/>
                <w:color w:val="auto"/>
                <w:szCs w:val="21"/>
                <w:highlight w:val="none"/>
              </w:rPr>
              <w:t>地址</w:t>
            </w:r>
          </w:p>
        </w:tc>
        <w:tc>
          <w:tcPr>
            <w:tcW w:w="2315" w:type="dxa"/>
          </w:tcPr>
          <w:p w14:paraId="7B75037C">
            <w:pPr>
              <w:spacing w:line="600" w:lineRule="exact"/>
              <w:jc w:val="left"/>
              <w:rPr>
                <w:rFonts w:ascii="宋体" w:hAnsi="宋体"/>
                <w:bCs/>
                <w:color w:val="auto"/>
                <w:szCs w:val="21"/>
                <w:highlight w:val="none"/>
              </w:rPr>
            </w:pPr>
          </w:p>
        </w:tc>
        <w:tc>
          <w:tcPr>
            <w:tcW w:w="1718" w:type="dxa"/>
            <w:gridSpan w:val="2"/>
          </w:tcPr>
          <w:p w14:paraId="7C107AD1">
            <w:pPr>
              <w:spacing w:line="600" w:lineRule="exact"/>
              <w:jc w:val="center"/>
              <w:rPr>
                <w:rFonts w:ascii="宋体" w:hAnsi="宋体"/>
                <w:bCs/>
                <w:color w:val="auto"/>
                <w:szCs w:val="21"/>
                <w:highlight w:val="none"/>
              </w:rPr>
            </w:pPr>
            <w:r>
              <w:rPr>
                <w:rFonts w:hint="eastAsia" w:ascii="宋体" w:hAnsi="宋体"/>
                <w:bCs/>
                <w:color w:val="auto"/>
                <w:szCs w:val="21"/>
                <w:highlight w:val="none"/>
              </w:rPr>
              <w:t>邮政编码</w:t>
            </w:r>
          </w:p>
        </w:tc>
        <w:tc>
          <w:tcPr>
            <w:tcW w:w="2368" w:type="dxa"/>
          </w:tcPr>
          <w:p w14:paraId="6C95F0CB">
            <w:pPr>
              <w:spacing w:line="600" w:lineRule="exact"/>
              <w:jc w:val="left"/>
              <w:rPr>
                <w:rFonts w:ascii="宋体" w:hAnsi="宋体"/>
                <w:bCs/>
                <w:color w:val="auto"/>
                <w:szCs w:val="21"/>
                <w:highlight w:val="none"/>
              </w:rPr>
            </w:pPr>
          </w:p>
        </w:tc>
        <w:tc>
          <w:tcPr>
            <w:tcW w:w="1108" w:type="dxa"/>
          </w:tcPr>
          <w:p w14:paraId="12C4E099">
            <w:pPr>
              <w:spacing w:line="600" w:lineRule="exact"/>
              <w:jc w:val="center"/>
              <w:rPr>
                <w:rFonts w:ascii="宋体" w:hAnsi="宋体"/>
                <w:b/>
                <w:bCs/>
                <w:color w:val="auto"/>
                <w:szCs w:val="21"/>
                <w:highlight w:val="none"/>
              </w:rPr>
            </w:pPr>
          </w:p>
        </w:tc>
      </w:tr>
      <w:tr w14:paraId="56C7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tcPr>
          <w:p w14:paraId="284A7916">
            <w:pPr>
              <w:spacing w:line="600" w:lineRule="exact"/>
              <w:jc w:val="center"/>
              <w:rPr>
                <w:rFonts w:ascii="宋体" w:hAnsi="宋体"/>
                <w:bCs/>
                <w:color w:val="auto"/>
                <w:szCs w:val="21"/>
                <w:highlight w:val="none"/>
              </w:rPr>
            </w:pPr>
            <w:r>
              <w:rPr>
                <w:rFonts w:hint="eastAsia" w:ascii="宋体" w:hAnsi="宋体"/>
                <w:bCs/>
                <w:color w:val="auto"/>
                <w:szCs w:val="21"/>
                <w:highlight w:val="none"/>
              </w:rPr>
              <w:t>成立时间</w:t>
            </w:r>
          </w:p>
        </w:tc>
        <w:tc>
          <w:tcPr>
            <w:tcW w:w="2315" w:type="dxa"/>
          </w:tcPr>
          <w:p w14:paraId="7466003E">
            <w:pPr>
              <w:spacing w:line="600" w:lineRule="exact"/>
              <w:jc w:val="left"/>
              <w:rPr>
                <w:rFonts w:ascii="宋体" w:hAnsi="宋体"/>
                <w:bCs/>
                <w:color w:val="auto"/>
                <w:szCs w:val="21"/>
                <w:highlight w:val="none"/>
              </w:rPr>
            </w:pPr>
          </w:p>
        </w:tc>
        <w:tc>
          <w:tcPr>
            <w:tcW w:w="1718" w:type="dxa"/>
            <w:gridSpan w:val="2"/>
          </w:tcPr>
          <w:p w14:paraId="0DE4FEDB">
            <w:pPr>
              <w:spacing w:line="600" w:lineRule="exact"/>
              <w:jc w:val="center"/>
              <w:rPr>
                <w:rFonts w:ascii="宋体" w:hAnsi="宋体"/>
                <w:bCs/>
                <w:color w:val="auto"/>
                <w:szCs w:val="21"/>
                <w:highlight w:val="none"/>
              </w:rPr>
            </w:pPr>
            <w:r>
              <w:rPr>
                <w:rFonts w:hint="eastAsia" w:ascii="宋体" w:hAnsi="宋体"/>
                <w:bCs/>
                <w:color w:val="auto"/>
                <w:szCs w:val="21"/>
                <w:highlight w:val="none"/>
              </w:rPr>
              <w:t>单位性质</w:t>
            </w:r>
          </w:p>
        </w:tc>
        <w:tc>
          <w:tcPr>
            <w:tcW w:w="2368" w:type="dxa"/>
          </w:tcPr>
          <w:p w14:paraId="3B3CA0F0">
            <w:pPr>
              <w:spacing w:line="600" w:lineRule="exact"/>
              <w:jc w:val="left"/>
              <w:rPr>
                <w:rFonts w:ascii="宋体" w:hAnsi="宋体"/>
                <w:bCs/>
                <w:color w:val="auto"/>
                <w:szCs w:val="21"/>
                <w:highlight w:val="none"/>
              </w:rPr>
            </w:pPr>
          </w:p>
        </w:tc>
        <w:tc>
          <w:tcPr>
            <w:tcW w:w="1108" w:type="dxa"/>
          </w:tcPr>
          <w:p w14:paraId="7313FC68">
            <w:pPr>
              <w:spacing w:line="600" w:lineRule="exact"/>
              <w:jc w:val="center"/>
              <w:rPr>
                <w:rFonts w:ascii="宋体" w:hAnsi="宋体"/>
                <w:b/>
                <w:bCs/>
                <w:color w:val="auto"/>
                <w:szCs w:val="21"/>
                <w:highlight w:val="none"/>
              </w:rPr>
            </w:pPr>
          </w:p>
        </w:tc>
      </w:tr>
      <w:tr w14:paraId="25E7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tcPr>
          <w:p w14:paraId="3663F5A1">
            <w:pPr>
              <w:spacing w:line="600" w:lineRule="exact"/>
              <w:jc w:val="center"/>
              <w:rPr>
                <w:rFonts w:ascii="宋体" w:hAnsi="宋体"/>
                <w:bCs/>
                <w:color w:val="auto"/>
                <w:szCs w:val="21"/>
                <w:highlight w:val="none"/>
              </w:rPr>
            </w:pPr>
            <w:r>
              <w:rPr>
                <w:rFonts w:hint="eastAsia" w:ascii="宋体" w:hAnsi="宋体"/>
                <w:bCs/>
                <w:color w:val="auto"/>
                <w:szCs w:val="21"/>
                <w:highlight w:val="none"/>
              </w:rPr>
              <w:t>注册号或社会信用代码</w:t>
            </w:r>
          </w:p>
        </w:tc>
        <w:tc>
          <w:tcPr>
            <w:tcW w:w="2315" w:type="dxa"/>
          </w:tcPr>
          <w:p w14:paraId="704C3EE9">
            <w:pPr>
              <w:spacing w:line="600" w:lineRule="exact"/>
              <w:jc w:val="left"/>
              <w:rPr>
                <w:rFonts w:ascii="宋体" w:hAnsi="宋体"/>
                <w:bCs/>
                <w:color w:val="auto"/>
                <w:szCs w:val="21"/>
                <w:highlight w:val="none"/>
              </w:rPr>
            </w:pPr>
          </w:p>
        </w:tc>
        <w:tc>
          <w:tcPr>
            <w:tcW w:w="1718" w:type="dxa"/>
            <w:gridSpan w:val="2"/>
          </w:tcPr>
          <w:p w14:paraId="6EC3C10A">
            <w:pPr>
              <w:spacing w:line="600" w:lineRule="exact"/>
              <w:jc w:val="center"/>
              <w:rPr>
                <w:rFonts w:ascii="宋体" w:hAnsi="宋体"/>
                <w:bCs/>
                <w:color w:val="auto"/>
                <w:szCs w:val="21"/>
                <w:highlight w:val="none"/>
              </w:rPr>
            </w:pPr>
            <w:r>
              <w:rPr>
                <w:rFonts w:hint="eastAsia" w:ascii="宋体" w:hAnsi="宋体"/>
                <w:bCs/>
                <w:color w:val="auto"/>
                <w:szCs w:val="21"/>
                <w:highlight w:val="none"/>
              </w:rPr>
              <w:t>注册资本（万元）</w:t>
            </w:r>
          </w:p>
        </w:tc>
        <w:tc>
          <w:tcPr>
            <w:tcW w:w="2368" w:type="dxa"/>
          </w:tcPr>
          <w:p w14:paraId="480E5844">
            <w:pPr>
              <w:spacing w:line="600" w:lineRule="exact"/>
              <w:jc w:val="left"/>
              <w:rPr>
                <w:rFonts w:ascii="宋体" w:hAnsi="宋体"/>
                <w:bCs/>
                <w:color w:val="auto"/>
                <w:szCs w:val="21"/>
                <w:highlight w:val="none"/>
              </w:rPr>
            </w:pPr>
          </w:p>
        </w:tc>
        <w:tc>
          <w:tcPr>
            <w:tcW w:w="1108" w:type="dxa"/>
          </w:tcPr>
          <w:p w14:paraId="27BD4138">
            <w:pPr>
              <w:spacing w:line="600" w:lineRule="exact"/>
              <w:jc w:val="center"/>
              <w:rPr>
                <w:rFonts w:ascii="宋体" w:hAnsi="宋体"/>
                <w:b/>
                <w:bCs/>
                <w:color w:val="auto"/>
                <w:szCs w:val="21"/>
                <w:highlight w:val="none"/>
              </w:rPr>
            </w:pPr>
          </w:p>
        </w:tc>
      </w:tr>
      <w:tr w14:paraId="14DE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tcPr>
          <w:p w14:paraId="2FD35B91">
            <w:pPr>
              <w:spacing w:line="600" w:lineRule="exact"/>
              <w:jc w:val="center"/>
              <w:rPr>
                <w:rFonts w:ascii="宋体" w:hAnsi="宋体"/>
                <w:bCs/>
                <w:color w:val="auto"/>
                <w:szCs w:val="21"/>
                <w:highlight w:val="none"/>
              </w:rPr>
            </w:pPr>
            <w:r>
              <w:rPr>
                <w:rFonts w:hint="eastAsia" w:ascii="宋体" w:hAnsi="宋体"/>
                <w:bCs/>
                <w:color w:val="auto"/>
                <w:szCs w:val="21"/>
                <w:highlight w:val="none"/>
              </w:rPr>
              <w:t>开户银行</w:t>
            </w:r>
          </w:p>
        </w:tc>
        <w:tc>
          <w:tcPr>
            <w:tcW w:w="6401" w:type="dxa"/>
            <w:gridSpan w:val="4"/>
          </w:tcPr>
          <w:p w14:paraId="4CA7A110">
            <w:pPr>
              <w:spacing w:line="600" w:lineRule="exact"/>
              <w:jc w:val="left"/>
              <w:rPr>
                <w:rFonts w:ascii="宋体" w:hAnsi="宋体"/>
                <w:bCs/>
                <w:color w:val="auto"/>
                <w:szCs w:val="21"/>
                <w:highlight w:val="none"/>
              </w:rPr>
            </w:pPr>
          </w:p>
        </w:tc>
        <w:tc>
          <w:tcPr>
            <w:tcW w:w="1108" w:type="dxa"/>
          </w:tcPr>
          <w:p w14:paraId="1D65F158">
            <w:pPr>
              <w:spacing w:line="600" w:lineRule="exact"/>
              <w:jc w:val="center"/>
              <w:rPr>
                <w:rFonts w:ascii="宋体" w:hAnsi="宋体"/>
                <w:b/>
                <w:bCs/>
                <w:color w:val="auto"/>
                <w:szCs w:val="21"/>
                <w:highlight w:val="none"/>
              </w:rPr>
            </w:pPr>
          </w:p>
        </w:tc>
      </w:tr>
      <w:tr w14:paraId="311C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tcPr>
          <w:p w14:paraId="77B96578">
            <w:pPr>
              <w:spacing w:line="600" w:lineRule="exact"/>
              <w:jc w:val="center"/>
              <w:rPr>
                <w:rFonts w:ascii="宋体" w:hAnsi="宋体"/>
                <w:bCs/>
                <w:color w:val="auto"/>
                <w:szCs w:val="21"/>
                <w:highlight w:val="none"/>
              </w:rPr>
            </w:pPr>
            <w:r>
              <w:rPr>
                <w:rFonts w:hint="eastAsia" w:ascii="宋体" w:hAnsi="宋体"/>
                <w:bCs/>
                <w:color w:val="auto"/>
                <w:szCs w:val="21"/>
                <w:highlight w:val="none"/>
              </w:rPr>
              <w:t>账号</w:t>
            </w:r>
          </w:p>
        </w:tc>
        <w:tc>
          <w:tcPr>
            <w:tcW w:w="6401" w:type="dxa"/>
            <w:gridSpan w:val="4"/>
          </w:tcPr>
          <w:p w14:paraId="47C895B5">
            <w:pPr>
              <w:spacing w:line="600" w:lineRule="exact"/>
              <w:jc w:val="left"/>
              <w:rPr>
                <w:rFonts w:ascii="宋体" w:hAnsi="宋体"/>
                <w:bCs/>
                <w:color w:val="auto"/>
                <w:szCs w:val="21"/>
                <w:highlight w:val="none"/>
              </w:rPr>
            </w:pPr>
          </w:p>
        </w:tc>
        <w:tc>
          <w:tcPr>
            <w:tcW w:w="1108" w:type="dxa"/>
          </w:tcPr>
          <w:p w14:paraId="43B10252">
            <w:pPr>
              <w:spacing w:line="600" w:lineRule="exact"/>
              <w:jc w:val="center"/>
              <w:rPr>
                <w:rFonts w:ascii="宋体" w:hAnsi="宋体"/>
                <w:b/>
                <w:bCs/>
                <w:color w:val="auto"/>
                <w:szCs w:val="21"/>
                <w:highlight w:val="none"/>
              </w:rPr>
            </w:pPr>
          </w:p>
        </w:tc>
      </w:tr>
      <w:tr w14:paraId="468F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tcPr>
          <w:p w14:paraId="6EA6DEF4">
            <w:pPr>
              <w:spacing w:line="600" w:lineRule="exact"/>
              <w:jc w:val="center"/>
              <w:rPr>
                <w:rFonts w:ascii="宋体" w:hAnsi="宋体"/>
                <w:bCs/>
                <w:color w:val="auto"/>
                <w:szCs w:val="21"/>
                <w:highlight w:val="none"/>
              </w:rPr>
            </w:pPr>
            <w:r>
              <w:rPr>
                <w:rFonts w:hint="eastAsia" w:ascii="宋体" w:hAnsi="宋体"/>
                <w:bCs/>
                <w:color w:val="auto"/>
                <w:szCs w:val="21"/>
                <w:highlight w:val="none"/>
              </w:rPr>
              <w:t>联系人</w:t>
            </w:r>
          </w:p>
        </w:tc>
        <w:tc>
          <w:tcPr>
            <w:tcW w:w="2315" w:type="dxa"/>
          </w:tcPr>
          <w:p w14:paraId="55ED6312">
            <w:pPr>
              <w:spacing w:line="600" w:lineRule="exact"/>
              <w:jc w:val="left"/>
              <w:rPr>
                <w:rFonts w:ascii="宋体" w:hAnsi="宋体"/>
                <w:bCs/>
                <w:color w:val="auto"/>
                <w:szCs w:val="21"/>
                <w:highlight w:val="none"/>
              </w:rPr>
            </w:pPr>
          </w:p>
        </w:tc>
        <w:tc>
          <w:tcPr>
            <w:tcW w:w="1718" w:type="dxa"/>
            <w:gridSpan w:val="2"/>
          </w:tcPr>
          <w:p w14:paraId="55D62EE6">
            <w:pPr>
              <w:spacing w:line="600" w:lineRule="exact"/>
              <w:jc w:val="center"/>
              <w:rPr>
                <w:rFonts w:ascii="宋体" w:hAnsi="宋体"/>
                <w:bCs/>
                <w:color w:val="auto"/>
                <w:szCs w:val="21"/>
                <w:highlight w:val="none"/>
              </w:rPr>
            </w:pPr>
            <w:r>
              <w:rPr>
                <w:rFonts w:hint="eastAsia" w:ascii="宋体" w:hAnsi="宋体"/>
                <w:bCs/>
                <w:color w:val="auto"/>
                <w:szCs w:val="21"/>
                <w:highlight w:val="none"/>
              </w:rPr>
              <w:t>联系电话</w:t>
            </w:r>
          </w:p>
        </w:tc>
        <w:tc>
          <w:tcPr>
            <w:tcW w:w="2368" w:type="dxa"/>
          </w:tcPr>
          <w:p w14:paraId="6FE0F201">
            <w:pPr>
              <w:spacing w:line="600" w:lineRule="exact"/>
              <w:jc w:val="left"/>
              <w:rPr>
                <w:rFonts w:ascii="宋体" w:hAnsi="宋体"/>
                <w:bCs/>
                <w:color w:val="auto"/>
                <w:szCs w:val="21"/>
                <w:highlight w:val="none"/>
              </w:rPr>
            </w:pPr>
          </w:p>
        </w:tc>
        <w:tc>
          <w:tcPr>
            <w:tcW w:w="1108" w:type="dxa"/>
          </w:tcPr>
          <w:p w14:paraId="7C220187">
            <w:pPr>
              <w:spacing w:line="600" w:lineRule="exact"/>
              <w:jc w:val="center"/>
              <w:rPr>
                <w:rFonts w:ascii="宋体" w:hAnsi="宋体"/>
                <w:b/>
                <w:bCs/>
                <w:color w:val="auto"/>
                <w:szCs w:val="21"/>
                <w:highlight w:val="none"/>
              </w:rPr>
            </w:pPr>
          </w:p>
        </w:tc>
      </w:tr>
      <w:tr w14:paraId="0BE6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tcPr>
          <w:p w14:paraId="73DC1AED">
            <w:pPr>
              <w:spacing w:line="600" w:lineRule="exact"/>
              <w:jc w:val="center"/>
              <w:rPr>
                <w:rFonts w:ascii="宋体" w:hAnsi="宋体"/>
                <w:bCs/>
                <w:color w:val="auto"/>
                <w:szCs w:val="21"/>
                <w:highlight w:val="none"/>
              </w:rPr>
            </w:pPr>
            <w:r>
              <w:rPr>
                <w:rFonts w:ascii="宋体" w:hAnsi="宋体"/>
                <w:bCs/>
                <w:color w:val="auto"/>
                <w:szCs w:val="21"/>
                <w:highlight w:val="none"/>
              </w:rPr>
              <w:t>办公电话</w:t>
            </w:r>
          </w:p>
        </w:tc>
        <w:tc>
          <w:tcPr>
            <w:tcW w:w="2315" w:type="dxa"/>
          </w:tcPr>
          <w:p w14:paraId="0CDB42C0">
            <w:pPr>
              <w:spacing w:line="600" w:lineRule="exact"/>
              <w:jc w:val="left"/>
              <w:rPr>
                <w:rFonts w:ascii="宋体" w:hAnsi="宋体"/>
                <w:bCs/>
                <w:color w:val="auto"/>
                <w:szCs w:val="21"/>
                <w:highlight w:val="none"/>
              </w:rPr>
            </w:pPr>
          </w:p>
        </w:tc>
        <w:tc>
          <w:tcPr>
            <w:tcW w:w="1705" w:type="dxa"/>
          </w:tcPr>
          <w:p w14:paraId="095FA939">
            <w:pPr>
              <w:spacing w:line="600" w:lineRule="exact"/>
              <w:jc w:val="center"/>
              <w:rPr>
                <w:rFonts w:ascii="宋体" w:hAnsi="宋体"/>
                <w:bCs/>
                <w:color w:val="auto"/>
                <w:szCs w:val="21"/>
                <w:highlight w:val="none"/>
              </w:rPr>
            </w:pPr>
            <w:r>
              <w:rPr>
                <w:rFonts w:ascii="宋体" w:hAnsi="宋体"/>
                <w:bCs/>
                <w:color w:val="auto"/>
                <w:szCs w:val="21"/>
                <w:highlight w:val="none"/>
              </w:rPr>
              <w:t>传真</w:t>
            </w:r>
          </w:p>
        </w:tc>
        <w:tc>
          <w:tcPr>
            <w:tcW w:w="2381" w:type="dxa"/>
            <w:gridSpan w:val="2"/>
          </w:tcPr>
          <w:p w14:paraId="42172A2C">
            <w:pPr>
              <w:spacing w:line="600" w:lineRule="exact"/>
              <w:jc w:val="left"/>
              <w:rPr>
                <w:rFonts w:ascii="宋体" w:hAnsi="宋体"/>
                <w:bCs/>
                <w:color w:val="auto"/>
                <w:szCs w:val="21"/>
                <w:highlight w:val="none"/>
              </w:rPr>
            </w:pPr>
          </w:p>
        </w:tc>
        <w:tc>
          <w:tcPr>
            <w:tcW w:w="1108" w:type="dxa"/>
          </w:tcPr>
          <w:p w14:paraId="528F73ED">
            <w:pPr>
              <w:spacing w:line="600" w:lineRule="exact"/>
              <w:jc w:val="center"/>
              <w:rPr>
                <w:rFonts w:ascii="宋体" w:hAnsi="宋体"/>
                <w:b/>
                <w:bCs/>
                <w:color w:val="auto"/>
                <w:szCs w:val="21"/>
                <w:highlight w:val="none"/>
              </w:rPr>
            </w:pPr>
          </w:p>
        </w:tc>
      </w:tr>
      <w:tr w14:paraId="5A85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tcPr>
          <w:p w14:paraId="1442C970">
            <w:pPr>
              <w:spacing w:line="600" w:lineRule="exact"/>
              <w:jc w:val="center"/>
              <w:rPr>
                <w:rFonts w:ascii="宋体" w:hAnsi="宋体"/>
                <w:bCs/>
                <w:color w:val="auto"/>
                <w:szCs w:val="21"/>
                <w:highlight w:val="none"/>
              </w:rPr>
            </w:pPr>
            <w:r>
              <w:rPr>
                <w:rFonts w:hint="eastAsia" w:ascii="宋体" w:hAnsi="宋体"/>
                <w:bCs/>
                <w:color w:val="auto"/>
                <w:szCs w:val="21"/>
                <w:highlight w:val="none"/>
              </w:rPr>
              <w:t>电子邮箱</w:t>
            </w:r>
          </w:p>
        </w:tc>
        <w:tc>
          <w:tcPr>
            <w:tcW w:w="6401" w:type="dxa"/>
            <w:gridSpan w:val="4"/>
          </w:tcPr>
          <w:p w14:paraId="2079321A">
            <w:pPr>
              <w:spacing w:line="600" w:lineRule="exact"/>
              <w:jc w:val="left"/>
              <w:rPr>
                <w:rFonts w:ascii="宋体" w:hAnsi="宋体"/>
                <w:bCs/>
                <w:color w:val="auto"/>
                <w:szCs w:val="21"/>
                <w:highlight w:val="none"/>
              </w:rPr>
            </w:pPr>
          </w:p>
        </w:tc>
        <w:tc>
          <w:tcPr>
            <w:tcW w:w="1108" w:type="dxa"/>
          </w:tcPr>
          <w:p w14:paraId="683BD44A">
            <w:pPr>
              <w:spacing w:line="600" w:lineRule="exact"/>
              <w:jc w:val="center"/>
              <w:rPr>
                <w:rFonts w:ascii="宋体" w:hAnsi="宋体"/>
                <w:b/>
                <w:bCs/>
                <w:color w:val="auto"/>
                <w:szCs w:val="21"/>
                <w:highlight w:val="none"/>
              </w:rPr>
            </w:pPr>
          </w:p>
        </w:tc>
      </w:tr>
      <w:tr w14:paraId="5D49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tcPr>
          <w:p w14:paraId="129E846D">
            <w:pPr>
              <w:spacing w:line="600" w:lineRule="exact"/>
              <w:jc w:val="center"/>
              <w:rPr>
                <w:rFonts w:ascii="宋体" w:hAnsi="宋体"/>
                <w:bCs/>
                <w:color w:val="auto"/>
                <w:szCs w:val="21"/>
                <w:highlight w:val="none"/>
              </w:rPr>
            </w:pPr>
            <w:r>
              <w:rPr>
                <w:rFonts w:hint="eastAsia" w:ascii="宋体" w:hAnsi="宋体"/>
                <w:bCs/>
                <w:color w:val="auto"/>
                <w:szCs w:val="21"/>
                <w:highlight w:val="none"/>
              </w:rPr>
              <w:t>经营范围</w:t>
            </w:r>
          </w:p>
        </w:tc>
        <w:tc>
          <w:tcPr>
            <w:tcW w:w="6401" w:type="dxa"/>
            <w:gridSpan w:val="4"/>
          </w:tcPr>
          <w:p w14:paraId="6AA5C5FB">
            <w:pPr>
              <w:spacing w:line="600" w:lineRule="exact"/>
              <w:jc w:val="left"/>
              <w:rPr>
                <w:rFonts w:ascii="宋体" w:hAnsi="宋体"/>
                <w:bCs/>
                <w:color w:val="auto"/>
                <w:szCs w:val="21"/>
                <w:highlight w:val="none"/>
              </w:rPr>
            </w:pPr>
          </w:p>
        </w:tc>
        <w:tc>
          <w:tcPr>
            <w:tcW w:w="1108" w:type="dxa"/>
          </w:tcPr>
          <w:p w14:paraId="78B06617">
            <w:pPr>
              <w:spacing w:line="600" w:lineRule="exact"/>
              <w:jc w:val="center"/>
              <w:rPr>
                <w:rFonts w:ascii="宋体" w:hAnsi="宋体"/>
                <w:b/>
                <w:bCs/>
                <w:color w:val="auto"/>
                <w:szCs w:val="21"/>
                <w:highlight w:val="none"/>
              </w:rPr>
            </w:pPr>
          </w:p>
        </w:tc>
      </w:tr>
    </w:tbl>
    <w:p w14:paraId="0656CBAC">
      <w:pPr>
        <w:spacing w:line="600" w:lineRule="exact"/>
        <w:rPr>
          <w:color w:val="auto"/>
          <w:sz w:val="21"/>
          <w:szCs w:val="21"/>
          <w:highlight w:val="none"/>
        </w:rPr>
      </w:pPr>
      <w:r>
        <w:rPr>
          <w:rFonts w:hint="eastAsia"/>
          <w:color w:val="auto"/>
          <w:sz w:val="21"/>
          <w:szCs w:val="21"/>
          <w:highlight w:val="none"/>
        </w:rPr>
        <w:t>注：表格中联系人及联系方式请填写针对本项目与采购人服务对接的专门联系人信息，在服务期中如有更换请书面形式递交申请。</w:t>
      </w:r>
    </w:p>
    <w:p w14:paraId="2A02626F">
      <w:pPr>
        <w:pStyle w:val="6"/>
        <w:ind w:left="0" w:firstLine="0"/>
        <w:rPr>
          <w:color w:val="auto"/>
          <w:highlight w:val="none"/>
        </w:rPr>
      </w:pPr>
    </w:p>
    <w:p w14:paraId="2F026235">
      <w:pPr>
        <w:rPr>
          <w:color w:val="auto"/>
          <w:highlight w:val="none"/>
        </w:rPr>
      </w:pPr>
    </w:p>
    <w:p w14:paraId="52659303">
      <w:pPr>
        <w:pStyle w:val="6"/>
        <w:rPr>
          <w:color w:val="auto"/>
          <w:highlight w:val="none"/>
        </w:rPr>
      </w:pPr>
    </w:p>
    <w:p w14:paraId="22485F43">
      <w:pPr>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50EBED48">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80AB099">
      <w:pPr>
        <w:snapToGrid w:val="0"/>
        <w:spacing w:before="165" w:beforeLines="50" w:after="50"/>
        <w:ind w:firstLine="602" w:firstLineChars="200"/>
        <w:jc w:val="center"/>
        <w:rPr>
          <w:rFonts w:hint="eastAsia" w:ascii="宋体" w:hAnsi="宋体" w:cs="宋体"/>
          <w:b/>
          <w:bCs/>
          <w:color w:val="auto"/>
          <w:sz w:val="30"/>
          <w:szCs w:val="30"/>
          <w:highlight w:val="none"/>
        </w:rPr>
      </w:pPr>
    </w:p>
    <w:p w14:paraId="473F2B99">
      <w:pPr>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br w:type="page"/>
      </w:r>
    </w:p>
    <w:p w14:paraId="2DC0F7C4">
      <w:pPr>
        <w:snapToGrid w:val="0"/>
        <w:spacing w:before="165" w:beforeLines="50" w:after="50"/>
        <w:ind w:firstLine="602" w:firstLineChars="200"/>
        <w:jc w:val="center"/>
        <w:rPr>
          <w:rFonts w:hint="eastAsia" w:ascii="宋体" w:hAnsi="宋体" w:cs="宋体"/>
          <w:b/>
          <w:bCs/>
          <w:color w:val="auto"/>
          <w:sz w:val="30"/>
          <w:szCs w:val="30"/>
          <w:highlight w:val="none"/>
          <w:lang w:val="en-US" w:eastAsia="zh-CN"/>
        </w:rPr>
      </w:pPr>
    </w:p>
    <w:p w14:paraId="1542CF04">
      <w:pPr>
        <w:snapToGrid w:val="0"/>
        <w:spacing w:before="165" w:beforeLines="50" w:after="50"/>
        <w:ind w:firstLine="602" w:firstLineChars="20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十一、</w:t>
      </w:r>
      <w:r>
        <w:rPr>
          <w:rFonts w:hint="eastAsia" w:ascii="宋体" w:hAnsi="宋体" w:cs="宋体"/>
          <w:b/>
          <w:bCs/>
          <w:color w:val="auto"/>
          <w:sz w:val="30"/>
          <w:szCs w:val="30"/>
          <w:highlight w:val="none"/>
        </w:rPr>
        <w:t>其他商务文件或说明</w:t>
      </w:r>
    </w:p>
    <w:p w14:paraId="03AE42BA">
      <w:pPr>
        <w:snapToGrid w:val="0"/>
        <w:spacing w:before="165" w:beforeLines="50" w:after="50"/>
        <w:ind w:firstLine="602" w:firstLineChars="200"/>
        <w:jc w:val="center"/>
        <w:rPr>
          <w:rFonts w:hint="eastAsia" w:ascii="宋体" w:hAnsi="宋体" w:cs="宋体"/>
          <w:b/>
          <w:bCs/>
          <w:color w:val="auto"/>
          <w:sz w:val="30"/>
          <w:szCs w:val="30"/>
          <w:highlight w:val="none"/>
        </w:rPr>
      </w:pPr>
    </w:p>
    <w:p w14:paraId="7B225504">
      <w:pPr>
        <w:spacing w:line="360" w:lineRule="auto"/>
        <w:ind w:firstLine="588" w:firstLineChars="245"/>
        <w:rPr>
          <w:rFonts w:hint="eastAsia" w:ascii="宋体" w:hAnsi="宋体" w:cs="宋体"/>
          <w:b w:val="0"/>
          <w:bCs/>
          <w:color w:val="auto"/>
          <w:sz w:val="24"/>
          <w:highlight w:val="none"/>
        </w:rPr>
      </w:pPr>
      <w:r>
        <w:rPr>
          <w:rFonts w:hint="eastAsia" w:ascii="宋体" w:hAnsi="宋体" w:cs="宋体"/>
          <w:b w:val="0"/>
          <w:bCs/>
          <w:color w:val="auto"/>
          <w:sz w:val="24"/>
          <w:highlight w:val="none"/>
        </w:rPr>
        <w:t>供应商可结合自身情况提供。</w:t>
      </w:r>
    </w:p>
    <w:p w14:paraId="66F07D48">
      <w:pPr>
        <w:pStyle w:val="16"/>
        <w:jc w:val="center"/>
        <w:rPr>
          <w:rFonts w:hint="eastAsia" w:hAnsi="宋体" w:cs="宋体"/>
          <w:b/>
          <w:bCs/>
          <w:color w:val="auto"/>
          <w:sz w:val="30"/>
          <w:szCs w:val="30"/>
          <w:highlight w:val="none"/>
        </w:rPr>
      </w:pPr>
    </w:p>
    <w:p w14:paraId="47FE8C14">
      <w:pPr>
        <w:snapToGrid w:val="0"/>
        <w:spacing w:line="360" w:lineRule="auto"/>
        <w:ind w:left="3950" w:leftChars="1881" w:firstLine="7560" w:firstLineChars="3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w:t>
      </w:r>
    </w:p>
    <w:p w14:paraId="0F41F73D">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57B00B9E">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7459DCC6">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6C5D1631">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4601EDED">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76253B1D">
      <w:pPr>
        <w:snapToGrid w:val="0"/>
        <w:spacing w:line="360" w:lineRule="auto"/>
        <w:ind w:left="3950" w:leftChars="1881" w:firstLine="7560" w:firstLineChars="3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52C4D414">
      <w:pPr>
        <w:pStyle w:val="16"/>
        <w:jc w:val="center"/>
        <w:outlineLvl w:val="1"/>
        <w:rPr>
          <w:rFonts w:hint="eastAsia" w:hAnsi="宋体" w:cs="宋体"/>
          <w:b/>
          <w:bCs/>
          <w:color w:val="auto"/>
          <w:sz w:val="30"/>
          <w:szCs w:val="30"/>
          <w:highlight w:val="none"/>
        </w:rPr>
      </w:pPr>
      <w:r>
        <w:rPr>
          <w:rFonts w:hint="eastAsia" w:hAnsi="宋体" w:cs="宋体"/>
          <w:color w:val="auto"/>
          <w:kern w:val="0"/>
          <w:sz w:val="24"/>
          <w:highlight w:val="none"/>
        </w:rPr>
        <w:t xml:space="preserve">    </w:t>
      </w:r>
      <w:bookmarkStart w:id="108" w:name="_Toc29173"/>
      <w:bookmarkStart w:id="109" w:name="_Toc1548"/>
      <w:bookmarkStart w:id="110" w:name="_Toc31532"/>
      <w:r>
        <w:rPr>
          <w:rFonts w:hint="eastAsia" w:hAnsi="宋体" w:cs="宋体"/>
          <w:color w:val="auto"/>
          <w:kern w:val="0"/>
          <w:sz w:val="24"/>
          <w:highlight w:val="none"/>
          <w:lang w:val="zh-CN"/>
        </w:rPr>
        <w:t>日期</w:t>
      </w:r>
      <w:r>
        <w:rPr>
          <w:rFonts w:hint="eastAsia" w:hAnsi="宋体" w:cs="宋体"/>
          <w:color w:val="auto"/>
          <w:kern w:val="0"/>
          <w:sz w:val="24"/>
          <w:highlight w:val="none"/>
        </w:rPr>
        <w:t xml:space="preserve">：  年  </w:t>
      </w:r>
      <w:r>
        <w:rPr>
          <w:rFonts w:hint="eastAsia" w:hAnsi="宋体" w:cs="宋体"/>
          <w:color w:val="auto"/>
          <w:kern w:val="0"/>
          <w:sz w:val="24"/>
          <w:highlight w:val="none"/>
          <w:lang w:val="zh-CN"/>
        </w:rPr>
        <w:t>月</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日</w:t>
      </w:r>
      <w:bookmarkEnd w:id="108"/>
      <w:bookmarkEnd w:id="109"/>
      <w:bookmarkEnd w:id="110"/>
    </w:p>
    <w:p w14:paraId="685FFA8A">
      <w:pPr>
        <w:pStyle w:val="16"/>
        <w:jc w:val="center"/>
        <w:outlineLvl w:val="1"/>
        <w:rPr>
          <w:rFonts w:hint="eastAsia" w:hAnsi="宋体" w:cs="宋体"/>
          <w:b/>
          <w:bCs/>
          <w:color w:val="auto"/>
          <w:sz w:val="28"/>
          <w:szCs w:val="28"/>
          <w:highlight w:val="none"/>
        </w:rPr>
      </w:pPr>
      <w:r>
        <w:rPr>
          <w:rFonts w:hint="eastAsia" w:hAnsi="宋体" w:cs="宋体"/>
          <w:b/>
          <w:bCs/>
          <w:color w:val="auto"/>
          <w:sz w:val="28"/>
          <w:szCs w:val="28"/>
          <w:highlight w:val="none"/>
        </w:rPr>
        <w:br w:type="page"/>
      </w:r>
      <w:bookmarkStart w:id="111" w:name="_Toc11645"/>
    </w:p>
    <w:p w14:paraId="06424B9B">
      <w:pPr>
        <w:pStyle w:val="16"/>
        <w:jc w:val="center"/>
        <w:outlineLvl w:val="1"/>
        <w:rPr>
          <w:rFonts w:hint="eastAsia" w:hAnsi="宋体" w:cs="宋体"/>
          <w:b/>
          <w:bCs/>
          <w:color w:val="auto"/>
          <w:sz w:val="28"/>
          <w:szCs w:val="28"/>
          <w:highlight w:val="none"/>
        </w:rPr>
      </w:pPr>
    </w:p>
    <w:p w14:paraId="7EF56072">
      <w:pPr>
        <w:pStyle w:val="6"/>
        <w:rPr>
          <w:rFonts w:hint="eastAsia"/>
          <w:color w:val="auto"/>
          <w:highlight w:val="none"/>
        </w:rPr>
      </w:pPr>
    </w:p>
    <w:p w14:paraId="561A4186">
      <w:pPr>
        <w:pStyle w:val="16"/>
        <w:jc w:val="center"/>
        <w:outlineLvl w:val="1"/>
        <w:rPr>
          <w:rFonts w:hint="eastAsia" w:hAnsi="宋体" w:cs="宋体"/>
          <w:b/>
          <w:bCs/>
          <w:color w:val="auto"/>
          <w:sz w:val="28"/>
          <w:szCs w:val="28"/>
          <w:highlight w:val="none"/>
        </w:rPr>
      </w:pPr>
      <w:bookmarkStart w:id="112" w:name="_Toc3053"/>
      <w:r>
        <w:rPr>
          <w:rFonts w:hint="eastAsia" w:hAnsi="宋体" w:cs="宋体"/>
          <w:b/>
          <w:bCs/>
          <w:color w:val="auto"/>
          <w:sz w:val="28"/>
          <w:szCs w:val="28"/>
          <w:highlight w:val="none"/>
        </w:rPr>
        <w:t>第四节 技术文件格式</w:t>
      </w:r>
      <w:bookmarkEnd w:id="106"/>
      <w:bookmarkEnd w:id="107"/>
      <w:bookmarkEnd w:id="111"/>
      <w:bookmarkEnd w:id="112"/>
    </w:p>
    <w:p w14:paraId="51584B86">
      <w:pPr>
        <w:snapToGrid w:val="0"/>
        <w:spacing w:before="165" w:beforeLines="50" w:after="50"/>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电子响应文件</w:t>
      </w:r>
    </w:p>
    <w:p w14:paraId="3F74375E">
      <w:pPr>
        <w:snapToGrid w:val="0"/>
        <w:spacing w:before="165" w:beforeLines="50" w:after="50"/>
        <w:rPr>
          <w:rFonts w:hint="eastAsia" w:ascii="宋体" w:hAnsi="宋体" w:cs="宋体"/>
          <w:color w:val="auto"/>
          <w:sz w:val="24"/>
          <w:szCs w:val="20"/>
          <w:highlight w:val="none"/>
        </w:rPr>
      </w:pPr>
    </w:p>
    <w:p w14:paraId="580EB545">
      <w:pPr>
        <w:snapToGrid w:val="0"/>
        <w:spacing w:before="165" w:beforeLines="50" w:after="50"/>
        <w:jc w:val="center"/>
        <w:rPr>
          <w:rFonts w:hint="eastAsia" w:ascii="宋体" w:hAnsi="宋体" w:cs="宋体"/>
          <w:b/>
          <w:bCs/>
          <w:color w:val="auto"/>
          <w:sz w:val="32"/>
          <w:szCs w:val="32"/>
          <w:highlight w:val="none"/>
        </w:rPr>
      </w:pPr>
    </w:p>
    <w:p w14:paraId="0ED112CA">
      <w:pPr>
        <w:snapToGrid w:val="0"/>
        <w:spacing w:before="165" w:beforeLines="50" w:after="50"/>
        <w:jc w:val="center"/>
        <w:rPr>
          <w:rFonts w:hint="eastAsia" w:ascii="宋体" w:hAnsi="宋体" w:cs="宋体"/>
          <w:b/>
          <w:bCs/>
          <w:color w:val="auto"/>
          <w:sz w:val="32"/>
          <w:szCs w:val="32"/>
          <w:highlight w:val="none"/>
        </w:rPr>
      </w:pPr>
    </w:p>
    <w:p w14:paraId="16130D3C">
      <w:pPr>
        <w:snapToGrid w:val="0"/>
        <w:spacing w:before="165" w:beforeLines="50" w:after="50"/>
        <w:jc w:val="center"/>
        <w:rPr>
          <w:rFonts w:hint="eastAsia" w:ascii="宋体" w:hAnsi="宋体" w:cs="宋体"/>
          <w:b/>
          <w:bCs/>
          <w:color w:val="auto"/>
          <w:sz w:val="32"/>
          <w:szCs w:val="32"/>
          <w:highlight w:val="none"/>
        </w:rPr>
      </w:pPr>
    </w:p>
    <w:p w14:paraId="7F4D0459">
      <w:pPr>
        <w:snapToGrid w:val="0"/>
        <w:spacing w:before="165" w:beforeLines="50" w:after="5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7C05A3EB">
      <w:pPr>
        <w:snapToGrid w:val="0"/>
        <w:spacing w:before="165" w:beforeLines="50" w:after="50"/>
        <w:rPr>
          <w:rFonts w:hint="eastAsia" w:ascii="宋体" w:hAnsi="宋体" w:cs="宋体"/>
          <w:bCs/>
          <w:color w:val="auto"/>
          <w:sz w:val="24"/>
          <w:szCs w:val="20"/>
          <w:highlight w:val="none"/>
        </w:rPr>
      </w:pPr>
    </w:p>
    <w:p w14:paraId="46C52B13">
      <w:pPr>
        <w:snapToGrid w:val="0"/>
        <w:spacing w:before="165" w:beforeLines="50" w:after="50" w:line="400" w:lineRule="exact"/>
        <w:ind w:firstLine="360" w:firstLineChars="150"/>
        <w:rPr>
          <w:rFonts w:hint="eastAsia" w:ascii="宋体" w:hAnsi="宋体" w:cs="宋体"/>
          <w:bCs/>
          <w:color w:val="auto"/>
          <w:sz w:val="24"/>
          <w:highlight w:val="none"/>
        </w:rPr>
      </w:pPr>
    </w:p>
    <w:p w14:paraId="1B88F930">
      <w:pPr>
        <w:snapToGrid w:val="0"/>
        <w:spacing w:before="165" w:beforeLines="50" w:after="50" w:line="400" w:lineRule="exact"/>
        <w:ind w:firstLine="360" w:firstLineChars="150"/>
        <w:rPr>
          <w:rFonts w:hint="eastAsia" w:ascii="宋体" w:hAnsi="宋体" w:cs="宋体" w:eastAsiaTheme="minorEastAsia"/>
          <w:bCs/>
          <w:color w:val="auto"/>
          <w:sz w:val="24"/>
          <w:highlight w:val="none"/>
          <w:lang w:eastAsia="zh-CN"/>
        </w:rPr>
      </w:pPr>
      <w:r>
        <w:rPr>
          <w:rFonts w:hint="eastAsia" w:ascii="宋体" w:hAnsi="宋体" w:cs="宋体"/>
          <w:bCs/>
          <w:color w:val="auto"/>
          <w:sz w:val="24"/>
          <w:highlight w:val="none"/>
        </w:rPr>
        <w:t>项目名称：</w:t>
      </w:r>
      <w:r>
        <w:rPr>
          <w:rFonts w:hint="eastAsia" w:ascii="宋体" w:hAnsi="宋体" w:cs="宋体"/>
          <w:bCs/>
          <w:color w:val="auto"/>
          <w:sz w:val="24"/>
          <w:highlight w:val="none"/>
          <w:lang w:eastAsia="zh-CN"/>
        </w:rPr>
        <w:t>广西—东盟经济技术开发区2025-2027年度预算单位车辆维修和保养服务框架协议采购</w:t>
      </w:r>
    </w:p>
    <w:p w14:paraId="3F71C537">
      <w:pPr>
        <w:snapToGrid w:val="0"/>
        <w:spacing w:before="165" w:beforeLines="50" w:after="50" w:line="400" w:lineRule="exact"/>
        <w:ind w:firstLine="360" w:firstLineChars="150"/>
        <w:rPr>
          <w:rFonts w:hint="eastAsia" w:ascii="宋体" w:hAnsi="宋体" w:cs="宋体" w:eastAsiaTheme="minorEastAsia"/>
          <w:bCs/>
          <w:color w:val="auto"/>
          <w:sz w:val="24"/>
          <w:highlight w:val="none"/>
          <w:lang w:eastAsia="zh-CN"/>
        </w:rPr>
      </w:pPr>
      <w:r>
        <w:rPr>
          <w:rFonts w:hint="eastAsia" w:ascii="宋体" w:hAnsi="宋体" w:cs="宋体"/>
          <w:bCs/>
          <w:color w:val="auto"/>
          <w:sz w:val="24"/>
          <w:highlight w:val="none"/>
        </w:rPr>
        <w:t xml:space="preserve">项目编号： </w:t>
      </w:r>
      <w:r>
        <w:rPr>
          <w:rFonts w:hint="eastAsia" w:ascii="宋体" w:hAnsi="宋体" w:cs="宋体"/>
          <w:bCs/>
          <w:color w:val="auto"/>
          <w:sz w:val="24"/>
          <w:highlight w:val="none"/>
          <w:lang w:eastAsia="zh-CN"/>
        </w:rPr>
        <w:t>NNZC2025-K3-510013-GXJL</w:t>
      </w:r>
    </w:p>
    <w:p w14:paraId="63719E72">
      <w:pPr>
        <w:snapToGrid w:val="0"/>
        <w:spacing w:before="165"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所投分标：</w:t>
      </w:r>
    </w:p>
    <w:p w14:paraId="6953C7CD">
      <w:pPr>
        <w:snapToGrid w:val="0"/>
        <w:spacing w:before="165"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供应商名称：</w:t>
      </w:r>
    </w:p>
    <w:p w14:paraId="39481233">
      <w:pPr>
        <w:snapToGrid w:val="0"/>
        <w:spacing w:before="165"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供应商地址：</w:t>
      </w:r>
    </w:p>
    <w:p w14:paraId="30247484">
      <w:pPr>
        <w:snapToGrid w:val="0"/>
        <w:spacing w:before="165" w:beforeLines="50" w:after="50"/>
        <w:ind w:firstLine="645"/>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3B8D756">
      <w:pPr>
        <w:snapToGrid w:val="0"/>
        <w:spacing w:before="165" w:beforeLines="50" w:after="50"/>
        <w:ind w:firstLine="645"/>
        <w:jc w:val="center"/>
        <w:rPr>
          <w:rFonts w:hint="eastAsia" w:ascii="宋体" w:hAnsi="宋体" w:cs="宋体"/>
          <w:color w:val="auto"/>
          <w:sz w:val="24"/>
          <w:highlight w:val="none"/>
        </w:rPr>
      </w:pPr>
    </w:p>
    <w:p w14:paraId="70F2F811">
      <w:pPr>
        <w:snapToGrid w:val="0"/>
        <w:spacing w:before="165" w:beforeLines="50" w:after="50"/>
        <w:ind w:firstLine="645"/>
        <w:jc w:val="center"/>
        <w:rPr>
          <w:rFonts w:hint="eastAsia" w:ascii="宋体" w:hAnsi="宋体" w:cs="宋体"/>
          <w:color w:val="auto"/>
          <w:sz w:val="24"/>
          <w:highlight w:val="none"/>
        </w:rPr>
      </w:pPr>
    </w:p>
    <w:p w14:paraId="3A849C31">
      <w:pPr>
        <w:snapToGrid w:val="0"/>
        <w:spacing w:before="165" w:beforeLines="50" w:after="50"/>
        <w:ind w:firstLine="645"/>
        <w:jc w:val="center"/>
        <w:rPr>
          <w:rFonts w:hint="eastAsia" w:ascii="宋体" w:hAnsi="宋体" w:cs="宋体"/>
          <w:color w:val="auto"/>
          <w:sz w:val="24"/>
          <w:highlight w:val="none"/>
        </w:rPr>
      </w:pPr>
    </w:p>
    <w:p w14:paraId="0DBA1A56">
      <w:pPr>
        <w:snapToGrid w:val="0"/>
        <w:spacing w:before="165" w:beforeLines="50" w:after="50"/>
        <w:ind w:firstLine="645"/>
        <w:jc w:val="center"/>
        <w:rPr>
          <w:rFonts w:hint="eastAsia" w:ascii="宋体" w:hAnsi="宋体" w:cs="宋体"/>
          <w:color w:val="auto"/>
          <w:sz w:val="24"/>
          <w:highlight w:val="none"/>
        </w:rPr>
      </w:pPr>
      <w:r>
        <w:rPr>
          <w:rFonts w:hint="eastAsia" w:ascii="宋体" w:hAnsi="宋体" w:cs="宋体"/>
          <w:color w:val="auto"/>
          <w:sz w:val="24"/>
          <w:highlight w:val="none"/>
        </w:rPr>
        <w:t>年    月    日</w:t>
      </w:r>
    </w:p>
    <w:p w14:paraId="27DE7C03">
      <w:pPr>
        <w:snapToGrid w:val="0"/>
        <w:spacing w:before="165" w:beforeLines="50" w:after="50"/>
        <w:ind w:firstLine="645"/>
        <w:jc w:val="center"/>
        <w:rPr>
          <w:rFonts w:hint="eastAsia" w:ascii="宋体" w:hAnsi="宋体" w:cs="宋体"/>
          <w:color w:val="auto"/>
          <w:sz w:val="24"/>
          <w:szCs w:val="20"/>
          <w:highlight w:val="none"/>
        </w:rPr>
      </w:pPr>
    </w:p>
    <w:p w14:paraId="73DAC85F">
      <w:pPr>
        <w:jc w:val="cente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2135860F">
      <w:pPr>
        <w:jc w:val="center"/>
        <w:rPr>
          <w:rFonts w:hint="eastAsia" w:ascii="宋体" w:hAnsi="宋体" w:cs="宋体"/>
          <w:b/>
          <w:bCs/>
          <w:color w:val="auto"/>
          <w:sz w:val="24"/>
          <w:highlight w:val="none"/>
        </w:rPr>
      </w:pPr>
    </w:p>
    <w:p w14:paraId="568721ED">
      <w:pPr>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技术文件目录</w:t>
      </w:r>
    </w:p>
    <w:p w14:paraId="4AA3DD0C">
      <w:pPr>
        <w:pStyle w:val="13"/>
        <w:rPr>
          <w:rFonts w:hint="eastAsia"/>
          <w:color w:val="auto"/>
          <w:highlight w:val="none"/>
        </w:rPr>
      </w:pPr>
    </w:p>
    <w:p w14:paraId="3DBEDAE9">
      <w:pPr>
        <w:pStyle w:val="33"/>
        <w:numPr>
          <w:ilvl w:val="0"/>
          <w:numId w:val="11"/>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采购承诺书</w:t>
      </w:r>
      <w:r>
        <w:rPr>
          <w:rFonts w:hint="eastAsia" w:ascii="宋体" w:hAnsi="宋体" w:eastAsia="宋体" w:cs="宋体"/>
          <w:color w:val="auto"/>
          <w:highlight w:val="none"/>
        </w:rPr>
        <w:t>…………………………………………………………………（页码）</w:t>
      </w:r>
    </w:p>
    <w:p w14:paraId="45EF2340">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、响应服务技术需求偏离表…………………………………………………（页码）</w:t>
      </w:r>
    </w:p>
    <w:p w14:paraId="125EAB8E">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各项</w:t>
      </w:r>
      <w:r>
        <w:rPr>
          <w:rFonts w:hint="eastAsia" w:ascii="宋体" w:hAnsi="宋体" w:eastAsia="宋体" w:cs="宋体"/>
          <w:color w:val="auto"/>
          <w:highlight w:val="none"/>
        </w:rPr>
        <w:t>方案……………………………………………………………………（页码）</w:t>
      </w:r>
    </w:p>
    <w:p w14:paraId="7DF07C8A">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、优惠条件及特殊承诺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02DFA5E">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、供应商对项目的合理化建议和改进措施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4FBBF60">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30F031F">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注：以上目录是基本格式要求，各供应商可根据自身情况进一步向下增加内容或细化。</w:t>
      </w:r>
    </w:p>
    <w:p w14:paraId="4DB7982D">
      <w:pPr>
        <w:snapToGrid w:val="0"/>
        <w:spacing w:before="165" w:beforeLines="50" w:after="50"/>
        <w:ind w:left="143" w:leftChars="68" w:firstLine="472" w:firstLineChars="196"/>
        <w:jc w:val="left"/>
        <w:rPr>
          <w:rFonts w:hint="eastAsia" w:ascii="宋体" w:hAnsi="宋体" w:cs="宋体"/>
          <w:b/>
          <w:color w:val="auto"/>
          <w:sz w:val="24"/>
          <w:highlight w:val="none"/>
        </w:rPr>
      </w:pPr>
    </w:p>
    <w:p w14:paraId="5FD90A5C">
      <w:pPr>
        <w:snapToGrid w:val="0"/>
        <w:spacing w:before="165" w:beforeLines="50" w:after="50"/>
        <w:ind w:left="143" w:leftChars="68"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67063131">
      <w:pPr>
        <w:numPr>
          <w:ilvl w:val="0"/>
          <w:numId w:val="12"/>
        </w:numPr>
        <w:jc w:val="center"/>
        <w:rPr>
          <w:rFonts w:hint="default"/>
          <w:color w:val="auto"/>
          <w:highlight w:val="none"/>
          <w:lang w:val="en-US" w:eastAsia="zh-CN"/>
        </w:rPr>
      </w:pPr>
      <w:r>
        <w:rPr>
          <w:rFonts w:hint="eastAsia" w:ascii="Times New Roman" w:hAnsi="Times New Roman"/>
          <w:b/>
          <w:bCs/>
          <w:color w:val="auto"/>
          <w:sz w:val="32"/>
          <w:szCs w:val="32"/>
          <w:highlight w:val="none"/>
          <w:lang w:val="en-US" w:eastAsia="zh-CN"/>
        </w:rPr>
        <w:t>采购承诺书</w:t>
      </w:r>
    </w:p>
    <w:p w14:paraId="6A19F1E1">
      <w:pPr>
        <w:jc w:val="center"/>
        <w:rPr>
          <w:rFonts w:hint="eastAsia" w:ascii="Times New Roman" w:hAnsi="Times New Roman"/>
          <w:b/>
          <w:bCs/>
          <w:color w:val="auto"/>
          <w:sz w:val="32"/>
          <w:szCs w:val="32"/>
          <w:highlight w:val="none"/>
        </w:rPr>
      </w:pPr>
      <w:r>
        <w:rPr>
          <w:rFonts w:hint="eastAsia" w:ascii="Times New Roman" w:hAnsi="Times New Roman"/>
          <w:b/>
          <w:bCs/>
          <w:color w:val="auto"/>
          <w:sz w:val="32"/>
          <w:szCs w:val="32"/>
          <w:highlight w:val="none"/>
          <w:lang w:eastAsia="zh-CN"/>
        </w:rPr>
        <w:t>广西—东盟经济技术开发区2025-2027年度预算单位车辆维修和保养服务框架协议采购</w:t>
      </w:r>
      <w:r>
        <w:rPr>
          <w:rFonts w:hint="eastAsia" w:ascii="Times New Roman" w:hAnsi="Times New Roman"/>
          <w:b/>
          <w:bCs/>
          <w:color w:val="auto"/>
          <w:sz w:val="32"/>
          <w:szCs w:val="32"/>
          <w:highlight w:val="none"/>
        </w:rPr>
        <w:t>承诺书（格式）</w:t>
      </w:r>
    </w:p>
    <w:p w14:paraId="7BC7E2D7">
      <w:pPr>
        <w:jc w:val="center"/>
        <w:rPr>
          <w:rFonts w:hint="eastAsia" w:ascii="宋体" w:hAnsi="Courier New" w:cs="Courier New"/>
          <w:color w:val="auto"/>
          <w:szCs w:val="21"/>
          <w:highlight w:val="none"/>
        </w:rPr>
      </w:pPr>
    </w:p>
    <w:p w14:paraId="518CCF0D">
      <w:pPr>
        <w:rPr>
          <w:rFonts w:ascii="Times New Roman" w:hAnsi="宋体"/>
          <w:b/>
          <w:color w:val="auto"/>
          <w:szCs w:val="21"/>
          <w:highlight w:val="none"/>
        </w:rPr>
      </w:pPr>
      <w:r>
        <w:rPr>
          <w:rFonts w:hint="eastAsia" w:ascii="Times New Roman" w:hAnsi="宋体"/>
          <w:b/>
          <w:color w:val="auto"/>
          <w:szCs w:val="21"/>
          <w:highlight w:val="none"/>
          <w:lang w:val="en-US" w:eastAsia="zh-CN"/>
        </w:rPr>
        <w:t>广西建隆工程咨询有限公司</w:t>
      </w:r>
      <w:r>
        <w:rPr>
          <w:rFonts w:hint="eastAsia" w:ascii="Times New Roman" w:hAnsi="宋体"/>
          <w:b/>
          <w:color w:val="auto"/>
          <w:szCs w:val="21"/>
          <w:highlight w:val="none"/>
        </w:rPr>
        <w:t>：</w:t>
      </w:r>
    </w:p>
    <w:p w14:paraId="71FDEAE7">
      <w:pPr>
        <w:snapToGrid w:val="0"/>
        <w:spacing w:line="440" w:lineRule="exact"/>
        <w:ind w:firstLine="420" w:firstLineChars="200"/>
        <w:rPr>
          <w:rFonts w:ascii="Times New Roman" w:hAnsi="宋体"/>
          <w:color w:val="auto"/>
          <w:szCs w:val="21"/>
          <w:highlight w:val="none"/>
        </w:rPr>
      </w:pPr>
      <w:r>
        <w:rPr>
          <w:rFonts w:hint="eastAsia" w:ascii="Times New Roman" w:hAnsi="宋体"/>
          <w:color w:val="auto"/>
          <w:szCs w:val="21"/>
          <w:highlight w:val="none"/>
        </w:rPr>
        <w:t>根据</w:t>
      </w:r>
      <w:r>
        <w:rPr>
          <w:rFonts w:hint="eastAsia" w:ascii="Times New Roman" w:hAnsi="宋体"/>
          <w:color w:val="auto"/>
          <w:szCs w:val="21"/>
          <w:highlight w:val="none"/>
          <w:lang w:eastAsia="zh-CN"/>
        </w:rPr>
        <w:t>广西—东盟经济技术开发区2025-2027年度预算单位车辆维修和保养服务框架协议采购</w:t>
      </w:r>
      <w:r>
        <w:rPr>
          <w:rFonts w:hint="eastAsia" w:ascii="Times New Roman" w:hAnsi="宋体"/>
          <w:color w:val="auto"/>
          <w:szCs w:val="21"/>
          <w:highlight w:val="none"/>
        </w:rPr>
        <w:t>项目征集文件(项目编号为:</w:t>
      </w:r>
      <w:r>
        <w:rPr>
          <w:rFonts w:hint="eastAsia" w:ascii="宋体" w:hAnsi="宋体" w:cs="仿宋_GB2312"/>
          <w:color w:val="auto"/>
          <w:szCs w:val="21"/>
          <w:highlight w:val="none"/>
        </w:rPr>
        <w:t xml:space="preserve"> </w:t>
      </w:r>
      <w:r>
        <w:rPr>
          <w:rFonts w:hint="eastAsia" w:ascii="宋体" w:hAnsi="宋体" w:cs="仿宋_GB2312"/>
          <w:color w:val="auto"/>
          <w:szCs w:val="21"/>
          <w:highlight w:val="none"/>
          <w:lang w:eastAsia="zh-CN"/>
        </w:rPr>
        <w:t>NNZC2025-K3-510013-GXJL</w:t>
      </w:r>
      <w:r>
        <w:rPr>
          <w:rFonts w:hint="eastAsia" w:ascii="Times New Roman" w:hAnsi="宋体"/>
          <w:color w:val="auto"/>
          <w:szCs w:val="21"/>
          <w:highlight w:val="none"/>
        </w:rPr>
        <w:t>)要求，我方作为</w:t>
      </w:r>
      <w:r>
        <w:rPr>
          <w:rFonts w:hint="eastAsia"/>
          <w:color w:val="auto"/>
          <w:highlight w:val="none"/>
          <w:lang w:eastAsia="zh-CN"/>
        </w:rPr>
        <w:t>广西—东盟经济技术开发区</w:t>
      </w:r>
      <w:r>
        <w:rPr>
          <w:rFonts w:hint="eastAsia" w:ascii="Times New Roman" w:hAnsi="宋体"/>
          <w:color w:val="auto"/>
          <w:szCs w:val="21"/>
          <w:highlight w:val="none"/>
        </w:rPr>
        <w:t>预算单位车辆维修和保养的供应商，在服务有效期内郑重承诺：</w:t>
      </w:r>
    </w:p>
    <w:p w14:paraId="0FE9F7AB">
      <w:pPr>
        <w:snapToGrid w:val="0"/>
        <w:spacing w:line="440" w:lineRule="exact"/>
        <w:ind w:firstLine="420" w:firstLineChars="200"/>
        <w:rPr>
          <w:rFonts w:hint="eastAsia" w:ascii="Times New Roman" w:hAnsi="宋体"/>
          <w:color w:val="auto"/>
          <w:szCs w:val="21"/>
          <w:highlight w:val="none"/>
        </w:rPr>
      </w:pPr>
      <w:r>
        <w:rPr>
          <w:rFonts w:hint="eastAsia" w:ascii="Times New Roman" w:hAnsi="宋体"/>
          <w:color w:val="auto"/>
          <w:szCs w:val="21"/>
          <w:highlight w:val="none"/>
        </w:rPr>
        <w:t>一、严格遵守国家法律法规，认真执国家及地方汽车维修行业各项管理法规及规范性文件，合法经营，按章办事，诚实守信，自觉维护</w:t>
      </w:r>
      <w:r>
        <w:rPr>
          <w:rFonts w:hint="eastAsia" w:ascii="Times New Roman" w:hAnsi="宋体"/>
          <w:color w:val="auto"/>
          <w:szCs w:val="21"/>
          <w:highlight w:val="none"/>
          <w:lang w:eastAsia="zh-CN"/>
        </w:rPr>
        <w:t>广西—东盟经济技术开发区</w:t>
      </w:r>
      <w:r>
        <w:rPr>
          <w:rFonts w:hint="eastAsia" w:ascii="Times New Roman" w:hAnsi="宋体"/>
          <w:color w:val="auto"/>
          <w:szCs w:val="21"/>
          <w:highlight w:val="none"/>
        </w:rPr>
        <w:t>预算单位的利益，树立车辆维修和保养供应商良好形象。</w:t>
      </w:r>
    </w:p>
    <w:p w14:paraId="5923EF5F">
      <w:pPr>
        <w:snapToGrid w:val="0"/>
        <w:spacing w:line="440" w:lineRule="exact"/>
        <w:ind w:firstLine="420" w:firstLineChars="200"/>
        <w:rPr>
          <w:rFonts w:hint="eastAsia" w:ascii="Times New Roman" w:hAnsi="宋体"/>
          <w:color w:val="auto"/>
          <w:szCs w:val="21"/>
          <w:highlight w:val="none"/>
        </w:rPr>
      </w:pPr>
      <w:r>
        <w:rPr>
          <w:rFonts w:hint="eastAsia" w:ascii="Times New Roman" w:hAnsi="宋体"/>
          <w:color w:val="auto"/>
          <w:szCs w:val="21"/>
          <w:highlight w:val="none"/>
        </w:rPr>
        <w:t>二、严格执行《</w:t>
      </w:r>
      <w:r>
        <w:rPr>
          <w:rFonts w:hint="eastAsia" w:ascii="Times New Roman" w:hAnsi="宋体"/>
          <w:color w:val="auto"/>
          <w:szCs w:val="21"/>
          <w:highlight w:val="none"/>
          <w:lang w:eastAsia="zh-CN"/>
        </w:rPr>
        <w:t>广西—东盟经济技术开发区2025-2027年度预算单位车辆维修和保养服务框架协议采购</w:t>
      </w:r>
      <w:r>
        <w:rPr>
          <w:rFonts w:hint="eastAsia" w:ascii="Times New Roman" w:hAnsi="宋体"/>
          <w:color w:val="auto"/>
          <w:szCs w:val="21"/>
          <w:highlight w:val="none"/>
        </w:rPr>
        <w:t>框架协议》采购协议的全部条款和规定，全面履行承诺，圆满完成</w:t>
      </w:r>
      <w:r>
        <w:rPr>
          <w:rFonts w:hint="eastAsia"/>
          <w:color w:val="auto"/>
          <w:highlight w:val="none"/>
          <w:lang w:eastAsia="zh-CN"/>
        </w:rPr>
        <w:t>广西—东盟经济技术开发区</w:t>
      </w:r>
      <w:r>
        <w:rPr>
          <w:rFonts w:hint="eastAsia" w:ascii="Times New Roman" w:hAnsi="宋体"/>
          <w:color w:val="auto"/>
          <w:szCs w:val="21"/>
          <w:highlight w:val="none"/>
        </w:rPr>
        <w:t>预算单位公务车辆的维修与保养工作，确保质量，提供快捷、方便、满意的服务。</w:t>
      </w:r>
    </w:p>
    <w:p w14:paraId="530D95BC">
      <w:pPr>
        <w:snapToGrid w:val="0"/>
        <w:spacing w:line="440" w:lineRule="exact"/>
        <w:ind w:firstLine="420" w:firstLineChars="200"/>
        <w:rPr>
          <w:rFonts w:hint="eastAsia" w:ascii="Times New Roman" w:hAnsi="宋体"/>
          <w:color w:val="auto"/>
          <w:szCs w:val="21"/>
          <w:highlight w:val="none"/>
        </w:rPr>
      </w:pPr>
      <w:r>
        <w:rPr>
          <w:rFonts w:hint="eastAsia" w:ascii="Times New Roman" w:hAnsi="宋体"/>
          <w:color w:val="auto"/>
          <w:szCs w:val="21"/>
          <w:highlight w:val="none"/>
        </w:rPr>
        <w:t>三、实行明码标价，优惠公开。</w:t>
      </w:r>
      <w:r>
        <w:rPr>
          <w:rFonts w:hint="eastAsia" w:ascii="Times New Roman" w:hAnsi="宋体"/>
          <w:color w:val="auto"/>
          <w:szCs w:val="21"/>
          <w:highlight w:val="none"/>
          <w:lang w:eastAsia="zh-CN"/>
        </w:rPr>
        <w:t>配件价格应按生产厂家价格和汽车行业标准价格定价，不高于广西—东盟经济技术开发区同类维修市场价格。</w:t>
      </w:r>
      <w:r>
        <w:rPr>
          <w:rFonts w:hint="eastAsia" w:ascii="Times New Roman" w:hAnsi="宋体"/>
          <w:color w:val="auto"/>
          <w:szCs w:val="21"/>
          <w:highlight w:val="none"/>
        </w:rPr>
        <w:t>自觉遵守价格优惠和质量保修期的承诺；在汽车维修时，</w:t>
      </w:r>
      <w:r>
        <w:rPr>
          <w:rFonts w:hint="eastAsia" w:ascii="Times New Roman" w:hAnsi="宋体"/>
          <w:color w:val="auto"/>
          <w:szCs w:val="21"/>
          <w:highlight w:val="none"/>
          <w:lang w:val="en-US" w:eastAsia="zh-CN"/>
        </w:rPr>
        <w:t>将原厂配件、副厂配件和修复配件分别标识，明码标价，</w:t>
      </w:r>
      <w:r>
        <w:rPr>
          <w:rFonts w:hint="eastAsia" w:ascii="Times New Roman" w:hAnsi="宋体"/>
          <w:color w:val="auto"/>
          <w:szCs w:val="21"/>
          <w:highlight w:val="none"/>
        </w:rPr>
        <w:t>在采购人同意的前提下，</w:t>
      </w:r>
      <w:r>
        <w:rPr>
          <w:rFonts w:hint="eastAsia" w:ascii="Times New Roman" w:hAnsi="宋体"/>
          <w:color w:val="auto"/>
          <w:szCs w:val="21"/>
          <w:highlight w:val="none"/>
          <w:lang w:val="en-US" w:eastAsia="zh-CN"/>
        </w:rPr>
        <w:t>确认配件价格，</w:t>
      </w:r>
      <w:r>
        <w:rPr>
          <w:rFonts w:hint="eastAsia" w:ascii="Times New Roman" w:hAnsi="宋体"/>
          <w:color w:val="auto"/>
          <w:szCs w:val="21"/>
          <w:highlight w:val="none"/>
        </w:rPr>
        <w:t>保证在与同类企业竞争中，不使用恶意竞价等非正当手段。</w:t>
      </w:r>
    </w:p>
    <w:p w14:paraId="49BECF18">
      <w:pPr>
        <w:spacing w:line="440" w:lineRule="exact"/>
        <w:ind w:firstLine="525" w:firstLineChars="250"/>
        <w:jc w:val="left"/>
        <w:rPr>
          <w:rFonts w:hint="eastAsia" w:ascii="Times New Roman" w:hAnsi="宋体"/>
          <w:color w:val="auto"/>
          <w:szCs w:val="21"/>
          <w:highlight w:val="none"/>
        </w:rPr>
      </w:pPr>
      <w:r>
        <w:rPr>
          <w:rFonts w:hint="eastAsia" w:ascii="Times New Roman" w:hAnsi="宋体"/>
          <w:color w:val="auto"/>
          <w:szCs w:val="21"/>
          <w:highlight w:val="none"/>
        </w:rPr>
        <w:t>四、所采用的零部件、零配件等材料符合厂家或国家标准，不使用假冒伪劣产品或以次充好，以旧顶新。维修时，重在修理，以节省支出；确需更换零配件时，使用合格产品或正品且须经采购人确认同意。</w:t>
      </w:r>
    </w:p>
    <w:p w14:paraId="7C038373">
      <w:pPr>
        <w:snapToGrid w:val="0"/>
        <w:spacing w:line="440" w:lineRule="exact"/>
        <w:ind w:firstLine="525" w:firstLineChars="250"/>
        <w:rPr>
          <w:rFonts w:hint="eastAsia" w:ascii="Times New Roman" w:hAnsi="宋体"/>
          <w:color w:val="auto"/>
          <w:szCs w:val="21"/>
          <w:highlight w:val="none"/>
        </w:rPr>
      </w:pPr>
      <w:r>
        <w:rPr>
          <w:rFonts w:hint="eastAsia" w:ascii="Times New Roman" w:hAnsi="宋体"/>
          <w:color w:val="auto"/>
          <w:szCs w:val="21"/>
          <w:highlight w:val="none"/>
        </w:rPr>
        <w:t>五、对</w:t>
      </w:r>
      <w:r>
        <w:rPr>
          <w:rFonts w:hint="eastAsia" w:ascii="宋体" w:hAnsi="宋体" w:eastAsia="宋体" w:cs="宋体"/>
          <w:color w:val="auto"/>
          <w:szCs w:val="21"/>
          <w:highlight w:val="none"/>
          <w:lang w:eastAsia="zh-CN"/>
        </w:rPr>
        <w:t>广西—东盟经济技术开发区</w:t>
      </w:r>
      <w:r>
        <w:rPr>
          <w:rFonts w:hint="eastAsia" w:ascii="Times New Roman" w:hAnsi="宋体"/>
          <w:color w:val="auto"/>
          <w:szCs w:val="21"/>
          <w:highlight w:val="none"/>
        </w:rPr>
        <w:t>预算单位公务车辆的维修，提供如下服务：</w:t>
      </w:r>
    </w:p>
    <w:p w14:paraId="0A9437BD">
      <w:pPr>
        <w:snapToGrid w:val="0"/>
        <w:spacing w:line="440" w:lineRule="exact"/>
        <w:ind w:firstLine="525" w:firstLineChars="250"/>
        <w:rPr>
          <w:rFonts w:hint="eastAsia" w:ascii="Times New Roman" w:hAnsi="宋体"/>
          <w:color w:val="auto"/>
          <w:szCs w:val="21"/>
          <w:highlight w:val="none"/>
        </w:rPr>
      </w:pPr>
      <w:r>
        <w:rPr>
          <w:rFonts w:hint="eastAsia" w:ascii="Times New Roman" w:hAnsi="宋体"/>
          <w:color w:val="auto"/>
          <w:szCs w:val="21"/>
          <w:highlight w:val="none"/>
        </w:rPr>
        <w:t>1、全年每天24小时维修服务，设立应急电话，实行</w:t>
      </w:r>
      <w:r>
        <w:rPr>
          <w:rFonts w:ascii="Times New Roman" w:hAnsi="宋体"/>
          <w:color w:val="auto"/>
          <w:szCs w:val="21"/>
          <w:highlight w:val="none"/>
        </w:rPr>
        <w:t>24</w:t>
      </w:r>
      <w:r>
        <w:rPr>
          <w:rFonts w:hint="eastAsia" w:ascii="Times New Roman" w:hAnsi="宋体"/>
          <w:color w:val="auto"/>
          <w:szCs w:val="21"/>
          <w:highlight w:val="none"/>
        </w:rPr>
        <w:t>小时专人值班制度，值班电话：</w:t>
      </w:r>
      <w:r>
        <w:rPr>
          <w:rFonts w:hint="eastAsia" w:ascii="Times New Roman" w:hAnsi="宋体"/>
          <w:color w:val="auto"/>
          <w:szCs w:val="21"/>
          <w:highlight w:val="none"/>
          <w:u w:val="single"/>
        </w:rPr>
        <w:t xml:space="preserve">           </w:t>
      </w:r>
      <w:r>
        <w:rPr>
          <w:rFonts w:hint="eastAsia" w:ascii="Times New Roman" w:hAnsi="宋体"/>
          <w:color w:val="auto"/>
          <w:szCs w:val="21"/>
          <w:highlight w:val="none"/>
        </w:rPr>
        <w:t>（座机/手机）；</w:t>
      </w:r>
    </w:p>
    <w:p w14:paraId="3DE57B21">
      <w:pPr>
        <w:snapToGrid w:val="0"/>
        <w:spacing w:line="440" w:lineRule="exact"/>
        <w:ind w:firstLine="539" w:firstLineChars="257"/>
        <w:rPr>
          <w:rFonts w:hint="eastAsia" w:ascii="Times New Roman" w:hAnsi="宋体"/>
          <w:color w:val="auto"/>
          <w:szCs w:val="21"/>
          <w:highlight w:val="none"/>
        </w:rPr>
      </w:pPr>
      <w:r>
        <w:rPr>
          <w:rFonts w:hint="eastAsia" w:ascii="Times New Roman" w:hAnsi="宋体"/>
          <w:color w:val="auto"/>
          <w:szCs w:val="21"/>
          <w:highlight w:val="none"/>
        </w:rPr>
        <w:t>2、</w:t>
      </w:r>
      <w:r>
        <w:rPr>
          <w:rFonts w:ascii="Times New Roman" w:hAnsi="宋体"/>
          <w:color w:val="auto"/>
          <w:szCs w:val="21"/>
          <w:highlight w:val="none"/>
        </w:rPr>
        <w:t>24</w:t>
      </w:r>
      <w:r>
        <w:rPr>
          <w:rFonts w:hint="eastAsia" w:ascii="Times New Roman" w:hAnsi="宋体"/>
          <w:color w:val="auto"/>
          <w:szCs w:val="21"/>
          <w:highlight w:val="none"/>
        </w:rPr>
        <w:t>小时免费且</w:t>
      </w:r>
      <w:r>
        <w:rPr>
          <w:rFonts w:hint="eastAsia" w:ascii="Times New Roman" w:hAnsi="宋体"/>
          <w:color w:val="auto"/>
          <w:szCs w:val="21"/>
          <w:highlight w:val="none"/>
          <w:u w:val="single"/>
        </w:rPr>
        <w:t xml:space="preserve">            </w:t>
      </w:r>
      <w:r>
        <w:rPr>
          <w:rFonts w:hint="eastAsia" w:ascii="Times New Roman" w:hAnsi="宋体"/>
          <w:color w:val="auto"/>
          <w:szCs w:val="21"/>
          <w:highlight w:val="none"/>
        </w:rPr>
        <w:t>小时内到达现场的紧急救援（市内、含节假日）；</w:t>
      </w:r>
    </w:p>
    <w:p w14:paraId="1CEA60DD">
      <w:pPr>
        <w:snapToGrid w:val="0"/>
        <w:spacing w:line="440" w:lineRule="exact"/>
        <w:ind w:firstLine="539" w:firstLineChars="257"/>
        <w:rPr>
          <w:rFonts w:hint="eastAsia" w:ascii="Times New Roman" w:hAnsi="宋体"/>
          <w:color w:val="auto"/>
          <w:szCs w:val="21"/>
          <w:highlight w:val="none"/>
        </w:rPr>
      </w:pPr>
      <w:r>
        <w:rPr>
          <w:rFonts w:hint="eastAsia" w:ascii="Times New Roman" w:hAnsi="宋体"/>
          <w:color w:val="auto"/>
          <w:szCs w:val="21"/>
          <w:highlight w:val="none"/>
        </w:rPr>
        <w:t>3、应客户要求提供免费上门接送车服务；</w:t>
      </w:r>
    </w:p>
    <w:p w14:paraId="2DDA1241">
      <w:pPr>
        <w:snapToGrid w:val="0"/>
        <w:spacing w:line="440" w:lineRule="exact"/>
        <w:ind w:firstLine="539" w:firstLineChars="257"/>
        <w:rPr>
          <w:rFonts w:hint="eastAsia" w:ascii="Times New Roman" w:hAnsi="宋体"/>
          <w:color w:val="auto"/>
          <w:szCs w:val="21"/>
          <w:highlight w:val="none"/>
        </w:rPr>
      </w:pPr>
      <w:r>
        <w:rPr>
          <w:rFonts w:hint="eastAsia" w:ascii="Times New Roman" w:hAnsi="宋体"/>
          <w:color w:val="auto"/>
          <w:szCs w:val="21"/>
          <w:highlight w:val="none"/>
        </w:rPr>
        <w:t>4、建立车辆详细维修档案，提供日常免费保养和技术咨询培训服务，确保车辆具有良好状况；</w:t>
      </w:r>
    </w:p>
    <w:p w14:paraId="155F2A1F">
      <w:pPr>
        <w:snapToGrid w:val="0"/>
        <w:spacing w:line="440" w:lineRule="exact"/>
        <w:ind w:firstLine="539" w:firstLineChars="257"/>
        <w:rPr>
          <w:rFonts w:hint="eastAsia" w:ascii="Times New Roman" w:hAnsi="宋体"/>
          <w:color w:val="auto"/>
          <w:szCs w:val="21"/>
          <w:highlight w:val="none"/>
        </w:rPr>
      </w:pPr>
      <w:r>
        <w:rPr>
          <w:rFonts w:hint="eastAsia" w:ascii="Times New Roman" w:hAnsi="宋体"/>
          <w:color w:val="auto"/>
          <w:szCs w:val="21"/>
          <w:highlight w:val="none"/>
        </w:rPr>
        <w:t>5、为完工出厂车辆提供免费清洁、吸尘服务；</w:t>
      </w:r>
    </w:p>
    <w:p w14:paraId="65BF9C65">
      <w:pPr>
        <w:snapToGrid w:val="0"/>
        <w:spacing w:line="440" w:lineRule="exact"/>
        <w:ind w:firstLine="539" w:firstLineChars="257"/>
        <w:rPr>
          <w:rFonts w:hint="eastAsia" w:ascii="Times New Roman" w:hAnsi="宋体"/>
          <w:color w:val="auto"/>
          <w:szCs w:val="21"/>
          <w:highlight w:val="none"/>
        </w:rPr>
      </w:pPr>
      <w:r>
        <w:rPr>
          <w:rFonts w:hint="eastAsia" w:ascii="Times New Roman" w:hAnsi="宋体"/>
          <w:color w:val="auto"/>
          <w:szCs w:val="21"/>
          <w:highlight w:val="none"/>
        </w:rPr>
        <w:t>6、设立车辆定点维修服务专柜和专人，及时做好维修车辆的接待和交送车服务。</w:t>
      </w:r>
    </w:p>
    <w:p w14:paraId="3D735FA1">
      <w:pPr>
        <w:spacing w:line="440" w:lineRule="exact"/>
        <w:ind w:firstLine="420" w:firstLineChars="200"/>
        <w:jc w:val="left"/>
        <w:rPr>
          <w:rFonts w:hint="eastAsia" w:ascii="Times New Roman" w:hAnsi="宋体"/>
          <w:color w:val="auto"/>
          <w:szCs w:val="21"/>
          <w:highlight w:val="none"/>
        </w:rPr>
      </w:pPr>
      <w:r>
        <w:rPr>
          <w:rFonts w:hint="eastAsia" w:ascii="Times New Roman" w:hAnsi="宋体"/>
          <w:color w:val="auto"/>
          <w:szCs w:val="21"/>
          <w:highlight w:val="none"/>
        </w:rPr>
        <w:t>六、集中技术骨干力量，成立</w:t>
      </w:r>
      <w:r>
        <w:rPr>
          <w:rFonts w:hint="eastAsia" w:ascii="Times New Roman" w:hAnsi="Times New Roman"/>
          <w:color w:val="auto"/>
          <w:szCs w:val="24"/>
          <w:highlight w:val="none"/>
        </w:rPr>
        <w:t>车</w:t>
      </w:r>
      <w:r>
        <w:rPr>
          <w:rFonts w:hint="eastAsia" w:ascii="Times New Roman" w:hAnsi="宋体"/>
          <w:color w:val="auto"/>
          <w:szCs w:val="21"/>
          <w:highlight w:val="none"/>
        </w:rPr>
        <w:t>辆框架协议维修和保养小组，为采购人车辆提供及时维修服务；车辆小修、保养</w:t>
      </w:r>
      <w:r>
        <w:rPr>
          <w:rFonts w:ascii="Times New Roman" w:hAnsi="宋体"/>
          <w:color w:val="auto"/>
          <w:szCs w:val="21"/>
          <w:highlight w:val="none"/>
        </w:rPr>
        <w:softHyphen/>
      </w:r>
      <w:r>
        <w:rPr>
          <w:rFonts w:hint="eastAsia" w:ascii="Times New Roman" w:hAnsi="宋体"/>
          <w:color w:val="auto"/>
          <w:szCs w:val="21"/>
          <w:highlight w:val="none"/>
        </w:rPr>
        <w:t>及时完成，总成大修不超过</w:t>
      </w:r>
      <w:r>
        <w:rPr>
          <w:rFonts w:hint="eastAsia" w:ascii="Times New Roman" w:hAnsi="宋体"/>
          <w:color w:val="auto"/>
          <w:szCs w:val="21"/>
          <w:highlight w:val="none"/>
          <w:u w:val="single"/>
        </w:rPr>
        <w:t xml:space="preserve">     </w:t>
      </w:r>
      <w:r>
        <w:rPr>
          <w:rFonts w:hint="eastAsia" w:ascii="Times New Roman" w:hAnsi="宋体"/>
          <w:color w:val="auto"/>
          <w:szCs w:val="21"/>
          <w:highlight w:val="none"/>
        </w:rPr>
        <w:t>天完成，全车大修不超过</w:t>
      </w:r>
      <w:r>
        <w:rPr>
          <w:rFonts w:hint="eastAsia" w:ascii="Times New Roman" w:hAnsi="宋体"/>
          <w:color w:val="auto"/>
          <w:szCs w:val="21"/>
          <w:highlight w:val="none"/>
          <w:u w:val="single"/>
        </w:rPr>
        <w:t xml:space="preserve">     </w:t>
      </w:r>
      <w:r>
        <w:rPr>
          <w:rFonts w:hint="eastAsia" w:ascii="Times New Roman" w:hAnsi="宋体"/>
          <w:color w:val="auto"/>
          <w:szCs w:val="21"/>
          <w:highlight w:val="none"/>
        </w:rPr>
        <w:t>天完成。若采购人有完工时间要求时尽最大限度满足。</w:t>
      </w:r>
    </w:p>
    <w:p w14:paraId="3FC14462">
      <w:pPr>
        <w:spacing w:line="440" w:lineRule="exact"/>
        <w:ind w:firstLine="515" w:firstLineChars="250"/>
        <w:jc w:val="left"/>
        <w:rPr>
          <w:rFonts w:hint="eastAsia" w:ascii="Times New Roman" w:hAnsi="宋体"/>
          <w:color w:val="auto"/>
          <w:szCs w:val="21"/>
          <w:highlight w:val="none"/>
        </w:rPr>
      </w:pPr>
      <w:r>
        <w:rPr>
          <w:rFonts w:hint="eastAsia" w:ascii="Times New Roman" w:hAnsi="宋体"/>
          <w:color w:val="auto"/>
          <w:spacing w:val="-2"/>
          <w:szCs w:val="21"/>
          <w:highlight w:val="none"/>
        </w:rPr>
        <w:t>七、汽车维修完工出厂实行出厂合格证制度（汽车小修和部分专项修理除外），维修质量不合格的车辆不准出厂。汽车维修完工出厂时按完工出厂技术要求进行检查和检测</w:t>
      </w:r>
      <w:r>
        <w:rPr>
          <w:rFonts w:hint="eastAsia" w:ascii="Times New Roman" w:hAnsi="宋体"/>
          <w:bCs/>
          <w:color w:val="auto"/>
          <w:spacing w:val="-2"/>
          <w:szCs w:val="21"/>
          <w:highlight w:val="none"/>
        </w:rPr>
        <w:t>。</w:t>
      </w:r>
      <w:r>
        <w:rPr>
          <w:rFonts w:hint="eastAsia" w:ascii="Times New Roman" w:hAnsi="宋体"/>
          <w:color w:val="auto"/>
          <w:spacing w:val="-2"/>
          <w:szCs w:val="21"/>
          <w:highlight w:val="none"/>
        </w:rPr>
        <w:t>对维修竣工出厂车辆出现的质量问题</w:t>
      </w:r>
      <w:r>
        <w:rPr>
          <w:rFonts w:hint="eastAsia" w:ascii="Times New Roman" w:hAnsi="宋体"/>
          <w:color w:val="auto"/>
          <w:szCs w:val="21"/>
          <w:highlight w:val="none"/>
        </w:rPr>
        <w:t>或与合同约定的项目不符的问题进行无偿返工。因我方违反合同给修车单位造成损失时，给予经济赔偿。</w:t>
      </w:r>
    </w:p>
    <w:p w14:paraId="31199FA9">
      <w:pPr>
        <w:spacing w:line="440" w:lineRule="exact"/>
        <w:ind w:firstLine="515" w:firstLineChars="250"/>
        <w:jc w:val="left"/>
        <w:rPr>
          <w:rFonts w:hint="eastAsia" w:ascii="Times New Roman" w:hAnsi="宋体"/>
          <w:color w:val="auto"/>
          <w:spacing w:val="-2"/>
          <w:szCs w:val="21"/>
          <w:highlight w:val="none"/>
        </w:rPr>
      </w:pPr>
      <w:r>
        <w:rPr>
          <w:rFonts w:hint="eastAsia" w:ascii="Times New Roman" w:hAnsi="宋体"/>
          <w:color w:val="auto"/>
          <w:spacing w:val="-2"/>
          <w:szCs w:val="21"/>
          <w:highlight w:val="none"/>
        </w:rPr>
        <w:t xml:space="preserve">     八、接受</w:t>
      </w:r>
      <w:r>
        <w:rPr>
          <w:rFonts w:hint="eastAsia" w:ascii="宋体" w:hAnsi="宋体" w:eastAsia="宋体" w:cs="宋体"/>
          <w:color w:val="auto"/>
          <w:szCs w:val="21"/>
          <w:highlight w:val="none"/>
        </w:rPr>
        <w:t>东盟经济开发区</w:t>
      </w:r>
      <w:r>
        <w:rPr>
          <w:rFonts w:hint="eastAsia" w:ascii="Times New Roman" w:hAnsi="宋体"/>
          <w:color w:val="auto"/>
          <w:spacing w:val="-2"/>
          <w:szCs w:val="21"/>
          <w:highlight w:val="none"/>
        </w:rPr>
        <w:t>财政局</w:t>
      </w:r>
      <w:r>
        <w:rPr>
          <w:rFonts w:hint="eastAsia" w:ascii="Times New Roman" w:hAnsi="宋体"/>
          <w:color w:val="auto"/>
          <w:spacing w:val="-2"/>
          <w:szCs w:val="21"/>
          <w:highlight w:val="none"/>
          <w:lang w:val="en-US" w:eastAsia="zh-CN"/>
        </w:rPr>
        <w:t>和广西建隆工程咨询有限公司</w:t>
      </w:r>
      <w:r>
        <w:rPr>
          <w:rFonts w:hint="eastAsia" w:ascii="Times New Roman" w:hAnsi="宋体"/>
          <w:color w:val="auto"/>
          <w:spacing w:val="-2"/>
          <w:szCs w:val="21"/>
          <w:highlight w:val="none"/>
        </w:rPr>
        <w:t>对我方的生产、管理情况和车辆维修质量进行监督和检查，对发现的修车单位投诉的问题进行调查和处理。</w:t>
      </w:r>
    </w:p>
    <w:p w14:paraId="710E9157">
      <w:pPr>
        <w:spacing w:line="440" w:lineRule="exact"/>
        <w:ind w:firstLine="515" w:firstLineChars="250"/>
        <w:jc w:val="left"/>
        <w:rPr>
          <w:rFonts w:hint="eastAsia" w:ascii="Times New Roman" w:hAnsi="宋体"/>
          <w:color w:val="auto"/>
          <w:spacing w:val="-2"/>
          <w:szCs w:val="21"/>
          <w:highlight w:val="none"/>
        </w:rPr>
      </w:pPr>
      <w:r>
        <w:rPr>
          <w:rFonts w:hint="eastAsia" w:ascii="Times New Roman" w:hAnsi="宋体"/>
          <w:color w:val="auto"/>
          <w:spacing w:val="-2"/>
          <w:szCs w:val="21"/>
          <w:highlight w:val="none"/>
        </w:rPr>
        <w:t>九、保证</w:t>
      </w:r>
      <w:r>
        <w:rPr>
          <w:rFonts w:hint="eastAsia" w:ascii="宋体" w:hAnsi="宋体" w:eastAsia="宋体" w:cs="宋体"/>
          <w:color w:val="auto"/>
          <w:szCs w:val="21"/>
          <w:highlight w:val="none"/>
          <w:lang w:eastAsia="zh-CN"/>
        </w:rPr>
        <w:t>广西—东盟经济技术开发区</w:t>
      </w:r>
      <w:r>
        <w:rPr>
          <w:rFonts w:hint="eastAsia" w:ascii="Times New Roman" w:hAnsi="宋体"/>
          <w:color w:val="auto"/>
          <w:spacing w:val="-2"/>
          <w:szCs w:val="21"/>
          <w:highlight w:val="none"/>
        </w:rPr>
        <w:t>预算单位公务车辆在我方修理期间的安全，做到不丢失、不损坏，否则承担全部损失。</w:t>
      </w:r>
    </w:p>
    <w:p w14:paraId="24FE8E60">
      <w:pPr>
        <w:spacing w:line="440" w:lineRule="exact"/>
        <w:ind w:firstLine="515" w:firstLineChars="250"/>
        <w:jc w:val="left"/>
        <w:rPr>
          <w:rFonts w:hint="eastAsia" w:ascii="Times New Roman" w:hAnsi="宋体"/>
          <w:color w:val="auto"/>
          <w:spacing w:val="-2"/>
          <w:szCs w:val="21"/>
          <w:highlight w:val="none"/>
        </w:rPr>
      </w:pPr>
      <w:r>
        <w:rPr>
          <w:rFonts w:hint="eastAsia" w:ascii="Times New Roman" w:hAnsi="宋体"/>
          <w:color w:val="auto"/>
          <w:spacing w:val="-2"/>
          <w:szCs w:val="21"/>
          <w:highlight w:val="none"/>
        </w:rPr>
        <w:t>十、设立投诉制度，认真听取</w:t>
      </w:r>
      <w:r>
        <w:rPr>
          <w:rFonts w:hint="eastAsia" w:ascii="Times New Roman" w:hAnsi="宋体"/>
          <w:color w:val="auto"/>
          <w:spacing w:val="-2"/>
          <w:szCs w:val="21"/>
          <w:highlight w:val="none"/>
          <w:lang w:eastAsia="zh-CN"/>
        </w:rPr>
        <w:t>甲方</w:t>
      </w:r>
      <w:r>
        <w:rPr>
          <w:rFonts w:hint="eastAsia" w:ascii="Times New Roman" w:hAnsi="宋体"/>
          <w:color w:val="auto"/>
          <w:spacing w:val="-2"/>
          <w:szCs w:val="21"/>
          <w:highlight w:val="none"/>
        </w:rPr>
        <w:t>意见，并及时做出修正。</w:t>
      </w:r>
    </w:p>
    <w:p w14:paraId="115A239C">
      <w:pPr>
        <w:spacing w:line="440" w:lineRule="exact"/>
        <w:ind w:firstLine="515" w:firstLineChars="250"/>
        <w:jc w:val="left"/>
        <w:rPr>
          <w:rFonts w:hint="eastAsia" w:ascii="Times New Roman" w:hAnsi="宋体"/>
          <w:color w:val="auto"/>
          <w:spacing w:val="-2"/>
          <w:szCs w:val="21"/>
          <w:highlight w:val="none"/>
        </w:rPr>
      </w:pPr>
      <w:r>
        <w:rPr>
          <w:rFonts w:hint="eastAsia" w:ascii="Times New Roman" w:hAnsi="宋体"/>
          <w:color w:val="auto"/>
          <w:spacing w:val="-2"/>
          <w:szCs w:val="21"/>
          <w:highlight w:val="none"/>
        </w:rPr>
        <w:t>本承诺书自我方盖章之日起至本期定点维修有效期内有效。</w:t>
      </w:r>
    </w:p>
    <w:p w14:paraId="4E7CA372">
      <w:pPr>
        <w:rPr>
          <w:rFonts w:hint="eastAsia" w:ascii="Times New Roman" w:hAnsi="宋体"/>
          <w:color w:val="auto"/>
          <w:szCs w:val="21"/>
          <w:highlight w:val="none"/>
        </w:rPr>
      </w:pPr>
    </w:p>
    <w:p w14:paraId="79424A49">
      <w:pPr>
        <w:rPr>
          <w:rFonts w:hint="eastAsia" w:ascii="Times New Roman" w:hAnsi="宋体"/>
          <w:color w:val="auto"/>
          <w:szCs w:val="21"/>
          <w:highlight w:val="none"/>
        </w:rPr>
      </w:pPr>
    </w:p>
    <w:p w14:paraId="167AB343">
      <w:pPr>
        <w:snapToGrid w:val="0"/>
        <w:spacing w:line="360" w:lineRule="auto"/>
        <w:ind w:firstLine="4935" w:firstLineChars="2350"/>
        <w:rPr>
          <w:rFonts w:hint="eastAsia" w:ascii="宋体" w:hAnsi="宋体" w:cs="宋体"/>
          <w:color w:val="auto"/>
          <w:kern w:val="0"/>
          <w:sz w:val="24"/>
          <w:highlight w:val="none"/>
        </w:rPr>
      </w:pPr>
      <w:r>
        <w:rPr>
          <w:rFonts w:hint="eastAsia" w:ascii="Times New Roman" w:hAnsi="宋体"/>
          <w:color w:val="auto"/>
          <w:szCs w:val="21"/>
          <w:highlight w:val="none"/>
          <w:lang w:val="en-US" w:eastAsia="zh-CN"/>
        </w:rPr>
        <w:t xml:space="preserve">      承诺单位</w:t>
      </w:r>
      <w:r>
        <w:rPr>
          <w:rFonts w:hint="eastAsia" w:ascii="宋体" w:hAnsi="宋体" w:cs="宋体"/>
          <w:color w:val="auto"/>
          <w:kern w:val="0"/>
          <w:sz w:val="24"/>
          <w:highlight w:val="none"/>
          <w:lang w:val="zh-CN"/>
        </w:rPr>
        <w:t>(电子签章)：</w:t>
      </w:r>
    </w:p>
    <w:p w14:paraId="2CF6FCA0">
      <w:pPr>
        <w:snapToGrid w:val="0"/>
        <w:spacing w:line="360" w:lineRule="auto"/>
        <w:ind w:firstLine="5640" w:firstLineChars="23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237FFF1">
      <w:pPr>
        <w:snapToGrid w:val="0"/>
        <w:spacing w:before="165" w:beforeLines="50" w:after="50"/>
        <w:ind w:left="143" w:leftChars="68" w:firstLine="600" w:firstLineChars="200"/>
        <w:jc w:val="left"/>
        <w:rPr>
          <w:rFonts w:hint="eastAsia" w:ascii="宋体" w:hAnsi="宋体" w:cs="宋体"/>
          <w:color w:val="auto"/>
          <w:sz w:val="30"/>
          <w:szCs w:val="20"/>
          <w:highlight w:val="none"/>
        </w:rPr>
        <w:sectPr>
          <w:footerReference r:id="rId18" w:type="first"/>
          <w:headerReference r:id="rId15" w:type="default"/>
          <w:footerReference r:id="rId16" w:type="default"/>
          <w:footerReference r:id="rId17" w:type="even"/>
          <w:pgSz w:w="11906" w:h="16838"/>
          <w:pgMar w:top="1134" w:right="1134" w:bottom="1134" w:left="1134" w:header="720" w:footer="720" w:gutter="0"/>
          <w:pgNumType w:fmt="decimal"/>
          <w:cols w:space="720" w:num="1"/>
          <w:docGrid w:type="lines" w:linePitch="331" w:charSpace="0"/>
        </w:sectPr>
      </w:pPr>
    </w:p>
    <w:p w14:paraId="7A39C798">
      <w:pPr>
        <w:pStyle w:val="16"/>
        <w:spacing w:line="500" w:lineRule="exact"/>
        <w:jc w:val="center"/>
        <w:rPr>
          <w:rFonts w:hint="eastAsia" w:hAnsi="宋体" w:cs="宋体"/>
          <w:b/>
          <w:bCs/>
          <w:color w:val="auto"/>
          <w:sz w:val="30"/>
          <w:szCs w:val="30"/>
          <w:highlight w:val="none"/>
        </w:rPr>
      </w:pPr>
    </w:p>
    <w:p w14:paraId="2B935B1C">
      <w:pPr>
        <w:pStyle w:val="16"/>
        <w:spacing w:line="500" w:lineRule="exact"/>
        <w:jc w:val="center"/>
        <w:rPr>
          <w:rFonts w:hint="eastAsia" w:hAnsi="宋体" w:cs="宋体"/>
          <w:b/>
          <w:bCs/>
          <w:color w:val="auto"/>
          <w:sz w:val="30"/>
          <w:szCs w:val="30"/>
          <w:highlight w:val="none"/>
        </w:rPr>
      </w:pPr>
      <w:r>
        <w:rPr>
          <w:rFonts w:hint="eastAsia" w:hAnsi="宋体" w:cs="宋体"/>
          <w:b/>
          <w:bCs/>
          <w:color w:val="auto"/>
          <w:sz w:val="30"/>
          <w:szCs w:val="30"/>
          <w:highlight w:val="none"/>
          <w:lang w:val="en-US" w:eastAsia="zh-CN"/>
        </w:rPr>
        <w:t>二</w:t>
      </w:r>
      <w:r>
        <w:rPr>
          <w:rFonts w:hint="eastAsia" w:hAnsi="宋体" w:cs="宋体"/>
          <w:b/>
          <w:bCs/>
          <w:color w:val="auto"/>
          <w:sz w:val="30"/>
          <w:szCs w:val="30"/>
          <w:highlight w:val="none"/>
        </w:rPr>
        <w:t>、响应服务技术需求偏离表</w:t>
      </w:r>
    </w:p>
    <w:p w14:paraId="0298CE83">
      <w:pPr>
        <w:pStyle w:val="16"/>
        <w:spacing w:line="440" w:lineRule="exact"/>
        <w:ind w:firstLine="420" w:firstLineChars="200"/>
        <w:rPr>
          <w:rFonts w:hint="eastAsia" w:hAnsi="宋体" w:cs="宋体"/>
          <w:color w:val="auto"/>
          <w:highlight w:val="none"/>
        </w:rPr>
      </w:pPr>
    </w:p>
    <w:p w14:paraId="2CB5D941">
      <w:pPr>
        <w:pStyle w:val="16"/>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本项目征集文件第二章“服务需求一览表”中的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271D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5728DDF5">
            <w:pP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5394ED32">
            <w:pPr>
              <w:jc w:val="center"/>
              <w:rPr>
                <w:rFonts w:hint="eastAsia" w:ascii="宋体" w:hAnsi="宋体" w:cs="宋体"/>
                <w:color w:val="auto"/>
                <w:szCs w:val="21"/>
                <w:highlight w:val="none"/>
              </w:rPr>
            </w:pPr>
            <w:r>
              <w:rPr>
                <w:rFonts w:hint="eastAsia" w:ascii="宋体" w:hAnsi="宋体" w:cs="宋体"/>
                <w:color w:val="auto"/>
                <w:szCs w:val="21"/>
                <w:highlight w:val="none"/>
              </w:rPr>
              <w:t>征集文件需求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63C9D03B">
            <w:pPr>
              <w:jc w:val="center"/>
              <w:rPr>
                <w:rFonts w:hint="eastAsia" w:ascii="宋体" w:hAnsi="宋体" w:cs="宋体"/>
                <w:color w:val="auto"/>
                <w:szCs w:val="21"/>
                <w:highlight w:val="none"/>
              </w:rPr>
            </w:pPr>
            <w:r>
              <w:rPr>
                <w:rFonts w:hint="eastAsia" w:ascii="宋体" w:hAnsi="宋体" w:cs="宋体"/>
                <w:color w:val="auto"/>
                <w:szCs w:val="21"/>
                <w:highlight w:val="none"/>
              </w:rPr>
              <w:t>响应文件承诺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4D383EAF">
            <w:pP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2146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6CD6869B">
            <w:pPr>
              <w:widowControl/>
              <w:jc w:val="left"/>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3D68D03">
            <w:pPr>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71927ED0">
            <w:pPr>
              <w:jc w:val="center"/>
              <w:rPr>
                <w:rFonts w:hint="eastAsia"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7139D1DC">
            <w:pPr>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63547E83">
            <w:pPr>
              <w:jc w:val="center"/>
              <w:rPr>
                <w:rFonts w:hint="eastAsia"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33269CF8">
            <w:pPr>
              <w:widowControl/>
              <w:jc w:val="left"/>
              <w:rPr>
                <w:rFonts w:hint="eastAsia" w:ascii="宋体" w:hAnsi="宋体" w:cs="宋体"/>
                <w:color w:val="auto"/>
                <w:szCs w:val="21"/>
                <w:highlight w:val="none"/>
              </w:rPr>
            </w:pPr>
          </w:p>
        </w:tc>
      </w:tr>
      <w:tr w14:paraId="063E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FA6A3A0">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5B400F9A">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2D4E9632">
            <w:pPr>
              <w:rPr>
                <w:rFonts w:hint="eastAsia" w:ascii="宋体" w:hAnsi="宋体" w:cs="宋体"/>
                <w:color w:val="auto"/>
                <w:szCs w:val="21"/>
                <w:highlight w:val="none"/>
              </w:rPr>
            </w:pPr>
            <w:r>
              <w:rPr>
                <w:rFonts w:hint="eastAsia" w:ascii="宋体" w:hAnsi="宋体" w:cs="宋体"/>
                <w:color w:val="auto"/>
                <w:szCs w:val="21"/>
                <w:highlight w:val="none"/>
              </w:rPr>
              <w:t>1  ……</w:t>
            </w:r>
          </w:p>
          <w:p w14:paraId="283B6D17">
            <w:pPr>
              <w:rPr>
                <w:rFonts w:hint="eastAsia" w:ascii="宋体" w:hAnsi="宋体" w:cs="宋体"/>
                <w:color w:val="auto"/>
                <w:szCs w:val="21"/>
                <w:highlight w:val="none"/>
              </w:rPr>
            </w:pPr>
            <w:r>
              <w:rPr>
                <w:rFonts w:hint="eastAsia" w:ascii="宋体" w:hAnsi="宋体" w:cs="宋体"/>
                <w:color w:val="auto"/>
                <w:szCs w:val="21"/>
                <w:highlight w:val="none"/>
              </w:rPr>
              <w:t>2  ……</w:t>
            </w:r>
          </w:p>
          <w:p w14:paraId="3E60F345">
            <w:pPr>
              <w:rPr>
                <w:rFonts w:hint="eastAsia" w:ascii="宋体" w:hAnsi="宋体" w:cs="宋体"/>
                <w:color w:val="auto"/>
                <w:szCs w:val="21"/>
                <w:highlight w:val="none"/>
              </w:rPr>
            </w:pPr>
            <w:r>
              <w:rPr>
                <w:rFonts w:hint="eastAsia" w:ascii="宋体" w:hAnsi="宋体" w:cs="宋体"/>
                <w:color w:val="auto"/>
                <w:szCs w:val="21"/>
                <w:highlight w:val="none"/>
              </w:rPr>
              <w:t>3  ……</w:t>
            </w:r>
          </w:p>
          <w:p w14:paraId="69241F8D">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3D16623C">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2CD9FDC8">
            <w:pPr>
              <w:rPr>
                <w:rFonts w:hint="eastAsia" w:ascii="宋体" w:hAnsi="宋体" w:cs="宋体"/>
                <w:color w:val="auto"/>
                <w:szCs w:val="21"/>
                <w:highlight w:val="none"/>
              </w:rPr>
            </w:pPr>
            <w:r>
              <w:rPr>
                <w:rFonts w:hint="eastAsia" w:ascii="宋体" w:hAnsi="宋体" w:cs="宋体"/>
                <w:color w:val="auto"/>
                <w:szCs w:val="21"/>
                <w:highlight w:val="none"/>
              </w:rPr>
              <w:t>1  ……</w:t>
            </w:r>
          </w:p>
          <w:p w14:paraId="251B7E85">
            <w:pPr>
              <w:rPr>
                <w:rFonts w:hint="eastAsia" w:ascii="宋体" w:hAnsi="宋体" w:cs="宋体"/>
                <w:color w:val="auto"/>
                <w:szCs w:val="21"/>
                <w:highlight w:val="none"/>
              </w:rPr>
            </w:pPr>
            <w:r>
              <w:rPr>
                <w:rFonts w:hint="eastAsia" w:ascii="宋体" w:hAnsi="宋体" w:cs="宋体"/>
                <w:color w:val="auto"/>
                <w:szCs w:val="21"/>
                <w:highlight w:val="none"/>
              </w:rPr>
              <w:t>2  ……</w:t>
            </w:r>
          </w:p>
          <w:p w14:paraId="01F4D3FF">
            <w:pPr>
              <w:rPr>
                <w:rFonts w:hint="eastAsia" w:ascii="宋体" w:hAnsi="宋体" w:cs="宋体"/>
                <w:color w:val="auto"/>
                <w:szCs w:val="21"/>
                <w:highlight w:val="none"/>
              </w:rPr>
            </w:pPr>
            <w:r>
              <w:rPr>
                <w:rFonts w:hint="eastAsia" w:ascii="宋体" w:hAnsi="宋体" w:cs="宋体"/>
                <w:color w:val="auto"/>
                <w:szCs w:val="21"/>
                <w:highlight w:val="none"/>
              </w:rPr>
              <w:t>3  ……</w:t>
            </w:r>
          </w:p>
          <w:p w14:paraId="12D35633">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634D758D">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78FD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710F134">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5EAD8867">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27839822">
            <w:pPr>
              <w:rPr>
                <w:rFonts w:hint="eastAsia" w:ascii="宋体" w:hAnsi="宋体" w:cs="宋体"/>
                <w:color w:val="auto"/>
                <w:szCs w:val="21"/>
                <w:highlight w:val="none"/>
              </w:rPr>
            </w:pPr>
            <w:r>
              <w:rPr>
                <w:rFonts w:hint="eastAsia" w:ascii="宋体" w:hAnsi="宋体" w:cs="宋体"/>
                <w:color w:val="auto"/>
                <w:szCs w:val="21"/>
                <w:highlight w:val="none"/>
              </w:rPr>
              <w:t>1  ……</w:t>
            </w:r>
          </w:p>
          <w:p w14:paraId="20AE65C9">
            <w:pPr>
              <w:rPr>
                <w:rFonts w:hint="eastAsia" w:ascii="宋体" w:hAnsi="宋体" w:cs="宋体"/>
                <w:color w:val="auto"/>
                <w:szCs w:val="21"/>
                <w:highlight w:val="none"/>
              </w:rPr>
            </w:pPr>
            <w:r>
              <w:rPr>
                <w:rFonts w:hint="eastAsia" w:ascii="宋体" w:hAnsi="宋体" w:cs="宋体"/>
                <w:color w:val="auto"/>
                <w:szCs w:val="21"/>
                <w:highlight w:val="none"/>
              </w:rPr>
              <w:t>2  ……</w:t>
            </w:r>
          </w:p>
          <w:p w14:paraId="7217C228">
            <w:pPr>
              <w:rPr>
                <w:rFonts w:hint="eastAsia" w:ascii="宋体" w:hAnsi="宋体" w:cs="宋体"/>
                <w:color w:val="auto"/>
                <w:szCs w:val="21"/>
                <w:highlight w:val="none"/>
              </w:rPr>
            </w:pPr>
            <w:r>
              <w:rPr>
                <w:rFonts w:hint="eastAsia" w:ascii="宋体" w:hAnsi="宋体" w:cs="宋体"/>
                <w:color w:val="auto"/>
                <w:szCs w:val="21"/>
                <w:highlight w:val="none"/>
              </w:rPr>
              <w:t>3  ……</w:t>
            </w:r>
          </w:p>
          <w:p w14:paraId="68EE0632">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12AD7D5D">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739A966F">
            <w:pPr>
              <w:rPr>
                <w:rFonts w:hint="eastAsia" w:ascii="宋体" w:hAnsi="宋体" w:cs="宋体"/>
                <w:color w:val="auto"/>
                <w:szCs w:val="21"/>
                <w:highlight w:val="none"/>
              </w:rPr>
            </w:pPr>
            <w:r>
              <w:rPr>
                <w:rFonts w:hint="eastAsia" w:ascii="宋体" w:hAnsi="宋体" w:cs="宋体"/>
                <w:color w:val="auto"/>
                <w:szCs w:val="21"/>
                <w:highlight w:val="none"/>
              </w:rPr>
              <w:t>1  ……</w:t>
            </w:r>
          </w:p>
          <w:p w14:paraId="7ECF494F">
            <w:pPr>
              <w:rPr>
                <w:rFonts w:hint="eastAsia" w:ascii="宋体" w:hAnsi="宋体" w:cs="宋体"/>
                <w:color w:val="auto"/>
                <w:szCs w:val="21"/>
                <w:highlight w:val="none"/>
              </w:rPr>
            </w:pPr>
            <w:r>
              <w:rPr>
                <w:rFonts w:hint="eastAsia" w:ascii="宋体" w:hAnsi="宋体" w:cs="宋体"/>
                <w:color w:val="auto"/>
                <w:szCs w:val="21"/>
                <w:highlight w:val="none"/>
              </w:rPr>
              <w:t>2  ……</w:t>
            </w:r>
          </w:p>
          <w:p w14:paraId="656EA84C">
            <w:pPr>
              <w:rPr>
                <w:rFonts w:hint="eastAsia" w:ascii="宋体" w:hAnsi="宋体" w:cs="宋体"/>
                <w:color w:val="auto"/>
                <w:szCs w:val="21"/>
                <w:highlight w:val="none"/>
              </w:rPr>
            </w:pPr>
            <w:r>
              <w:rPr>
                <w:rFonts w:hint="eastAsia" w:ascii="宋体" w:hAnsi="宋体" w:cs="宋体"/>
                <w:color w:val="auto"/>
                <w:szCs w:val="21"/>
                <w:highlight w:val="none"/>
              </w:rPr>
              <w:t>3  ……</w:t>
            </w:r>
          </w:p>
          <w:p w14:paraId="17B1BCCD">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4AB2C34D">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09E6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49978B3D">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3C670800">
            <w:pPr>
              <w:rPr>
                <w:rFonts w:hint="eastAsia"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619C6B86">
            <w:pPr>
              <w:rPr>
                <w:rFonts w:hint="eastAsia"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77B13BEE">
            <w:pPr>
              <w:rPr>
                <w:rFonts w:hint="eastAsia"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70F44AED">
            <w:pPr>
              <w:rPr>
                <w:rFonts w:hint="eastAsia"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5D6C37FC">
            <w:pPr>
              <w:rPr>
                <w:rFonts w:hint="eastAsia" w:ascii="宋体" w:hAnsi="宋体" w:cs="宋体"/>
                <w:color w:val="auto"/>
                <w:szCs w:val="21"/>
                <w:highlight w:val="none"/>
              </w:rPr>
            </w:pPr>
          </w:p>
        </w:tc>
      </w:tr>
      <w:tr w14:paraId="1C42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4A9774E8">
            <w:pPr>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2462336E">
      <w:pPr>
        <w:pStyle w:val="16"/>
        <w:spacing w:line="360" w:lineRule="auto"/>
        <w:rPr>
          <w:rFonts w:hint="eastAsia" w:hAnsi="宋体" w:cs="宋体"/>
          <w:color w:val="auto"/>
          <w:szCs w:val="21"/>
          <w:highlight w:val="none"/>
        </w:rPr>
      </w:pPr>
      <w:r>
        <w:rPr>
          <w:rFonts w:hint="eastAsia" w:hAnsi="宋体" w:cs="宋体"/>
          <w:color w:val="auto"/>
          <w:szCs w:val="21"/>
          <w:highlight w:val="none"/>
        </w:rPr>
        <w:t>注：</w:t>
      </w:r>
    </w:p>
    <w:p w14:paraId="2B64228B">
      <w:pPr>
        <w:pStyle w:val="16"/>
        <w:spacing w:line="360" w:lineRule="auto"/>
        <w:rPr>
          <w:rFonts w:hint="eastAsia"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否则按响应无效处理</w:t>
      </w:r>
      <w:r>
        <w:rPr>
          <w:rFonts w:hint="eastAsia" w:hAnsi="宋体" w:cs="宋体"/>
          <w:color w:val="auto"/>
          <w:szCs w:val="21"/>
          <w:highlight w:val="none"/>
        </w:rPr>
        <w:t>。</w:t>
      </w:r>
    </w:p>
    <w:p w14:paraId="325273D5">
      <w:pPr>
        <w:pStyle w:val="16"/>
        <w:spacing w:line="360" w:lineRule="auto"/>
        <w:rPr>
          <w:rFonts w:hint="eastAsia" w:hAnsi="宋体" w:cs="宋体"/>
          <w:color w:val="auto"/>
          <w:szCs w:val="21"/>
          <w:highlight w:val="none"/>
        </w:rPr>
      </w:pPr>
      <w:r>
        <w:rPr>
          <w:rFonts w:hint="eastAsia" w:hAnsi="宋体" w:cs="宋体"/>
          <w:bCs/>
          <w:color w:val="auto"/>
          <w:szCs w:val="21"/>
          <w:highlight w:val="none"/>
        </w:rPr>
        <w:t>2.当响应文件的服务内容低于征集文件要求时，供应商应当如实写明“负偏离”，否则视为虚假应标。</w:t>
      </w:r>
    </w:p>
    <w:p w14:paraId="61F0D4E1">
      <w:pPr>
        <w:pStyle w:val="16"/>
        <w:spacing w:line="360" w:lineRule="auto"/>
        <w:rPr>
          <w:rFonts w:hint="eastAsia"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6F306852">
      <w:pPr>
        <w:snapToGrid w:val="0"/>
        <w:spacing w:line="360" w:lineRule="auto"/>
        <w:ind w:firstLine="5640" w:firstLineChars="2350"/>
        <w:rPr>
          <w:rFonts w:hint="eastAsia" w:ascii="宋体" w:hAnsi="宋体" w:cs="宋体"/>
          <w:color w:val="auto"/>
          <w:kern w:val="0"/>
          <w:sz w:val="24"/>
          <w:highlight w:val="none"/>
          <w:lang w:val="zh-CN"/>
        </w:rPr>
      </w:pPr>
    </w:p>
    <w:p w14:paraId="5D72F9CA">
      <w:pPr>
        <w:snapToGrid w:val="0"/>
        <w:spacing w:line="360" w:lineRule="auto"/>
        <w:ind w:firstLine="5640" w:firstLineChars="23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0A06772A">
      <w:pPr>
        <w:snapToGrid w:val="0"/>
        <w:spacing w:line="360" w:lineRule="auto"/>
        <w:ind w:firstLine="5640" w:firstLineChars="23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41DFC48">
      <w:pPr>
        <w:snapToGrid w:val="0"/>
        <w:spacing w:before="165" w:beforeLines="50" w:after="50"/>
        <w:ind w:left="143" w:leftChars="68" w:firstLine="600" w:firstLineChars="200"/>
        <w:jc w:val="left"/>
        <w:rPr>
          <w:rFonts w:hint="eastAsia" w:ascii="宋体" w:hAnsi="宋体" w:cs="宋体"/>
          <w:color w:val="auto"/>
          <w:sz w:val="30"/>
          <w:szCs w:val="20"/>
          <w:highlight w:val="none"/>
        </w:rPr>
        <w:sectPr>
          <w:footerReference r:id="rId22" w:type="first"/>
          <w:headerReference r:id="rId19" w:type="default"/>
          <w:footerReference r:id="rId20" w:type="default"/>
          <w:footerReference r:id="rId21" w:type="even"/>
          <w:pgSz w:w="11906" w:h="16838"/>
          <w:pgMar w:top="1134" w:right="1134" w:bottom="1134" w:left="1134" w:header="720" w:footer="720" w:gutter="0"/>
          <w:pgNumType w:fmt="decimal"/>
          <w:cols w:space="720" w:num="1"/>
          <w:docGrid w:type="lines" w:linePitch="331" w:charSpace="0"/>
        </w:sectPr>
      </w:pPr>
    </w:p>
    <w:p w14:paraId="57A73E74">
      <w:pPr>
        <w:snapToGrid w:val="0"/>
        <w:spacing w:before="165" w:beforeLines="50" w:after="50"/>
        <w:jc w:val="center"/>
        <w:rPr>
          <w:rFonts w:hint="eastAsia" w:ascii="宋体" w:hAnsi="宋体" w:cs="宋体"/>
          <w:b/>
          <w:bCs/>
          <w:color w:val="auto"/>
          <w:sz w:val="30"/>
          <w:szCs w:val="30"/>
          <w:highlight w:val="none"/>
        </w:rPr>
      </w:pPr>
    </w:p>
    <w:p w14:paraId="77BABF44">
      <w:pPr>
        <w:snapToGrid w:val="0"/>
        <w:spacing w:before="165" w:beforeLines="50" w:after="5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三</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val="en-US" w:eastAsia="zh-CN"/>
        </w:rPr>
        <w:t>各项</w:t>
      </w:r>
      <w:r>
        <w:rPr>
          <w:rFonts w:hint="eastAsia" w:ascii="宋体" w:hAnsi="宋体" w:cs="宋体"/>
          <w:b/>
          <w:bCs/>
          <w:color w:val="auto"/>
          <w:sz w:val="30"/>
          <w:szCs w:val="30"/>
          <w:highlight w:val="none"/>
        </w:rPr>
        <w:t>方案</w:t>
      </w:r>
    </w:p>
    <w:p w14:paraId="5F87214B">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第二章采购需求”及“第四章评审方法及评审标准”编制</w:t>
      </w:r>
      <w:r>
        <w:rPr>
          <w:rFonts w:hint="eastAsia" w:ascii="宋体" w:hAnsi="宋体" w:cs="宋体"/>
          <w:color w:val="auto"/>
          <w:sz w:val="24"/>
          <w:highlight w:val="none"/>
        </w:rPr>
        <w:t>）</w:t>
      </w:r>
    </w:p>
    <w:p w14:paraId="71BC7691">
      <w:pPr>
        <w:rPr>
          <w:rFonts w:hint="eastAsia" w:ascii="宋体" w:hAnsi="宋体" w:cs="宋体"/>
          <w:b/>
          <w:bCs/>
          <w:color w:val="auto"/>
          <w:kern w:val="0"/>
          <w:sz w:val="24"/>
          <w:highlight w:val="none"/>
          <w:lang w:val="zh-CN"/>
        </w:rPr>
      </w:pPr>
    </w:p>
    <w:p w14:paraId="74030CB4">
      <w:pPr>
        <w:rPr>
          <w:rFonts w:hint="eastAsia" w:ascii="宋体" w:hAnsi="宋体" w:cs="宋体"/>
          <w:b/>
          <w:bCs/>
          <w:color w:val="auto"/>
          <w:kern w:val="0"/>
          <w:sz w:val="24"/>
          <w:highlight w:val="none"/>
          <w:lang w:val="zh-CN"/>
        </w:rPr>
      </w:pPr>
    </w:p>
    <w:p w14:paraId="5766E8B9">
      <w:pPr>
        <w:autoSpaceDE w:val="0"/>
        <w:autoSpaceDN w:val="0"/>
        <w:spacing w:line="360" w:lineRule="auto"/>
        <w:ind w:firstLine="4440" w:firstLineChars="185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8E27E98">
      <w:pPr>
        <w:autoSpaceDE w:val="0"/>
        <w:autoSpaceDN w:val="0"/>
        <w:spacing w:line="360" w:lineRule="auto"/>
        <w:rPr>
          <w:rFonts w:hint="eastAsia"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240988B5">
      <w:pPr>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705CA5F1">
      <w:pPr>
        <w:pStyle w:val="13"/>
        <w:rPr>
          <w:rFonts w:hint="eastAsia"/>
          <w:color w:val="auto"/>
          <w:highlight w:val="none"/>
        </w:rPr>
      </w:pPr>
    </w:p>
    <w:p w14:paraId="28FD016B">
      <w:pPr>
        <w:snapToGrid w:val="0"/>
        <w:spacing w:before="165" w:beforeLines="50" w:after="50"/>
        <w:jc w:val="center"/>
        <w:rPr>
          <w:rFonts w:hint="eastAsia" w:ascii="宋体" w:hAnsi="宋体" w:cs="宋体"/>
          <w:b/>
          <w:bCs/>
          <w:color w:val="auto"/>
          <w:sz w:val="30"/>
          <w:szCs w:val="30"/>
          <w:highlight w:val="none"/>
        </w:rPr>
      </w:pPr>
    </w:p>
    <w:p w14:paraId="48E83ADB">
      <w:pPr>
        <w:pStyle w:val="13"/>
        <w:rPr>
          <w:rFonts w:hint="eastAsia"/>
          <w:color w:val="auto"/>
          <w:highlight w:val="none"/>
        </w:rPr>
      </w:pPr>
    </w:p>
    <w:p w14:paraId="01A0531A">
      <w:pPr>
        <w:pStyle w:val="13"/>
        <w:rPr>
          <w:rFonts w:hint="eastAsia"/>
          <w:color w:val="auto"/>
          <w:highlight w:val="none"/>
        </w:rPr>
      </w:pPr>
    </w:p>
    <w:p w14:paraId="325E6E61">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、优惠条件及特殊承诺</w:t>
      </w:r>
    </w:p>
    <w:p w14:paraId="0E8E90C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（由供应商根据采购需求自行编制）</w:t>
      </w:r>
    </w:p>
    <w:p w14:paraId="1E223B60">
      <w:pPr>
        <w:spacing w:line="360" w:lineRule="auto"/>
        <w:jc w:val="center"/>
        <w:rPr>
          <w:rFonts w:hint="eastAsia" w:ascii="宋体" w:hAnsi="宋体" w:eastAsia="宋体" w:cs="宋体"/>
          <w:color w:val="auto"/>
          <w:sz w:val="18"/>
          <w:szCs w:val="18"/>
          <w:highlight w:val="none"/>
        </w:rPr>
      </w:pPr>
    </w:p>
    <w:p w14:paraId="64591D94">
      <w:pPr>
        <w:snapToGrid w:val="0"/>
        <w:spacing w:line="360" w:lineRule="auto"/>
        <w:ind w:firstLine="5040" w:firstLineChars="2100"/>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val="zh-CN"/>
        </w:rPr>
        <w:t>(电子签章)</w:t>
      </w:r>
      <w:r>
        <w:rPr>
          <w:rFonts w:hint="eastAsia" w:ascii="宋体" w:hAnsi="宋体" w:eastAsia="宋体" w:cs="宋体"/>
          <w:color w:val="auto"/>
          <w:kern w:val="0"/>
          <w:sz w:val="24"/>
          <w:szCs w:val="24"/>
          <w:highlight w:val="none"/>
          <w:u w:val="none"/>
          <w:lang w:val="zh-CN"/>
        </w:rPr>
        <w:t xml:space="preserve">：               </w:t>
      </w:r>
    </w:p>
    <w:p w14:paraId="3E360708">
      <w:pPr>
        <w:snapToGrid w:val="0"/>
        <w:spacing w:line="360" w:lineRule="auto"/>
        <w:ind w:firstLine="5040" w:firstLineChars="21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13237260">
      <w:pPr>
        <w:snapToGrid w:val="0"/>
        <w:spacing w:before="165" w:beforeLines="50" w:after="50"/>
        <w:ind w:left="142"/>
        <w:jc w:val="center"/>
        <w:rPr>
          <w:rFonts w:hint="eastAsia" w:ascii="宋体" w:hAnsi="宋体" w:eastAsia="宋体" w:cs="宋体"/>
          <w:b/>
          <w:color w:val="auto"/>
          <w:sz w:val="32"/>
          <w:szCs w:val="32"/>
          <w:highlight w:val="none"/>
        </w:rPr>
      </w:pPr>
    </w:p>
    <w:p w14:paraId="1354631C">
      <w:pPr>
        <w:pStyle w:val="13"/>
        <w:rPr>
          <w:rFonts w:hint="eastAsia" w:ascii="宋体" w:hAnsi="宋体" w:eastAsia="宋体" w:cs="宋体"/>
          <w:b/>
          <w:color w:val="auto"/>
          <w:sz w:val="32"/>
          <w:szCs w:val="32"/>
          <w:highlight w:val="none"/>
        </w:rPr>
      </w:pPr>
    </w:p>
    <w:p w14:paraId="624E34A2">
      <w:pPr>
        <w:rPr>
          <w:rFonts w:hint="eastAsia"/>
          <w:color w:val="auto"/>
          <w:highlight w:val="none"/>
        </w:rPr>
      </w:pPr>
    </w:p>
    <w:p w14:paraId="7AD04092">
      <w:pPr>
        <w:snapToGrid w:val="0"/>
        <w:spacing w:before="165"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、供应商对项目的合理化建议和改进措施</w:t>
      </w:r>
    </w:p>
    <w:p w14:paraId="208C1D4F">
      <w:pPr>
        <w:spacing w:line="360" w:lineRule="auto"/>
        <w:ind w:firstLine="4048" w:firstLineChars="168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（格式自拟）</w:t>
      </w:r>
    </w:p>
    <w:p w14:paraId="30924491">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FB1C562">
      <w:pPr>
        <w:snapToGrid w:val="0"/>
        <w:spacing w:line="360" w:lineRule="auto"/>
        <w:ind w:firstLine="4935" w:firstLineChars="2350"/>
        <w:rPr>
          <w:rFonts w:hint="eastAsia" w:ascii="宋体" w:hAnsi="宋体" w:eastAsia="宋体" w:cs="宋体"/>
          <w:color w:val="auto"/>
          <w:szCs w:val="21"/>
          <w:highlight w:val="none"/>
        </w:rPr>
      </w:pPr>
    </w:p>
    <w:p w14:paraId="12C6C5B5">
      <w:pPr>
        <w:snapToGrid w:val="0"/>
        <w:spacing w:line="360" w:lineRule="auto"/>
        <w:ind w:firstLine="4935" w:firstLineChars="2350"/>
        <w:rPr>
          <w:rFonts w:hint="eastAsia" w:ascii="宋体" w:hAnsi="宋体" w:eastAsia="宋体" w:cs="宋体"/>
          <w:color w:val="auto"/>
          <w:szCs w:val="21"/>
          <w:highlight w:val="none"/>
        </w:rPr>
      </w:pPr>
    </w:p>
    <w:p w14:paraId="6E609E51">
      <w:pPr>
        <w:snapToGrid w:val="0"/>
        <w:spacing w:line="360" w:lineRule="auto"/>
        <w:ind w:firstLine="4935" w:firstLineChars="2350"/>
        <w:rPr>
          <w:rFonts w:hint="eastAsia" w:ascii="宋体" w:hAnsi="宋体" w:eastAsia="宋体" w:cs="宋体"/>
          <w:color w:val="auto"/>
          <w:szCs w:val="21"/>
          <w:highlight w:val="none"/>
        </w:rPr>
      </w:pPr>
    </w:p>
    <w:p w14:paraId="13706068">
      <w:pPr>
        <w:snapToGrid w:val="0"/>
        <w:spacing w:line="360" w:lineRule="auto"/>
        <w:ind w:firstLine="4935" w:firstLineChars="2350"/>
        <w:rPr>
          <w:rFonts w:hint="eastAsia" w:ascii="宋体" w:hAnsi="宋体" w:eastAsia="宋体" w:cs="宋体"/>
          <w:color w:val="auto"/>
          <w:kern w:val="0"/>
          <w:sz w:val="24"/>
          <w:szCs w:val="24"/>
          <w:highlight w:val="none"/>
          <w:u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val="zh-CN"/>
        </w:rPr>
        <w:t>(电子签章)：</w:t>
      </w:r>
      <w:r>
        <w:rPr>
          <w:rFonts w:hint="eastAsia" w:ascii="宋体" w:hAnsi="宋体" w:eastAsia="宋体" w:cs="宋体"/>
          <w:color w:val="auto"/>
          <w:kern w:val="0"/>
          <w:sz w:val="24"/>
          <w:szCs w:val="24"/>
          <w:highlight w:val="none"/>
          <w:u w:val="none"/>
          <w:lang w:val="zh-CN"/>
        </w:rPr>
        <w:t xml:space="preserve">             </w:t>
      </w:r>
    </w:p>
    <w:p w14:paraId="56840129">
      <w:pPr>
        <w:snapToGrid w:val="0"/>
        <w:spacing w:line="360" w:lineRule="auto"/>
        <w:ind w:firstLine="5520" w:firstLineChars="23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7789F687">
      <w:pPr>
        <w:snapToGrid w:val="0"/>
        <w:spacing w:before="165" w:beforeLines="50" w:after="50"/>
        <w:jc w:val="left"/>
        <w:rPr>
          <w:rFonts w:hint="eastAsia" w:ascii="宋体" w:hAnsi="宋体" w:cs="宋体"/>
          <w:color w:val="auto"/>
          <w:sz w:val="24"/>
          <w:highlight w:val="none"/>
        </w:rPr>
      </w:pPr>
    </w:p>
    <w:p w14:paraId="04FE358C">
      <w:pPr>
        <w:snapToGrid w:val="0"/>
        <w:spacing w:before="165" w:beforeLines="50" w:after="50"/>
        <w:ind w:firstLine="2397" w:firstLineChars="796"/>
        <w:rPr>
          <w:rFonts w:hint="eastAsia" w:ascii="宋体" w:hAnsi="宋体" w:cs="宋体"/>
          <w:b/>
          <w:bCs/>
          <w:color w:val="auto"/>
          <w:sz w:val="30"/>
          <w:szCs w:val="30"/>
          <w:highlight w:val="none"/>
        </w:rPr>
      </w:pPr>
    </w:p>
    <w:p w14:paraId="05F62E2A">
      <w:pPr>
        <w:snapToGrid w:val="0"/>
        <w:spacing w:before="165" w:beforeLines="50" w:after="50"/>
        <w:ind w:firstLine="2397" w:firstLineChars="796"/>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六</w:t>
      </w:r>
      <w:r>
        <w:rPr>
          <w:rFonts w:hint="eastAsia" w:ascii="宋体" w:hAnsi="宋体" w:cs="宋体"/>
          <w:b/>
          <w:bCs/>
          <w:color w:val="auto"/>
          <w:sz w:val="30"/>
          <w:szCs w:val="30"/>
          <w:highlight w:val="none"/>
        </w:rPr>
        <w:t>、认为需要的其他技术文件或说明</w:t>
      </w:r>
    </w:p>
    <w:p w14:paraId="5FE51175">
      <w:pPr>
        <w:snapToGrid w:val="0"/>
        <w:spacing w:before="165" w:beforeLines="50" w:after="50"/>
        <w:ind w:firstLine="578" w:firstLineChars="241"/>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（由供应商根据采购需求自行编制）</w:t>
      </w:r>
    </w:p>
    <w:p w14:paraId="1D3BEF7D">
      <w:pPr>
        <w:spacing w:line="360" w:lineRule="auto"/>
        <w:jc w:val="center"/>
        <w:rPr>
          <w:rFonts w:hint="eastAsia" w:ascii="宋体" w:hAnsi="宋体" w:cs="宋体"/>
          <w:color w:val="auto"/>
          <w:sz w:val="24"/>
          <w:highlight w:val="none"/>
        </w:rPr>
      </w:pPr>
    </w:p>
    <w:p w14:paraId="2F10B241">
      <w:pPr>
        <w:autoSpaceDE w:val="0"/>
        <w:autoSpaceDN w:val="0"/>
        <w:spacing w:line="360" w:lineRule="auto"/>
        <w:ind w:firstLine="4800" w:firstLineChars="2000"/>
        <w:rPr>
          <w:rFonts w:hint="eastAsia" w:ascii="宋体" w:hAnsi="宋体" w:cs="宋体"/>
          <w:color w:val="auto"/>
          <w:kern w:val="0"/>
          <w:sz w:val="24"/>
          <w:highlight w:val="none"/>
        </w:rPr>
      </w:pPr>
    </w:p>
    <w:p w14:paraId="56D548D1">
      <w:pPr>
        <w:autoSpaceDE w:val="0"/>
        <w:autoSpaceDN w:val="0"/>
        <w:spacing w:line="360" w:lineRule="auto"/>
        <w:ind w:firstLine="4800" w:firstLineChars="2000"/>
        <w:rPr>
          <w:rFonts w:hint="eastAsia" w:ascii="宋体" w:hAnsi="宋体" w:cs="宋体"/>
          <w:color w:val="auto"/>
          <w:kern w:val="0"/>
          <w:sz w:val="24"/>
          <w:highlight w:val="none"/>
        </w:rPr>
      </w:pPr>
    </w:p>
    <w:p w14:paraId="1A4557EF">
      <w:pPr>
        <w:autoSpaceDE w:val="0"/>
        <w:autoSpaceDN w:val="0"/>
        <w:spacing w:line="360" w:lineRule="auto"/>
        <w:ind w:firstLine="4800" w:firstLineChars="2000"/>
        <w:rPr>
          <w:rFonts w:hint="eastAsia" w:ascii="宋体" w:hAnsi="宋体" w:cs="宋体"/>
          <w:color w:val="auto"/>
          <w:sz w:val="24"/>
          <w:highlight w:val="none"/>
        </w:rPr>
      </w:pPr>
      <w:r>
        <w:rPr>
          <w:rFonts w:hint="eastAsia" w:ascii="宋体" w:hAnsi="宋体" w:cs="宋体"/>
          <w:color w:val="auto"/>
          <w:kern w:val="0"/>
          <w:sz w:val="24"/>
          <w:highlight w:val="none"/>
        </w:rPr>
        <w:t>供应商名称（电子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6F0AEF45">
      <w:pPr>
        <w:autoSpaceDE w:val="0"/>
        <w:autoSpaceDN w:val="0"/>
        <w:spacing w:line="360" w:lineRule="auto"/>
        <w:rPr>
          <w:rFonts w:hint="eastAsia"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74A00A35">
      <w:pPr>
        <w:snapToGrid w:val="0"/>
        <w:spacing w:before="165" w:beforeLines="50" w:after="50"/>
        <w:jc w:val="center"/>
        <w:rPr>
          <w:rFonts w:hint="eastAsia" w:ascii="宋体" w:hAnsi="宋体" w:cs="宋体"/>
          <w:b/>
          <w:bCs/>
          <w:color w:val="auto"/>
          <w:sz w:val="24"/>
          <w:highlight w:val="none"/>
        </w:rPr>
        <w:sectPr>
          <w:pgSz w:w="11906" w:h="16838"/>
          <w:pgMar w:top="1134" w:right="1134" w:bottom="1134" w:left="1134" w:header="720" w:footer="720" w:gutter="0"/>
          <w:pgNumType w:fmt="decimal"/>
          <w:cols w:space="720" w:num="1"/>
          <w:docGrid w:type="lines" w:linePitch="331" w:charSpace="0"/>
        </w:sectPr>
      </w:pPr>
    </w:p>
    <w:p w14:paraId="6E3D407E">
      <w:pPr>
        <w:pStyle w:val="16"/>
        <w:jc w:val="center"/>
        <w:outlineLvl w:val="1"/>
        <w:rPr>
          <w:rFonts w:hint="eastAsia" w:hAnsi="宋体" w:cs="宋体"/>
          <w:b/>
          <w:bCs/>
          <w:color w:val="auto"/>
          <w:sz w:val="28"/>
          <w:szCs w:val="28"/>
          <w:highlight w:val="none"/>
        </w:rPr>
      </w:pPr>
      <w:bookmarkStart w:id="113" w:name="_Toc80093015"/>
      <w:bookmarkStart w:id="114" w:name="_Toc5660"/>
    </w:p>
    <w:p w14:paraId="754F7D5D">
      <w:pPr>
        <w:pStyle w:val="16"/>
        <w:jc w:val="center"/>
        <w:outlineLvl w:val="1"/>
        <w:rPr>
          <w:rFonts w:hint="eastAsia" w:hAnsi="宋体" w:cs="宋体"/>
          <w:b/>
          <w:bCs/>
          <w:color w:val="auto"/>
          <w:sz w:val="28"/>
          <w:szCs w:val="28"/>
          <w:highlight w:val="none"/>
        </w:rPr>
      </w:pPr>
    </w:p>
    <w:p w14:paraId="7C2C4DF7">
      <w:pPr>
        <w:pStyle w:val="16"/>
        <w:jc w:val="center"/>
        <w:outlineLvl w:val="1"/>
        <w:rPr>
          <w:rFonts w:hint="eastAsia" w:hAnsi="宋体" w:cs="宋体"/>
          <w:b/>
          <w:bCs/>
          <w:color w:val="auto"/>
          <w:sz w:val="28"/>
          <w:szCs w:val="28"/>
          <w:highlight w:val="none"/>
        </w:rPr>
      </w:pPr>
      <w:bookmarkStart w:id="115" w:name="_Toc1005"/>
      <w:r>
        <w:rPr>
          <w:rFonts w:hint="eastAsia" w:hAnsi="宋体" w:cs="宋体"/>
          <w:b/>
          <w:bCs/>
          <w:color w:val="auto"/>
          <w:sz w:val="28"/>
          <w:szCs w:val="28"/>
          <w:highlight w:val="none"/>
        </w:rPr>
        <w:t>第五节 报价文件格式</w:t>
      </w:r>
      <w:bookmarkEnd w:id="113"/>
      <w:bookmarkEnd w:id="114"/>
      <w:bookmarkEnd w:id="115"/>
    </w:p>
    <w:p w14:paraId="766E5CBE">
      <w:pPr>
        <w:snapToGrid w:val="0"/>
        <w:spacing w:before="165" w:beforeLines="50" w:after="50" w:line="400" w:lineRule="exact"/>
        <w:jc w:val="center"/>
        <w:rPr>
          <w:rFonts w:hint="eastAsia" w:ascii="宋体" w:hAnsi="宋体" w:cs="宋体"/>
          <w:bCs/>
          <w:color w:val="auto"/>
          <w:sz w:val="32"/>
          <w:szCs w:val="20"/>
          <w:highlight w:val="none"/>
        </w:rPr>
      </w:pPr>
      <w:r>
        <w:rPr>
          <w:rFonts w:hint="eastAsia" w:ascii="宋体" w:hAnsi="宋体" w:cs="宋体"/>
          <w:bCs/>
          <w:color w:val="auto"/>
          <w:highlight w:val="none"/>
        </w:rPr>
        <w:t>电子响应文件</w:t>
      </w:r>
    </w:p>
    <w:p w14:paraId="30E66BEF">
      <w:pPr>
        <w:snapToGrid w:val="0"/>
        <w:spacing w:before="165" w:beforeLines="50" w:after="50" w:line="400" w:lineRule="exact"/>
        <w:jc w:val="center"/>
        <w:rPr>
          <w:rFonts w:hint="eastAsia" w:ascii="宋体" w:hAnsi="宋体" w:cs="宋体"/>
          <w:bCs/>
          <w:color w:val="auto"/>
          <w:sz w:val="24"/>
          <w:szCs w:val="20"/>
          <w:highlight w:val="none"/>
        </w:rPr>
      </w:pPr>
    </w:p>
    <w:p w14:paraId="6F27CD5F">
      <w:pPr>
        <w:snapToGrid w:val="0"/>
        <w:spacing w:before="165" w:beforeLines="50" w:after="50" w:line="4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6E39A7C0">
      <w:pPr>
        <w:snapToGrid w:val="0"/>
        <w:spacing w:before="165" w:beforeLines="50" w:after="50" w:line="400" w:lineRule="exact"/>
        <w:rPr>
          <w:rFonts w:hint="eastAsia" w:ascii="宋体" w:hAnsi="宋体" w:cs="宋体"/>
          <w:bCs/>
          <w:color w:val="auto"/>
          <w:sz w:val="24"/>
          <w:szCs w:val="20"/>
          <w:highlight w:val="none"/>
        </w:rPr>
      </w:pPr>
    </w:p>
    <w:p w14:paraId="0F58CF2E">
      <w:pPr>
        <w:snapToGrid w:val="0"/>
        <w:spacing w:before="165" w:beforeLines="50" w:after="50" w:line="400" w:lineRule="exact"/>
        <w:rPr>
          <w:rFonts w:hint="eastAsia" w:ascii="宋体" w:hAnsi="宋体" w:cs="宋体"/>
          <w:bCs/>
          <w:color w:val="auto"/>
          <w:sz w:val="24"/>
          <w:szCs w:val="20"/>
          <w:highlight w:val="none"/>
        </w:rPr>
      </w:pPr>
    </w:p>
    <w:p w14:paraId="124FF298">
      <w:pPr>
        <w:snapToGrid w:val="0"/>
        <w:spacing w:before="165" w:beforeLines="50" w:after="50" w:line="400" w:lineRule="exact"/>
        <w:rPr>
          <w:rFonts w:hint="eastAsia" w:ascii="宋体" w:hAnsi="宋体" w:cs="宋体"/>
          <w:bCs/>
          <w:color w:val="auto"/>
          <w:sz w:val="24"/>
          <w:szCs w:val="20"/>
          <w:highlight w:val="none"/>
        </w:rPr>
      </w:pPr>
    </w:p>
    <w:p w14:paraId="36A9BE2C">
      <w:pPr>
        <w:snapToGrid w:val="0"/>
        <w:spacing w:before="165" w:beforeLines="50" w:after="50" w:line="400" w:lineRule="exact"/>
        <w:rPr>
          <w:rFonts w:hint="eastAsia" w:ascii="宋体" w:hAnsi="宋体" w:cs="宋体"/>
          <w:bCs/>
          <w:color w:val="auto"/>
          <w:sz w:val="24"/>
          <w:szCs w:val="20"/>
          <w:highlight w:val="none"/>
        </w:rPr>
      </w:pPr>
    </w:p>
    <w:p w14:paraId="65880D78">
      <w:pPr>
        <w:snapToGrid w:val="0"/>
        <w:spacing w:before="165" w:beforeLines="50" w:after="50" w:line="400" w:lineRule="exact"/>
        <w:ind w:firstLine="360" w:firstLineChars="150"/>
        <w:rPr>
          <w:rFonts w:hint="eastAsia" w:ascii="宋体" w:hAnsi="宋体" w:cs="宋体" w:eastAsiaTheme="minorEastAsia"/>
          <w:bCs/>
          <w:color w:val="auto"/>
          <w:sz w:val="24"/>
          <w:highlight w:val="none"/>
          <w:lang w:eastAsia="zh-CN"/>
        </w:rPr>
      </w:pPr>
      <w:r>
        <w:rPr>
          <w:rFonts w:hint="eastAsia" w:ascii="宋体" w:hAnsi="宋体" w:cs="宋体"/>
          <w:bCs/>
          <w:color w:val="auto"/>
          <w:sz w:val="24"/>
          <w:highlight w:val="none"/>
        </w:rPr>
        <w:t>项目名称：</w:t>
      </w:r>
      <w:r>
        <w:rPr>
          <w:rFonts w:hint="eastAsia" w:ascii="宋体" w:hAnsi="宋体" w:cs="宋体"/>
          <w:bCs/>
          <w:color w:val="auto"/>
          <w:sz w:val="24"/>
          <w:highlight w:val="none"/>
          <w:lang w:eastAsia="zh-CN"/>
        </w:rPr>
        <w:t>广西—东盟经济技术开发区2025-2027年度预算单位车辆维修和保养服务框架协议采购</w:t>
      </w:r>
    </w:p>
    <w:p w14:paraId="14D95D2A">
      <w:pPr>
        <w:snapToGrid w:val="0"/>
        <w:spacing w:before="165" w:beforeLines="50" w:after="50" w:line="400" w:lineRule="exact"/>
        <w:ind w:firstLine="360" w:firstLineChars="150"/>
        <w:rPr>
          <w:rFonts w:hint="eastAsia" w:ascii="宋体" w:hAnsi="宋体" w:cs="宋体"/>
          <w:bCs/>
          <w:color w:val="auto"/>
          <w:sz w:val="24"/>
          <w:highlight w:val="none"/>
        </w:rPr>
      </w:pPr>
    </w:p>
    <w:p w14:paraId="576A790D">
      <w:pPr>
        <w:snapToGrid w:val="0"/>
        <w:spacing w:before="165" w:beforeLines="50" w:after="50" w:line="400" w:lineRule="exact"/>
        <w:ind w:firstLine="360" w:firstLineChars="150"/>
        <w:rPr>
          <w:rFonts w:hint="eastAsia" w:ascii="宋体" w:hAnsi="宋体" w:cs="宋体" w:eastAsiaTheme="minorEastAsia"/>
          <w:bCs/>
          <w:color w:val="auto"/>
          <w:sz w:val="24"/>
          <w:highlight w:val="none"/>
          <w:lang w:eastAsia="zh-CN"/>
        </w:rPr>
      </w:pPr>
      <w:r>
        <w:rPr>
          <w:rFonts w:hint="eastAsia" w:ascii="宋体" w:hAnsi="宋体" w:cs="宋体"/>
          <w:bCs/>
          <w:color w:val="auto"/>
          <w:sz w:val="24"/>
          <w:highlight w:val="none"/>
        </w:rPr>
        <w:t xml:space="preserve">项目编号： </w:t>
      </w:r>
      <w:r>
        <w:rPr>
          <w:rFonts w:hint="eastAsia" w:ascii="宋体" w:hAnsi="宋体" w:cs="宋体"/>
          <w:bCs/>
          <w:color w:val="auto"/>
          <w:sz w:val="24"/>
          <w:highlight w:val="none"/>
          <w:lang w:eastAsia="zh-CN"/>
        </w:rPr>
        <w:t>NNZC2025-K3-510013-GXJL</w:t>
      </w:r>
    </w:p>
    <w:p w14:paraId="570E4072">
      <w:pPr>
        <w:snapToGrid w:val="0"/>
        <w:spacing w:before="165" w:beforeLines="50" w:after="50" w:line="400" w:lineRule="exact"/>
        <w:ind w:firstLine="360" w:firstLineChars="150"/>
        <w:rPr>
          <w:rFonts w:hint="eastAsia" w:ascii="宋体" w:hAnsi="宋体" w:cs="宋体"/>
          <w:bCs/>
          <w:color w:val="auto"/>
          <w:sz w:val="24"/>
          <w:highlight w:val="none"/>
        </w:rPr>
      </w:pPr>
    </w:p>
    <w:p w14:paraId="05243996">
      <w:pPr>
        <w:snapToGrid w:val="0"/>
        <w:spacing w:before="165"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所投分标：</w:t>
      </w:r>
    </w:p>
    <w:p w14:paraId="6E0F076A">
      <w:pPr>
        <w:snapToGrid w:val="0"/>
        <w:spacing w:before="165" w:beforeLines="50" w:after="50" w:line="400" w:lineRule="exact"/>
        <w:ind w:firstLine="360" w:firstLineChars="150"/>
        <w:rPr>
          <w:rFonts w:hint="eastAsia" w:ascii="宋体" w:hAnsi="宋体" w:cs="宋体"/>
          <w:bCs/>
          <w:color w:val="auto"/>
          <w:sz w:val="24"/>
          <w:highlight w:val="none"/>
        </w:rPr>
      </w:pPr>
    </w:p>
    <w:p w14:paraId="44D5BA82">
      <w:pPr>
        <w:snapToGrid w:val="0"/>
        <w:spacing w:before="165"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供应商名称：</w:t>
      </w:r>
    </w:p>
    <w:p w14:paraId="4E89234A">
      <w:pPr>
        <w:snapToGrid w:val="0"/>
        <w:spacing w:before="165" w:beforeLines="50" w:after="50" w:line="400" w:lineRule="exact"/>
        <w:ind w:firstLine="360" w:firstLineChars="150"/>
        <w:rPr>
          <w:rFonts w:hint="eastAsia" w:ascii="宋体" w:hAnsi="宋体" w:cs="宋体"/>
          <w:bCs/>
          <w:color w:val="auto"/>
          <w:sz w:val="24"/>
          <w:highlight w:val="none"/>
        </w:rPr>
      </w:pPr>
    </w:p>
    <w:p w14:paraId="0E3D7FE1">
      <w:pPr>
        <w:snapToGrid w:val="0"/>
        <w:spacing w:before="165"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供应商地址：</w:t>
      </w:r>
    </w:p>
    <w:p w14:paraId="24500032">
      <w:pPr>
        <w:pStyle w:val="11"/>
        <w:snapToGrid w:val="0"/>
        <w:spacing w:before="50" w:after="50" w:line="400" w:lineRule="exact"/>
        <w:ind w:firstLine="960" w:firstLineChars="400"/>
        <w:rPr>
          <w:rFonts w:hint="eastAsia" w:ascii="宋体" w:hAnsi="宋体" w:cs="宋体"/>
          <w:bCs/>
          <w:color w:val="auto"/>
          <w:sz w:val="24"/>
          <w:szCs w:val="24"/>
          <w:highlight w:val="none"/>
        </w:rPr>
      </w:pPr>
    </w:p>
    <w:p w14:paraId="4BD7140A">
      <w:pPr>
        <w:snapToGrid w:val="0"/>
        <w:spacing w:before="165" w:beforeLines="50" w:after="50" w:line="400" w:lineRule="exact"/>
        <w:rPr>
          <w:rFonts w:hint="eastAsia" w:ascii="宋体" w:hAnsi="宋体" w:cs="宋体"/>
          <w:color w:val="auto"/>
          <w:sz w:val="24"/>
          <w:highlight w:val="none"/>
        </w:rPr>
        <w:sectPr>
          <w:pgSz w:w="11906" w:h="16838"/>
          <w:pgMar w:top="1134" w:right="1134" w:bottom="1134" w:left="1134" w:header="720" w:footer="720" w:gutter="0"/>
          <w:pgNumType w:fmt="decimal"/>
          <w:cols w:space="720" w:num="1"/>
          <w:docGrid w:type="lines" w:linePitch="331" w:charSpace="0"/>
        </w:sectPr>
      </w:pPr>
      <w:r>
        <w:rPr>
          <w:rFonts w:hint="eastAsia" w:ascii="宋体" w:hAnsi="宋体" w:cs="宋体"/>
          <w:color w:val="auto"/>
          <w:sz w:val="24"/>
          <w:highlight w:val="none"/>
        </w:rPr>
        <w:t xml:space="preserve">                                                       年  月  日</w:t>
      </w:r>
    </w:p>
    <w:p w14:paraId="3A96373E">
      <w:pPr>
        <w:rPr>
          <w:rFonts w:hint="eastAsia" w:ascii="宋体" w:hAnsi="宋体" w:cs="宋体"/>
          <w:color w:val="auto"/>
          <w:highlight w:val="none"/>
        </w:rPr>
      </w:pPr>
    </w:p>
    <w:p w14:paraId="621763D2">
      <w:pPr>
        <w:snapToGrid w:val="0"/>
        <w:spacing w:before="165" w:beforeLines="50" w:after="50" w:line="4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58E1B5B4">
      <w:pPr>
        <w:rPr>
          <w:rFonts w:hint="eastAsia" w:ascii="宋体" w:hAnsi="宋体" w:cs="宋体"/>
          <w:color w:val="auto"/>
          <w:highlight w:val="none"/>
        </w:rPr>
      </w:pPr>
    </w:p>
    <w:p w14:paraId="329C0742">
      <w:pPr>
        <w:rPr>
          <w:rFonts w:hint="eastAsia" w:ascii="宋体" w:hAnsi="宋体" w:cs="宋体"/>
          <w:color w:val="auto"/>
          <w:kern w:val="0"/>
          <w:sz w:val="24"/>
          <w:highlight w:val="none"/>
        </w:rPr>
      </w:pPr>
      <w:r>
        <w:rPr>
          <w:rFonts w:hint="eastAsia" w:ascii="宋体" w:hAnsi="宋体" w:cs="宋体"/>
          <w:color w:val="auto"/>
          <w:kern w:val="0"/>
          <w:sz w:val="24"/>
          <w:highlight w:val="none"/>
        </w:rPr>
        <w:t>一、响应函…………………………………………………………………………………（页码）</w:t>
      </w:r>
    </w:p>
    <w:p w14:paraId="30F1A1AF">
      <w:pPr>
        <w:rPr>
          <w:rFonts w:hint="eastAsia"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0C7806FD">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注：以上目录是基本格式要求，各供应商可根据自身情况进一步向下增加内容或细化。</w:t>
      </w:r>
    </w:p>
    <w:p w14:paraId="4BD11EDB">
      <w:pPr>
        <w:pStyle w:val="6"/>
        <w:ind w:left="0" w:leftChars="0" w:firstLine="0" w:firstLineChars="0"/>
        <w:rPr>
          <w:rFonts w:hint="eastAsia"/>
          <w:color w:val="auto"/>
          <w:highlight w:val="none"/>
        </w:rPr>
      </w:pPr>
    </w:p>
    <w:p w14:paraId="42D9BE76">
      <w:pPr>
        <w:pStyle w:val="8"/>
        <w:ind w:left="0" w:firstLine="0"/>
        <w:rPr>
          <w:rFonts w:hint="eastAsia" w:ascii="宋体" w:hAnsi="宋体" w:cs="宋体"/>
          <w:color w:val="auto"/>
          <w:highlight w:val="none"/>
        </w:rPr>
      </w:pPr>
    </w:p>
    <w:p w14:paraId="77BADE8F">
      <w:pPr>
        <w:snapToGrid w:val="0"/>
        <w:spacing w:before="165" w:beforeLines="50" w:after="50" w:line="400" w:lineRule="exact"/>
        <w:ind w:firstLine="300" w:firstLineChars="100"/>
        <w:rPr>
          <w:rFonts w:hint="eastAsia" w:ascii="宋体" w:hAnsi="宋体" w:cs="宋体"/>
          <w:color w:val="auto"/>
          <w:sz w:val="30"/>
          <w:szCs w:val="20"/>
          <w:highlight w:val="none"/>
        </w:rPr>
      </w:pPr>
    </w:p>
    <w:p w14:paraId="037CC641">
      <w:pPr>
        <w:pStyle w:val="8"/>
        <w:ind w:firstLine="210"/>
        <w:rPr>
          <w:rFonts w:hint="eastAsia" w:ascii="宋体" w:hAnsi="宋体" w:cs="宋体"/>
          <w:color w:val="auto"/>
          <w:highlight w:val="none"/>
        </w:rPr>
        <w:sectPr>
          <w:pgSz w:w="11906" w:h="16838"/>
          <w:pgMar w:top="1134" w:right="1134" w:bottom="1134" w:left="1134" w:header="720" w:footer="720" w:gutter="0"/>
          <w:pgNumType w:fmt="decimal"/>
          <w:cols w:space="720" w:num="1"/>
          <w:docGrid w:type="lines" w:linePitch="331" w:charSpace="0"/>
        </w:sectPr>
      </w:pPr>
    </w:p>
    <w:p w14:paraId="3AD0FC1A">
      <w:pPr>
        <w:pStyle w:val="16"/>
        <w:spacing w:line="500" w:lineRule="exact"/>
        <w:jc w:val="center"/>
        <w:rPr>
          <w:rFonts w:hint="eastAsia" w:hAnsi="宋体" w:cs="宋体"/>
          <w:b/>
          <w:bCs/>
          <w:color w:val="auto"/>
          <w:sz w:val="30"/>
          <w:szCs w:val="30"/>
          <w:highlight w:val="none"/>
        </w:rPr>
      </w:pPr>
      <w:r>
        <w:rPr>
          <w:rFonts w:hint="eastAsia" w:hAnsi="宋体" w:cs="宋体"/>
          <w:b/>
          <w:bCs/>
          <w:color w:val="auto"/>
          <w:sz w:val="30"/>
          <w:szCs w:val="30"/>
          <w:highlight w:val="none"/>
        </w:rPr>
        <w:t>一、响应函</w:t>
      </w:r>
    </w:p>
    <w:p w14:paraId="5B58A3E9">
      <w:pPr>
        <w:pStyle w:val="16"/>
        <w:spacing w:line="440" w:lineRule="exact"/>
        <w:rPr>
          <w:rFonts w:hint="eastAsia" w:hAnsi="宋体" w:cs="宋体"/>
          <w:color w:val="auto"/>
          <w:highlight w:val="none"/>
        </w:rPr>
      </w:pPr>
    </w:p>
    <w:p w14:paraId="0256856D">
      <w:pPr>
        <w:pStyle w:val="16"/>
        <w:spacing w:line="440" w:lineRule="exact"/>
        <w:rPr>
          <w:rFonts w:hint="eastAsia"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14:paraId="13429871">
      <w:pPr>
        <w:spacing w:line="440" w:lineRule="exact"/>
        <w:ind w:firstLine="420" w:firstLineChars="200"/>
        <w:rPr>
          <w:rFonts w:ascii="宋体" w:hAnsi="Courier New"/>
          <w:color w:val="auto"/>
          <w:szCs w:val="20"/>
          <w:highlight w:val="none"/>
        </w:rPr>
      </w:pPr>
      <w:r>
        <w:rPr>
          <w:rFonts w:hint="eastAsia" w:ascii="宋体" w:hAnsi="Courier New"/>
          <w:color w:val="auto"/>
          <w:szCs w:val="20"/>
          <w:highlight w:val="none"/>
        </w:rPr>
        <w:t>我方已仔细阅读了贵方组织的</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w:t>
      </w:r>
      <w:r>
        <w:rPr>
          <w:rFonts w:hint="eastAsia" w:ascii="宋体" w:hAnsi="Courier New"/>
          <w:color w:val="auto"/>
          <w:szCs w:val="20"/>
          <w:highlight w:val="none"/>
        </w:rPr>
        <w:t>的征集文件的全部内容，授权</w:t>
      </w:r>
      <w:r>
        <w:rPr>
          <w:rFonts w:ascii="Times New Roman" w:hAnsi="Times New Roman"/>
          <w:color w:val="auto"/>
          <w:szCs w:val="20"/>
          <w:highlight w:val="none"/>
          <w:u w:val="single"/>
        </w:rPr>
        <w:t xml:space="preserve">                      </w:t>
      </w:r>
      <w:r>
        <w:rPr>
          <w:rFonts w:hint="eastAsia" w:ascii="宋体" w:hAnsi="Courier New"/>
          <w:b/>
          <w:color w:val="auto"/>
          <w:szCs w:val="20"/>
          <w:highlight w:val="none"/>
        </w:rPr>
        <w:t>(全权代表姓名)</w:t>
      </w:r>
      <w:r>
        <w:rPr>
          <w:rFonts w:ascii="Times New Roman" w:hAnsi="Times New Roman"/>
          <w:b/>
          <w:color w:val="auto"/>
          <w:szCs w:val="20"/>
          <w:highlight w:val="none"/>
          <w:u w:val="single"/>
        </w:rPr>
        <w:t xml:space="preserve">          </w:t>
      </w:r>
      <w:r>
        <w:rPr>
          <w:rFonts w:hint="eastAsia" w:ascii="宋体" w:hAnsi="Courier New"/>
          <w:b/>
          <w:color w:val="auto"/>
          <w:szCs w:val="20"/>
          <w:highlight w:val="none"/>
        </w:rPr>
        <w:t xml:space="preserve"> </w:t>
      </w:r>
      <w:r>
        <w:rPr>
          <w:rFonts w:hint="eastAsia" w:ascii="宋体" w:hAnsi="Courier New"/>
          <w:color w:val="auto"/>
          <w:szCs w:val="20"/>
          <w:highlight w:val="none"/>
        </w:rPr>
        <w:t>为全权代表</w:t>
      </w:r>
      <w:r>
        <w:rPr>
          <w:rFonts w:ascii="宋体" w:hAnsi="宋体" w:cs="宋体"/>
          <w:color w:val="auto"/>
          <w:highlight w:val="none"/>
        </w:rPr>
        <w:t>供应商</w:t>
      </w:r>
      <w:r>
        <w:rPr>
          <w:color w:val="auto"/>
          <w:spacing w:val="1"/>
          <w:highlight w:val="none"/>
        </w:rPr>
        <w:t>_</w:t>
      </w:r>
      <w:r>
        <w:rPr>
          <w:rFonts w:hint="eastAsia"/>
          <w:color w:val="auto"/>
          <w:spacing w:val="1"/>
          <w:highlight w:val="none"/>
          <w:u w:val="single"/>
        </w:rPr>
        <w:t xml:space="preserve">   </w:t>
      </w:r>
      <w:r>
        <w:rPr>
          <w:rFonts w:ascii="宋体" w:hAnsi="宋体" w:cs="宋体"/>
          <w:b/>
          <w:color w:val="auto"/>
          <w:highlight w:val="none"/>
          <w:u w:val="single"/>
        </w:rPr>
        <w:t>（供应商名称）</w:t>
      </w:r>
      <w:r>
        <w:rPr>
          <w:rFonts w:hint="eastAsia" w:ascii="宋体" w:hAnsi="宋体" w:cs="宋体"/>
          <w:color w:val="auto"/>
          <w:highlight w:val="none"/>
          <w:u w:val="single"/>
        </w:rPr>
        <w:t xml:space="preserve">   </w:t>
      </w:r>
      <w:r>
        <w:rPr>
          <w:rFonts w:ascii="宋体" w:hAnsi="宋体" w:cs="宋体"/>
          <w:color w:val="auto"/>
          <w:highlight w:val="none"/>
        </w:rPr>
        <w:t>提交响应文件。</w:t>
      </w:r>
      <w:r>
        <w:rPr>
          <w:rFonts w:hint="eastAsia" w:ascii="宋体" w:hAnsi="Courier New"/>
          <w:color w:val="auto"/>
          <w:szCs w:val="20"/>
          <w:highlight w:val="none"/>
        </w:rPr>
        <w:t xml:space="preserve"> </w:t>
      </w:r>
    </w:p>
    <w:p w14:paraId="0A2A6A09">
      <w:pPr>
        <w:spacing w:line="360" w:lineRule="auto"/>
        <w:ind w:firstLine="482"/>
        <w:rPr>
          <w:rFonts w:hint="eastAsia" w:ascii="宋体" w:hAnsi="Courier New"/>
          <w:color w:val="auto"/>
          <w:szCs w:val="20"/>
          <w:highlight w:val="none"/>
        </w:rPr>
      </w:pPr>
      <w:r>
        <w:rPr>
          <w:rFonts w:hint="eastAsia" w:ascii="宋体" w:hAnsi="Courier New"/>
          <w:color w:val="auto"/>
          <w:szCs w:val="20"/>
          <w:highlight w:val="none"/>
        </w:rPr>
        <w:t>据此函，签字人兹宣布：</w:t>
      </w:r>
    </w:p>
    <w:p w14:paraId="5BE91DAF">
      <w:pPr>
        <w:spacing w:line="360" w:lineRule="auto"/>
        <w:ind w:firstLine="420" w:firstLineChars="200"/>
        <w:rPr>
          <w:rFonts w:hint="eastAsia" w:ascii="宋体" w:hAnsi="Courier New"/>
          <w:color w:val="auto"/>
          <w:szCs w:val="20"/>
          <w:highlight w:val="none"/>
        </w:rPr>
      </w:pPr>
      <w:r>
        <w:rPr>
          <w:rFonts w:hint="eastAsia" w:ascii="宋体" w:hAnsi="Courier New"/>
          <w:color w:val="auto"/>
          <w:szCs w:val="20"/>
          <w:highlight w:val="none"/>
        </w:rPr>
        <w:t>1、我方愿意按本项目征集文件规定的报价要求进行响应报价，</w:t>
      </w:r>
      <w:r>
        <w:rPr>
          <w:rFonts w:hint="eastAsia" w:ascii="宋体" w:hAnsi="宋体"/>
          <w:color w:val="auto"/>
          <w:szCs w:val="20"/>
          <w:highlight w:val="none"/>
          <w:lang w:val="en-US" w:eastAsia="zh-CN"/>
        </w:rPr>
        <w:t>零配件价格优惠率</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hAnsi="宋体"/>
          <w:color w:val="auto"/>
          <w:szCs w:val="22"/>
          <w:highlight w:val="none"/>
          <w:u w:val="none"/>
          <w:lang w:val="en-US" w:eastAsia="zh-CN"/>
        </w:rPr>
        <w:t>维修工时费优惠率</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框架协议期限</w:t>
      </w:r>
      <w:r>
        <w:rPr>
          <w:rFonts w:hint="eastAsia" w:ascii="宋体" w:hAnsi="宋体"/>
          <w:color w:val="auto"/>
          <w:szCs w:val="21"/>
          <w:highlight w:val="none"/>
          <w:u w:val="single"/>
          <w:lang w:val="en-US" w:eastAsia="zh-CN"/>
        </w:rPr>
        <w:t xml:space="preserve">                  </w:t>
      </w:r>
      <w:r>
        <w:rPr>
          <w:rFonts w:hint="eastAsia" w:ascii="宋体" w:hAnsi="宋体"/>
          <w:color w:val="auto"/>
          <w:szCs w:val="20"/>
          <w:highlight w:val="none"/>
        </w:rPr>
        <w:t>。</w:t>
      </w:r>
    </w:p>
    <w:p w14:paraId="3042A0F1">
      <w:pPr>
        <w:spacing w:line="360" w:lineRule="auto"/>
        <w:ind w:firstLine="420" w:firstLineChars="200"/>
        <w:rPr>
          <w:rFonts w:ascii="宋体" w:hAnsi="Courier New"/>
          <w:color w:val="auto"/>
          <w:szCs w:val="20"/>
          <w:highlight w:val="none"/>
        </w:rPr>
      </w:pPr>
      <w:r>
        <w:rPr>
          <w:rFonts w:hint="eastAsia" w:ascii="宋体" w:hAnsi="Courier New"/>
          <w:color w:val="auto"/>
          <w:szCs w:val="20"/>
          <w:highlight w:val="none"/>
        </w:rPr>
        <w:t>2</w:t>
      </w:r>
      <w:r>
        <w:rPr>
          <w:rFonts w:ascii="宋体" w:hAnsi="Courier New"/>
          <w:color w:val="auto"/>
          <w:szCs w:val="20"/>
          <w:highlight w:val="none"/>
        </w:rPr>
        <w:t>.</w:t>
      </w:r>
      <w:r>
        <w:rPr>
          <w:rFonts w:hint="eastAsia" w:ascii="宋体" w:hAnsi="Courier New"/>
          <w:color w:val="auto"/>
          <w:szCs w:val="20"/>
          <w:highlight w:val="none"/>
        </w:rPr>
        <w:t>我方已详细审查本采购项目征集文件，包括修改文件（如有的话）以及全部参考资料和有关附件，已经了解我方对于征集文件、采购过程、采购结果有依法进行询问、质疑、投诉的权利及相关渠道和要求。</w:t>
      </w:r>
    </w:p>
    <w:p w14:paraId="73303260">
      <w:pPr>
        <w:spacing w:line="360" w:lineRule="auto"/>
        <w:ind w:firstLine="420" w:firstLineChars="200"/>
        <w:rPr>
          <w:rFonts w:hint="eastAsia" w:ascii="宋体" w:hAnsi="Courier New"/>
          <w:color w:val="auto"/>
          <w:szCs w:val="20"/>
          <w:highlight w:val="none"/>
          <w:u w:val="single"/>
        </w:rPr>
      </w:pPr>
      <w:r>
        <w:rPr>
          <w:rFonts w:hint="eastAsia" w:ascii="宋体" w:hAnsi="Courier New"/>
          <w:color w:val="auto"/>
          <w:szCs w:val="20"/>
          <w:highlight w:val="none"/>
        </w:rPr>
        <w:t>3、我方同意自本项目征集文件规定的响应截止时间（开启时间）起遵循</w:t>
      </w:r>
      <w:r>
        <w:rPr>
          <w:rFonts w:hint="eastAsia" w:ascii="宋体" w:hAnsi="宋体"/>
          <w:color w:val="auto"/>
          <w:szCs w:val="20"/>
          <w:highlight w:val="none"/>
        </w:rPr>
        <w:t>本响应函</w:t>
      </w:r>
      <w:r>
        <w:rPr>
          <w:rFonts w:hint="eastAsia" w:ascii="宋体" w:hAnsi="Courier New"/>
          <w:color w:val="auto"/>
          <w:szCs w:val="20"/>
          <w:highlight w:val="none"/>
        </w:rPr>
        <w:t>，并承诺在征集文件规定的响应有效期内不修改、撤销响应文件。</w:t>
      </w:r>
    </w:p>
    <w:p w14:paraId="08C92792">
      <w:pPr>
        <w:spacing w:line="360" w:lineRule="auto"/>
        <w:ind w:firstLine="420" w:firstLineChars="200"/>
        <w:rPr>
          <w:rFonts w:hint="eastAsia" w:ascii="宋体" w:hAnsi="Courier New"/>
          <w:color w:val="auto"/>
          <w:szCs w:val="20"/>
          <w:highlight w:val="none"/>
          <w:u w:val="single"/>
        </w:rPr>
      </w:pPr>
      <w:r>
        <w:rPr>
          <w:rFonts w:hint="eastAsia" w:ascii="宋体" w:hAnsi="Courier New"/>
          <w:color w:val="auto"/>
          <w:szCs w:val="20"/>
          <w:highlight w:val="none"/>
        </w:rPr>
        <w:t>4、我方所递交的响应文件及有关资料都是内容完整、真实和准确的。</w:t>
      </w:r>
    </w:p>
    <w:p w14:paraId="3806E019">
      <w:pPr>
        <w:spacing w:line="360" w:lineRule="auto"/>
        <w:ind w:firstLine="420" w:firstLineChars="200"/>
        <w:rPr>
          <w:rFonts w:hint="eastAsia" w:ascii="宋体" w:hAnsi="Courier New"/>
          <w:color w:val="auto"/>
          <w:szCs w:val="20"/>
          <w:highlight w:val="none"/>
        </w:rPr>
      </w:pPr>
      <w:r>
        <w:rPr>
          <w:rFonts w:hint="eastAsia" w:ascii="宋体" w:hAnsi="Courier New"/>
          <w:color w:val="auto"/>
          <w:szCs w:val="20"/>
          <w:highlight w:val="none"/>
        </w:rPr>
        <w:t>5、</w:t>
      </w:r>
      <w:r>
        <w:rPr>
          <w:rFonts w:hint="eastAsia" w:ascii="宋体" w:hAnsi="Courier New"/>
          <w:color w:val="auto"/>
          <w:szCs w:val="21"/>
          <w:highlight w:val="none"/>
        </w:rPr>
        <w:t>如本项目采购内容涉及须符合国家强制规定的，我方承诺我方本次响应标（包括资格条件和所投产品）均符合国家有关强制规定。</w:t>
      </w:r>
    </w:p>
    <w:p w14:paraId="05B34DD5">
      <w:pPr>
        <w:spacing w:line="360" w:lineRule="auto"/>
        <w:ind w:firstLine="420" w:firstLineChars="200"/>
        <w:rPr>
          <w:rFonts w:hint="eastAsia" w:ascii="宋体" w:hAnsi="Courier New"/>
          <w:color w:val="auto"/>
          <w:szCs w:val="20"/>
          <w:highlight w:val="none"/>
        </w:rPr>
      </w:pPr>
      <w:r>
        <w:rPr>
          <w:rFonts w:hint="eastAsia" w:ascii="宋体" w:hAnsi="Courier New"/>
          <w:color w:val="auto"/>
          <w:szCs w:val="20"/>
          <w:highlight w:val="none"/>
        </w:rPr>
        <w:t>6、如我方入围本项目的供应商，我方承诺在收到</w:t>
      </w:r>
      <w:r>
        <w:rPr>
          <w:rFonts w:hint="eastAsia" w:ascii="宋体" w:hAnsi="Courier New"/>
          <w:color w:val="auto"/>
          <w:szCs w:val="20"/>
          <w:highlight w:val="none"/>
          <w:lang w:val="en-US" w:eastAsia="zh-CN"/>
        </w:rPr>
        <w:t>入围</w:t>
      </w:r>
      <w:r>
        <w:rPr>
          <w:rFonts w:hint="eastAsia" w:ascii="宋体" w:hAnsi="Courier New"/>
          <w:color w:val="auto"/>
          <w:szCs w:val="20"/>
          <w:highlight w:val="none"/>
        </w:rPr>
        <w:t>通知书后，在</w:t>
      </w:r>
      <w:r>
        <w:rPr>
          <w:rFonts w:hint="eastAsia" w:ascii="宋体" w:hAnsi="Courier New"/>
          <w:color w:val="auto"/>
          <w:szCs w:val="20"/>
          <w:highlight w:val="none"/>
          <w:lang w:val="en-US" w:eastAsia="zh-CN"/>
        </w:rPr>
        <w:t>入围</w:t>
      </w:r>
      <w:r>
        <w:rPr>
          <w:rFonts w:hint="eastAsia" w:ascii="宋体" w:hAnsi="Courier New"/>
          <w:color w:val="auto"/>
          <w:szCs w:val="20"/>
          <w:highlight w:val="none"/>
        </w:rPr>
        <w:t>通知书规定的期限内，</w:t>
      </w:r>
      <w:r>
        <w:rPr>
          <w:rFonts w:hint="eastAsia" w:ascii="宋体" w:hAnsi="宋体"/>
          <w:color w:val="auto"/>
          <w:szCs w:val="20"/>
          <w:highlight w:val="none"/>
        </w:rPr>
        <w:t>根据征集文件、我方的响应文件及有关澄清承诺书的要求按第五章“拟签订的框架协议和采购合同”与采购人订立书面合同，并按照合同约定</w:t>
      </w:r>
      <w:r>
        <w:rPr>
          <w:rFonts w:hint="eastAsia" w:ascii="宋体" w:hAnsi="Courier New"/>
          <w:color w:val="auto"/>
          <w:szCs w:val="20"/>
          <w:highlight w:val="none"/>
        </w:rPr>
        <w:t>承担完成合同的责任和义务。</w:t>
      </w:r>
    </w:p>
    <w:p w14:paraId="0D402830">
      <w:pPr>
        <w:spacing w:line="360" w:lineRule="auto"/>
        <w:ind w:firstLine="420" w:firstLineChars="200"/>
        <w:rPr>
          <w:rFonts w:hint="eastAsia" w:ascii="宋体" w:hAnsi="Courier New"/>
          <w:color w:val="auto"/>
          <w:szCs w:val="20"/>
          <w:highlight w:val="none"/>
        </w:rPr>
      </w:pPr>
      <w:r>
        <w:rPr>
          <w:rFonts w:hint="eastAsia" w:ascii="宋体" w:hAnsi="Courier New"/>
          <w:color w:val="auto"/>
          <w:szCs w:val="20"/>
          <w:highlight w:val="none"/>
        </w:rPr>
        <w:t>7、我方已详细审核征集文件，我方知道必须放弃提出含糊不清或误解问题的权利。</w:t>
      </w:r>
    </w:p>
    <w:p w14:paraId="67B56402">
      <w:pPr>
        <w:spacing w:line="360" w:lineRule="auto"/>
        <w:ind w:firstLine="420" w:firstLineChars="200"/>
        <w:rPr>
          <w:rFonts w:hint="eastAsia" w:ascii="宋体" w:hAnsi="Courier New"/>
          <w:color w:val="auto"/>
          <w:szCs w:val="20"/>
          <w:highlight w:val="none"/>
        </w:rPr>
      </w:pPr>
      <w:r>
        <w:rPr>
          <w:rFonts w:hint="eastAsia" w:ascii="宋体" w:hAnsi="Courier New"/>
          <w:color w:val="auto"/>
          <w:szCs w:val="20"/>
          <w:highlight w:val="none"/>
        </w:rPr>
        <w:t>8、我方同意应贵方要求提供与本投标有关的任何数据或资料。若贵方需要，我方愿意提供我方作出的一切承诺的证明材料。</w:t>
      </w:r>
    </w:p>
    <w:p w14:paraId="6F5B9004">
      <w:pPr>
        <w:pStyle w:val="16"/>
        <w:spacing w:line="440" w:lineRule="exact"/>
        <w:ind w:firstLine="420" w:firstLineChars="200"/>
        <w:rPr>
          <w:rFonts w:hAnsi="宋体" w:cs="宋体"/>
          <w:color w:val="auto"/>
          <w:highlight w:val="none"/>
        </w:rPr>
      </w:pPr>
      <w:r>
        <w:rPr>
          <w:rFonts w:hint="eastAsia" w:ascii="宋体" w:hAnsi="Courier New"/>
          <w:color w:val="auto"/>
          <w:szCs w:val="20"/>
          <w:highlight w:val="none"/>
        </w:rPr>
        <w:t>9、我方将严格遵守《中华人民共和国政府采购法》第七十七条的规定，即供应商有下列情形之一的，处以采购金额千分之五以上千分之十</w:t>
      </w:r>
      <w:r>
        <w:rPr>
          <w:rFonts w:hint="eastAsia" w:ascii="宋体" w:hAnsi="宋体"/>
          <w:color w:val="auto"/>
          <w:szCs w:val="20"/>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76218612">
      <w:pPr>
        <w:pStyle w:val="16"/>
        <w:numPr>
          <w:ilvl w:val="0"/>
          <w:numId w:val="13"/>
        </w:numPr>
        <w:spacing w:line="440" w:lineRule="exact"/>
        <w:rPr>
          <w:rFonts w:hAnsi="宋体" w:cs="宋体"/>
          <w:color w:val="auto"/>
          <w:highlight w:val="none"/>
        </w:rPr>
      </w:pPr>
      <w:r>
        <w:rPr>
          <w:rFonts w:hint="eastAsia" w:hAnsi="宋体" w:cs="宋体"/>
          <w:color w:val="auto"/>
          <w:highlight w:val="none"/>
        </w:rPr>
        <w:t>提供虚假材料谋取入围、成交的；</w:t>
      </w:r>
    </w:p>
    <w:p w14:paraId="55EB87E0">
      <w:pPr>
        <w:pStyle w:val="16"/>
        <w:numPr>
          <w:ilvl w:val="0"/>
          <w:numId w:val="13"/>
        </w:numPr>
        <w:spacing w:line="440" w:lineRule="exact"/>
        <w:rPr>
          <w:rFonts w:hAnsi="宋体" w:cs="宋体"/>
          <w:color w:val="auto"/>
          <w:highlight w:val="none"/>
        </w:rPr>
      </w:pPr>
      <w:r>
        <w:rPr>
          <w:rFonts w:hint="eastAsia" w:hAnsi="宋体" w:cs="宋体"/>
          <w:color w:val="auto"/>
          <w:highlight w:val="none"/>
        </w:rPr>
        <w:t>采取不正当手段诋毁、排挤其他供应商的；</w:t>
      </w:r>
    </w:p>
    <w:p w14:paraId="530DA783">
      <w:pPr>
        <w:pStyle w:val="16"/>
        <w:numPr>
          <w:ilvl w:val="0"/>
          <w:numId w:val="13"/>
        </w:numPr>
        <w:spacing w:line="440" w:lineRule="exact"/>
        <w:rPr>
          <w:rFonts w:hAnsi="宋体" w:cs="宋体"/>
          <w:color w:val="auto"/>
          <w:highlight w:val="none"/>
        </w:rPr>
      </w:pPr>
      <w:r>
        <w:rPr>
          <w:rFonts w:hint="eastAsia" w:hAnsi="宋体" w:cs="宋体"/>
          <w:color w:val="auto"/>
          <w:highlight w:val="none"/>
        </w:rPr>
        <w:t>与采购人、其他供应商或者采购代理机构恶意串通的；</w:t>
      </w:r>
    </w:p>
    <w:p w14:paraId="0ED22681">
      <w:pPr>
        <w:pStyle w:val="16"/>
        <w:numPr>
          <w:ilvl w:val="0"/>
          <w:numId w:val="13"/>
        </w:numPr>
        <w:spacing w:line="440" w:lineRule="exact"/>
        <w:rPr>
          <w:rFonts w:hAnsi="宋体" w:cs="宋体"/>
          <w:color w:val="auto"/>
          <w:highlight w:val="none"/>
        </w:rPr>
      </w:pPr>
      <w:r>
        <w:rPr>
          <w:rFonts w:hint="eastAsia" w:hAnsi="宋体" w:cs="宋体"/>
          <w:color w:val="auto"/>
          <w:highlight w:val="none"/>
        </w:rPr>
        <w:t>向采购人、采购代理机构行贿或者提供其他不正当利益的；</w:t>
      </w:r>
    </w:p>
    <w:p w14:paraId="03E0C93D">
      <w:pPr>
        <w:pStyle w:val="16"/>
        <w:numPr>
          <w:ilvl w:val="0"/>
          <w:numId w:val="13"/>
        </w:numPr>
        <w:spacing w:line="440" w:lineRule="exact"/>
        <w:rPr>
          <w:rFonts w:hAnsi="宋体" w:cs="宋体"/>
          <w:color w:val="auto"/>
          <w:highlight w:val="none"/>
        </w:rPr>
      </w:pPr>
      <w:r>
        <w:rPr>
          <w:rFonts w:hint="eastAsia" w:hAnsi="宋体" w:cs="宋体"/>
          <w:color w:val="auto"/>
          <w:highlight w:val="none"/>
        </w:rPr>
        <w:t>在征集采购过程中与采购人进行协商谈判的；</w:t>
      </w:r>
    </w:p>
    <w:p w14:paraId="4819D29D">
      <w:pPr>
        <w:pStyle w:val="16"/>
        <w:numPr>
          <w:ilvl w:val="0"/>
          <w:numId w:val="13"/>
        </w:numPr>
        <w:spacing w:line="440" w:lineRule="exact"/>
        <w:rPr>
          <w:rFonts w:hAnsi="宋体" w:cs="宋体"/>
          <w:color w:val="auto"/>
          <w:highlight w:val="none"/>
        </w:rPr>
      </w:pPr>
      <w:r>
        <w:rPr>
          <w:rFonts w:hint="eastAsia" w:hAnsi="宋体" w:cs="宋体"/>
          <w:color w:val="auto"/>
          <w:highlight w:val="none"/>
        </w:rPr>
        <w:t>拒绝有关部门监督检查或提供虚假情况的。</w:t>
      </w:r>
    </w:p>
    <w:p w14:paraId="003DFD1E">
      <w:pPr>
        <w:pStyle w:val="16"/>
        <w:spacing w:line="440" w:lineRule="exact"/>
        <w:ind w:left="420"/>
        <w:rPr>
          <w:rFonts w:hint="eastAsia" w:hAnsi="宋体" w:cs="宋体"/>
          <w:color w:val="auto"/>
          <w:highlight w:val="none"/>
        </w:rPr>
      </w:pPr>
      <w:r>
        <w:rPr>
          <w:rFonts w:hint="eastAsia" w:hAnsi="宋体" w:cs="宋体"/>
          <w:color w:val="auto"/>
          <w:highlight w:val="none"/>
        </w:rPr>
        <w:t>1</w:t>
      </w:r>
      <w:r>
        <w:rPr>
          <w:rFonts w:hint="eastAsia" w:hAnsi="宋体" w:cs="宋体"/>
          <w:color w:val="auto"/>
          <w:highlight w:val="none"/>
          <w:lang w:val="en-US" w:eastAsia="zh-CN"/>
        </w:rPr>
        <w:t>0</w:t>
      </w:r>
      <w:r>
        <w:rPr>
          <w:rFonts w:hint="eastAsia" w:hAnsi="宋体" w:cs="宋体"/>
          <w:color w:val="auto"/>
          <w:highlight w:val="none"/>
        </w:rPr>
        <w:t>、我方及由本人担任法定代表人的其他机构最近三年内被处罚的违法行为有：</w:t>
      </w:r>
      <w:r>
        <w:rPr>
          <w:rFonts w:hint="eastAsia" w:hAnsi="宋体" w:cs="宋体"/>
          <w:color w:val="auto"/>
          <w:highlight w:val="none"/>
          <w:u w:val="single"/>
        </w:rPr>
        <w:t xml:space="preserve">                                        </w:t>
      </w:r>
    </w:p>
    <w:p w14:paraId="1DA259D9">
      <w:pPr>
        <w:pStyle w:val="16"/>
        <w:spacing w:line="440" w:lineRule="exact"/>
        <w:ind w:left="420"/>
        <w:rPr>
          <w:rFonts w:hint="eastAsia" w:hAnsi="宋体" w:cs="宋体"/>
          <w:color w:val="auto"/>
          <w:highlight w:val="none"/>
        </w:rPr>
      </w:pPr>
      <w:r>
        <w:rPr>
          <w:rFonts w:hint="eastAsia" w:hAnsi="宋体" w:cs="宋体"/>
          <w:color w:val="auto"/>
          <w:highlight w:val="none"/>
          <w:u w:val="single"/>
        </w:rPr>
        <w:t xml:space="preserve">                                                                                                                        </w:t>
      </w:r>
    </w:p>
    <w:p w14:paraId="00AF02FA">
      <w:pPr>
        <w:pStyle w:val="16"/>
        <w:spacing w:line="360" w:lineRule="auto"/>
        <w:ind w:firstLine="420"/>
        <w:rPr>
          <w:rFonts w:hint="eastAsia" w:hAnsi="宋体" w:cs="宋体"/>
          <w:color w:val="auto"/>
          <w:highlight w:val="none"/>
        </w:rPr>
      </w:pPr>
      <w:r>
        <w:rPr>
          <w:rFonts w:hint="eastAsia" w:hAnsi="宋体" w:cs="宋体"/>
          <w:color w:val="auto"/>
          <w:highlight w:val="none"/>
        </w:rPr>
        <w:t>1</w:t>
      </w:r>
      <w:r>
        <w:rPr>
          <w:rFonts w:hint="eastAsia" w:hAnsi="宋体" w:cs="宋体"/>
          <w:color w:val="auto"/>
          <w:highlight w:val="none"/>
          <w:lang w:val="en-US" w:eastAsia="zh-CN"/>
        </w:rPr>
        <w:t>1</w:t>
      </w:r>
      <w:r>
        <w:rPr>
          <w:rFonts w:hint="eastAsia" w:hAnsi="宋体" w:cs="宋体"/>
          <w:color w:val="auto"/>
          <w:highlight w:val="none"/>
        </w:rPr>
        <w:t>、以上事项如有虚假或隐瞒，我方愿意承担一切后果，并不再寻求任何旨在减轻或免除法律责任的辩解。</w:t>
      </w:r>
    </w:p>
    <w:p w14:paraId="66A4EEA5">
      <w:pPr>
        <w:pStyle w:val="16"/>
        <w:spacing w:line="360" w:lineRule="auto"/>
        <w:ind w:firstLine="420"/>
        <w:rPr>
          <w:rFonts w:hint="eastAsia" w:hAnsi="宋体" w:cs="宋体"/>
          <w:color w:val="auto"/>
          <w:highlight w:val="none"/>
        </w:rPr>
      </w:pPr>
      <w:r>
        <w:rPr>
          <w:rFonts w:hint="eastAsia" w:hAnsi="宋体" w:cs="宋体"/>
          <w:color w:val="auto"/>
          <w:highlight w:val="none"/>
        </w:rPr>
        <w:t>1</w:t>
      </w:r>
      <w:r>
        <w:rPr>
          <w:rFonts w:hint="eastAsia" w:hAnsi="宋体" w:cs="宋体"/>
          <w:color w:val="auto"/>
          <w:highlight w:val="none"/>
          <w:lang w:val="en-US" w:eastAsia="zh-CN"/>
        </w:rPr>
        <w:t>2</w:t>
      </w:r>
      <w:r>
        <w:rPr>
          <w:rFonts w:hint="eastAsia" w:hAnsi="宋体" w:cs="宋体"/>
          <w:color w:val="auto"/>
          <w:highlight w:val="none"/>
        </w:rPr>
        <w:t>、与本响应有关的一切正式往来信函请寄：</w:t>
      </w:r>
    </w:p>
    <w:p w14:paraId="2B4C032A">
      <w:pPr>
        <w:pStyle w:val="16"/>
        <w:spacing w:line="360" w:lineRule="auto"/>
        <w:ind w:firstLine="420"/>
        <w:rPr>
          <w:rFonts w:hint="eastAsia"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041E500C">
      <w:pPr>
        <w:pStyle w:val="16"/>
        <w:spacing w:line="360" w:lineRule="auto"/>
        <w:ind w:firstLine="420"/>
        <w:rPr>
          <w:rFonts w:hint="eastAsia"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64E78984">
      <w:pPr>
        <w:pStyle w:val="16"/>
        <w:spacing w:line="360" w:lineRule="auto"/>
        <w:ind w:firstLine="420"/>
        <w:rPr>
          <w:rFonts w:hint="eastAsia"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08A247A0">
      <w:pPr>
        <w:pStyle w:val="16"/>
        <w:spacing w:line="360" w:lineRule="auto"/>
        <w:ind w:firstLine="420"/>
        <w:rPr>
          <w:rFonts w:hint="eastAsia"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4949BCBD">
      <w:pPr>
        <w:pStyle w:val="16"/>
        <w:spacing w:line="360" w:lineRule="auto"/>
        <w:ind w:firstLine="420"/>
        <w:rPr>
          <w:rFonts w:hint="eastAsia"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223659D7">
      <w:pPr>
        <w:pStyle w:val="16"/>
        <w:spacing w:line="360" w:lineRule="auto"/>
        <w:ind w:firstLine="420"/>
        <w:rPr>
          <w:rFonts w:hint="eastAsia"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579CF9CF">
      <w:pPr>
        <w:pStyle w:val="16"/>
        <w:spacing w:line="360" w:lineRule="auto"/>
        <w:ind w:firstLine="420"/>
        <w:rPr>
          <w:rFonts w:hint="eastAsia"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5574E1D6">
      <w:pPr>
        <w:snapToGrid w:val="0"/>
        <w:spacing w:line="360" w:lineRule="auto"/>
        <w:ind w:firstLine="5040" w:firstLineChars="2100"/>
        <w:rPr>
          <w:rFonts w:hint="eastAsia" w:ascii="宋体" w:hAnsi="宋体" w:cs="宋体"/>
          <w:color w:val="auto"/>
          <w:kern w:val="0"/>
          <w:sz w:val="24"/>
          <w:highlight w:val="none"/>
          <w:lang w:val="zh-CN"/>
        </w:rPr>
      </w:pPr>
    </w:p>
    <w:p w14:paraId="06B6F1A2">
      <w:pPr>
        <w:snapToGrid w:val="0"/>
        <w:spacing w:line="360" w:lineRule="auto"/>
        <w:ind w:firstLine="5040" w:firstLineChars="2100"/>
        <w:rPr>
          <w:rFonts w:hint="eastAsia" w:ascii="宋体" w:hAnsi="宋体" w:cs="宋体"/>
          <w:color w:val="auto"/>
          <w:kern w:val="0"/>
          <w:sz w:val="24"/>
          <w:highlight w:val="none"/>
          <w:lang w:val="zh-CN"/>
        </w:rPr>
      </w:pPr>
    </w:p>
    <w:p w14:paraId="4804DF51">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5673A93C">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AF8C06C">
      <w:pPr>
        <w:snapToGrid w:val="0"/>
        <w:spacing w:line="360" w:lineRule="auto"/>
        <w:ind w:firstLine="5160" w:firstLineChars="2150"/>
        <w:rPr>
          <w:rFonts w:hint="eastAsia" w:ascii="宋体" w:hAnsi="宋体" w:cs="宋体"/>
          <w:color w:val="auto"/>
          <w:kern w:val="0"/>
          <w:sz w:val="24"/>
          <w:highlight w:val="none"/>
          <w:lang w:val="zh-CN"/>
        </w:rPr>
      </w:pPr>
    </w:p>
    <w:p w14:paraId="0FAF1629">
      <w:pPr>
        <w:rPr>
          <w:rFonts w:hint="eastAsia" w:ascii="宋体" w:hAnsi="宋体" w:cs="宋体"/>
          <w:color w:val="auto"/>
          <w:highlight w:val="none"/>
        </w:rPr>
        <w:sectPr>
          <w:pgSz w:w="11906" w:h="16838"/>
          <w:pgMar w:top="1134" w:right="1134" w:bottom="1134" w:left="1134" w:header="720" w:footer="720" w:gutter="0"/>
          <w:pgNumType w:fmt="decimal"/>
          <w:cols w:space="720" w:num="1"/>
          <w:docGrid w:type="lines" w:linePitch="331" w:charSpace="0"/>
        </w:sectPr>
      </w:pPr>
    </w:p>
    <w:p w14:paraId="2881B7C4">
      <w:pPr>
        <w:pStyle w:val="16"/>
        <w:spacing w:line="360" w:lineRule="auto"/>
        <w:jc w:val="center"/>
        <w:rPr>
          <w:rFonts w:hint="eastAsia" w:hAnsi="宋体" w:cs="宋体"/>
          <w:b/>
          <w:color w:val="auto"/>
          <w:sz w:val="30"/>
          <w:szCs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p>
    <w:p w14:paraId="3451EB53">
      <w:pPr>
        <w:pStyle w:val="6"/>
        <w:rPr>
          <w:rFonts w:hint="eastAsia"/>
          <w:color w:val="auto"/>
          <w:highlight w:val="none"/>
        </w:rPr>
      </w:pPr>
    </w:p>
    <w:p w14:paraId="324A06D7">
      <w:pPr>
        <w:snapToGrid w:val="0"/>
        <w:spacing w:before="50" w:after="50"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val="en-US" w:eastAsia="zh-CN"/>
        </w:rPr>
        <w:t xml:space="preserve">                               </w:t>
      </w:r>
    </w:p>
    <w:p w14:paraId="5838B6FD">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9B63598">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bl>
      <w:tblPr>
        <w:tblStyle w:val="25"/>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2"/>
        <w:gridCol w:w="1661"/>
        <w:gridCol w:w="2310"/>
        <w:gridCol w:w="2895"/>
      </w:tblGrid>
      <w:tr w14:paraId="404F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872" w:type="dxa"/>
            <w:vAlign w:val="center"/>
          </w:tcPr>
          <w:p w14:paraId="376277D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项目名称</w:t>
            </w:r>
          </w:p>
        </w:tc>
        <w:tc>
          <w:tcPr>
            <w:tcW w:w="1661" w:type="dxa"/>
            <w:vAlign w:val="center"/>
          </w:tcPr>
          <w:p w14:paraId="4D5AF832">
            <w:pPr>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数量</w:t>
            </w:r>
          </w:p>
        </w:tc>
        <w:tc>
          <w:tcPr>
            <w:tcW w:w="2310" w:type="dxa"/>
            <w:vAlign w:val="center"/>
          </w:tcPr>
          <w:p w14:paraId="3E55221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报价内容</w:t>
            </w:r>
          </w:p>
        </w:tc>
        <w:tc>
          <w:tcPr>
            <w:tcW w:w="2895" w:type="dxa"/>
            <w:vAlign w:val="center"/>
          </w:tcPr>
          <w:p w14:paraId="2C3A4C9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响应报价（优惠率）</w:t>
            </w:r>
          </w:p>
        </w:tc>
      </w:tr>
      <w:tr w14:paraId="36D2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872" w:type="dxa"/>
            <w:vMerge w:val="restart"/>
            <w:vAlign w:val="center"/>
          </w:tcPr>
          <w:p w14:paraId="53665349">
            <w:pPr>
              <w:jc w:val="both"/>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广西—东盟经济技术开发区2025-2027年度预算单位车辆维修和保养服务框架协议采购</w:t>
            </w:r>
          </w:p>
        </w:tc>
        <w:tc>
          <w:tcPr>
            <w:tcW w:w="1661" w:type="dxa"/>
            <w:vMerge w:val="restart"/>
            <w:vAlign w:val="center"/>
          </w:tcPr>
          <w:p w14:paraId="286CBA7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310" w:type="dxa"/>
            <w:vAlign w:val="center"/>
          </w:tcPr>
          <w:p w14:paraId="1331CCB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零配件</w:t>
            </w:r>
            <w:r>
              <w:rPr>
                <w:rFonts w:hint="eastAsia" w:ascii="宋体" w:hAnsi="宋体" w:eastAsia="宋体" w:cs="宋体"/>
                <w:color w:val="auto"/>
                <w:sz w:val="21"/>
                <w:szCs w:val="21"/>
                <w:highlight w:val="none"/>
                <w:lang w:val="en-US" w:eastAsia="zh-CN"/>
              </w:rPr>
              <w:t>价格</w:t>
            </w:r>
          </w:p>
        </w:tc>
        <w:tc>
          <w:tcPr>
            <w:tcW w:w="2895" w:type="dxa"/>
            <w:vAlign w:val="center"/>
          </w:tcPr>
          <w:p w14:paraId="2734870B">
            <w:pPr>
              <w:jc w:val="center"/>
              <w:rPr>
                <w:rFonts w:hint="eastAsia" w:ascii="宋体" w:hAnsi="宋体" w:eastAsia="宋体" w:cs="宋体"/>
                <w:color w:val="auto"/>
                <w:sz w:val="21"/>
                <w:szCs w:val="21"/>
                <w:highlight w:val="none"/>
                <w:vertAlign w:val="baseline"/>
              </w:rPr>
            </w:pPr>
          </w:p>
        </w:tc>
      </w:tr>
      <w:tr w14:paraId="2EDF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872" w:type="dxa"/>
            <w:vMerge w:val="continue"/>
            <w:vAlign w:val="top"/>
          </w:tcPr>
          <w:p w14:paraId="2EBF2A4F">
            <w:pPr>
              <w:rPr>
                <w:rFonts w:hint="eastAsia" w:ascii="宋体" w:hAnsi="宋体" w:eastAsia="宋体" w:cs="宋体"/>
                <w:color w:val="auto"/>
                <w:sz w:val="21"/>
                <w:szCs w:val="21"/>
                <w:highlight w:val="none"/>
                <w:vertAlign w:val="baseline"/>
              </w:rPr>
            </w:pPr>
          </w:p>
        </w:tc>
        <w:tc>
          <w:tcPr>
            <w:tcW w:w="1661" w:type="dxa"/>
            <w:vMerge w:val="continue"/>
            <w:vAlign w:val="center"/>
          </w:tcPr>
          <w:p w14:paraId="2FCF644F">
            <w:pPr>
              <w:jc w:val="center"/>
              <w:rPr>
                <w:rFonts w:hint="eastAsia" w:ascii="宋体" w:hAnsi="宋体" w:eastAsia="宋体" w:cs="宋体"/>
                <w:color w:val="auto"/>
                <w:sz w:val="21"/>
                <w:szCs w:val="21"/>
                <w:highlight w:val="none"/>
                <w:vertAlign w:val="baseline"/>
              </w:rPr>
            </w:pPr>
          </w:p>
        </w:tc>
        <w:tc>
          <w:tcPr>
            <w:tcW w:w="2310" w:type="dxa"/>
            <w:vAlign w:val="center"/>
          </w:tcPr>
          <w:p w14:paraId="4305E72D">
            <w:pPr>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维修</w:t>
            </w:r>
            <w:r>
              <w:rPr>
                <w:rFonts w:hint="eastAsia" w:ascii="宋体" w:hAnsi="宋体" w:eastAsia="宋体" w:cs="宋体"/>
                <w:color w:val="auto"/>
                <w:sz w:val="21"/>
                <w:szCs w:val="21"/>
                <w:highlight w:val="none"/>
              </w:rPr>
              <w:t>工时费</w:t>
            </w:r>
          </w:p>
        </w:tc>
        <w:tc>
          <w:tcPr>
            <w:tcW w:w="2895" w:type="dxa"/>
            <w:vAlign w:val="center"/>
          </w:tcPr>
          <w:p w14:paraId="025893BD">
            <w:pPr>
              <w:jc w:val="center"/>
              <w:rPr>
                <w:rFonts w:hint="eastAsia" w:ascii="宋体" w:hAnsi="宋体" w:eastAsia="宋体" w:cs="宋体"/>
                <w:color w:val="auto"/>
                <w:sz w:val="21"/>
                <w:szCs w:val="21"/>
                <w:highlight w:val="none"/>
                <w:vertAlign w:val="baseline"/>
              </w:rPr>
            </w:pPr>
          </w:p>
        </w:tc>
      </w:tr>
      <w:tr w14:paraId="226D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738" w:type="dxa"/>
            <w:gridSpan w:val="4"/>
            <w:vAlign w:val="center"/>
          </w:tcPr>
          <w:p w14:paraId="22F4EE31">
            <w:pPr>
              <w:jc w:val="both"/>
              <w:rPr>
                <w:rFonts w:hint="eastAsia" w:ascii="宋体" w:hAnsi="宋体" w:eastAsia="宋体" w:cs="宋体"/>
                <w:color w:val="auto"/>
                <w:sz w:val="21"/>
                <w:szCs w:val="21"/>
                <w:highlight w:val="none"/>
                <w:vertAlign w:val="baseline"/>
              </w:rPr>
            </w:pPr>
            <w:r>
              <w:rPr>
                <w:rFonts w:hint="eastAsia" w:ascii="宋体" w:hAnsi="宋体"/>
                <w:color w:val="auto"/>
                <w:szCs w:val="21"/>
                <w:highlight w:val="none"/>
                <w:lang w:val="en-US" w:eastAsia="zh-CN"/>
              </w:rPr>
              <w:t>框架协议期限</w:t>
            </w:r>
            <w:r>
              <w:rPr>
                <w:rFonts w:hint="eastAsia" w:ascii="宋体" w:hAnsi="宋体" w:eastAsia="宋体" w:cs="宋体"/>
                <w:color w:val="auto"/>
                <w:sz w:val="21"/>
                <w:szCs w:val="21"/>
                <w:highlight w:val="none"/>
                <w:vertAlign w:val="baseline"/>
                <w:lang w:val="en-US" w:eastAsia="zh-CN"/>
              </w:rPr>
              <w:t>：</w:t>
            </w:r>
          </w:p>
        </w:tc>
      </w:tr>
    </w:tbl>
    <w:p w14:paraId="5034F541">
      <w:pPr>
        <w:snapToGrid w:val="0"/>
        <w:spacing w:line="360" w:lineRule="auto"/>
        <w:jc w:val="left"/>
        <w:rPr>
          <w:rFonts w:hint="eastAsia" w:ascii="宋体" w:hAnsi="宋体" w:cs="仿宋_GB2312"/>
          <w:color w:val="auto"/>
          <w:kern w:val="0"/>
          <w:szCs w:val="21"/>
          <w:highlight w:val="none"/>
          <w:lang w:val="zh-CN"/>
        </w:rPr>
      </w:pPr>
    </w:p>
    <w:p w14:paraId="225B9921">
      <w:pPr>
        <w:pStyle w:val="6"/>
        <w:ind w:left="0" w:leftChars="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w:t>
      </w:r>
    </w:p>
    <w:p w14:paraId="3DF19740">
      <w:pPr>
        <w:snapToGrid w:val="0"/>
        <w:spacing w:line="360" w:lineRule="auto"/>
        <w:ind w:firstLine="420" w:firstLineChars="200"/>
        <w:jc w:val="left"/>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1.供应商的开标一览表必须加盖供应商电子签章并由法定代表人或者委托代理人签字或者电子签名，否则其响应作无效标处理。</w:t>
      </w:r>
    </w:p>
    <w:p w14:paraId="02B10984">
      <w:pPr>
        <w:snapToGrid w:val="0"/>
        <w:spacing w:line="360" w:lineRule="auto"/>
        <w:ind w:firstLine="420" w:firstLineChars="200"/>
        <w:jc w:val="left"/>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2.报价一经涂改，应在涂改处加盖供应商公章或者加盖电子签章或者由法定代表人或者委托代理人签字（或者电子签名），否则其响应作无效标处理。</w:t>
      </w:r>
    </w:p>
    <w:p w14:paraId="32F8C12A">
      <w:pPr>
        <w:rPr>
          <w:rFonts w:hint="eastAsia" w:ascii="宋体" w:hAnsi="宋体" w:eastAsia="宋体" w:cs="宋体"/>
          <w:color w:val="auto"/>
          <w:sz w:val="21"/>
          <w:szCs w:val="21"/>
          <w:highlight w:val="none"/>
        </w:rPr>
      </w:pPr>
    </w:p>
    <w:p w14:paraId="6D26B4B1">
      <w:pPr>
        <w:pStyle w:val="6"/>
        <w:rPr>
          <w:rFonts w:hint="eastAsia"/>
          <w:color w:val="auto"/>
          <w:highlight w:val="none"/>
        </w:rPr>
      </w:pPr>
    </w:p>
    <w:p w14:paraId="7A7437C6">
      <w:pPr>
        <w:snapToGrid w:val="0"/>
        <w:spacing w:line="36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供应商名称(电子签章)：</w:t>
      </w:r>
    </w:p>
    <w:p w14:paraId="2EF07532">
      <w:pPr>
        <w:snapToGrid w:val="0"/>
        <w:spacing w:line="360" w:lineRule="auto"/>
        <w:ind w:firstLine="4515" w:firstLineChars="215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6F2A313B">
      <w:pPr>
        <w:snapToGrid w:val="0"/>
        <w:spacing w:before="165" w:beforeLines="50" w:after="50"/>
        <w:jc w:val="center"/>
        <w:outlineLvl w:val="1"/>
        <w:rPr>
          <w:rFonts w:ascii="宋体" w:hAnsi="宋体"/>
          <w:b/>
          <w:bCs/>
          <w:color w:val="auto"/>
          <w:sz w:val="28"/>
          <w:szCs w:val="28"/>
          <w:highlight w:val="none"/>
        </w:rPr>
      </w:pPr>
      <w:r>
        <w:rPr>
          <w:rFonts w:hint="eastAsia"/>
          <w:color w:val="auto"/>
          <w:highlight w:val="none"/>
        </w:rPr>
        <w:br w:type="page"/>
      </w:r>
      <w:bookmarkStart w:id="116" w:name="_Toc19686840"/>
      <w:bookmarkStart w:id="117" w:name="_Toc14409"/>
      <w:bookmarkStart w:id="118" w:name="_Toc850"/>
      <w:r>
        <w:rPr>
          <w:rFonts w:hint="eastAsia" w:ascii="宋体" w:hAnsi="宋体"/>
          <w:b/>
          <w:bCs/>
          <w:color w:val="auto"/>
          <w:sz w:val="28"/>
          <w:szCs w:val="28"/>
          <w:highlight w:val="none"/>
        </w:rPr>
        <w:t>第六节 其他文书、文件格式</w:t>
      </w:r>
      <w:bookmarkEnd w:id="116"/>
      <w:bookmarkEnd w:id="117"/>
      <w:bookmarkEnd w:id="118"/>
    </w:p>
    <w:p w14:paraId="32311E65">
      <w:pPr>
        <w:jc w:val="center"/>
        <w:rPr>
          <w:rFonts w:ascii="宋体" w:hAnsi="宋体" w:cs="宋体"/>
          <w:b/>
          <w:bCs/>
          <w:color w:val="auto"/>
          <w:sz w:val="32"/>
          <w:szCs w:val="32"/>
          <w:highlight w:val="none"/>
          <w:lang w:val="en"/>
        </w:rPr>
      </w:pPr>
    </w:p>
    <w:p w14:paraId="06A5CBBF">
      <w:pPr>
        <w:jc w:val="center"/>
        <w:rPr>
          <w:rFonts w:ascii="宋体" w:hAnsi="宋体" w:cs="宋体"/>
          <w:b/>
          <w:bCs/>
          <w:color w:val="auto"/>
          <w:sz w:val="30"/>
          <w:szCs w:val="30"/>
          <w:highlight w:val="none"/>
          <w:lang w:val="en"/>
        </w:rPr>
      </w:pPr>
      <w:r>
        <w:rPr>
          <w:rFonts w:hint="eastAsia" w:ascii="宋体" w:hAnsi="宋体" w:cs="宋体"/>
          <w:b/>
          <w:bCs/>
          <w:color w:val="auto"/>
          <w:sz w:val="30"/>
          <w:szCs w:val="30"/>
          <w:highlight w:val="none"/>
          <w:lang w:val="en"/>
        </w:rPr>
        <w:t>知识产权合规性声明</w:t>
      </w:r>
    </w:p>
    <w:p w14:paraId="6B294949">
      <w:pPr>
        <w:spacing w:line="360" w:lineRule="auto"/>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082DDD63">
      <w:pPr>
        <w:spacing w:line="360" w:lineRule="auto"/>
        <w:rPr>
          <w:rFonts w:ascii="宋体" w:hAnsi="宋体" w:cs="仿宋_GB2312"/>
          <w:color w:val="auto"/>
          <w:szCs w:val="21"/>
          <w:highlight w:val="none"/>
          <w:lang w:val="en"/>
        </w:rPr>
      </w:pPr>
      <w:r>
        <w:rPr>
          <w:rFonts w:hint="eastAsia" w:ascii="仿宋_GB2312" w:hAnsi="仿宋_GB2312" w:eastAsia="仿宋_GB2312" w:cs="仿宋_GB2312"/>
          <w:color w:val="auto"/>
          <w:sz w:val="30"/>
          <w:szCs w:val="30"/>
          <w:highlight w:val="none"/>
        </w:rPr>
        <w:t xml:space="preserve">   </w:t>
      </w:r>
      <w:r>
        <w:rPr>
          <w:rFonts w:hint="eastAsia" w:ascii="宋体" w:hAnsi="宋体" w:cs="仿宋_GB2312"/>
          <w:color w:val="auto"/>
          <w:szCs w:val="21"/>
          <w:highlight w:val="none"/>
        </w:rPr>
        <w:t xml:space="preserve"> 本</w:t>
      </w:r>
      <w:r>
        <w:rPr>
          <w:rFonts w:hint="eastAsia" w:ascii="宋体" w:hAnsi="宋体" w:cs="仿宋_GB2312"/>
          <w:color w:val="auto"/>
          <w:szCs w:val="21"/>
          <w:highlight w:val="none"/>
          <w:lang w:val="en"/>
        </w:rPr>
        <w:t>企业自愿参与政府投资政府采购的</w:t>
      </w:r>
      <w:r>
        <w:rPr>
          <w:rFonts w:hint="eastAsia"/>
          <w:color w:val="auto"/>
          <w:highlight w:val="none"/>
          <w:u w:val="single"/>
        </w:rPr>
        <w:t xml:space="preserve">               项目名称             </w:t>
      </w:r>
      <w:r>
        <w:rPr>
          <w:rFonts w:hint="eastAsia" w:ascii="宋体" w:hAnsi="宋体" w:cs="仿宋_GB2312"/>
          <w:color w:val="auto"/>
          <w:szCs w:val="21"/>
          <w:highlight w:val="none"/>
          <w:lang w:val="en"/>
        </w:rPr>
        <w:t>项目，</w:t>
      </w:r>
      <w:r>
        <w:rPr>
          <w:rFonts w:hint="eastAsia" w:ascii="宋体" w:hAnsi="宋体" w:cs="仿宋_GB2312"/>
          <w:b/>
          <w:bCs/>
          <w:color w:val="auto"/>
          <w:szCs w:val="21"/>
          <w:highlight w:val="none"/>
          <w:lang w:val="en"/>
        </w:rPr>
        <w:t>在此郑重承诺：</w:t>
      </w:r>
      <w:r>
        <w:rPr>
          <w:rFonts w:hint="eastAsia" w:ascii="宋体" w:hAnsi="宋体" w:cs="仿宋_GB2312"/>
          <w:color w:val="auto"/>
          <w:szCs w:val="21"/>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5EE9D7D8">
      <w:pPr>
        <w:snapToGrid w:val="0"/>
        <w:spacing w:line="360" w:lineRule="auto"/>
        <w:ind w:left="5385" w:leftChars="1736" w:hanging="1739" w:hangingChars="825"/>
        <w:rPr>
          <w:rFonts w:ascii="宋体" w:hAnsi="宋体"/>
          <w:b/>
          <w:color w:val="auto"/>
          <w:szCs w:val="21"/>
          <w:highlight w:val="none"/>
        </w:rPr>
      </w:pPr>
      <w:r>
        <w:rPr>
          <w:rFonts w:ascii="宋体" w:hAnsi="宋体"/>
          <w:b/>
          <w:color w:val="auto"/>
          <w:szCs w:val="21"/>
          <w:highlight w:val="none"/>
        </w:rPr>
        <w:t xml:space="preserve">           </w:t>
      </w:r>
    </w:p>
    <w:p w14:paraId="102FC639">
      <w:pPr>
        <w:snapToGrid w:val="0"/>
        <w:spacing w:line="360" w:lineRule="auto"/>
        <w:ind w:left="5385" w:leftChars="1736" w:hanging="1739" w:hangingChars="825"/>
        <w:rPr>
          <w:rFonts w:ascii="宋体" w:hAnsi="宋体"/>
          <w:b/>
          <w:color w:val="auto"/>
          <w:szCs w:val="21"/>
          <w:highlight w:val="none"/>
        </w:rPr>
      </w:pPr>
    </w:p>
    <w:p w14:paraId="2DC20849">
      <w:pPr>
        <w:snapToGrid w:val="0"/>
        <w:spacing w:line="360" w:lineRule="auto"/>
        <w:ind w:left="5385" w:leftChars="1736" w:hanging="1739" w:hangingChars="825"/>
        <w:rPr>
          <w:rFonts w:ascii="宋体" w:hAnsi="宋体"/>
          <w:b/>
          <w:color w:val="auto"/>
          <w:szCs w:val="21"/>
          <w:highlight w:val="none"/>
        </w:rPr>
      </w:pPr>
    </w:p>
    <w:p w14:paraId="76B33335">
      <w:pPr>
        <w:snapToGrid w:val="0"/>
        <w:spacing w:line="360" w:lineRule="auto"/>
        <w:ind w:left="5385" w:leftChars="1736" w:hanging="1739" w:hangingChars="825"/>
        <w:rPr>
          <w:rFonts w:ascii="宋体" w:hAnsi="宋体"/>
          <w:b/>
          <w:color w:val="auto"/>
          <w:szCs w:val="21"/>
          <w:highlight w:val="none"/>
        </w:rPr>
      </w:pPr>
    </w:p>
    <w:p w14:paraId="56C40E24">
      <w:pPr>
        <w:snapToGrid w:val="0"/>
        <w:spacing w:line="360" w:lineRule="auto"/>
        <w:ind w:left="5385" w:leftChars="1736" w:hanging="1739" w:hangingChars="825"/>
        <w:rPr>
          <w:rFonts w:ascii="宋体" w:hAnsi="宋体" w:cs="仿宋_GB2312"/>
          <w:b/>
          <w:color w:val="auto"/>
          <w:kern w:val="0"/>
          <w:szCs w:val="21"/>
          <w:highlight w:val="none"/>
        </w:rPr>
      </w:pPr>
      <w:r>
        <w:rPr>
          <w:rFonts w:ascii="宋体" w:hAnsi="宋体"/>
          <w:b/>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r>
        <w:rPr>
          <w:rFonts w:hint="eastAsia" w:ascii="宋体" w:hAnsi="宋体" w:cs="仿宋_GB2312"/>
          <w:b/>
          <w:color w:val="auto"/>
          <w:kern w:val="0"/>
          <w:szCs w:val="21"/>
          <w:highlight w:val="none"/>
          <w:lang w:val="zh-CN"/>
        </w:rPr>
        <w:t xml:space="preserve"> </w:t>
      </w:r>
    </w:p>
    <w:p w14:paraId="7BC498AC">
      <w:pPr>
        <w:snapToGrid w:val="0"/>
        <w:spacing w:line="360" w:lineRule="auto"/>
        <w:ind w:firstLine="4305" w:firstLineChars="20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403017D1">
      <w:pPr>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br w:type="page"/>
      </w:r>
    </w:p>
    <w:p w14:paraId="10F71CAC">
      <w:pPr>
        <w:pStyle w:val="6"/>
        <w:rPr>
          <w:rFonts w:hint="eastAsia"/>
          <w:color w:val="auto"/>
          <w:highlight w:val="none"/>
        </w:rPr>
      </w:pPr>
    </w:p>
    <w:p w14:paraId="35526F8F">
      <w:pPr>
        <w:pStyle w:val="16"/>
        <w:tabs>
          <w:tab w:val="left" w:pos="2472"/>
        </w:tabs>
        <w:spacing w:line="460" w:lineRule="exact"/>
        <w:jc w:val="center"/>
        <w:rPr>
          <w:rFonts w:hint="eastAsia" w:hAnsi="宋体" w:cs="宋体"/>
          <w:b/>
          <w:color w:val="auto"/>
          <w:sz w:val="36"/>
          <w:highlight w:val="none"/>
        </w:rPr>
      </w:pPr>
    </w:p>
    <w:p w14:paraId="26A35A90">
      <w:pPr>
        <w:pStyle w:val="16"/>
        <w:tabs>
          <w:tab w:val="left" w:pos="2472"/>
        </w:tabs>
        <w:spacing w:line="460" w:lineRule="exact"/>
        <w:jc w:val="center"/>
        <w:rPr>
          <w:rFonts w:hint="eastAsia" w:hAnsi="宋体" w:cs="宋体"/>
          <w:b/>
          <w:color w:val="auto"/>
          <w:sz w:val="36"/>
          <w:highlight w:val="none"/>
        </w:rPr>
      </w:pPr>
    </w:p>
    <w:p w14:paraId="53175C1B">
      <w:pPr>
        <w:pStyle w:val="16"/>
        <w:tabs>
          <w:tab w:val="left" w:pos="2472"/>
        </w:tabs>
        <w:spacing w:line="460" w:lineRule="exact"/>
        <w:jc w:val="center"/>
        <w:rPr>
          <w:rFonts w:hint="eastAsia" w:hAnsi="宋体" w:cs="宋体"/>
          <w:b/>
          <w:color w:val="auto"/>
          <w:sz w:val="36"/>
          <w:highlight w:val="none"/>
        </w:rPr>
      </w:pPr>
    </w:p>
    <w:p w14:paraId="18D2A1CF">
      <w:pPr>
        <w:pStyle w:val="6"/>
        <w:rPr>
          <w:rFonts w:hint="eastAsia" w:hAnsi="宋体" w:cs="宋体"/>
          <w:b/>
          <w:color w:val="auto"/>
          <w:sz w:val="36"/>
          <w:highlight w:val="none"/>
        </w:rPr>
      </w:pPr>
    </w:p>
    <w:p w14:paraId="58B7BB33">
      <w:pPr>
        <w:rPr>
          <w:rFonts w:hint="eastAsia" w:hAnsi="宋体" w:cs="宋体"/>
          <w:b/>
          <w:color w:val="auto"/>
          <w:sz w:val="36"/>
          <w:highlight w:val="none"/>
        </w:rPr>
      </w:pPr>
    </w:p>
    <w:p w14:paraId="70848092">
      <w:pPr>
        <w:pStyle w:val="13"/>
        <w:rPr>
          <w:rFonts w:hint="eastAsia"/>
          <w:color w:val="auto"/>
          <w:highlight w:val="none"/>
        </w:rPr>
      </w:pPr>
    </w:p>
    <w:p w14:paraId="5B4393CC">
      <w:pPr>
        <w:pStyle w:val="13"/>
        <w:rPr>
          <w:rFonts w:hint="eastAsia"/>
          <w:color w:val="auto"/>
          <w:highlight w:val="none"/>
        </w:rPr>
      </w:pPr>
    </w:p>
    <w:p w14:paraId="2BDD6DB7">
      <w:pPr>
        <w:pStyle w:val="6"/>
        <w:rPr>
          <w:rFonts w:hint="eastAsia" w:hAnsi="宋体" w:cs="宋体"/>
          <w:b/>
          <w:color w:val="auto"/>
          <w:sz w:val="36"/>
          <w:highlight w:val="none"/>
        </w:rPr>
      </w:pPr>
    </w:p>
    <w:p w14:paraId="3CA12C67">
      <w:pPr>
        <w:rPr>
          <w:rFonts w:hint="eastAsia"/>
          <w:color w:val="auto"/>
          <w:highlight w:val="none"/>
        </w:rPr>
      </w:pPr>
    </w:p>
    <w:p w14:paraId="7AAE1FBC">
      <w:pPr>
        <w:pStyle w:val="16"/>
        <w:tabs>
          <w:tab w:val="left" w:pos="2472"/>
        </w:tabs>
        <w:spacing w:line="460" w:lineRule="exact"/>
        <w:jc w:val="center"/>
        <w:rPr>
          <w:rFonts w:hint="eastAsia" w:hAnsi="宋体" w:cs="宋体"/>
          <w:b/>
          <w:color w:val="auto"/>
          <w:sz w:val="36"/>
          <w:highlight w:val="none"/>
        </w:rPr>
      </w:pPr>
    </w:p>
    <w:p w14:paraId="2BB8DCA4">
      <w:pPr>
        <w:pStyle w:val="16"/>
        <w:tabs>
          <w:tab w:val="left" w:pos="2472"/>
        </w:tabs>
        <w:spacing w:line="460" w:lineRule="exact"/>
        <w:jc w:val="center"/>
        <w:rPr>
          <w:rFonts w:hint="eastAsia" w:hAnsi="宋体" w:cs="宋体"/>
          <w:b/>
          <w:color w:val="auto"/>
          <w:sz w:val="36"/>
          <w:highlight w:val="none"/>
        </w:rPr>
      </w:pPr>
    </w:p>
    <w:p w14:paraId="1A8F4EA3">
      <w:pPr>
        <w:pStyle w:val="16"/>
        <w:tabs>
          <w:tab w:val="left" w:pos="2472"/>
        </w:tabs>
        <w:spacing w:line="460" w:lineRule="exact"/>
        <w:jc w:val="center"/>
        <w:outlineLvl w:val="0"/>
        <w:rPr>
          <w:rFonts w:hint="eastAsia" w:hAnsi="宋体" w:cs="宋体"/>
          <w:b/>
          <w:color w:val="auto"/>
          <w:sz w:val="36"/>
          <w:highlight w:val="none"/>
        </w:rPr>
      </w:pPr>
      <w:bookmarkStart w:id="119" w:name="_Toc80093017"/>
      <w:bookmarkStart w:id="120" w:name="_Toc22135"/>
      <w:bookmarkStart w:id="121" w:name="_Toc23654"/>
      <w:r>
        <w:rPr>
          <w:rFonts w:hint="eastAsia" w:hAnsi="宋体" w:cs="宋体"/>
          <w:b/>
          <w:color w:val="auto"/>
          <w:sz w:val="36"/>
          <w:highlight w:val="none"/>
        </w:rPr>
        <w:t>第七章 质疑、投诉证明材料格式</w:t>
      </w:r>
      <w:bookmarkEnd w:id="119"/>
      <w:bookmarkEnd w:id="120"/>
      <w:bookmarkEnd w:id="121"/>
    </w:p>
    <w:p w14:paraId="621A3295">
      <w:pPr>
        <w:snapToGrid w:val="0"/>
        <w:spacing w:before="50" w:after="165" w:afterLines="50" w:line="360" w:lineRule="auto"/>
        <w:ind w:firstLine="300" w:firstLineChars="150"/>
        <w:jc w:val="left"/>
        <w:rPr>
          <w:rFonts w:hint="eastAsia" w:ascii="宋体" w:hAnsi="宋体" w:cs="宋体"/>
          <w:color w:val="auto"/>
          <w:sz w:val="20"/>
          <w:highlight w:val="none"/>
        </w:rPr>
        <w:sectPr>
          <w:pgSz w:w="11906" w:h="16838"/>
          <w:pgMar w:top="1134" w:right="1134" w:bottom="1134" w:left="1134" w:header="720" w:footer="720" w:gutter="0"/>
          <w:pgNumType w:fmt="decimal"/>
          <w:cols w:space="720" w:num="1"/>
          <w:docGrid w:type="lines" w:linePitch="331" w:charSpace="0"/>
        </w:sectPr>
      </w:pPr>
    </w:p>
    <w:p w14:paraId="2752CCA3">
      <w:pPr>
        <w:widowControl/>
        <w:shd w:val="clear" w:color="auto" w:fill="FFFFFF"/>
        <w:spacing w:line="260" w:lineRule="exact"/>
        <w:jc w:val="left"/>
        <w:rPr>
          <w:rFonts w:hint="eastAsia" w:ascii="宋体" w:hAnsi="宋体" w:cs="宋体"/>
          <w:b/>
          <w:bCs/>
          <w:color w:val="auto"/>
          <w:sz w:val="28"/>
          <w:szCs w:val="28"/>
          <w:highlight w:val="none"/>
        </w:rPr>
      </w:pPr>
    </w:p>
    <w:p w14:paraId="141029C4">
      <w:pPr>
        <w:keepNext/>
        <w:keepLines/>
        <w:spacing w:before="260" w:after="260" w:line="413" w:lineRule="auto"/>
        <w:jc w:val="center"/>
        <w:outlineLvl w:val="1"/>
        <w:rPr>
          <w:rFonts w:ascii="宋体" w:hAnsi="宋体" w:eastAsia="黑体"/>
          <w:color w:val="auto"/>
          <w:sz w:val="32"/>
          <w:szCs w:val="32"/>
          <w:highlight w:val="none"/>
        </w:rPr>
      </w:pPr>
      <w:bookmarkStart w:id="122" w:name="_Toc31216"/>
      <w:bookmarkStart w:id="123" w:name="_Toc25363"/>
      <w:r>
        <w:rPr>
          <w:rFonts w:hint="eastAsia" w:ascii="宋体" w:hAnsi="宋体" w:eastAsia="黑体"/>
          <w:color w:val="auto"/>
          <w:sz w:val="32"/>
          <w:szCs w:val="32"/>
          <w:highlight w:val="none"/>
        </w:rPr>
        <w:t>第一节 质疑函（格式）</w:t>
      </w:r>
      <w:bookmarkEnd w:id="122"/>
      <w:bookmarkEnd w:id="123"/>
    </w:p>
    <w:p w14:paraId="495E8D39">
      <w:pPr>
        <w:jc w:val="center"/>
        <w:rPr>
          <w:rFonts w:ascii="宋体" w:hAnsi="宋体" w:cs="仿宋"/>
          <w:b/>
          <w:bCs/>
          <w:color w:val="auto"/>
          <w:sz w:val="30"/>
          <w:szCs w:val="30"/>
          <w:highlight w:val="none"/>
        </w:rPr>
      </w:pPr>
      <w:r>
        <w:rPr>
          <w:rFonts w:hint="eastAsia" w:ascii="宋体" w:hAnsi="宋体" w:cs="仿宋"/>
          <w:b/>
          <w:bCs/>
          <w:color w:val="auto"/>
          <w:sz w:val="30"/>
          <w:szCs w:val="30"/>
          <w:highlight w:val="none"/>
        </w:rPr>
        <w:t>质疑函范本</w:t>
      </w:r>
    </w:p>
    <w:p w14:paraId="14FB42DC">
      <w:pPr>
        <w:adjustRightInd w:val="0"/>
        <w:snapToGrid w:val="0"/>
        <w:spacing w:before="331" w:beforeLines="100" w:line="360" w:lineRule="auto"/>
        <w:rPr>
          <w:rFonts w:ascii="宋体" w:hAnsi="宋体" w:cs="仿宋"/>
          <w:b/>
          <w:bCs/>
          <w:color w:val="auto"/>
          <w:szCs w:val="21"/>
          <w:highlight w:val="none"/>
        </w:rPr>
      </w:pPr>
      <w:r>
        <w:rPr>
          <w:rFonts w:hint="eastAsia" w:ascii="宋体" w:hAnsi="宋体" w:cs="仿宋"/>
          <w:b/>
          <w:bCs/>
          <w:color w:val="auto"/>
          <w:szCs w:val="21"/>
          <w:highlight w:val="none"/>
        </w:rPr>
        <w:t>一、质疑供应商基本信息</w:t>
      </w:r>
    </w:p>
    <w:p w14:paraId="41B77221">
      <w:pPr>
        <w:adjustRightInd w:val="0"/>
        <w:snapToGrid w:val="0"/>
        <w:spacing w:line="360" w:lineRule="auto"/>
        <w:rPr>
          <w:rFonts w:ascii="宋体" w:hAnsi="宋体" w:cs="仿宋"/>
          <w:color w:val="auto"/>
          <w:szCs w:val="21"/>
          <w:highlight w:val="none"/>
          <w:u w:val="dotted"/>
        </w:rPr>
      </w:pPr>
      <w:r>
        <w:rPr>
          <w:rFonts w:hint="eastAsia" w:ascii="宋体" w:hAnsi="宋体" w:cs="仿宋"/>
          <w:color w:val="auto"/>
          <w:szCs w:val="21"/>
          <w:highlight w:val="none"/>
        </w:rPr>
        <w:t>质疑供应商：</w:t>
      </w:r>
      <w:r>
        <w:rPr>
          <w:rFonts w:hint="eastAsia" w:ascii="宋体" w:hAnsi="宋体" w:cs="仿宋"/>
          <w:color w:val="auto"/>
          <w:szCs w:val="21"/>
          <w:highlight w:val="none"/>
          <w:u w:val="dotted"/>
        </w:rPr>
        <w:t xml:space="preserve">                                        </w:t>
      </w:r>
    </w:p>
    <w:p w14:paraId="26DF97CB">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地址：</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邮编：</w:t>
      </w:r>
      <w:r>
        <w:rPr>
          <w:rFonts w:hint="eastAsia" w:ascii="宋体" w:hAnsi="宋体" w:cs="仿宋"/>
          <w:color w:val="auto"/>
          <w:szCs w:val="21"/>
          <w:highlight w:val="none"/>
          <w:u w:val="dotted"/>
        </w:rPr>
        <w:t xml:space="preserve">                                                   </w:t>
      </w:r>
    </w:p>
    <w:p w14:paraId="4AAE82E6">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联系人：</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联系电话：</w:t>
      </w:r>
      <w:r>
        <w:rPr>
          <w:rFonts w:hint="eastAsia" w:ascii="宋体" w:hAnsi="宋体" w:cs="仿宋"/>
          <w:color w:val="auto"/>
          <w:szCs w:val="21"/>
          <w:highlight w:val="none"/>
          <w:u w:val="dotted"/>
        </w:rPr>
        <w:t xml:space="preserve">                              </w:t>
      </w:r>
    </w:p>
    <w:p w14:paraId="4E2DE645">
      <w:pPr>
        <w:adjustRightInd w:val="0"/>
        <w:snapToGrid w:val="0"/>
        <w:spacing w:line="360" w:lineRule="auto"/>
        <w:rPr>
          <w:rFonts w:ascii="宋体" w:hAnsi="宋体" w:cs="仿宋"/>
          <w:color w:val="auto"/>
          <w:szCs w:val="21"/>
          <w:highlight w:val="none"/>
          <w:u w:val="dotted"/>
        </w:rPr>
      </w:pPr>
      <w:r>
        <w:rPr>
          <w:rFonts w:hint="eastAsia" w:ascii="宋体" w:hAnsi="宋体" w:cs="仿宋"/>
          <w:color w:val="auto"/>
          <w:szCs w:val="21"/>
          <w:highlight w:val="none"/>
        </w:rPr>
        <w:t>授权代表：</w:t>
      </w:r>
      <w:r>
        <w:rPr>
          <w:rFonts w:hint="eastAsia" w:ascii="宋体" w:hAnsi="宋体" w:cs="仿宋"/>
          <w:color w:val="auto"/>
          <w:szCs w:val="21"/>
          <w:highlight w:val="none"/>
          <w:u w:val="dotted"/>
        </w:rPr>
        <w:t xml:space="preserve">                                          </w:t>
      </w:r>
    </w:p>
    <w:p w14:paraId="0F6968C9">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联系电话：</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 xml:space="preserve"> </w:t>
      </w:r>
    </w:p>
    <w:p w14:paraId="5B3D2C37">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 xml:space="preserve">地址： </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邮编：</w:t>
      </w:r>
      <w:r>
        <w:rPr>
          <w:rFonts w:hint="eastAsia" w:ascii="宋体" w:hAnsi="宋体" w:cs="仿宋"/>
          <w:color w:val="auto"/>
          <w:szCs w:val="21"/>
          <w:highlight w:val="none"/>
          <w:u w:val="dotted"/>
        </w:rPr>
        <w:t xml:space="preserve">                                                </w:t>
      </w:r>
    </w:p>
    <w:p w14:paraId="1492EAF7">
      <w:pPr>
        <w:adjustRightInd w:val="0"/>
        <w:snapToGrid w:val="0"/>
        <w:spacing w:line="360" w:lineRule="auto"/>
        <w:rPr>
          <w:rFonts w:ascii="宋体" w:hAnsi="宋体" w:cs="仿宋"/>
          <w:b/>
          <w:bCs/>
          <w:color w:val="auto"/>
          <w:szCs w:val="21"/>
          <w:highlight w:val="none"/>
        </w:rPr>
      </w:pPr>
      <w:r>
        <w:rPr>
          <w:rFonts w:hint="eastAsia" w:ascii="宋体" w:hAnsi="宋体" w:cs="仿宋"/>
          <w:b/>
          <w:bCs/>
          <w:color w:val="auto"/>
          <w:szCs w:val="21"/>
          <w:highlight w:val="none"/>
        </w:rPr>
        <w:t>二、质疑项目基本情况</w:t>
      </w:r>
    </w:p>
    <w:p w14:paraId="25E5A63A">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质疑项目的名称：</w:t>
      </w:r>
      <w:r>
        <w:rPr>
          <w:rFonts w:hint="eastAsia" w:ascii="宋体" w:hAnsi="宋体" w:cs="仿宋"/>
          <w:color w:val="auto"/>
          <w:szCs w:val="21"/>
          <w:highlight w:val="none"/>
          <w:u w:val="dotted"/>
        </w:rPr>
        <w:t xml:space="preserve"> </w:t>
      </w:r>
      <w:r>
        <w:rPr>
          <w:rFonts w:hint="eastAsia"/>
          <w:color w:val="auto"/>
          <w:highlight w:val="none"/>
          <w:u w:val="single"/>
        </w:rPr>
        <w:t xml:space="preserve">                                                   </w:t>
      </w:r>
      <w:r>
        <w:rPr>
          <w:rFonts w:hint="eastAsia" w:ascii="宋体" w:hAnsi="宋体" w:cs="仿宋"/>
          <w:color w:val="auto"/>
          <w:szCs w:val="21"/>
          <w:highlight w:val="none"/>
          <w:u w:val="dotted"/>
        </w:rPr>
        <w:t xml:space="preserve">     </w:t>
      </w:r>
    </w:p>
    <w:p w14:paraId="1224DEF1">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质疑项目的编号：</w:t>
      </w:r>
      <w:bookmarkStart w:id="124" w:name="PO_3000001866_PM001_13"/>
      <w:r>
        <w:rPr>
          <w:rFonts w:hint="eastAsia"/>
          <w:color w:val="auto"/>
          <w:highlight w:val="none"/>
          <w:u w:val="single"/>
        </w:rPr>
        <w:t xml:space="preserve">                                               </w:t>
      </w:r>
      <w:r>
        <w:rPr>
          <w:rFonts w:ascii="宋体" w:hAnsi="宋体" w:cs="仿宋"/>
          <w:color w:val="auto"/>
          <w:szCs w:val="21"/>
          <w:highlight w:val="none"/>
          <w:u w:val="dotted"/>
        </w:rPr>
        <w:t xml:space="preserve"> </w:t>
      </w:r>
      <w:bookmarkEnd w:id="124"/>
      <w:r>
        <w:rPr>
          <w:rFonts w:hint="eastAsia" w:ascii="宋体" w:hAnsi="宋体" w:cs="仿宋"/>
          <w:color w:val="auto"/>
          <w:szCs w:val="21"/>
          <w:highlight w:val="none"/>
          <w:u w:val="dotted"/>
        </w:rPr>
        <w:t xml:space="preserve">   </w:t>
      </w:r>
    </w:p>
    <w:p w14:paraId="4A47A349">
      <w:pPr>
        <w:adjustRightInd w:val="0"/>
        <w:snapToGrid w:val="0"/>
        <w:spacing w:line="360" w:lineRule="auto"/>
        <w:rPr>
          <w:rFonts w:ascii="宋体" w:hAnsi="宋体" w:cs="仿宋"/>
          <w:color w:val="auto"/>
          <w:szCs w:val="21"/>
          <w:highlight w:val="none"/>
          <w:u w:val="dotted"/>
        </w:rPr>
      </w:pPr>
      <w:r>
        <w:rPr>
          <w:rFonts w:hint="eastAsia" w:ascii="宋体" w:hAnsi="宋体" w:cs="仿宋"/>
          <w:color w:val="auto"/>
          <w:szCs w:val="21"/>
          <w:highlight w:val="none"/>
        </w:rPr>
        <w:t>采购人名称：</w:t>
      </w:r>
      <w:r>
        <w:rPr>
          <w:rFonts w:hint="eastAsia" w:ascii="宋体" w:hAnsi="宋体" w:cs="仿宋"/>
          <w:color w:val="auto"/>
          <w:szCs w:val="21"/>
          <w:highlight w:val="none"/>
          <w:u w:val="dotted"/>
        </w:rPr>
        <w:t xml:space="preserve">                 </w:t>
      </w:r>
    </w:p>
    <w:p w14:paraId="02EEEE3A">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采购文件获取日期：</w:t>
      </w:r>
      <w:r>
        <w:rPr>
          <w:rFonts w:hint="eastAsia" w:ascii="宋体" w:hAnsi="宋体" w:cs="仿宋"/>
          <w:color w:val="auto"/>
          <w:szCs w:val="21"/>
          <w:highlight w:val="none"/>
          <w:u w:val="dotted"/>
        </w:rPr>
        <w:t xml:space="preserve">                                           </w:t>
      </w:r>
    </w:p>
    <w:p w14:paraId="569E8A08">
      <w:pPr>
        <w:adjustRightInd w:val="0"/>
        <w:snapToGrid w:val="0"/>
        <w:spacing w:line="360" w:lineRule="auto"/>
        <w:rPr>
          <w:rFonts w:ascii="宋体" w:hAnsi="宋体" w:cs="仿宋"/>
          <w:b/>
          <w:bCs/>
          <w:color w:val="auto"/>
          <w:szCs w:val="21"/>
          <w:highlight w:val="none"/>
        </w:rPr>
      </w:pPr>
      <w:r>
        <w:rPr>
          <w:rFonts w:hint="eastAsia" w:ascii="宋体" w:hAnsi="宋体" w:cs="仿宋"/>
          <w:b/>
          <w:bCs/>
          <w:color w:val="auto"/>
          <w:szCs w:val="21"/>
          <w:highlight w:val="none"/>
        </w:rPr>
        <w:t>三、质疑事项具体内容</w:t>
      </w:r>
    </w:p>
    <w:p w14:paraId="5A40D6E1">
      <w:pPr>
        <w:adjustRightInd w:val="0"/>
        <w:snapToGrid w:val="0"/>
        <w:spacing w:line="360" w:lineRule="auto"/>
        <w:rPr>
          <w:rFonts w:ascii="宋体" w:hAnsi="宋体" w:cs="仿宋"/>
          <w:color w:val="auto"/>
          <w:szCs w:val="21"/>
          <w:highlight w:val="none"/>
          <w:u w:val="dotted"/>
        </w:rPr>
      </w:pPr>
      <w:r>
        <w:rPr>
          <w:rFonts w:hint="eastAsia" w:ascii="宋体" w:hAnsi="宋体" w:cs="仿宋"/>
          <w:color w:val="auto"/>
          <w:szCs w:val="21"/>
          <w:highlight w:val="none"/>
        </w:rPr>
        <w:t>质疑事项1：</w:t>
      </w:r>
      <w:r>
        <w:rPr>
          <w:rFonts w:hint="eastAsia" w:ascii="宋体" w:hAnsi="宋体" w:cs="仿宋"/>
          <w:color w:val="auto"/>
          <w:szCs w:val="21"/>
          <w:highlight w:val="none"/>
          <w:u w:val="dotted"/>
        </w:rPr>
        <w:t xml:space="preserve">                                         </w:t>
      </w:r>
    </w:p>
    <w:p w14:paraId="55F7207F">
      <w:pPr>
        <w:adjustRightInd w:val="0"/>
        <w:snapToGrid w:val="0"/>
        <w:spacing w:line="360" w:lineRule="auto"/>
        <w:rPr>
          <w:rFonts w:ascii="宋体" w:hAnsi="宋体" w:cs="仿宋"/>
          <w:color w:val="auto"/>
          <w:szCs w:val="21"/>
          <w:highlight w:val="none"/>
          <w:u w:val="dotted"/>
        </w:rPr>
      </w:pPr>
      <w:r>
        <w:rPr>
          <w:rFonts w:hint="eastAsia" w:ascii="宋体" w:hAnsi="宋体" w:cs="仿宋"/>
          <w:color w:val="auto"/>
          <w:szCs w:val="21"/>
          <w:highlight w:val="none"/>
        </w:rPr>
        <w:t>事实依据：</w:t>
      </w:r>
      <w:r>
        <w:rPr>
          <w:rFonts w:hint="eastAsia" w:ascii="宋体" w:hAnsi="宋体" w:cs="仿宋"/>
          <w:color w:val="auto"/>
          <w:szCs w:val="21"/>
          <w:highlight w:val="none"/>
          <w:u w:val="dotted"/>
        </w:rPr>
        <w:t xml:space="preserve">                                          </w:t>
      </w:r>
    </w:p>
    <w:p w14:paraId="4CBC7909">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u w:val="dotted"/>
        </w:rPr>
        <w:t xml:space="preserve">                                                       </w:t>
      </w:r>
    </w:p>
    <w:p w14:paraId="08CE056C">
      <w:pPr>
        <w:adjustRightInd w:val="0"/>
        <w:snapToGrid w:val="0"/>
        <w:spacing w:line="360" w:lineRule="auto"/>
        <w:rPr>
          <w:rFonts w:ascii="宋体" w:hAnsi="宋体" w:cs="仿宋"/>
          <w:color w:val="auto"/>
          <w:szCs w:val="21"/>
          <w:highlight w:val="none"/>
          <w:u w:val="dotted"/>
        </w:rPr>
      </w:pPr>
      <w:r>
        <w:rPr>
          <w:rFonts w:hint="eastAsia" w:ascii="宋体" w:hAnsi="宋体" w:cs="仿宋"/>
          <w:color w:val="auto"/>
          <w:szCs w:val="21"/>
          <w:highlight w:val="none"/>
        </w:rPr>
        <w:t>法律依据：</w:t>
      </w:r>
      <w:r>
        <w:rPr>
          <w:rFonts w:hint="eastAsia" w:ascii="宋体" w:hAnsi="宋体" w:cs="仿宋"/>
          <w:color w:val="auto"/>
          <w:szCs w:val="21"/>
          <w:highlight w:val="none"/>
          <w:u w:val="dotted"/>
        </w:rPr>
        <w:t xml:space="preserve">                                          </w:t>
      </w:r>
    </w:p>
    <w:p w14:paraId="1C76390E">
      <w:pPr>
        <w:adjustRightInd w:val="0"/>
        <w:snapToGrid w:val="0"/>
        <w:spacing w:line="360" w:lineRule="auto"/>
        <w:rPr>
          <w:rFonts w:ascii="宋体" w:hAnsi="宋体" w:cs="仿宋"/>
          <w:color w:val="auto"/>
          <w:szCs w:val="21"/>
          <w:highlight w:val="none"/>
          <w:u w:val="dotted"/>
        </w:rPr>
      </w:pPr>
      <w:r>
        <w:rPr>
          <w:rFonts w:hint="eastAsia" w:ascii="宋体" w:hAnsi="宋体" w:cs="仿宋"/>
          <w:color w:val="auto"/>
          <w:szCs w:val="21"/>
          <w:highlight w:val="none"/>
          <w:u w:val="dotted"/>
        </w:rPr>
        <w:t xml:space="preserve">                                                     </w:t>
      </w:r>
    </w:p>
    <w:p w14:paraId="6D757A22">
      <w:pPr>
        <w:adjustRightInd w:val="0"/>
        <w:snapToGrid w:val="0"/>
        <w:spacing w:line="360" w:lineRule="auto"/>
        <w:rPr>
          <w:rFonts w:ascii="宋体" w:hAnsi="宋体" w:cs="仿宋"/>
          <w:color w:val="auto"/>
          <w:szCs w:val="21"/>
          <w:highlight w:val="none"/>
          <w:u w:val="dotted"/>
        </w:rPr>
      </w:pPr>
      <w:r>
        <w:rPr>
          <w:rFonts w:hint="eastAsia" w:ascii="宋体" w:hAnsi="宋体" w:cs="仿宋"/>
          <w:color w:val="auto"/>
          <w:szCs w:val="21"/>
          <w:highlight w:val="none"/>
        </w:rPr>
        <w:t>质疑事项2</w:t>
      </w:r>
    </w:p>
    <w:p w14:paraId="19655DB7">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w:t>
      </w:r>
    </w:p>
    <w:p w14:paraId="2A89CD6C">
      <w:pPr>
        <w:adjustRightInd w:val="0"/>
        <w:snapToGrid w:val="0"/>
        <w:spacing w:line="360" w:lineRule="auto"/>
        <w:rPr>
          <w:rFonts w:ascii="宋体" w:hAnsi="宋体" w:cs="仿宋"/>
          <w:b/>
          <w:bCs/>
          <w:color w:val="auto"/>
          <w:szCs w:val="21"/>
          <w:highlight w:val="none"/>
        </w:rPr>
      </w:pPr>
      <w:r>
        <w:rPr>
          <w:rFonts w:hint="eastAsia" w:ascii="宋体" w:hAnsi="宋体" w:cs="仿宋"/>
          <w:b/>
          <w:bCs/>
          <w:color w:val="auto"/>
          <w:szCs w:val="21"/>
          <w:highlight w:val="none"/>
        </w:rPr>
        <w:t>四、与质疑事项相关的质疑请求</w:t>
      </w:r>
    </w:p>
    <w:p w14:paraId="6DE2D989">
      <w:pPr>
        <w:adjustRightInd w:val="0"/>
        <w:snapToGrid w:val="0"/>
        <w:spacing w:line="360" w:lineRule="auto"/>
        <w:rPr>
          <w:rFonts w:ascii="宋体" w:hAnsi="宋体" w:cs="仿宋"/>
          <w:color w:val="auto"/>
          <w:szCs w:val="21"/>
          <w:highlight w:val="none"/>
          <w:u w:val="dotted"/>
        </w:rPr>
      </w:pPr>
      <w:r>
        <w:rPr>
          <w:rFonts w:hint="eastAsia" w:ascii="宋体" w:hAnsi="宋体" w:cs="仿宋"/>
          <w:color w:val="auto"/>
          <w:szCs w:val="21"/>
          <w:highlight w:val="none"/>
        </w:rPr>
        <w:t>请求：</w:t>
      </w:r>
      <w:r>
        <w:rPr>
          <w:rFonts w:hint="eastAsia" w:ascii="宋体" w:hAnsi="宋体" w:cs="仿宋"/>
          <w:color w:val="auto"/>
          <w:szCs w:val="21"/>
          <w:highlight w:val="none"/>
          <w:u w:val="dotted"/>
        </w:rPr>
        <w:t xml:space="preserve">                                               </w:t>
      </w:r>
    </w:p>
    <w:p w14:paraId="505CF728">
      <w:pPr>
        <w:rPr>
          <w:rFonts w:ascii="宋体" w:hAnsi="宋体"/>
          <w:color w:val="auto"/>
          <w:szCs w:val="21"/>
          <w:highlight w:val="none"/>
        </w:rPr>
      </w:pPr>
      <w:r>
        <w:rPr>
          <w:rFonts w:hint="eastAsia" w:ascii="宋体" w:hAnsi="宋体"/>
          <w:color w:val="auto"/>
          <w:szCs w:val="21"/>
          <w:highlight w:val="none"/>
        </w:rPr>
        <w:t xml:space="preserve">签字(签章)：                   公章：                      </w:t>
      </w:r>
    </w:p>
    <w:p w14:paraId="2709D182">
      <w:pPr>
        <w:rPr>
          <w:rFonts w:ascii="宋体" w:hAnsi="宋体"/>
          <w:color w:val="auto"/>
          <w:szCs w:val="21"/>
          <w:highlight w:val="none"/>
        </w:rPr>
      </w:pPr>
      <w:r>
        <w:rPr>
          <w:rFonts w:hint="eastAsia" w:ascii="宋体" w:hAnsi="宋体"/>
          <w:color w:val="auto"/>
          <w:szCs w:val="21"/>
          <w:highlight w:val="none"/>
        </w:rPr>
        <w:t xml:space="preserve">日期：    </w:t>
      </w:r>
    </w:p>
    <w:p w14:paraId="6FD07CC6">
      <w:pPr>
        <w:adjustRightInd w:val="0"/>
        <w:snapToGrid w:val="0"/>
        <w:spacing w:line="360" w:lineRule="auto"/>
        <w:rPr>
          <w:rFonts w:ascii="宋体" w:hAnsi="宋体" w:cs="仿宋"/>
          <w:color w:val="auto"/>
          <w:szCs w:val="21"/>
          <w:highlight w:val="none"/>
        </w:rPr>
      </w:pPr>
    </w:p>
    <w:p w14:paraId="3D1E6BAC">
      <w:pPr>
        <w:adjustRightInd w:val="0"/>
        <w:snapToGrid w:val="0"/>
        <w:spacing w:line="360" w:lineRule="auto"/>
        <w:rPr>
          <w:rFonts w:ascii="宋体" w:hAnsi="宋体" w:cs="仿宋"/>
          <w:color w:val="auto"/>
          <w:szCs w:val="21"/>
          <w:highlight w:val="none"/>
        </w:rPr>
      </w:pPr>
    </w:p>
    <w:p w14:paraId="7A599AAA">
      <w:pPr>
        <w:jc w:val="center"/>
        <w:rPr>
          <w:rFonts w:ascii="宋体" w:hAnsi="宋体" w:cs="仿宋"/>
          <w:b/>
          <w:bCs/>
          <w:color w:val="auto"/>
          <w:szCs w:val="21"/>
          <w:highlight w:val="none"/>
        </w:rPr>
      </w:pPr>
    </w:p>
    <w:p w14:paraId="40D64183">
      <w:pPr>
        <w:jc w:val="center"/>
        <w:rPr>
          <w:rFonts w:ascii="宋体" w:hAnsi="宋体" w:cs="仿宋"/>
          <w:b/>
          <w:bCs/>
          <w:color w:val="auto"/>
          <w:szCs w:val="21"/>
          <w:highlight w:val="none"/>
        </w:rPr>
      </w:pPr>
    </w:p>
    <w:p w14:paraId="0E706A6F">
      <w:pPr>
        <w:jc w:val="center"/>
        <w:rPr>
          <w:rFonts w:ascii="宋体" w:hAnsi="宋体" w:cs="仿宋"/>
          <w:b/>
          <w:bCs/>
          <w:color w:val="auto"/>
          <w:szCs w:val="21"/>
          <w:highlight w:val="none"/>
        </w:rPr>
      </w:pPr>
    </w:p>
    <w:p w14:paraId="29226846">
      <w:pPr>
        <w:jc w:val="center"/>
        <w:rPr>
          <w:rFonts w:ascii="宋体" w:hAnsi="宋体" w:cs="仿宋"/>
          <w:b/>
          <w:bCs/>
          <w:color w:val="auto"/>
          <w:szCs w:val="21"/>
          <w:highlight w:val="none"/>
        </w:rPr>
      </w:pPr>
    </w:p>
    <w:p w14:paraId="53888A47">
      <w:pPr>
        <w:jc w:val="center"/>
        <w:rPr>
          <w:rFonts w:ascii="宋体" w:hAnsi="宋体" w:cs="仿宋"/>
          <w:b/>
          <w:bCs/>
          <w:color w:val="auto"/>
          <w:szCs w:val="21"/>
          <w:highlight w:val="none"/>
        </w:rPr>
      </w:pPr>
    </w:p>
    <w:p w14:paraId="49083AB5">
      <w:pPr>
        <w:jc w:val="center"/>
        <w:rPr>
          <w:rFonts w:ascii="宋体" w:hAnsi="宋体" w:cs="仿宋"/>
          <w:b/>
          <w:bCs/>
          <w:color w:val="auto"/>
          <w:szCs w:val="21"/>
          <w:highlight w:val="none"/>
        </w:rPr>
      </w:pPr>
    </w:p>
    <w:p w14:paraId="7F36A61A">
      <w:pPr>
        <w:rPr>
          <w:rFonts w:ascii="宋体" w:hAnsi="宋体"/>
          <w:b/>
          <w:color w:val="auto"/>
          <w:szCs w:val="21"/>
          <w:highlight w:val="none"/>
        </w:rPr>
      </w:pPr>
    </w:p>
    <w:p w14:paraId="311ADB30">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b/>
          <w:color w:val="auto"/>
          <w:szCs w:val="21"/>
          <w:highlight w:val="none"/>
        </w:rPr>
      </w:pPr>
      <w:r>
        <w:rPr>
          <w:rFonts w:hint="eastAsia" w:ascii="宋体" w:hAnsi="宋体"/>
          <w:b/>
          <w:color w:val="auto"/>
          <w:szCs w:val="21"/>
          <w:highlight w:val="none"/>
        </w:rPr>
        <w:t>质疑函制作说明：</w:t>
      </w:r>
    </w:p>
    <w:p w14:paraId="2FE9EA11">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1.供应商提出质疑时，应提交质疑函和必要的证明材料。</w:t>
      </w:r>
    </w:p>
    <w:p w14:paraId="4B827FF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546DB2A9">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3.质疑供应商若对项目的某一分包进行质疑，质疑函中应列明具体分包号。</w:t>
      </w:r>
    </w:p>
    <w:p w14:paraId="216D2A3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4.质疑函的质疑事项应具体、明确，并有必要的事实依据和法律依据。</w:t>
      </w:r>
    </w:p>
    <w:p w14:paraId="49F321E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5.质疑函的质疑请求应与质疑事项相关。</w:t>
      </w:r>
    </w:p>
    <w:p w14:paraId="3015174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2DAFC09A">
      <w:pPr>
        <w:widowControl/>
        <w:ind w:firstLine="420" w:firstLineChars="200"/>
        <w:jc w:val="left"/>
        <w:rPr>
          <w:rFonts w:ascii="宋体" w:hAnsi="宋体"/>
          <w:color w:val="auto"/>
          <w:szCs w:val="21"/>
          <w:highlight w:val="none"/>
        </w:rPr>
      </w:pPr>
    </w:p>
    <w:p w14:paraId="39047957">
      <w:pPr>
        <w:widowControl/>
        <w:spacing w:line="360" w:lineRule="auto"/>
        <w:jc w:val="left"/>
        <w:rPr>
          <w:rFonts w:ascii="ˎ̥" w:hAnsi="ˎ̥" w:cs="宋体"/>
          <w:color w:val="auto"/>
          <w:kern w:val="0"/>
          <w:sz w:val="24"/>
          <w:szCs w:val="24"/>
          <w:highlight w:val="none"/>
        </w:rPr>
        <w:sectPr>
          <w:pgSz w:w="11906" w:h="16838"/>
          <w:pgMar w:top="1134" w:right="1134" w:bottom="1134" w:left="1134" w:header="720" w:footer="720" w:gutter="0"/>
          <w:cols w:space="720" w:num="1"/>
          <w:docGrid w:type="lines" w:linePitch="331" w:charSpace="0"/>
        </w:sectPr>
      </w:pPr>
    </w:p>
    <w:p w14:paraId="4508FB29">
      <w:pPr>
        <w:keepNext/>
        <w:keepLines/>
        <w:spacing w:before="260" w:after="260" w:line="413" w:lineRule="auto"/>
        <w:jc w:val="center"/>
        <w:outlineLvl w:val="1"/>
        <w:rPr>
          <w:rFonts w:ascii="宋体" w:hAnsi="宋体" w:eastAsia="黑体"/>
          <w:color w:val="auto"/>
          <w:sz w:val="32"/>
          <w:szCs w:val="32"/>
          <w:highlight w:val="none"/>
        </w:rPr>
      </w:pPr>
      <w:bookmarkStart w:id="125" w:name="_Toc4671"/>
      <w:bookmarkStart w:id="126" w:name="_Toc15565"/>
      <w:r>
        <w:rPr>
          <w:rFonts w:hint="eastAsia" w:ascii="宋体" w:hAnsi="宋体" w:eastAsia="黑体"/>
          <w:color w:val="auto"/>
          <w:sz w:val="32"/>
          <w:szCs w:val="32"/>
          <w:highlight w:val="none"/>
        </w:rPr>
        <w:t>第二节 投诉书（格式）</w:t>
      </w:r>
      <w:bookmarkEnd w:id="125"/>
      <w:bookmarkEnd w:id="126"/>
    </w:p>
    <w:p w14:paraId="2214F2F4">
      <w:pPr>
        <w:jc w:val="center"/>
        <w:rPr>
          <w:rFonts w:ascii="宋体" w:hAnsi="宋体"/>
          <w:b/>
          <w:color w:val="auto"/>
          <w:sz w:val="30"/>
          <w:szCs w:val="30"/>
          <w:highlight w:val="none"/>
        </w:rPr>
      </w:pPr>
      <w:r>
        <w:rPr>
          <w:rFonts w:hint="eastAsia" w:ascii="宋体" w:hAnsi="宋体"/>
          <w:b/>
          <w:color w:val="auto"/>
          <w:sz w:val="30"/>
          <w:szCs w:val="30"/>
          <w:highlight w:val="none"/>
        </w:rPr>
        <w:t>投诉书范本</w:t>
      </w:r>
    </w:p>
    <w:p w14:paraId="7C2A33F5">
      <w:pPr>
        <w:rPr>
          <w:rFonts w:ascii="宋体" w:hAnsi="宋体"/>
          <w:b/>
          <w:color w:val="auto"/>
          <w:szCs w:val="21"/>
          <w:highlight w:val="none"/>
        </w:rPr>
      </w:pPr>
      <w:r>
        <w:rPr>
          <w:rFonts w:hint="eastAsia" w:ascii="宋体" w:hAnsi="宋体"/>
          <w:b/>
          <w:color w:val="auto"/>
          <w:szCs w:val="21"/>
          <w:highlight w:val="none"/>
        </w:rPr>
        <w:t>一、投诉相关主体基本情况</w:t>
      </w:r>
    </w:p>
    <w:p w14:paraId="6455F357">
      <w:pPr>
        <w:rPr>
          <w:rFonts w:ascii="宋体" w:hAnsi="宋体"/>
          <w:color w:val="auto"/>
          <w:szCs w:val="21"/>
          <w:highlight w:val="none"/>
          <w:u w:val="dotted"/>
        </w:rPr>
      </w:pPr>
      <w:r>
        <w:rPr>
          <w:rFonts w:hint="eastAsia" w:ascii="宋体" w:hAnsi="宋体"/>
          <w:color w:val="auto"/>
          <w:szCs w:val="21"/>
          <w:highlight w:val="none"/>
        </w:rPr>
        <w:t>投诉人：</w:t>
      </w:r>
      <w:r>
        <w:rPr>
          <w:rFonts w:hint="eastAsia" w:ascii="宋体" w:hAnsi="宋体"/>
          <w:color w:val="auto"/>
          <w:szCs w:val="21"/>
          <w:highlight w:val="none"/>
          <w:u w:val="dotted"/>
        </w:rPr>
        <w:t xml:space="preserve">                                               </w:t>
      </w:r>
    </w:p>
    <w:p w14:paraId="093B7C1E">
      <w:pPr>
        <w:rPr>
          <w:rFonts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71F4F640">
      <w:pPr>
        <w:tabs>
          <w:tab w:val="left" w:pos="6510"/>
        </w:tabs>
        <w:jc w:val="left"/>
        <w:rPr>
          <w:rFonts w:ascii="宋体" w:hAnsi="宋体"/>
          <w:color w:val="auto"/>
          <w:szCs w:val="21"/>
          <w:highlight w:val="none"/>
        </w:rPr>
      </w:pPr>
      <w:r>
        <w:rPr>
          <w:rFonts w:hint="eastAsia" w:ascii="宋体" w:hAnsi="宋体"/>
          <w:color w:val="auto"/>
          <w:szCs w:val="21"/>
          <w:highlight w:val="none"/>
        </w:rPr>
        <w:t>法定代表人/主要负责人：</w:t>
      </w: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3F16190A">
      <w:pPr>
        <w:tabs>
          <w:tab w:val="left" w:pos="6510"/>
        </w:tabs>
        <w:rPr>
          <w:rFonts w:ascii="宋体" w:hAnsi="宋体"/>
          <w:color w:val="auto"/>
          <w:szCs w:val="21"/>
          <w:highlight w:val="none"/>
          <w:u w:val="dotted"/>
        </w:rPr>
      </w:pP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76A37883">
      <w:pPr>
        <w:rPr>
          <w:rFonts w:ascii="宋体" w:hAnsi="宋体"/>
          <w:color w:val="auto"/>
          <w:szCs w:val="21"/>
          <w:highlight w:val="none"/>
          <w:u w:val="dotted"/>
        </w:rPr>
      </w:pPr>
      <w:r>
        <w:rPr>
          <w:rFonts w:hint="eastAsia" w:ascii="宋体" w:hAnsi="宋体"/>
          <w:color w:val="auto"/>
          <w:szCs w:val="21"/>
          <w:highlight w:val="none"/>
        </w:rPr>
        <w:t>授权代表：</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2BEFE6A6">
      <w:pPr>
        <w:rPr>
          <w:rFonts w:ascii="宋体" w:hAnsi="宋体"/>
          <w:color w:val="auto"/>
          <w:szCs w:val="21"/>
          <w:highlight w:val="none"/>
          <w:u w:val="dotted"/>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dotted"/>
        </w:rPr>
        <w:t xml:space="preserve">                   </w:t>
      </w:r>
    </w:p>
    <w:p w14:paraId="209FB028">
      <w:pPr>
        <w:rPr>
          <w:rFonts w:ascii="宋体" w:hAnsi="宋体"/>
          <w:color w:val="auto"/>
          <w:szCs w:val="21"/>
          <w:highlight w:val="none"/>
          <w:u w:val="single"/>
        </w:rPr>
      </w:pPr>
      <w:r>
        <w:rPr>
          <w:rFonts w:hint="eastAsia" w:ascii="宋体" w:hAnsi="宋体"/>
          <w:color w:val="auto"/>
          <w:szCs w:val="21"/>
          <w:highlight w:val="none"/>
        </w:rPr>
        <w:t>被投诉人1：</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608CF198">
      <w:pPr>
        <w:rPr>
          <w:rFonts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608B12B5">
      <w:pPr>
        <w:rPr>
          <w:rFonts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353C0730">
      <w:pPr>
        <w:rPr>
          <w:rFonts w:ascii="宋体" w:hAnsi="宋体"/>
          <w:color w:val="auto"/>
          <w:szCs w:val="21"/>
          <w:highlight w:val="none"/>
        </w:rPr>
      </w:pPr>
      <w:r>
        <w:rPr>
          <w:rFonts w:hint="eastAsia" w:ascii="宋体" w:hAnsi="宋体"/>
          <w:color w:val="auto"/>
          <w:szCs w:val="21"/>
          <w:highlight w:val="none"/>
        </w:rPr>
        <w:t>被投诉人2</w:t>
      </w:r>
    </w:p>
    <w:p w14:paraId="41FB917B">
      <w:pPr>
        <w:rPr>
          <w:rFonts w:ascii="宋体" w:hAnsi="宋体"/>
          <w:color w:val="auto"/>
          <w:szCs w:val="21"/>
          <w:highlight w:val="none"/>
          <w:u w:val="dotted"/>
        </w:rPr>
      </w:pPr>
      <w:r>
        <w:rPr>
          <w:rFonts w:hint="eastAsia" w:ascii="宋体" w:hAnsi="宋体"/>
          <w:color w:val="auto"/>
          <w:szCs w:val="21"/>
          <w:highlight w:val="none"/>
        </w:rPr>
        <w:t>……</w:t>
      </w:r>
    </w:p>
    <w:p w14:paraId="0E17D14B">
      <w:pPr>
        <w:rPr>
          <w:rFonts w:ascii="宋体" w:hAnsi="宋体"/>
          <w:color w:val="auto"/>
          <w:szCs w:val="21"/>
          <w:highlight w:val="none"/>
          <w:u w:val="single"/>
        </w:rPr>
      </w:pPr>
      <w:r>
        <w:rPr>
          <w:rFonts w:hint="eastAsia" w:ascii="宋体" w:hAnsi="宋体"/>
          <w:color w:val="auto"/>
          <w:szCs w:val="21"/>
          <w:highlight w:val="none"/>
        </w:rPr>
        <w:t>相关供应商：</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25E7E4BF">
      <w:pPr>
        <w:rPr>
          <w:rFonts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4B7A6241">
      <w:pPr>
        <w:rPr>
          <w:rFonts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7002D183">
      <w:pPr>
        <w:rPr>
          <w:rFonts w:ascii="宋体" w:hAnsi="宋体"/>
          <w:b/>
          <w:color w:val="auto"/>
          <w:szCs w:val="21"/>
          <w:highlight w:val="none"/>
        </w:rPr>
      </w:pPr>
      <w:r>
        <w:rPr>
          <w:rFonts w:hint="eastAsia" w:ascii="宋体" w:hAnsi="宋体"/>
          <w:b/>
          <w:color w:val="auto"/>
          <w:szCs w:val="21"/>
          <w:highlight w:val="none"/>
        </w:rPr>
        <w:t>二、投诉项目基本情况</w:t>
      </w:r>
    </w:p>
    <w:p w14:paraId="3AD47FD7">
      <w:pPr>
        <w:rPr>
          <w:rFonts w:ascii="宋体" w:hAnsi="宋体"/>
          <w:color w:val="auto"/>
          <w:szCs w:val="21"/>
          <w:highlight w:val="none"/>
          <w:u w:val="dotted"/>
        </w:rPr>
      </w:pPr>
      <w:r>
        <w:rPr>
          <w:rFonts w:hint="eastAsia" w:ascii="宋体" w:hAnsi="宋体"/>
          <w:color w:val="auto"/>
          <w:szCs w:val="21"/>
          <w:highlight w:val="none"/>
        </w:rPr>
        <w:t>采购项目名称：</w:t>
      </w:r>
      <w:r>
        <w:rPr>
          <w:rFonts w:hint="eastAsia" w:ascii="宋体" w:hAnsi="宋体"/>
          <w:color w:val="auto"/>
          <w:szCs w:val="21"/>
          <w:highlight w:val="none"/>
          <w:u w:val="dotted"/>
        </w:rPr>
        <w:t xml:space="preserve"> </w:t>
      </w:r>
      <w:r>
        <w:rPr>
          <w:rFonts w:hint="eastAsia"/>
          <w:color w:val="auto"/>
          <w:highlight w:val="none"/>
          <w:u w:val="single"/>
        </w:rPr>
        <w:t xml:space="preserve">                              </w:t>
      </w:r>
      <w:r>
        <w:rPr>
          <w:rFonts w:hint="eastAsia" w:ascii="宋体" w:hAnsi="宋体"/>
          <w:color w:val="auto"/>
          <w:szCs w:val="21"/>
          <w:highlight w:val="none"/>
          <w:u w:val="dotted"/>
        </w:rPr>
        <w:t xml:space="preserve">  </w:t>
      </w:r>
    </w:p>
    <w:p w14:paraId="5A8B363F">
      <w:pPr>
        <w:rPr>
          <w:rFonts w:ascii="宋体" w:hAnsi="宋体"/>
          <w:color w:val="auto"/>
          <w:szCs w:val="21"/>
          <w:highlight w:val="none"/>
        </w:rPr>
      </w:pPr>
      <w:r>
        <w:rPr>
          <w:rFonts w:hint="eastAsia" w:ascii="宋体" w:hAnsi="宋体"/>
          <w:color w:val="auto"/>
          <w:szCs w:val="21"/>
          <w:highlight w:val="none"/>
        </w:rPr>
        <w:t>采购项目编号：</w:t>
      </w:r>
      <w:r>
        <w:rPr>
          <w:rFonts w:hint="eastAsia"/>
          <w:color w:val="auto"/>
          <w:highlight w:val="none"/>
          <w:u w:val="single"/>
        </w:rPr>
        <w:t xml:space="preserve"> </w:t>
      </w:r>
      <w:bookmarkStart w:id="127" w:name="PO_3000001866_PM001_14"/>
      <w:r>
        <w:rPr>
          <w:rFonts w:hint="eastAsia"/>
          <w:color w:val="auto"/>
          <w:highlight w:val="none"/>
          <w:u w:val="single"/>
        </w:rPr>
        <w:t xml:space="preserve">                                </w:t>
      </w:r>
      <w:r>
        <w:rPr>
          <w:rFonts w:ascii="宋体" w:hAnsi="宋体"/>
          <w:color w:val="auto"/>
          <w:szCs w:val="21"/>
          <w:highlight w:val="none"/>
          <w:u w:val="dotted"/>
        </w:rPr>
        <w:t xml:space="preserve"> </w:t>
      </w:r>
      <w:bookmarkEnd w:id="127"/>
      <w:r>
        <w:rPr>
          <w:rFonts w:hint="eastAsia" w:ascii="宋体" w:hAnsi="宋体"/>
          <w:color w:val="auto"/>
          <w:szCs w:val="21"/>
          <w:highlight w:val="none"/>
          <w:u w:val="dotted"/>
        </w:rPr>
        <w:t xml:space="preserve"> </w:t>
      </w:r>
    </w:p>
    <w:p w14:paraId="3EA7901F">
      <w:pPr>
        <w:rPr>
          <w:rFonts w:ascii="宋体" w:hAnsi="宋体"/>
          <w:color w:val="auto"/>
          <w:szCs w:val="21"/>
          <w:highlight w:val="none"/>
        </w:rPr>
      </w:pPr>
      <w:r>
        <w:rPr>
          <w:rFonts w:hint="eastAsia" w:ascii="宋体" w:hAnsi="宋体"/>
          <w:color w:val="auto"/>
          <w:szCs w:val="21"/>
          <w:highlight w:val="none"/>
        </w:rPr>
        <w:t>采购人名称：</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3407EAC9">
      <w:pPr>
        <w:rPr>
          <w:rFonts w:ascii="宋体" w:hAnsi="宋体"/>
          <w:color w:val="auto"/>
          <w:szCs w:val="21"/>
          <w:highlight w:val="none"/>
          <w:u w:val="single"/>
        </w:rPr>
      </w:pPr>
      <w:r>
        <w:rPr>
          <w:rFonts w:hint="eastAsia" w:ascii="宋体" w:hAnsi="宋体"/>
          <w:color w:val="auto"/>
          <w:szCs w:val="21"/>
          <w:highlight w:val="none"/>
        </w:rPr>
        <w:t>代理机构名称：</w:t>
      </w:r>
      <w:r>
        <w:rPr>
          <w:rFonts w:hint="eastAsia" w:ascii="宋体" w:hAnsi="宋体"/>
          <w:color w:val="auto"/>
          <w:szCs w:val="21"/>
          <w:highlight w:val="none"/>
          <w:u w:val="dotted"/>
        </w:rPr>
        <w:t xml:space="preserve">                                         </w:t>
      </w:r>
    </w:p>
    <w:p w14:paraId="34B208B7">
      <w:pPr>
        <w:rPr>
          <w:rFonts w:ascii="宋体" w:hAnsi="宋体"/>
          <w:color w:val="auto"/>
          <w:szCs w:val="21"/>
          <w:highlight w:val="none"/>
          <w:u w:val="dotted"/>
        </w:rPr>
      </w:pPr>
      <w:r>
        <w:rPr>
          <w:rFonts w:hint="eastAsia" w:ascii="宋体" w:hAnsi="宋体"/>
          <w:color w:val="auto"/>
          <w:szCs w:val="21"/>
          <w:highlight w:val="none"/>
        </w:rPr>
        <w:t>采购文件公告: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r>
        <w:rPr>
          <w:rFonts w:hint="eastAsia" w:ascii="宋体" w:hAnsi="宋体"/>
          <w:color w:val="auto"/>
          <w:szCs w:val="21"/>
          <w:highlight w:val="none"/>
          <w:u w:val="dotted"/>
        </w:rPr>
        <w:t xml:space="preserve">                                 </w:t>
      </w:r>
    </w:p>
    <w:p w14:paraId="67083CA7">
      <w:pPr>
        <w:rPr>
          <w:rFonts w:ascii="宋体" w:hAnsi="宋体"/>
          <w:color w:val="auto"/>
          <w:szCs w:val="21"/>
          <w:highlight w:val="none"/>
          <w:u w:val="single"/>
        </w:rPr>
      </w:pPr>
      <w:r>
        <w:rPr>
          <w:rFonts w:hint="eastAsia" w:ascii="宋体" w:hAnsi="宋体"/>
          <w:color w:val="auto"/>
          <w:szCs w:val="21"/>
          <w:highlight w:val="none"/>
        </w:rPr>
        <w:t>采购结果公告: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r>
        <w:rPr>
          <w:rFonts w:hint="eastAsia" w:ascii="宋体" w:hAnsi="宋体"/>
          <w:color w:val="auto"/>
          <w:szCs w:val="21"/>
          <w:highlight w:val="none"/>
          <w:u w:val="dotted"/>
        </w:rPr>
        <w:t xml:space="preserve">                        </w:t>
      </w:r>
    </w:p>
    <w:p w14:paraId="427149CF">
      <w:pPr>
        <w:rPr>
          <w:rFonts w:ascii="宋体" w:hAnsi="宋体"/>
          <w:b/>
          <w:color w:val="auto"/>
          <w:szCs w:val="21"/>
          <w:highlight w:val="none"/>
        </w:rPr>
      </w:pPr>
      <w:r>
        <w:rPr>
          <w:rFonts w:hint="eastAsia" w:ascii="宋体" w:hAnsi="宋体"/>
          <w:b/>
          <w:color w:val="auto"/>
          <w:szCs w:val="21"/>
          <w:highlight w:val="none"/>
        </w:rPr>
        <w:t>三、质疑基本情况</w:t>
      </w:r>
    </w:p>
    <w:p w14:paraId="46BA0188">
      <w:pPr>
        <w:ind w:firstLine="420" w:firstLineChars="200"/>
        <w:rPr>
          <w:rFonts w:ascii="宋体" w:hAnsi="宋体"/>
          <w:color w:val="auto"/>
          <w:szCs w:val="21"/>
          <w:highlight w:val="none"/>
          <w:u w:val="dotted"/>
        </w:rPr>
      </w:pPr>
      <w:r>
        <w:rPr>
          <w:rFonts w:hint="eastAsia" w:ascii="宋体" w:hAnsi="宋体"/>
          <w:color w:val="auto"/>
          <w:szCs w:val="21"/>
          <w:highlight w:val="none"/>
        </w:rPr>
        <w:t>投诉人于</w:t>
      </w:r>
      <w:r>
        <w:rPr>
          <w:rFonts w:hint="eastAsia" w:ascii="宋体" w:hAnsi="宋体"/>
          <w:color w:val="auto"/>
          <w:szCs w:val="21"/>
          <w:highlight w:val="none"/>
          <w:u w:val="dotted"/>
        </w:rPr>
        <w:t xml:space="preserve">   </w:t>
      </w:r>
      <w:r>
        <w:rPr>
          <w:rFonts w:hint="eastAsia" w:ascii="宋体" w:hAnsi="宋体"/>
          <w:color w:val="auto"/>
          <w:szCs w:val="21"/>
          <w:highlight w:val="none"/>
        </w:rPr>
        <w:t>年</w:t>
      </w:r>
      <w:r>
        <w:rPr>
          <w:rFonts w:hint="eastAsia" w:ascii="宋体" w:hAnsi="宋体"/>
          <w:color w:val="auto"/>
          <w:szCs w:val="21"/>
          <w:highlight w:val="none"/>
          <w:u w:val="dotted"/>
        </w:rPr>
        <w:t xml:space="preserve">   </w:t>
      </w:r>
      <w:r>
        <w:rPr>
          <w:rFonts w:hint="eastAsia" w:ascii="宋体" w:hAnsi="宋体"/>
          <w:color w:val="auto"/>
          <w:szCs w:val="21"/>
          <w:highlight w:val="none"/>
        </w:rPr>
        <w:t>月</w:t>
      </w:r>
      <w:r>
        <w:rPr>
          <w:rFonts w:hint="eastAsia" w:ascii="宋体" w:hAnsi="宋体"/>
          <w:color w:val="auto"/>
          <w:szCs w:val="21"/>
          <w:highlight w:val="none"/>
          <w:u w:val="dotted"/>
        </w:rPr>
        <w:t xml:space="preserve">  </w:t>
      </w:r>
      <w:r>
        <w:rPr>
          <w:rFonts w:hint="eastAsia" w:ascii="宋体" w:hAnsi="宋体"/>
          <w:color w:val="auto"/>
          <w:szCs w:val="21"/>
          <w:highlight w:val="none"/>
        </w:rPr>
        <w:t>日,向</w:t>
      </w:r>
      <w:r>
        <w:rPr>
          <w:rFonts w:hint="eastAsia" w:ascii="宋体" w:hAnsi="宋体"/>
          <w:color w:val="auto"/>
          <w:szCs w:val="21"/>
          <w:highlight w:val="none"/>
          <w:u w:val="dotted"/>
        </w:rPr>
        <w:t xml:space="preserve">                   </w:t>
      </w:r>
      <w:r>
        <w:rPr>
          <w:rFonts w:hint="eastAsia" w:ascii="宋体" w:hAnsi="宋体"/>
          <w:color w:val="auto"/>
          <w:szCs w:val="21"/>
          <w:highlight w:val="none"/>
        </w:rPr>
        <w:t>提出质疑，质疑事项为：</w:t>
      </w:r>
      <w:r>
        <w:rPr>
          <w:rFonts w:hint="eastAsia" w:ascii="宋体" w:hAnsi="宋体"/>
          <w:color w:val="auto"/>
          <w:szCs w:val="21"/>
          <w:highlight w:val="none"/>
          <w:u w:val="dotted"/>
        </w:rPr>
        <w:t xml:space="preserve">                                </w:t>
      </w:r>
    </w:p>
    <w:p w14:paraId="3A95FD31">
      <w:pPr>
        <w:rPr>
          <w:rFonts w:ascii="宋体" w:hAnsi="宋体"/>
          <w:color w:val="auto"/>
          <w:szCs w:val="21"/>
          <w:highlight w:val="none"/>
          <w:u w:val="dotted"/>
        </w:rPr>
      </w:pP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6DDDABDC">
      <w:pPr>
        <w:ind w:firstLine="315" w:firstLineChars="150"/>
        <w:rPr>
          <w:rFonts w:ascii="宋体" w:hAnsi="宋体"/>
          <w:color w:val="auto"/>
          <w:szCs w:val="21"/>
          <w:highlight w:val="none"/>
        </w:rPr>
      </w:pPr>
      <w:r>
        <w:rPr>
          <w:rFonts w:hint="eastAsia" w:ascii="宋体" w:hAnsi="宋体"/>
          <w:color w:val="auto"/>
          <w:szCs w:val="21"/>
          <w:highlight w:val="none"/>
          <w:u w:val="dotted"/>
        </w:rPr>
        <w:t>采购人/代理机构</w:t>
      </w:r>
      <w:r>
        <w:rPr>
          <w:rFonts w:hint="eastAsia" w:ascii="宋体" w:hAnsi="宋体"/>
          <w:color w:val="auto"/>
          <w:szCs w:val="21"/>
          <w:highlight w:val="none"/>
        </w:rPr>
        <w:t>于</w:t>
      </w:r>
      <w:r>
        <w:rPr>
          <w:rFonts w:hint="eastAsia" w:ascii="宋体" w:hAnsi="宋体"/>
          <w:color w:val="auto"/>
          <w:szCs w:val="21"/>
          <w:highlight w:val="none"/>
          <w:u w:val="dotted"/>
        </w:rPr>
        <w:t xml:space="preserve">   </w:t>
      </w:r>
      <w:r>
        <w:rPr>
          <w:rFonts w:hint="eastAsia" w:ascii="宋体" w:hAnsi="宋体"/>
          <w:color w:val="auto"/>
          <w:szCs w:val="21"/>
          <w:highlight w:val="none"/>
        </w:rPr>
        <w:t>年</w:t>
      </w:r>
      <w:r>
        <w:rPr>
          <w:rFonts w:hint="eastAsia" w:ascii="宋体" w:hAnsi="宋体"/>
          <w:color w:val="auto"/>
          <w:szCs w:val="21"/>
          <w:highlight w:val="none"/>
          <w:u w:val="dotted"/>
        </w:rPr>
        <w:t xml:space="preserve">   </w:t>
      </w:r>
      <w:r>
        <w:rPr>
          <w:rFonts w:hint="eastAsia" w:ascii="宋体" w:hAnsi="宋体"/>
          <w:color w:val="auto"/>
          <w:szCs w:val="21"/>
          <w:highlight w:val="none"/>
        </w:rPr>
        <w:t>月</w:t>
      </w:r>
      <w:r>
        <w:rPr>
          <w:rFonts w:hint="eastAsia" w:ascii="宋体" w:hAnsi="宋体"/>
          <w:color w:val="auto"/>
          <w:szCs w:val="21"/>
          <w:highlight w:val="none"/>
          <w:u w:val="dotted"/>
        </w:rPr>
        <w:t xml:space="preserve">   </w:t>
      </w:r>
      <w:r>
        <w:rPr>
          <w:rFonts w:hint="eastAsia" w:ascii="宋体" w:hAnsi="宋体"/>
          <w:color w:val="auto"/>
          <w:szCs w:val="21"/>
          <w:highlight w:val="none"/>
        </w:rPr>
        <w:t>日,就质疑事项作出了答复/没有在法定期限内作出答复。</w:t>
      </w:r>
    </w:p>
    <w:p w14:paraId="4C775C1A">
      <w:pPr>
        <w:rPr>
          <w:rFonts w:ascii="宋体" w:hAnsi="宋体"/>
          <w:b/>
          <w:color w:val="auto"/>
          <w:szCs w:val="21"/>
          <w:highlight w:val="none"/>
        </w:rPr>
      </w:pPr>
      <w:r>
        <w:rPr>
          <w:rFonts w:hint="eastAsia" w:ascii="宋体" w:hAnsi="宋体"/>
          <w:b/>
          <w:color w:val="auto"/>
          <w:szCs w:val="21"/>
          <w:highlight w:val="none"/>
        </w:rPr>
        <w:t>四、投诉事项具体内容</w:t>
      </w:r>
    </w:p>
    <w:p w14:paraId="78F3C708">
      <w:pPr>
        <w:rPr>
          <w:rFonts w:ascii="宋体" w:hAnsi="宋体"/>
          <w:color w:val="auto"/>
          <w:szCs w:val="21"/>
          <w:highlight w:val="none"/>
          <w:u w:val="single"/>
        </w:rPr>
      </w:pPr>
      <w:r>
        <w:rPr>
          <w:rFonts w:hint="eastAsia" w:ascii="宋体" w:hAnsi="宋体"/>
          <w:color w:val="auto"/>
          <w:szCs w:val="21"/>
          <w:highlight w:val="none"/>
        </w:rPr>
        <w:t>投诉事项 1：</w:t>
      </w:r>
      <w:r>
        <w:rPr>
          <w:rFonts w:hint="eastAsia" w:ascii="宋体" w:hAnsi="宋体"/>
          <w:color w:val="auto"/>
          <w:szCs w:val="21"/>
          <w:highlight w:val="none"/>
          <w:u w:val="dotted"/>
        </w:rPr>
        <w:t xml:space="preserve">                                       </w:t>
      </w:r>
    </w:p>
    <w:p w14:paraId="2B84E71E">
      <w:pPr>
        <w:rPr>
          <w:rFonts w:ascii="宋体" w:hAns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dotted"/>
        </w:rPr>
        <w:t xml:space="preserve">                                         </w:t>
      </w:r>
    </w:p>
    <w:p w14:paraId="3CED562C">
      <w:pPr>
        <w:rPr>
          <w:rFonts w:ascii="宋体" w:hAnsi="宋体"/>
          <w:color w:val="auto"/>
          <w:szCs w:val="21"/>
          <w:highlight w:val="none"/>
          <w:u w:val="single"/>
        </w:rPr>
      </w:pPr>
      <w:r>
        <w:rPr>
          <w:rFonts w:hint="eastAsia" w:ascii="宋体" w:hAnsi="宋体"/>
          <w:color w:val="auto"/>
          <w:szCs w:val="21"/>
          <w:highlight w:val="none"/>
        </w:rPr>
        <w:t>法律依据：</w:t>
      </w:r>
      <w:r>
        <w:rPr>
          <w:rFonts w:hint="eastAsia" w:ascii="宋体" w:hAnsi="宋体"/>
          <w:color w:val="auto"/>
          <w:szCs w:val="21"/>
          <w:highlight w:val="none"/>
          <w:u w:val="dotted"/>
        </w:rPr>
        <w:t xml:space="preserve">                                          </w:t>
      </w:r>
    </w:p>
    <w:p w14:paraId="3BE4DA9E">
      <w:pPr>
        <w:rPr>
          <w:rFonts w:ascii="宋体" w:hAnsi="宋体"/>
          <w:color w:val="auto"/>
          <w:szCs w:val="21"/>
          <w:highlight w:val="none"/>
        </w:rPr>
      </w:pPr>
      <w:r>
        <w:rPr>
          <w:rFonts w:hint="eastAsia" w:ascii="宋体" w:hAnsi="宋体"/>
          <w:color w:val="auto"/>
          <w:szCs w:val="21"/>
          <w:highlight w:val="none"/>
        </w:rPr>
        <w:t>投诉事项2</w:t>
      </w:r>
    </w:p>
    <w:p w14:paraId="09994A3F">
      <w:pPr>
        <w:rPr>
          <w:rFonts w:ascii="宋体" w:hAnsi="宋体"/>
          <w:color w:val="auto"/>
          <w:szCs w:val="21"/>
          <w:highlight w:val="none"/>
          <w:u w:val="dotted"/>
        </w:rPr>
      </w:pPr>
      <w:r>
        <w:rPr>
          <w:rFonts w:hint="eastAsia" w:ascii="宋体" w:hAnsi="宋体"/>
          <w:color w:val="auto"/>
          <w:szCs w:val="21"/>
          <w:highlight w:val="none"/>
        </w:rPr>
        <w:t>……</w:t>
      </w:r>
    </w:p>
    <w:p w14:paraId="416CAF62">
      <w:pPr>
        <w:rPr>
          <w:rFonts w:ascii="宋体" w:hAnsi="宋体"/>
          <w:b/>
          <w:color w:val="auto"/>
          <w:szCs w:val="21"/>
          <w:highlight w:val="none"/>
        </w:rPr>
      </w:pPr>
      <w:r>
        <w:rPr>
          <w:rFonts w:hint="eastAsia" w:ascii="宋体" w:hAnsi="宋体"/>
          <w:b/>
          <w:color w:val="auto"/>
          <w:szCs w:val="21"/>
          <w:highlight w:val="none"/>
        </w:rPr>
        <w:t>五、与投诉事项相关的投诉请求</w:t>
      </w:r>
    </w:p>
    <w:p w14:paraId="1B430B01">
      <w:pPr>
        <w:rPr>
          <w:rFonts w:ascii="宋体" w:hAnsi="宋体"/>
          <w:color w:val="auto"/>
          <w:szCs w:val="21"/>
          <w:highlight w:val="none"/>
        </w:rPr>
      </w:pPr>
      <w:r>
        <w:rPr>
          <w:rFonts w:hint="eastAsia" w:ascii="宋体" w:hAnsi="宋体"/>
          <w:color w:val="auto"/>
          <w:szCs w:val="21"/>
          <w:highlight w:val="none"/>
        </w:rPr>
        <w:t>请求：</w:t>
      </w: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34293F27">
      <w:pPr>
        <w:rPr>
          <w:rFonts w:ascii="宋体" w:hAnsi="宋体"/>
          <w:color w:val="auto"/>
          <w:szCs w:val="21"/>
          <w:highlight w:val="none"/>
          <w:u w:val="single"/>
        </w:rPr>
      </w:pPr>
      <w:r>
        <w:rPr>
          <w:rFonts w:hint="eastAsia" w:ascii="宋体" w:hAnsi="宋体"/>
          <w:color w:val="auto"/>
          <w:szCs w:val="21"/>
          <w:highlight w:val="none"/>
        </w:rPr>
        <w:t xml:space="preserve">                                                                                                    </w:t>
      </w:r>
    </w:p>
    <w:p w14:paraId="43003092">
      <w:pPr>
        <w:rPr>
          <w:rFonts w:ascii="宋体" w:hAnsi="宋体"/>
          <w:color w:val="auto"/>
          <w:szCs w:val="21"/>
          <w:highlight w:val="none"/>
        </w:rPr>
      </w:pPr>
      <w:r>
        <w:rPr>
          <w:rFonts w:hint="eastAsia" w:ascii="宋体" w:hAnsi="宋体"/>
          <w:color w:val="auto"/>
          <w:szCs w:val="21"/>
          <w:highlight w:val="none"/>
        </w:rPr>
        <w:t xml:space="preserve">签字(签章)：                   公章：                      </w:t>
      </w:r>
    </w:p>
    <w:p w14:paraId="0F590B94">
      <w:pPr>
        <w:rPr>
          <w:rFonts w:ascii="宋体" w:hAnsi="宋体"/>
          <w:color w:val="auto"/>
          <w:szCs w:val="21"/>
          <w:highlight w:val="none"/>
        </w:rPr>
      </w:pPr>
      <w:r>
        <w:rPr>
          <w:rFonts w:hint="eastAsia" w:ascii="宋体" w:hAnsi="宋体"/>
          <w:color w:val="auto"/>
          <w:szCs w:val="21"/>
          <w:highlight w:val="none"/>
        </w:rPr>
        <w:t xml:space="preserve">日期：    </w:t>
      </w:r>
    </w:p>
    <w:p w14:paraId="09C9A26F">
      <w:pPr>
        <w:rPr>
          <w:rFonts w:ascii="宋体" w:hAnsi="宋体"/>
          <w:b/>
          <w:color w:val="auto"/>
          <w:szCs w:val="21"/>
          <w:highlight w:val="none"/>
        </w:rPr>
      </w:pPr>
    </w:p>
    <w:p w14:paraId="0466A827">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b/>
          <w:color w:val="auto"/>
          <w:szCs w:val="21"/>
          <w:highlight w:val="none"/>
        </w:rPr>
      </w:pPr>
      <w:r>
        <w:rPr>
          <w:rFonts w:hint="eastAsia" w:ascii="宋体" w:hAnsi="宋体"/>
          <w:b/>
          <w:color w:val="auto"/>
          <w:szCs w:val="21"/>
          <w:highlight w:val="none"/>
        </w:rPr>
        <w:t>投诉书制作说明：</w:t>
      </w:r>
    </w:p>
    <w:p w14:paraId="4C34D5CC">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ascii="宋体" w:hAnsi="宋体" w:cs="宋体"/>
          <w:color w:val="auto"/>
          <w:kern w:val="0"/>
          <w:szCs w:val="21"/>
          <w:highlight w:val="none"/>
        </w:rPr>
      </w:pPr>
      <w:r>
        <w:rPr>
          <w:rFonts w:hint="eastAsia" w:ascii="宋体" w:hAnsi="宋体"/>
          <w:color w:val="auto"/>
          <w:szCs w:val="21"/>
          <w:highlight w:val="none"/>
        </w:rPr>
        <w:t>1.投诉人提起投诉时，应当提交投诉书和必要的证明材料，并按照被投诉人和与投诉事项有关的供应商数量提供投诉书副本。</w:t>
      </w:r>
    </w:p>
    <w:p w14:paraId="03625D84">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ascii="宋体" w:hAnsi="宋体" w:cs="宋体"/>
          <w:color w:val="auto"/>
          <w:kern w:val="0"/>
          <w:szCs w:val="21"/>
          <w:highlight w:val="none"/>
        </w:rPr>
      </w:pPr>
      <w:r>
        <w:rPr>
          <w:rFonts w:hint="eastAsia" w:ascii="宋体" w:hAnsi="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14:paraId="0A77A701">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3.投诉人若对项目的某一分包进行投诉，投诉书应列明具体分包号。</w:t>
      </w:r>
    </w:p>
    <w:p w14:paraId="4E86E39E">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4.投诉书应简要列明质疑事项，质疑函、质疑答复等作为附件材料提供。</w:t>
      </w:r>
    </w:p>
    <w:p w14:paraId="0956EAE2">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5.投诉书的投诉事项应具体、明确，并有必要的事实依据和法律依据。</w:t>
      </w:r>
    </w:p>
    <w:p w14:paraId="79925C22">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6.投诉书的投诉请求应与投诉事项相关。</w:t>
      </w:r>
    </w:p>
    <w:p w14:paraId="4B82E364">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ascii="宋体" w:hAnsi="宋体" w:cs="宋体"/>
          <w:color w:val="auto"/>
          <w:kern w:val="0"/>
          <w:szCs w:val="21"/>
          <w:highlight w:val="none"/>
        </w:rPr>
      </w:pPr>
      <w:r>
        <w:rPr>
          <w:rFonts w:hint="eastAsia" w:ascii="宋体" w:hAnsi="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733E7948">
      <w:pPr>
        <w:keepNext w:val="0"/>
        <w:keepLines w:val="0"/>
        <w:pageBreakBefore w:val="0"/>
        <w:kinsoku/>
        <w:wordWrap/>
        <w:overflowPunct/>
        <w:topLinePunct w:val="0"/>
        <w:autoSpaceDE/>
        <w:autoSpaceDN/>
        <w:bidi w:val="0"/>
        <w:adjustRightInd/>
        <w:snapToGrid w:val="0"/>
        <w:spacing w:before="50" w:after="165" w:afterLines="50" w:line="400" w:lineRule="exact"/>
        <w:ind w:firstLine="420" w:firstLineChars="200"/>
        <w:jc w:val="left"/>
        <w:textAlignment w:val="auto"/>
        <w:rPr>
          <w:rFonts w:ascii="宋体" w:hAnsi="宋体"/>
          <w:color w:val="auto"/>
          <w:szCs w:val="21"/>
          <w:highlight w:val="none"/>
        </w:rPr>
      </w:pPr>
    </w:p>
    <w:p w14:paraId="4E6A0DD1">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MS Gothic">
    <w:panose1 w:val="020B0609070205080204"/>
    <w:charset w:val="80"/>
    <w:family w:val="modern"/>
    <w:pitch w:val="default"/>
    <w:sig w:usb0="E00002FF" w:usb1="6AC7FDFB" w:usb2="00000012" w:usb3="00000000" w:csb0="4002009F" w:csb1="DFD70000"/>
  </w:font>
  <w:font w:name="Helvetica">
    <w:panose1 w:val="020B0504020202030204"/>
    <w:charset w:val="00"/>
    <w:family w:val="swiss"/>
    <w:pitch w:val="default"/>
    <w:sig w:usb0="00000007" w:usb1="00000000" w:usb2="00000000" w:usb3="00000000" w:csb0="00000093" w:csb1="00000000"/>
  </w:font>
  <w:font w:name="Wingdings 2">
    <w:altName w:val="Wingdings"/>
    <w:panose1 w:val="05020102010507070707"/>
    <w:charset w:val="00"/>
    <w:family w:val="auto"/>
    <w:pitch w:val="default"/>
    <w:sig w:usb0="00000000" w:usb1="00000000" w:usb2="00000000" w:usb3="00000000" w:csb0="80000000"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14BFB">
    <w:pPr>
      <w:pStyle w:val="17"/>
      <w:tabs>
        <w:tab w:val="center" w:pos="4819"/>
        <w:tab w:val="clear" w:pos="4153"/>
      </w:tabs>
      <w:jc w:val="both"/>
    </w:pPr>
    <w:r>
      <w:rPr>
        <w:rFonts w:hint="eastAsia"/>
        <w:lang w:eastAsia="zh-CN"/>
      </w:rPr>
      <w:tab/>
    </w:r>
  </w:p>
  <w:p w14:paraId="7B658F94">
    <w:pPr>
      <w:pStyle w:val="17"/>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C666F">
    <w:pPr>
      <w:pStyle w:val="17"/>
      <w:framePr w:wrap="around" w:vAnchor="text" w:hAnchor="margin" w:xAlign="right" w:y="1"/>
      <w:rPr>
        <w:rStyle w:val="28"/>
      </w:rPr>
    </w:pPr>
    <w:r>
      <w:fldChar w:fldCharType="begin"/>
    </w:r>
    <w:r>
      <w:rPr>
        <w:rStyle w:val="28"/>
      </w:rPr>
      <w:instrText xml:space="preserve">PAGE  </w:instrText>
    </w:r>
    <w:r>
      <w:fldChar w:fldCharType="separate"/>
    </w:r>
    <w:r>
      <w:rPr>
        <w:rStyle w:val="28"/>
      </w:rPr>
      <w:t>122</w:t>
    </w:r>
    <w:r>
      <w:fldChar w:fldCharType="end"/>
    </w:r>
  </w:p>
  <w:p w14:paraId="0F926A2E">
    <w:pPr>
      <w:pStyle w:val="17"/>
      <w:ind w:right="360"/>
      <w:jc w:val="both"/>
      <w:rPr>
        <w:rFonts w:hint="eastAsia"/>
      </w:rPr>
    </w:pPr>
    <w:r>
      <w:rPr>
        <w:rFonts w:hint="eastAsia"/>
      </w:rPr>
      <w:t>121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24510">
    <w:pPr>
      <w:pStyle w:val="1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F7206C">
                          <w:pPr>
                            <w:pStyle w:val="17"/>
                            <w:jc w:val="center"/>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0F7206C">
                    <w:pPr>
                      <w:pStyle w:val="17"/>
                      <w:jc w:val="center"/>
                    </w:pPr>
                    <w:r>
                      <w:fldChar w:fldCharType="begin"/>
                    </w:r>
                    <w:r>
                      <w:instrText xml:space="preserve"> PAGE  \* MERGEFORMAT </w:instrText>
                    </w:r>
                    <w:r>
                      <w:fldChar w:fldCharType="separate"/>
                    </w:r>
                    <w:r>
                      <w:t>64</w:t>
                    </w:r>
                    <w:r>
                      <w:fldChar w:fldCharType="end"/>
                    </w:r>
                  </w:p>
                </w:txbxContent>
              </v:textbox>
            </v:shape>
          </w:pict>
        </mc:Fallback>
      </mc:AlternateContent>
    </w:r>
  </w:p>
  <w:p w14:paraId="4D3DA387">
    <w:pPr>
      <w:pStyle w:val="1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25C27">
    <w:pPr>
      <w:pStyle w:val="17"/>
      <w:framePr w:wrap="around" w:vAnchor="text" w:hAnchor="margin" w:xAlign="center" w:y="1"/>
      <w:rPr>
        <w:rStyle w:val="28"/>
      </w:rPr>
    </w:pPr>
    <w:r>
      <w:fldChar w:fldCharType="begin"/>
    </w:r>
    <w:r>
      <w:rPr>
        <w:rStyle w:val="28"/>
      </w:rPr>
      <w:instrText xml:space="preserve">PAGE  </w:instrText>
    </w:r>
    <w:r>
      <w:fldChar w:fldCharType="end"/>
    </w:r>
  </w:p>
  <w:p w14:paraId="3ED84B86">
    <w:pPr>
      <w:pStyle w:val="1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5BD15">
    <w:pPr>
      <w:pStyle w:val="17"/>
      <w:framePr w:wrap="around" w:vAnchor="text" w:hAnchor="margin" w:xAlign="right" w:y="1"/>
      <w:rPr>
        <w:rStyle w:val="28"/>
      </w:rPr>
    </w:pPr>
    <w:r>
      <w:fldChar w:fldCharType="begin"/>
    </w:r>
    <w:r>
      <w:rPr>
        <w:rStyle w:val="28"/>
      </w:rPr>
      <w:instrText xml:space="preserve">PAGE  </w:instrText>
    </w:r>
    <w:r>
      <w:fldChar w:fldCharType="separate"/>
    </w:r>
    <w:r>
      <w:rPr>
        <w:rStyle w:val="28"/>
      </w:rPr>
      <w:t>122</w:t>
    </w:r>
    <w:r>
      <w:fldChar w:fldCharType="end"/>
    </w:r>
  </w:p>
  <w:p w14:paraId="66311761">
    <w:pPr>
      <w:pStyle w:val="17"/>
      <w:ind w:right="360"/>
      <w:jc w:val="both"/>
      <w:rPr>
        <w:rFonts w:hint="eastAsia"/>
      </w:rPr>
    </w:pPr>
    <w:r>
      <w:rPr>
        <w:rFonts w:hint="eastAsia"/>
      </w:rPr>
      <w:t>121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31F2F">
    <w:pPr>
      <w:pStyle w:val="1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CCDA69">
                          <w:pPr>
                            <w:pStyle w:val="17"/>
                            <w:jc w:val="center"/>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4CCDA69">
                    <w:pPr>
                      <w:pStyle w:val="17"/>
                      <w:jc w:val="center"/>
                    </w:pPr>
                    <w:r>
                      <w:fldChar w:fldCharType="begin"/>
                    </w:r>
                    <w:r>
                      <w:instrText xml:space="preserve"> PAGE  \* MERGEFORMAT </w:instrText>
                    </w:r>
                    <w:r>
                      <w:fldChar w:fldCharType="separate"/>
                    </w:r>
                    <w:r>
                      <w:t>64</w:t>
                    </w:r>
                    <w:r>
                      <w:fldChar w:fldCharType="end"/>
                    </w:r>
                  </w:p>
                </w:txbxContent>
              </v:textbox>
            </v:shape>
          </w:pict>
        </mc:Fallback>
      </mc:AlternateContent>
    </w:r>
  </w:p>
  <w:p w14:paraId="71651696">
    <w:pPr>
      <w:pStyle w:val="17"/>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65150">
    <w:pPr>
      <w:pStyle w:val="17"/>
      <w:framePr w:wrap="around" w:vAnchor="text" w:hAnchor="margin" w:xAlign="center" w:y="1"/>
      <w:rPr>
        <w:rStyle w:val="28"/>
      </w:rPr>
    </w:pPr>
    <w:r>
      <w:fldChar w:fldCharType="begin"/>
    </w:r>
    <w:r>
      <w:rPr>
        <w:rStyle w:val="28"/>
      </w:rPr>
      <w:instrText xml:space="preserve">PAGE  </w:instrText>
    </w:r>
    <w:r>
      <w:fldChar w:fldCharType="end"/>
    </w:r>
  </w:p>
  <w:p w14:paraId="4A90EE11">
    <w:pPr>
      <w:pStyle w:val="17"/>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99255">
    <w:pPr>
      <w:pStyle w:val="17"/>
      <w:framePr w:wrap="around" w:vAnchor="text" w:hAnchor="margin" w:xAlign="right" w:y="1"/>
      <w:rPr>
        <w:rStyle w:val="28"/>
      </w:rPr>
    </w:pPr>
    <w:r>
      <w:fldChar w:fldCharType="begin"/>
    </w:r>
    <w:r>
      <w:rPr>
        <w:rStyle w:val="28"/>
      </w:rPr>
      <w:instrText xml:space="preserve">PAGE  </w:instrText>
    </w:r>
    <w:r>
      <w:fldChar w:fldCharType="separate"/>
    </w:r>
    <w:r>
      <w:rPr>
        <w:rStyle w:val="28"/>
      </w:rPr>
      <w:t>122</w:t>
    </w:r>
    <w:r>
      <w:fldChar w:fldCharType="end"/>
    </w:r>
  </w:p>
  <w:p w14:paraId="216D7A59">
    <w:pPr>
      <w:pStyle w:val="17"/>
      <w:ind w:right="360"/>
      <w:jc w:val="both"/>
      <w:rPr>
        <w:rFonts w:hint="eastAsia"/>
      </w:rPr>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F6DD8">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BBE566">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EBBE566">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AA1ED">
    <w:pPr>
      <w:pStyle w:val="17"/>
      <w:tabs>
        <w:tab w:val="center" w:pos="4819"/>
        <w:tab w:val="clear" w:pos="4153"/>
      </w:tabs>
      <w:jc w:val="both"/>
    </w:pPr>
    <w:r>
      <w:rPr>
        <w:rFonts w:hint="eastAsia"/>
        <w:lang w:eastAsia="zh-CN"/>
      </w:rPr>
      <w:tab/>
    </w:r>
  </w:p>
  <w:p w14:paraId="49D3CB30">
    <w:pPr>
      <w:pStyle w:val="17"/>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4DD05">
    <w:pPr>
      <w:pStyle w:val="17"/>
      <w:tabs>
        <w:tab w:val="center" w:pos="4819"/>
        <w:tab w:val="clear" w:pos="4153"/>
      </w:tabs>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601697">
                          <w:pPr>
                            <w:pStyle w:val="17"/>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7D601697">
                    <w:pPr>
                      <w:pStyle w:val="17"/>
                      <w:jc w:val="cente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p w14:paraId="53A1C3FC">
    <w:pPr>
      <w:pStyle w:val="17"/>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603EC">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787757E">
                          <w:pPr>
                            <w:pStyle w:val="17"/>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14:paraId="7787757E">
                    <w:pPr>
                      <w:pStyle w:val="17"/>
                    </w:pPr>
                    <w:r>
                      <w:fldChar w:fldCharType="begin"/>
                    </w:r>
                    <w:r>
                      <w:instrText xml:space="preserve"> PAGE  \* MERGEFORMAT </w:instrText>
                    </w:r>
                    <w:r>
                      <w:fldChar w:fldCharType="separate"/>
                    </w:r>
                    <w:r>
                      <w:t>6</w:t>
                    </w:r>
                    <w:r>
                      <w:fldChar w:fldCharType="end"/>
                    </w:r>
                  </w:p>
                </w:txbxContent>
              </v:textbox>
            </v:shape>
          </w:pict>
        </mc:Fallback>
      </mc:AlternateContent>
    </w:r>
  </w:p>
  <w:p w14:paraId="2535AC00">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C3D1B">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819A02">
                          <w:pPr>
                            <w:pStyle w:val="17"/>
                            <w:jc w:val="center"/>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D819A02">
                    <w:pPr>
                      <w:pStyle w:val="17"/>
                      <w:jc w:val="center"/>
                    </w:pPr>
                    <w:r>
                      <w:fldChar w:fldCharType="begin"/>
                    </w:r>
                    <w:r>
                      <w:instrText xml:space="preserve"> PAGE  \* MERGEFORMAT </w:instrText>
                    </w:r>
                    <w:r>
                      <w:fldChar w:fldCharType="separate"/>
                    </w:r>
                    <w:r>
                      <w:t>32</w:t>
                    </w:r>
                    <w:r>
                      <w:fldChar w:fldCharType="end"/>
                    </w:r>
                  </w:p>
                </w:txbxContent>
              </v:textbox>
            </v:shape>
          </w:pict>
        </mc:Fallback>
      </mc:AlternateContent>
    </w:r>
  </w:p>
  <w:p w14:paraId="1DA5E655">
    <w:pPr>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637B6">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6CEBFC">
                          <w:pPr>
                            <w:pStyle w:val="17"/>
                            <w:jc w:val="center"/>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56CEBFC">
                    <w:pPr>
                      <w:pStyle w:val="17"/>
                      <w:jc w:val="center"/>
                    </w:pPr>
                    <w:r>
                      <w:fldChar w:fldCharType="begin"/>
                    </w:r>
                    <w:r>
                      <w:instrText xml:space="preserve"> PAGE  \* MERGEFORMAT </w:instrText>
                    </w:r>
                    <w:r>
                      <w:fldChar w:fldCharType="separate"/>
                    </w:r>
                    <w:r>
                      <w:t>47</w:t>
                    </w:r>
                    <w:r>
                      <w:fldChar w:fldCharType="end"/>
                    </w:r>
                  </w:p>
                </w:txbxContent>
              </v:textbox>
            </v:shape>
          </w:pict>
        </mc:Fallback>
      </mc:AlternateContent>
    </w:r>
  </w:p>
  <w:p w14:paraId="4E71182B">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364A4">
    <w:pPr>
      <w:pStyle w:val="1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BC7ADD">
                          <w:pPr>
                            <w:pStyle w:val="17"/>
                            <w:jc w:val="center"/>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9BC7ADD">
                    <w:pPr>
                      <w:pStyle w:val="17"/>
                      <w:jc w:val="center"/>
                    </w:pPr>
                    <w:r>
                      <w:fldChar w:fldCharType="begin"/>
                    </w:r>
                    <w:r>
                      <w:instrText xml:space="preserve"> PAGE  \* MERGEFORMAT </w:instrText>
                    </w:r>
                    <w:r>
                      <w:fldChar w:fldCharType="separate"/>
                    </w:r>
                    <w:r>
                      <w:t>63</w:t>
                    </w:r>
                    <w:r>
                      <w:fldChar w:fldCharType="end"/>
                    </w:r>
                  </w:p>
                </w:txbxContent>
              </v:textbox>
            </v:shape>
          </w:pict>
        </mc:Fallback>
      </mc:AlternateContent>
    </w:r>
  </w:p>
  <w:p w14:paraId="1DC8E340">
    <w:pPr>
      <w:pStyle w:val="1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CA5D5">
    <w:pPr>
      <w:pStyle w:val="17"/>
      <w:framePr w:wrap="around" w:vAnchor="text" w:hAnchor="margin" w:xAlign="center" w:y="1"/>
      <w:rPr>
        <w:rStyle w:val="28"/>
      </w:rPr>
    </w:pPr>
    <w:r>
      <w:fldChar w:fldCharType="begin"/>
    </w:r>
    <w:r>
      <w:rPr>
        <w:rStyle w:val="28"/>
      </w:rPr>
      <w:instrText xml:space="preserve">PAGE  </w:instrText>
    </w:r>
    <w:r>
      <w:fldChar w:fldCharType="end"/>
    </w:r>
  </w:p>
  <w:p w14:paraId="71B331C8">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732C3">
    <w:pPr>
      <w:pStyle w:val="18"/>
      <w:tabs>
        <w:tab w:val="center" w:pos="0"/>
        <w:tab w:val="clear" w:pos="4153"/>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5389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F1C95">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88696">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481C7"/>
    <w:multiLevelType w:val="singleLevel"/>
    <w:tmpl w:val="A42481C7"/>
    <w:lvl w:ilvl="0" w:tentative="0">
      <w:start w:val="1"/>
      <w:numFmt w:val="chineseCounting"/>
      <w:suff w:val="nothing"/>
      <w:lvlText w:val="%1、"/>
      <w:lvlJc w:val="left"/>
      <w:rPr>
        <w:rFonts w:hint="eastAsia"/>
      </w:rPr>
    </w:lvl>
  </w:abstractNum>
  <w:abstractNum w:abstractNumId="1">
    <w:nsid w:val="B55F00A6"/>
    <w:multiLevelType w:val="singleLevel"/>
    <w:tmpl w:val="B55F00A6"/>
    <w:lvl w:ilvl="0" w:tentative="0">
      <w:start w:val="2"/>
      <w:numFmt w:val="chineseCounting"/>
      <w:suff w:val="nothing"/>
      <w:lvlText w:val="%1、"/>
      <w:lvlJc w:val="left"/>
      <w:rPr>
        <w:rFonts w:hint="eastAsia"/>
      </w:rPr>
    </w:lvl>
  </w:abstractNum>
  <w:abstractNum w:abstractNumId="2">
    <w:nsid w:val="BA354EBD"/>
    <w:multiLevelType w:val="singleLevel"/>
    <w:tmpl w:val="BA354EBD"/>
    <w:lvl w:ilvl="0" w:tentative="0">
      <w:start w:val="2"/>
      <w:numFmt w:val="chineseCounting"/>
      <w:suff w:val="space"/>
      <w:lvlText w:val="第%1章"/>
      <w:lvlJc w:val="left"/>
      <w:rPr>
        <w:rFonts w:hint="eastAsia"/>
      </w:rPr>
    </w:lvl>
  </w:abstractNum>
  <w:abstractNum w:abstractNumId="3">
    <w:nsid w:val="C061041E"/>
    <w:multiLevelType w:val="singleLevel"/>
    <w:tmpl w:val="C061041E"/>
    <w:lvl w:ilvl="0" w:tentative="0">
      <w:start w:val="14"/>
      <w:numFmt w:val="decimal"/>
      <w:suff w:val="nothing"/>
      <w:lvlText w:val="%1、"/>
      <w:lvlJc w:val="left"/>
    </w:lvl>
  </w:abstractNum>
  <w:abstractNum w:abstractNumId="4">
    <w:nsid w:val="C2A636BA"/>
    <w:multiLevelType w:val="singleLevel"/>
    <w:tmpl w:val="C2A636BA"/>
    <w:lvl w:ilvl="0" w:tentative="0">
      <w:start w:val="1"/>
      <w:numFmt w:val="chineseCounting"/>
      <w:suff w:val="nothing"/>
      <w:lvlText w:val="%1、"/>
      <w:lvlJc w:val="left"/>
      <w:rPr>
        <w:rFonts w:hint="eastAsia"/>
      </w:rPr>
    </w:lvl>
  </w:abstractNum>
  <w:abstractNum w:abstractNumId="5">
    <w:nsid w:val="E2B5930A"/>
    <w:multiLevelType w:val="singleLevel"/>
    <w:tmpl w:val="E2B5930A"/>
    <w:lvl w:ilvl="0" w:tentative="0">
      <w:start w:val="6"/>
      <w:numFmt w:val="chineseCounting"/>
      <w:suff w:val="space"/>
      <w:lvlText w:val="第%1条"/>
      <w:lvlJc w:val="left"/>
      <w:rPr>
        <w:rFonts w:hint="eastAsia"/>
      </w:rPr>
    </w:lvl>
  </w:abstractNum>
  <w:abstractNum w:abstractNumId="6">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0723684"/>
    <w:multiLevelType w:val="multilevel"/>
    <w:tmpl w:val="00723684"/>
    <w:lvl w:ilvl="0" w:tentative="0">
      <w:start w:val="1"/>
      <w:numFmt w:val="decimal"/>
      <w:lvlText w:val="%1."/>
      <w:lvlJc w:val="left"/>
      <w:pPr>
        <w:ind w:left="840" w:hanging="36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E3DCA9D"/>
    <w:multiLevelType w:val="singleLevel"/>
    <w:tmpl w:val="2E3DCA9D"/>
    <w:lvl w:ilvl="0" w:tentative="0">
      <w:start w:val="1"/>
      <w:numFmt w:val="chineseCounting"/>
      <w:suff w:val="space"/>
      <w:lvlText w:val="第%1条"/>
      <w:lvlJc w:val="left"/>
      <w:rPr>
        <w:rFonts w:hint="eastAsia"/>
      </w:rPr>
    </w:lvl>
  </w:abstractNum>
  <w:abstractNum w:abstractNumId="9">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0">
    <w:nsid w:val="3B8127DF"/>
    <w:multiLevelType w:val="multilevel"/>
    <w:tmpl w:val="3B8127DF"/>
    <w:lvl w:ilvl="0" w:tentative="0">
      <w:start w:val="1"/>
      <w:numFmt w:val="decimal"/>
      <w:lvlText w:val="%1."/>
      <w:lvlJc w:val="left"/>
      <w:pPr>
        <w:ind w:left="798" w:hanging="241"/>
        <w:jc w:val="left"/>
      </w:pPr>
      <w:rPr>
        <w:rFonts w:hint="default" w:ascii="宋体" w:hAnsi="宋体" w:eastAsia="宋体" w:cs="宋体"/>
        <w:spacing w:val="-17"/>
        <w:w w:val="100"/>
        <w:sz w:val="22"/>
        <w:szCs w:val="22"/>
      </w:rPr>
    </w:lvl>
    <w:lvl w:ilvl="1" w:tentative="0">
      <w:start w:val="0"/>
      <w:numFmt w:val="bullet"/>
      <w:lvlText w:val="•"/>
      <w:lvlJc w:val="left"/>
      <w:pPr>
        <w:ind w:left="1060" w:hanging="241"/>
      </w:pPr>
      <w:rPr>
        <w:rFonts w:hint="default"/>
      </w:rPr>
    </w:lvl>
    <w:lvl w:ilvl="2" w:tentative="0">
      <w:start w:val="0"/>
      <w:numFmt w:val="bullet"/>
      <w:lvlText w:val="•"/>
      <w:lvlJc w:val="left"/>
      <w:pPr>
        <w:ind w:left="3440" w:hanging="241"/>
      </w:pPr>
      <w:rPr>
        <w:rFonts w:hint="default"/>
      </w:rPr>
    </w:lvl>
    <w:lvl w:ilvl="3" w:tentative="0">
      <w:start w:val="0"/>
      <w:numFmt w:val="bullet"/>
      <w:lvlText w:val="•"/>
      <w:lvlJc w:val="left"/>
      <w:pPr>
        <w:ind w:left="3860" w:hanging="241"/>
      </w:pPr>
      <w:rPr>
        <w:rFonts w:hint="default"/>
      </w:rPr>
    </w:lvl>
    <w:lvl w:ilvl="4" w:tentative="0">
      <w:start w:val="0"/>
      <w:numFmt w:val="bullet"/>
      <w:lvlText w:val="•"/>
      <w:lvlJc w:val="left"/>
      <w:pPr>
        <w:ind w:left="4769" w:hanging="241"/>
      </w:pPr>
      <w:rPr>
        <w:rFonts w:hint="default"/>
      </w:rPr>
    </w:lvl>
    <w:lvl w:ilvl="5" w:tentative="0">
      <w:start w:val="0"/>
      <w:numFmt w:val="bullet"/>
      <w:lvlText w:val="•"/>
      <w:lvlJc w:val="left"/>
      <w:pPr>
        <w:ind w:left="5678" w:hanging="241"/>
      </w:pPr>
      <w:rPr>
        <w:rFonts w:hint="default"/>
      </w:rPr>
    </w:lvl>
    <w:lvl w:ilvl="6" w:tentative="0">
      <w:start w:val="0"/>
      <w:numFmt w:val="bullet"/>
      <w:lvlText w:val="•"/>
      <w:lvlJc w:val="left"/>
      <w:pPr>
        <w:ind w:left="6588" w:hanging="241"/>
      </w:pPr>
      <w:rPr>
        <w:rFonts w:hint="default"/>
      </w:rPr>
    </w:lvl>
    <w:lvl w:ilvl="7" w:tentative="0">
      <w:start w:val="0"/>
      <w:numFmt w:val="bullet"/>
      <w:lvlText w:val="•"/>
      <w:lvlJc w:val="left"/>
      <w:pPr>
        <w:ind w:left="7497" w:hanging="241"/>
      </w:pPr>
      <w:rPr>
        <w:rFonts w:hint="default"/>
      </w:rPr>
    </w:lvl>
    <w:lvl w:ilvl="8" w:tentative="0">
      <w:start w:val="0"/>
      <w:numFmt w:val="bullet"/>
      <w:lvlText w:val="•"/>
      <w:lvlJc w:val="left"/>
      <w:pPr>
        <w:ind w:left="8407" w:hanging="241"/>
      </w:pPr>
      <w:rPr>
        <w:rFonts w:hint="default"/>
      </w:rPr>
    </w:lvl>
  </w:abstractNum>
  <w:abstractNum w:abstractNumId="11">
    <w:nsid w:val="41367BD3"/>
    <w:multiLevelType w:val="multilevel"/>
    <w:tmpl w:val="41367BD3"/>
    <w:lvl w:ilvl="0" w:tentative="0">
      <w:start w:val="6"/>
      <w:numFmt w:val="decimal"/>
      <w:lvlText w:val="%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05361FF"/>
    <w:multiLevelType w:val="singleLevel"/>
    <w:tmpl w:val="505361FF"/>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1"/>
  </w:num>
  <w:num w:numId="5">
    <w:abstractNumId w:val="1"/>
  </w:num>
  <w:num w:numId="6">
    <w:abstractNumId w:val="8"/>
    <w:lvlOverride w:ilvl="0">
      <w:startOverride w:val="1"/>
      <w:lvl w:ilvl="0" w:tentative="1">
        <w:start w:val="1"/>
        <w:numFmt w:val="chineseCounting"/>
        <w:suff w:val="space"/>
        <w:lvlText w:val="第%1条"/>
        <w:lvlJc w:val="left"/>
        <w:rPr>
          <w:rFonts w:hint="eastAsia"/>
        </w:rPr>
      </w:lvl>
    </w:lvlOverride>
  </w:num>
  <w:num w:numId="7">
    <w:abstractNumId w:val="5"/>
    <w:lvlOverride w:ilvl="0">
      <w:startOverride w:val="6"/>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12"/>
  </w:num>
  <w:num w:numId="1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B667C3"/>
    <w:rsid w:val="0AA44FFD"/>
    <w:rsid w:val="0B1D4F8C"/>
    <w:rsid w:val="107F2DF2"/>
    <w:rsid w:val="118732FA"/>
    <w:rsid w:val="18046D23"/>
    <w:rsid w:val="19236C69"/>
    <w:rsid w:val="194D7C40"/>
    <w:rsid w:val="1D5D30BE"/>
    <w:rsid w:val="1FD3204C"/>
    <w:rsid w:val="221A3B7F"/>
    <w:rsid w:val="22FC7809"/>
    <w:rsid w:val="23AA65E9"/>
    <w:rsid w:val="25DF723C"/>
    <w:rsid w:val="26790890"/>
    <w:rsid w:val="26E63CBF"/>
    <w:rsid w:val="2DB634F7"/>
    <w:rsid w:val="2DE05B3B"/>
    <w:rsid w:val="2F367FC7"/>
    <w:rsid w:val="2F7112CC"/>
    <w:rsid w:val="2FF951C6"/>
    <w:rsid w:val="31E2314D"/>
    <w:rsid w:val="337028E7"/>
    <w:rsid w:val="348414B8"/>
    <w:rsid w:val="36D26796"/>
    <w:rsid w:val="397469D9"/>
    <w:rsid w:val="3AE84872"/>
    <w:rsid w:val="3CA77869"/>
    <w:rsid w:val="40C3495D"/>
    <w:rsid w:val="411C7D78"/>
    <w:rsid w:val="42F4034F"/>
    <w:rsid w:val="471E1235"/>
    <w:rsid w:val="4B985DD7"/>
    <w:rsid w:val="4DE53FC7"/>
    <w:rsid w:val="50BA6286"/>
    <w:rsid w:val="51023416"/>
    <w:rsid w:val="54906EC3"/>
    <w:rsid w:val="57D43006"/>
    <w:rsid w:val="5A827902"/>
    <w:rsid w:val="5B813331"/>
    <w:rsid w:val="5B922DA9"/>
    <w:rsid w:val="5CFB10EB"/>
    <w:rsid w:val="5E5D0A82"/>
    <w:rsid w:val="608506EA"/>
    <w:rsid w:val="61E34058"/>
    <w:rsid w:val="63B973D9"/>
    <w:rsid w:val="66CE6E9F"/>
    <w:rsid w:val="67BA634C"/>
    <w:rsid w:val="6FBC770C"/>
    <w:rsid w:val="72C16EBB"/>
    <w:rsid w:val="742A48D9"/>
    <w:rsid w:val="77333BF3"/>
    <w:rsid w:val="7BD34459"/>
    <w:rsid w:val="7E9E3B69"/>
    <w:rsid w:val="7EF02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600" w:lineRule="exact"/>
      <w:ind w:firstLine="643" w:firstLineChars="200"/>
      <w:outlineLvl w:val="2"/>
    </w:pPr>
    <w:rPr>
      <w:b/>
      <w:bCs/>
      <w:sz w:val="32"/>
      <w:szCs w:val="32"/>
    </w:rPr>
  </w:style>
  <w:style w:type="paragraph" w:styleId="6">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7">
    <w:name w:val="heading 5"/>
    <w:basedOn w:val="1"/>
    <w:next w:val="1"/>
    <w:qFormat/>
    <w:uiPriority w:val="9"/>
    <w:pPr>
      <w:keepNext/>
      <w:keepLines/>
      <w:spacing w:before="280" w:after="290" w:line="376" w:lineRule="auto"/>
      <w:outlineLvl w:val="4"/>
    </w:pPr>
    <w:rPr>
      <w:b/>
      <w:bCs/>
      <w:sz w:val="28"/>
      <w:szCs w:val="28"/>
    </w:rPr>
  </w:style>
  <w:style w:type="paragraph" w:styleId="8">
    <w:name w:val="heading 6"/>
    <w:basedOn w:val="1"/>
    <w:next w:val="1"/>
    <w:qFormat/>
    <w:uiPriority w:val="0"/>
    <w:pPr>
      <w:wordWrap w:val="0"/>
      <w:spacing w:after="160"/>
      <w:ind w:left="2000" w:hanging="400"/>
      <w:outlineLvl w:val="5"/>
    </w:pPr>
    <w:rPr>
      <w:b/>
    </w:rPr>
  </w:style>
  <w:style w:type="paragraph" w:styleId="9">
    <w:name w:val="heading 8"/>
    <w:basedOn w:val="1"/>
    <w:next w:val="1"/>
    <w:qFormat/>
    <w:uiPriority w:val="1"/>
    <w:pPr>
      <w:ind w:left="1365" w:hanging="364"/>
      <w:outlineLvl w:val="7"/>
    </w:pPr>
    <w:rPr>
      <w:rFonts w:ascii="宋体" w:hAnsi="宋体" w:eastAsia="宋体" w:cs="宋体"/>
      <w:b/>
      <w:bCs/>
      <w:sz w:val="24"/>
      <w:szCs w:val="24"/>
    </w:rPr>
  </w:style>
  <w:style w:type="paragraph" w:styleId="10">
    <w:name w:val="heading 9"/>
    <w:basedOn w:val="1"/>
    <w:next w:val="1"/>
    <w:qFormat/>
    <w:uiPriority w:val="1"/>
    <w:pPr>
      <w:ind w:left="581"/>
      <w:outlineLvl w:val="8"/>
    </w:pPr>
    <w:rPr>
      <w:rFonts w:ascii="宋体" w:hAnsi="宋体" w:eastAsia="宋体" w:cs="宋体"/>
      <w:sz w:val="24"/>
      <w:szCs w:val="24"/>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1">
    <w:name w:val="Normal Indent"/>
    <w:basedOn w:val="1"/>
    <w:unhideWhenUsed/>
    <w:qFormat/>
    <w:uiPriority w:val="99"/>
    <w:pPr>
      <w:ind w:firstLine="420"/>
    </w:pPr>
    <w:rPr>
      <w:szCs w:val="20"/>
    </w:rPr>
  </w:style>
  <w:style w:type="paragraph" w:styleId="12">
    <w:name w:val="annotation text"/>
    <w:basedOn w:val="1"/>
    <w:unhideWhenUsed/>
    <w:qFormat/>
    <w:uiPriority w:val="0"/>
    <w:pPr>
      <w:jc w:val="left"/>
    </w:pPr>
  </w:style>
  <w:style w:type="paragraph" w:styleId="13">
    <w:name w:val="Body Text"/>
    <w:basedOn w:val="1"/>
    <w:next w:val="1"/>
    <w:unhideWhenUsed/>
    <w:qFormat/>
    <w:uiPriority w:val="99"/>
    <w:pPr>
      <w:spacing w:after="120"/>
    </w:pPr>
  </w:style>
  <w:style w:type="paragraph" w:styleId="14">
    <w:name w:val="Body Text Indent"/>
    <w:basedOn w:val="1"/>
    <w:unhideWhenUsed/>
    <w:qFormat/>
    <w:uiPriority w:val="0"/>
    <w:pPr>
      <w:spacing w:line="200" w:lineRule="exact"/>
      <w:ind w:firstLine="301"/>
    </w:pPr>
    <w:rPr>
      <w:rFonts w:ascii="宋体" w:hAnsi="Courier New"/>
      <w:spacing w:val="-4"/>
      <w:sz w:val="18"/>
      <w:szCs w:val="20"/>
    </w:rPr>
  </w:style>
  <w:style w:type="paragraph" w:styleId="15">
    <w:name w:val="toc 3"/>
    <w:basedOn w:val="1"/>
    <w:next w:val="1"/>
    <w:unhideWhenUsed/>
    <w:qFormat/>
    <w:uiPriority w:val="39"/>
    <w:pPr>
      <w:jc w:val="left"/>
    </w:pPr>
    <w:rPr>
      <w:rFonts w:ascii="Calibri" w:hAnsi="Calibri"/>
      <w:smallCaps/>
      <w:sz w:val="22"/>
      <w:szCs w:val="22"/>
    </w:rPr>
  </w:style>
  <w:style w:type="paragraph" w:styleId="16">
    <w:name w:val="Plain Text"/>
    <w:basedOn w:val="1"/>
    <w:next w:val="1"/>
    <w:unhideWhenUsed/>
    <w:qFormat/>
    <w:uiPriority w:val="0"/>
    <w:rPr>
      <w:rFonts w:ascii="宋体" w:hAnsi="Courier New"/>
      <w:szCs w:val="20"/>
    </w:rPr>
  </w:style>
  <w:style w:type="paragraph" w:styleId="17">
    <w:name w:val="footer"/>
    <w:basedOn w:val="1"/>
    <w:unhideWhenUsed/>
    <w:qFormat/>
    <w:uiPriority w:val="99"/>
    <w:pPr>
      <w:tabs>
        <w:tab w:val="center" w:pos="4153"/>
        <w:tab w:val="right" w:pos="8306"/>
      </w:tabs>
      <w:snapToGrid w:val="0"/>
      <w:jc w:val="left"/>
    </w:pPr>
    <w:rPr>
      <w:sz w:val="18"/>
      <w:szCs w:val="18"/>
    </w:rPr>
  </w:style>
  <w:style w:type="paragraph" w:styleId="1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360" w:after="360"/>
      <w:jc w:val="left"/>
    </w:pPr>
    <w:rPr>
      <w:rFonts w:ascii="Calibri" w:hAnsi="Calibri"/>
      <w:b/>
      <w:bCs/>
      <w:caps/>
      <w:sz w:val="22"/>
      <w:szCs w:val="22"/>
      <w:u w:val="single"/>
    </w:rPr>
  </w:style>
  <w:style w:type="paragraph" w:styleId="20">
    <w:name w:val="List"/>
    <w:basedOn w:val="1"/>
    <w:unhideWhenUsed/>
    <w:qFormat/>
    <w:uiPriority w:val="99"/>
    <w:pPr>
      <w:ind w:left="200" w:hanging="200" w:hangingChars="200"/>
    </w:pPr>
    <w:rPr>
      <w:sz w:val="28"/>
    </w:rPr>
  </w:style>
  <w:style w:type="paragraph" w:styleId="21">
    <w:name w:val="toc 2"/>
    <w:basedOn w:val="1"/>
    <w:next w:val="1"/>
    <w:unhideWhenUsed/>
    <w:qFormat/>
    <w:uiPriority w:val="39"/>
    <w:pPr>
      <w:jc w:val="left"/>
    </w:pPr>
    <w:rPr>
      <w:rFonts w:ascii="Calibri" w:hAnsi="Calibri"/>
      <w:b/>
      <w:bCs/>
      <w:smallCaps/>
      <w:sz w:val="22"/>
      <w:szCs w:val="22"/>
    </w:rPr>
  </w:style>
  <w:style w:type="paragraph" w:styleId="2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23">
    <w:name w:val="Body Text First Indent"/>
    <w:basedOn w:val="1"/>
    <w:qFormat/>
    <w:uiPriority w:val="0"/>
    <w:pPr>
      <w:ind w:firstLine="420" w:firstLineChars="100"/>
    </w:p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page number"/>
    <w:unhideWhenUsed/>
    <w:qFormat/>
    <w:uiPriority w:val="99"/>
  </w:style>
  <w:style w:type="character" w:styleId="29">
    <w:name w:val="Hyperlink"/>
    <w:unhideWhenUsed/>
    <w:qFormat/>
    <w:uiPriority w:val="99"/>
    <w:rPr>
      <w:color w:val="0000FF"/>
      <w:u w:val="single"/>
    </w:rPr>
  </w:style>
  <w:style w:type="character" w:styleId="30">
    <w:name w:val="annotation reference"/>
    <w:unhideWhenUsed/>
    <w:qFormat/>
    <w:uiPriority w:val="99"/>
    <w:rPr>
      <w:sz w:val="21"/>
      <w:szCs w:val="21"/>
    </w:rPr>
  </w:style>
  <w:style w:type="character" w:customStyle="1" w:styleId="3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2">
    <w:name w:val="正文2"/>
    <w:basedOn w:val="1"/>
    <w:qFormat/>
    <w:uiPriority w:val="0"/>
    <w:pPr>
      <w:adjustRightInd w:val="0"/>
      <w:spacing w:before="156" w:line="360" w:lineRule="auto"/>
      <w:ind w:firstLine="510" w:firstLineChars="200"/>
    </w:pPr>
    <w:rPr>
      <w:sz w:val="24"/>
      <w:szCs w:val="20"/>
    </w:rPr>
  </w:style>
  <w:style w:type="paragraph" w:customStyle="1" w:styleId="33">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4">
    <w:name w:val="Table Paragraph"/>
    <w:basedOn w:val="1"/>
    <w:qFormat/>
    <w:uiPriority w:val="1"/>
    <w:pPr>
      <w:jc w:val="left"/>
    </w:pPr>
    <w:rPr>
      <w:rFonts w:ascii="Calibri" w:hAnsi="Calibri"/>
      <w:kern w:val="0"/>
      <w:sz w:val="22"/>
      <w:szCs w:val="22"/>
      <w:lang w:eastAsia="en-US"/>
    </w:rPr>
  </w:style>
  <w:style w:type="paragraph" w:customStyle="1" w:styleId="35">
    <w:name w:val="Normal_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36">
    <w:name w:val="Normal_49"/>
    <w:qFormat/>
    <w:uiPriority w:val="0"/>
    <w:pPr>
      <w:spacing w:before="120" w:after="240"/>
      <w:jc w:val="both"/>
    </w:pPr>
    <w:rPr>
      <w:rFonts w:ascii="Times New Roman" w:hAnsi="Times New Roman" w:eastAsia="Times New Roman"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7357</Words>
  <Characters>8196</Characters>
  <Lines>0</Lines>
  <Paragraphs>0</Paragraphs>
  <TotalTime>123</TotalTime>
  <ScaleCrop>false</ScaleCrop>
  <LinksUpToDate>false</LinksUpToDate>
  <CharactersWithSpaces>8338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2024-04-23T08:56:00Z</dcterms:created>
  <dc:creator>微信用户</dc:creator>
  <cp:lastModifiedBy>swag</cp:lastModifiedBy>
  <cp:lastPrinted>2025-07-07T09:18:00Z</cp:lastPrinted>
  <dcterms:modified xsi:type="dcterms:W3CDTF">2025-07-15T00:56:38Z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0BCD810398AD494FBA992D7019BDFC67_13</vt:lpwstr>
  </property>
  <property fmtid="{D5CDD505-2E9C-101B-9397-08002B2CF9AE}" pid="4" name="KSOTemplateDocerSaveRecord">
    <vt:lpwstr>eyJoZGlkIjoiMGFhZDY2YzllODI5OWIxNjRjOTk2ODA4ZWU1MzQyYjIiLCJ1c2VySWQiOiI0NTkwMTA1OTMifQ==</vt:lpwstr>
  </property>
</Properties>
</file>